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C7C29" w14:textId="40C829F3" w:rsidR="00FD27D3" w:rsidRPr="00595217" w:rsidRDefault="00CC218D">
      <w:pPr>
        <w:rPr>
          <w:sz w:val="28"/>
          <w:szCs w:val="28"/>
        </w:rPr>
      </w:pPr>
      <w:r w:rsidRPr="00595217">
        <w:rPr>
          <w:sz w:val="28"/>
          <w:szCs w:val="28"/>
        </w:rPr>
        <w:t>A Critical Evaluation of the Development of a Strategic Target in a School Development Plan: Actions, Impact, and Evidence-Based Reflections</w:t>
      </w:r>
    </w:p>
    <w:p w14:paraId="2D8211E9" w14:textId="3A4C157F" w:rsidR="00470685" w:rsidRDefault="00470685"/>
    <w:p w14:paraId="2B6E94BA" w14:textId="3305601E" w:rsidR="00CC218D" w:rsidRDefault="00CC218D">
      <w:r w:rsidRPr="00CC218D">
        <w:t xml:space="preserve">Effective school development planning (SDP) </w:t>
      </w:r>
      <w:r w:rsidRPr="00595217">
        <w:t xml:space="preserve">is essential </w:t>
      </w:r>
      <w:r w:rsidR="00595217" w:rsidRPr="00595217">
        <w:t>to</w:t>
      </w:r>
      <w:r w:rsidRPr="00595217">
        <w:t xml:space="preserve"> continuous</w:t>
      </w:r>
      <w:r w:rsidRPr="00CC218D">
        <w:t xml:space="preserve"> improvement in educational outcomes, particularly in mathematics, where national and international assessments highlight persistent attainment gaps</w:t>
      </w:r>
      <w:r>
        <w:t xml:space="preserve"> (Welsh Government, 2014). </w:t>
      </w:r>
      <w:r w:rsidRPr="00CC218D">
        <w:t xml:space="preserve">It outlines the steps a school will take to enhance student performance. An SDP will include the school's improvement priorities together with short- and long-term goals, and it will be informed by </w:t>
      </w:r>
      <w:r w:rsidRPr="00595217">
        <w:t>contextual</w:t>
      </w:r>
      <w:r w:rsidRPr="00CC218D">
        <w:t xml:space="preserve"> data and the regular self-evaluation a school </w:t>
      </w:r>
      <w:r w:rsidR="00595217">
        <w:t>carries out</w:t>
      </w:r>
      <w:r w:rsidRPr="00CC218D">
        <w:t xml:space="preserve"> of its own performance</w:t>
      </w:r>
      <w:r>
        <w:t xml:space="preserve"> (Welsh Government, 2014)</w:t>
      </w:r>
      <w:r w:rsidRPr="00CC218D">
        <w:t>.</w:t>
      </w:r>
    </w:p>
    <w:p w14:paraId="38F9DFF1" w14:textId="24C64E2A" w:rsidR="00D83320" w:rsidRDefault="00D83320">
      <w:r w:rsidRPr="00D83320">
        <w:t>This assignment</w:t>
      </w:r>
      <w:r w:rsidR="00525987">
        <w:t xml:space="preserve"> will</w:t>
      </w:r>
      <w:r w:rsidRPr="00D83320">
        <w:t xml:space="preserve"> critically evaluate </w:t>
      </w:r>
      <w:r w:rsidR="00525987">
        <w:t xml:space="preserve">my placement school’s </w:t>
      </w:r>
      <w:r w:rsidRPr="00D83320">
        <w:t xml:space="preserve">development and implementation of </w:t>
      </w:r>
      <w:r>
        <w:t xml:space="preserve">the </w:t>
      </w:r>
      <w:r w:rsidRPr="00D83320">
        <w:t xml:space="preserve">Strategic Development Plan (SDP) </w:t>
      </w:r>
      <w:r>
        <w:t>Priority</w:t>
      </w:r>
      <w:r w:rsidR="00525987">
        <w:t xml:space="preserve"> </w:t>
      </w:r>
      <w:r w:rsidRPr="00D83320">
        <w:t>Enhancing pedagogy in mathematics to improve pupils’ fluency skills.</w:t>
      </w:r>
    </w:p>
    <w:p w14:paraId="6DB9DF11" w14:textId="47299720" w:rsidR="00470685" w:rsidRDefault="00D83320">
      <w:r w:rsidRPr="00D83320">
        <w:t>Current school data analysis reveals that pupil performance in procedural and reasoning mathematics is slightly below the national average, despite ongoing progress in narrowing the gap.</w:t>
      </w:r>
      <w:r w:rsidR="0069666F">
        <w:t xml:space="preserve"> The school has 308 pupils on role, with 50.6% eligible for Free School Meals (FSM), which is </w:t>
      </w:r>
      <w:r w:rsidR="0069666F" w:rsidRPr="0069666F">
        <w:t>significantly higher than the national average</w:t>
      </w:r>
      <w:r w:rsidR="0069666F">
        <w:t xml:space="preserve"> of 21.3% (Welsh Government, 2024). </w:t>
      </w:r>
      <w:r w:rsidR="0069666F" w:rsidRPr="0069666F">
        <w:t xml:space="preserve">Additionally, 21.7% of pupils have Additional Learning Needs (ALN), </w:t>
      </w:r>
      <w:r w:rsidR="00525987">
        <w:t>higher than</w:t>
      </w:r>
      <w:r w:rsidR="0069666F" w:rsidRPr="0069666F">
        <w:t xml:space="preserve"> the national primary school rate of</w:t>
      </w:r>
      <w:r w:rsidR="0069666F">
        <w:t xml:space="preserve"> 16.6% (Welsh Government, 2024) </w:t>
      </w:r>
      <w:r w:rsidR="0069666F" w:rsidRPr="0069666F">
        <w:t xml:space="preserve">The school also has a growing proportion of English as an Additional Language (EAL) learners (15.9%), who often require differentiated strategies to develop fluency in mathematical vocabulary and reasoning (Strand &amp; </w:t>
      </w:r>
      <w:proofErr w:type="spellStart"/>
      <w:r w:rsidR="0069666F" w:rsidRPr="0069666F">
        <w:t>Lindorff</w:t>
      </w:r>
      <w:proofErr w:type="spellEnd"/>
      <w:r w:rsidR="0069666F" w:rsidRPr="0069666F">
        <w:t>, 2022).</w:t>
      </w:r>
    </w:p>
    <w:p w14:paraId="7B4285DA" w14:textId="65631483" w:rsidR="00470685" w:rsidRDefault="00470685">
      <w:r>
        <w:t xml:space="preserve">The school has adopted </w:t>
      </w:r>
      <w:r w:rsidR="00595217">
        <w:t xml:space="preserve">different </w:t>
      </w:r>
      <w:r>
        <w:t>strateg</w:t>
      </w:r>
      <w:r w:rsidR="00595217">
        <w:t>ies</w:t>
      </w:r>
      <w:r>
        <w:t xml:space="preserve"> to address challenges, focusing on teacher development, parental engagement, and evidence-based classroom interventions. Key elements include Maths ADDs, collaboration with specialists, and research dissemination, while also recognising the importance of parental involvement in enhancing mathematical attainment </w:t>
      </w:r>
      <w:r w:rsidRPr="00470685">
        <w:t>(Wilder, 2014)</w:t>
      </w:r>
      <w:r>
        <w:t xml:space="preserve">. </w:t>
      </w:r>
    </w:p>
    <w:p w14:paraId="1BCB0AC2" w14:textId="77777777" w:rsidR="00766D65" w:rsidRDefault="00766D65"/>
    <w:p w14:paraId="5CE9FBFB" w14:textId="1240C91C" w:rsidR="00766D65" w:rsidRPr="00346ADB" w:rsidRDefault="00766D65">
      <w:pPr>
        <w:rPr>
          <w:sz w:val="28"/>
          <w:szCs w:val="28"/>
        </w:rPr>
      </w:pPr>
      <w:r w:rsidRPr="00346ADB">
        <w:rPr>
          <w:sz w:val="28"/>
          <w:szCs w:val="28"/>
        </w:rPr>
        <w:t>Literature Review</w:t>
      </w:r>
    </w:p>
    <w:p w14:paraId="1E041A24" w14:textId="165FF2FA" w:rsidR="00766D65" w:rsidRPr="007543EB" w:rsidRDefault="00766D65">
      <w:r w:rsidRPr="007543EB">
        <w:t xml:space="preserve">1 </w:t>
      </w:r>
      <w:r w:rsidRPr="007543EB">
        <w:t>The School Development Process: A Framework for Improvement</w:t>
      </w:r>
    </w:p>
    <w:p w14:paraId="73273131" w14:textId="346ABC37" w:rsidR="00595217" w:rsidRDefault="00766D65" w:rsidP="00595217">
      <w:pPr>
        <w:pStyle w:val="ListParagraph"/>
        <w:numPr>
          <w:ilvl w:val="1"/>
          <w:numId w:val="2"/>
        </w:numPr>
      </w:pPr>
      <w:r w:rsidRPr="007543EB">
        <w:t>The Purpose and Stages of School Development Planning</w:t>
      </w:r>
    </w:p>
    <w:p w14:paraId="2902E879" w14:textId="2692BA17" w:rsidR="00766D65" w:rsidRDefault="00346ADB">
      <w:r w:rsidRPr="00346ADB">
        <w:t>School Development Planning (SDP) is a structured, evidence-based approach to improving educational outcomes through strategic target</w:t>
      </w:r>
      <w:r>
        <w:t>-</w:t>
      </w:r>
      <w:r w:rsidRPr="00346ADB">
        <w:t>setting</w:t>
      </w:r>
      <w:r>
        <w:t xml:space="preserve"> (Welsh Government, 2014). It is directed by national frameworks, including the Welsh Government's Education in Wales: Our National Mission, which emphasises equity, excellence, and well-being as essential </w:t>
      </w:r>
      <w:r w:rsidR="00525987">
        <w:t>aspects</w:t>
      </w:r>
      <w:r>
        <w:t xml:space="preserve"> of </w:t>
      </w:r>
      <w:r w:rsidR="00525987">
        <w:t>improving</w:t>
      </w:r>
      <w:r>
        <w:t xml:space="preserve"> schools.</w:t>
      </w:r>
      <w:r w:rsidRPr="00346ADB">
        <w:t xml:space="preserve"> (</w:t>
      </w:r>
      <w:r>
        <w:t xml:space="preserve">Welsh Government, 2019). </w:t>
      </w:r>
      <w:r w:rsidRPr="00346ADB">
        <w:lastRenderedPageBreak/>
        <w:t xml:space="preserve">Critically, while SDP aims to provide a long-term vision, its effectiveness relies on </w:t>
      </w:r>
      <w:r w:rsidR="00525987">
        <w:t>strong</w:t>
      </w:r>
      <w:r w:rsidRPr="00346ADB">
        <w:t xml:space="preserve"> self-evaluation and sustained teacher development</w:t>
      </w:r>
      <w:r>
        <w:t xml:space="preserve"> (Welsh Government, 2014; European Commission, 2020). </w:t>
      </w:r>
      <w:r w:rsidR="007C5647">
        <w:t xml:space="preserve">The </w:t>
      </w:r>
      <w:r w:rsidR="007913A5">
        <w:t>Welsh Government's school improvement guidance outlines a framework for evaluation, development planning, implementation, and impact measurement, emphasising a continuous model of self-evaluation (Welsh Government, 202</w:t>
      </w:r>
      <w:r w:rsidR="00525987">
        <w:t>4</w:t>
      </w:r>
      <w:r w:rsidR="007913A5">
        <w:t xml:space="preserve">). </w:t>
      </w:r>
      <w:r w:rsidR="007913A5" w:rsidRPr="007913A5">
        <w:t xml:space="preserve">However, </w:t>
      </w:r>
      <w:r w:rsidR="007C5647">
        <w:t>r</w:t>
      </w:r>
      <w:r w:rsidR="007C5647" w:rsidRPr="007C5647">
        <w:t>esearch criticises the over-reliance on quantitative data, arguing that a data-driven approach by itself is not enough to fully comprehend how learning occurs</w:t>
      </w:r>
      <w:r w:rsidR="007C5647">
        <w:t xml:space="preserve"> (Isaacs, 2021; Song et al</w:t>
      </w:r>
      <w:r w:rsidR="007C5647" w:rsidRPr="007C5647">
        <w:t>.</w:t>
      </w:r>
      <w:r w:rsidR="007C5647">
        <w:t xml:space="preserve">, 2024). </w:t>
      </w:r>
      <w:r w:rsidR="007C5647" w:rsidRPr="007C5647">
        <w:t xml:space="preserve">In mathematics, fluency is not </w:t>
      </w:r>
      <w:r w:rsidR="007C5647">
        <w:t>only</w:t>
      </w:r>
      <w:r w:rsidR="007C5647" w:rsidRPr="007C5647">
        <w:t xml:space="preserve"> about procedural efficiency but also </w:t>
      </w:r>
      <w:r w:rsidR="007C5647">
        <w:t xml:space="preserve">about </w:t>
      </w:r>
      <w:r w:rsidR="007C5647" w:rsidRPr="007C5647">
        <w:t>deep conceptual understanding</w:t>
      </w:r>
      <w:r w:rsidR="007C5647">
        <w:t xml:space="preserve"> (National Council of Teachers of Mathematics, 2023). </w:t>
      </w:r>
      <w:r w:rsidR="00EC7DDD">
        <w:t>E</w:t>
      </w:r>
      <w:r w:rsidR="00EC7DDD" w:rsidRPr="00EC7DDD">
        <w:t>nsuring sustainability is a significant challenge in SDP planning. Research by Koh et al. (202</w:t>
      </w:r>
      <w:r w:rsidR="00525987">
        <w:t>3</w:t>
      </w:r>
      <w:r w:rsidR="00EC7DDD" w:rsidRPr="00EC7DDD">
        <w:t>) suggests </w:t>
      </w:r>
      <w:r w:rsidR="00EC7DDD">
        <w:t xml:space="preserve">that a </w:t>
      </w:r>
      <w:r w:rsidR="00EC7DDD" w:rsidRPr="00EC7DDD">
        <w:t>long-term professional development strategy is required since one</w:t>
      </w:r>
      <w:r w:rsidR="00EC7DDD">
        <w:t>-</w:t>
      </w:r>
      <w:r w:rsidR="00EC7DDD" w:rsidRPr="00EC7DDD">
        <w:t>off initiatives often fall short of implementing long-lasting</w:t>
      </w:r>
      <w:r w:rsidR="00EC7DDD">
        <w:t xml:space="preserve"> improvements. </w:t>
      </w:r>
    </w:p>
    <w:p w14:paraId="01A7EA6B" w14:textId="77777777" w:rsidR="00EC7DDD" w:rsidRDefault="00EC7DDD"/>
    <w:p w14:paraId="7D68353F" w14:textId="5E4F74AC" w:rsidR="00EC7DDD" w:rsidRDefault="00EC7DDD">
      <w:r w:rsidRPr="00EC7DDD">
        <w:t xml:space="preserve">1.2 </w:t>
      </w:r>
      <w:r w:rsidR="00E45FA9" w:rsidRPr="00E45FA9">
        <w:t>The Impact of Socioeconomic Status on Numeracy Attainment</w:t>
      </w:r>
    </w:p>
    <w:p w14:paraId="13758939" w14:textId="3B15C383" w:rsidR="003B4D9E" w:rsidRDefault="00EC7DDD" w:rsidP="003B4D9E">
      <w:r w:rsidRPr="00EC7DDD">
        <w:t xml:space="preserve">The </w:t>
      </w:r>
      <w:r>
        <w:t xml:space="preserve">curriculum for Wales Mathematics and Numeracy </w:t>
      </w:r>
      <w:r w:rsidRPr="00EC7DDD">
        <w:t>emphasi</w:t>
      </w:r>
      <w:r>
        <w:t>s</w:t>
      </w:r>
      <w:r w:rsidRPr="00EC7DDD">
        <w:t xml:space="preserve">es </w:t>
      </w:r>
      <w:r>
        <w:t xml:space="preserve">the importance of </w:t>
      </w:r>
      <w:r w:rsidRPr="00EC7DDD">
        <w:t>fluency, reasoning, and problem-solving as core competencies</w:t>
      </w:r>
      <w:r>
        <w:t xml:space="preserve"> (</w:t>
      </w:r>
      <w:r w:rsidR="007543EB">
        <w:t>Welsh Government, 2022).</w:t>
      </w:r>
      <w:r>
        <w:t xml:space="preserve"> </w:t>
      </w:r>
      <w:r w:rsidRPr="00EC7DDD">
        <w:t>However</w:t>
      </w:r>
      <w:r>
        <w:t xml:space="preserve">, the Education Policy </w:t>
      </w:r>
      <w:r w:rsidR="007543EB">
        <w:t>I</w:t>
      </w:r>
      <w:r>
        <w:t>nstitute</w:t>
      </w:r>
      <w:r w:rsidR="007543EB">
        <w:t>’s</w:t>
      </w:r>
      <w:r>
        <w:t xml:space="preserve"> </w:t>
      </w:r>
      <w:r w:rsidRPr="00EC7DDD">
        <w:t>(20</w:t>
      </w:r>
      <w:r>
        <w:t>24</w:t>
      </w:r>
      <w:r w:rsidRPr="00EC7DDD">
        <w:t xml:space="preserve">) </w:t>
      </w:r>
      <w:r>
        <w:t xml:space="preserve">Disadvantage </w:t>
      </w:r>
      <w:r w:rsidRPr="00EC7DDD">
        <w:t>report highlight</w:t>
      </w:r>
      <w:r>
        <w:t>s</w:t>
      </w:r>
      <w:r w:rsidRPr="00EC7DDD">
        <w:t xml:space="preserve"> gaps in numeracy attainment, particularly among disadvantaged pupils.</w:t>
      </w:r>
      <w:r w:rsidR="007543EB">
        <w:t xml:space="preserve"> </w:t>
      </w:r>
      <w:r w:rsidR="003B4D9E">
        <w:t>It is important to note t</w:t>
      </w:r>
      <w:r w:rsidR="007543EB" w:rsidRPr="00F62561">
        <w:t>he placement school's FSM eligibility rate of 50.6%, which is significantly higher than the national average</w:t>
      </w:r>
      <w:r w:rsidR="003B4D9E">
        <w:t xml:space="preserve"> and could</w:t>
      </w:r>
      <w:r w:rsidR="007543EB" w:rsidRPr="00F62561">
        <w:t xml:space="preserve"> </w:t>
      </w:r>
      <w:r w:rsidR="007543EB" w:rsidRPr="00F62561">
        <w:t>suggest a higher risk of numeracy underachievement</w:t>
      </w:r>
      <w:r w:rsidR="007543EB" w:rsidRPr="00F62561">
        <w:t xml:space="preserve">. </w:t>
      </w:r>
      <w:r w:rsidR="00F62561">
        <w:t>A</w:t>
      </w:r>
      <w:r w:rsidR="00F62561" w:rsidRPr="00F62561">
        <w:t>ccording to research</w:t>
      </w:r>
      <w:r w:rsidR="00F62561">
        <w:t>,</w:t>
      </w:r>
      <w:r w:rsidR="00F62561" w:rsidRPr="00F62561">
        <w:t xml:space="preserve"> </w:t>
      </w:r>
      <w:r w:rsidR="00F62561">
        <w:t xml:space="preserve">by </w:t>
      </w:r>
      <w:proofErr w:type="spellStart"/>
      <w:r w:rsidR="00F62561" w:rsidRPr="00F62561">
        <w:t>Bernabini</w:t>
      </w:r>
      <w:proofErr w:type="spellEnd"/>
      <w:r w:rsidR="00F62561" w:rsidRPr="00F62561">
        <w:t xml:space="preserve"> et al. (2020), </w:t>
      </w:r>
      <w:r w:rsidR="00F62561">
        <w:t>s</w:t>
      </w:r>
      <w:r w:rsidR="00F62561" w:rsidRPr="00F62561">
        <w:t>ocioeconomic status</w:t>
      </w:r>
      <w:r w:rsidR="003B4D9E">
        <w:t xml:space="preserve"> (SES)</w:t>
      </w:r>
      <w:r w:rsidR="00F62561" w:rsidRPr="00F62561">
        <w:t xml:space="preserve"> has a significant impact on children's early mathematical development.  Home numeracy predicted children's early maths skills better than </w:t>
      </w:r>
      <w:r w:rsidR="00595217">
        <w:t>some</w:t>
      </w:r>
      <w:r w:rsidR="00F62561" w:rsidRPr="00F62561">
        <w:t xml:space="preserve"> parent and child variables</w:t>
      </w:r>
      <w:r w:rsidR="00F62561">
        <w:t xml:space="preserve"> </w:t>
      </w:r>
      <w:r w:rsidR="00F62561" w:rsidRPr="00F62561">
        <w:t>highlighting the important role that the home environment plays in numeracy learning</w:t>
      </w:r>
      <w:r w:rsidR="00F62561">
        <w:t xml:space="preserve"> (</w:t>
      </w:r>
      <w:proofErr w:type="spellStart"/>
      <w:r w:rsidR="00F62561">
        <w:t>Bernabini</w:t>
      </w:r>
      <w:proofErr w:type="spellEnd"/>
      <w:r w:rsidR="00F62561">
        <w:t xml:space="preserve"> et al., 2020)</w:t>
      </w:r>
      <w:r w:rsidR="00F62561" w:rsidRPr="00F62561">
        <w:t>.</w:t>
      </w:r>
      <w:r w:rsidR="003B4D9E">
        <w:t xml:space="preserve"> The research found that </w:t>
      </w:r>
      <w:r w:rsidR="003B4D9E" w:rsidRPr="003B4D9E">
        <w:t xml:space="preserve">higher </w:t>
      </w:r>
      <w:r w:rsidR="003B4D9E">
        <w:t>SES</w:t>
      </w:r>
      <w:r w:rsidR="003B4D9E" w:rsidRPr="003B4D9E">
        <w:t xml:space="preserve"> children were exposed to higher</w:t>
      </w:r>
      <w:r w:rsidR="003B4D9E">
        <w:t>-</w:t>
      </w:r>
      <w:r w:rsidR="003B4D9E" w:rsidRPr="003B4D9E">
        <w:t>quality numeracy activities compared to lower SES children</w:t>
      </w:r>
      <w:r w:rsidR="003B4D9E">
        <w:t xml:space="preserve">. </w:t>
      </w:r>
      <w:r w:rsidR="00E45FA9" w:rsidRPr="00E45FA9">
        <w:t xml:space="preserve">Considering </w:t>
      </w:r>
      <w:r w:rsidR="00E45FA9">
        <w:t xml:space="preserve">that </w:t>
      </w:r>
      <w:r w:rsidR="00E45FA9" w:rsidRPr="00E45FA9">
        <w:t>lower-income pupils may not have access to mathematical enrichment</w:t>
      </w:r>
      <w:r w:rsidR="00E45FA9">
        <w:t xml:space="preserve"> at home</w:t>
      </w:r>
      <w:r w:rsidR="00E45FA9" w:rsidRPr="00E45FA9">
        <w:t>, research suggests that a one-size-fits-all strategy can worsen attainment gaps because the different home numeracy circumstances that influence early mathematical development are not taken into consideration</w:t>
      </w:r>
      <w:r w:rsidR="00E45FA9">
        <w:t xml:space="preserve"> </w:t>
      </w:r>
      <w:r w:rsidR="00E45FA9" w:rsidRPr="00E45FA9">
        <w:t xml:space="preserve">(Ofsted, 2013). </w:t>
      </w:r>
    </w:p>
    <w:p w14:paraId="7E57C92C" w14:textId="77777777" w:rsidR="00E45FA9" w:rsidRDefault="00E45FA9" w:rsidP="003B4D9E"/>
    <w:p w14:paraId="506ACAC2" w14:textId="165DEBD5" w:rsidR="00E45FA9" w:rsidRDefault="00E45FA9" w:rsidP="003B4D9E">
      <w:r w:rsidRPr="00E45FA9">
        <w:t>2. Mathematics Pedagogy and Fluency Development</w:t>
      </w:r>
    </w:p>
    <w:p w14:paraId="5860A635" w14:textId="65C4F656" w:rsidR="00E45FA9" w:rsidRDefault="00E45FA9" w:rsidP="003B4D9E">
      <w:r>
        <w:t xml:space="preserve">2.1 </w:t>
      </w:r>
      <w:r w:rsidRPr="00E45FA9">
        <w:t>Theories of Mathematical Fluency: Procedural vs. Conceptual Knowledge</w:t>
      </w:r>
    </w:p>
    <w:p w14:paraId="4FD8961E" w14:textId="47D771AD" w:rsidR="00C73B1E" w:rsidRDefault="00701DD6">
      <w:r w:rsidRPr="00701DD6">
        <w:t>Mathematical fluency is not just about speed but also about flexible and adaptive thinking</w:t>
      </w:r>
      <w:r>
        <w:t xml:space="preserve"> (Dickinson, 2019). </w:t>
      </w:r>
      <w:r w:rsidR="00810204">
        <w:t xml:space="preserve">The discussion surrounding procedural and conceptual fluency continues to be a key topic in mathematics education.  </w:t>
      </w:r>
      <w:r w:rsidR="00595217">
        <w:t xml:space="preserve">Hurrell (2021) </w:t>
      </w:r>
      <w:r w:rsidR="00810204">
        <w:t>suggest</w:t>
      </w:r>
      <w:r w:rsidR="00595217">
        <w:t>s</w:t>
      </w:r>
      <w:r w:rsidR="00810204">
        <w:t xml:space="preserve"> </w:t>
      </w:r>
      <w:r w:rsidR="00810204">
        <w:lastRenderedPageBreak/>
        <w:t xml:space="preserve">that </w:t>
      </w:r>
      <w:r w:rsidR="00595217" w:rsidRPr="00595217">
        <w:t xml:space="preserve">conceptual comprehension should </w:t>
      </w:r>
      <w:r w:rsidR="00595217">
        <w:t xml:space="preserve">come before </w:t>
      </w:r>
      <w:r w:rsidR="00595217" w:rsidRPr="00595217">
        <w:t>procedural fluency</w:t>
      </w:r>
      <w:r w:rsidR="00810204">
        <w:t>, but</w:t>
      </w:r>
      <w:r w:rsidR="00595217">
        <w:t xml:space="preserve"> further</w:t>
      </w:r>
      <w:r w:rsidR="00810204">
        <w:t xml:space="preserve"> studies </w:t>
      </w:r>
      <w:r w:rsidR="00595217">
        <w:t>suggest</w:t>
      </w:r>
      <w:r w:rsidR="00810204">
        <w:t xml:space="preserve"> a mutual relationship (</w:t>
      </w:r>
      <w:r>
        <w:t xml:space="preserve">Lenz &amp; Wittmann, 2021; Rittle-Johnson et al., 2015). </w:t>
      </w:r>
      <w:r w:rsidR="00810204">
        <w:t xml:space="preserve">Ahmed &amp; Ahmed (2017) argue </w:t>
      </w:r>
      <w:r w:rsidR="00810204" w:rsidRPr="00810204">
        <w:t>that placing too much focus on rote learning can result in surface learning and decrease problem-solving skills.</w:t>
      </w:r>
      <w:r w:rsidR="00810204">
        <w:t xml:space="preserve"> </w:t>
      </w:r>
      <w:r w:rsidR="00810204" w:rsidRPr="00810204">
        <w:t>The school’s SDP strategy, which includes tailored resource packs for reasoning and procedural skills, reflects research advocating for a balanced approach</w:t>
      </w:r>
      <w:r w:rsidR="00810204">
        <w:t xml:space="preserve"> for increased chances of deeper understanding (Rittle-Johnson et al., 2015).  </w:t>
      </w:r>
      <w:r w:rsidR="009E0A6E" w:rsidRPr="009E0A6E">
        <w:t>However, a critical issue is whether teacher training supports this balance (Kennedy, 2016).</w:t>
      </w:r>
    </w:p>
    <w:p w14:paraId="6A84C367" w14:textId="3FB7F7F8" w:rsidR="009E0A6E" w:rsidRDefault="009E0A6E">
      <w:r w:rsidRPr="009E0A6E">
        <w:t>2.2 The Role of Reasoning and Problem-Solving in Fluency</w:t>
      </w:r>
    </w:p>
    <w:p w14:paraId="32D08744" w14:textId="2342B077" w:rsidR="00C03E1E" w:rsidRDefault="003D462D">
      <w:r>
        <w:t>Smit</w:t>
      </w:r>
      <w:r w:rsidR="00525987">
        <w:t xml:space="preserve"> et al. </w:t>
      </w:r>
      <w:r>
        <w:t xml:space="preserve">(2022) </w:t>
      </w:r>
      <w:r w:rsidRPr="00525987">
        <w:t xml:space="preserve">emphasise </w:t>
      </w:r>
      <w:r w:rsidRPr="00525987">
        <w:t xml:space="preserve">that </w:t>
      </w:r>
      <w:r w:rsidR="00525987">
        <w:t>s</w:t>
      </w:r>
      <w:r w:rsidR="00525987" w:rsidRPr="00525987">
        <w:t>trong reasoning and problem-solving skills help pupils apply mathematical strategies more fluently across different context</w:t>
      </w:r>
      <w:r w:rsidR="00525987">
        <w:t>s.</w:t>
      </w:r>
      <w:r>
        <w:t xml:space="preserve"> </w:t>
      </w:r>
      <w:r w:rsidRPr="003D462D">
        <w:t>However</w:t>
      </w:r>
      <w:r w:rsidR="00C03E1E">
        <w:t>,</w:t>
      </w:r>
      <w:r w:rsidRPr="003D462D">
        <w:t xml:space="preserve"> while reasoning is </w:t>
      </w:r>
      <w:r w:rsidR="00595217">
        <w:t>important</w:t>
      </w:r>
      <w:r w:rsidR="00B36749">
        <w:t>,</w:t>
      </w:r>
      <w:r w:rsidRPr="003D462D">
        <w:t xml:space="preserve"> many schools rely on procedural learning, which could prevent pupils from thinking deeply about mathematics</w:t>
      </w:r>
      <w:r>
        <w:t xml:space="preserve"> (</w:t>
      </w:r>
      <w:r w:rsidR="00C03E1E">
        <w:t>Hurrell, 2021)</w:t>
      </w:r>
      <w:r w:rsidRPr="003D462D">
        <w:t>.</w:t>
      </w:r>
      <w:r w:rsidR="00C03E1E">
        <w:t xml:space="preserve"> </w:t>
      </w:r>
      <w:r w:rsidR="00C03E1E" w:rsidRPr="00C03E1E">
        <w:t>The Welsh Government's Curriculum for Wales focuses on problem-solving as an essential aspect of mathematical development and encourages a competency</w:t>
      </w:r>
      <w:r w:rsidR="00C03E1E">
        <w:t>-</w:t>
      </w:r>
      <w:r w:rsidR="00C03E1E" w:rsidRPr="00C03E1E">
        <w:t>based approach compared to a</w:t>
      </w:r>
      <w:r w:rsidR="00C03E1E">
        <w:t>n</w:t>
      </w:r>
      <w:r w:rsidR="00C03E1E" w:rsidRPr="00C03E1E">
        <w:t> assessment-driven approach</w:t>
      </w:r>
      <w:r w:rsidR="00525987">
        <w:t xml:space="preserve"> (Welsh Government, 2020)</w:t>
      </w:r>
      <w:r w:rsidR="00C03E1E" w:rsidRPr="00C03E1E">
        <w:t>.</w:t>
      </w:r>
    </w:p>
    <w:p w14:paraId="31BBB79F" w14:textId="3E8FF34F" w:rsidR="00F91886" w:rsidRDefault="00C06586">
      <w:r w:rsidRPr="00C06586">
        <w:t xml:space="preserve">Although the placement school's SDP </w:t>
      </w:r>
      <w:r w:rsidR="00F91886">
        <w:t>recognises</w:t>
      </w:r>
      <w:r w:rsidRPr="00C06586">
        <w:t xml:space="preserve"> </w:t>
      </w:r>
      <w:r w:rsidR="00F91886">
        <w:t>the importance of r</w:t>
      </w:r>
      <w:r w:rsidRPr="00C06586">
        <w:t xml:space="preserve">easoning skills, a concern is whether problem-solving is </w:t>
      </w:r>
      <w:r w:rsidR="00F91886">
        <w:t xml:space="preserve">incorporated </w:t>
      </w:r>
      <w:r w:rsidRPr="00C06586">
        <w:t>into daily teaching practice or remains a</w:t>
      </w:r>
      <w:r w:rsidR="00F91886">
        <w:t>n</w:t>
      </w:r>
      <w:r w:rsidRPr="00C06586">
        <w:t xml:space="preserve"> </w:t>
      </w:r>
      <w:r w:rsidR="00F91886">
        <w:t>additional</w:t>
      </w:r>
      <w:r w:rsidRPr="00C06586">
        <w:t xml:space="preserve"> activity.</w:t>
      </w:r>
      <w:r w:rsidR="00F91886">
        <w:t xml:space="preserve"> Dwyer (2023) indicates that while fluency exercises increase recall, they could limit adaptive thinking if problem-solving activities are not regularly </w:t>
      </w:r>
      <w:r w:rsidR="00595217">
        <w:t>included</w:t>
      </w:r>
      <w:r w:rsidR="00F91886">
        <w:t xml:space="preserve"> in lessons. </w:t>
      </w:r>
      <w:r w:rsidR="00E96C15" w:rsidRPr="00E96C15">
        <w:t xml:space="preserve">This reflects a larger issue with mathematics in education, where rote-based methods </w:t>
      </w:r>
      <w:r w:rsidR="00595217">
        <w:t>dominate</w:t>
      </w:r>
      <w:r w:rsidR="00E96C15" w:rsidRPr="00E96C15">
        <w:t xml:space="preserve"> despite evidence that deeper comprehension of mathematics can be developed </w:t>
      </w:r>
      <w:r w:rsidR="00595217">
        <w:t>through learning that is</w:t>
      </w:r>
      <w:r w:rsidR="00E96C15" w:rsidRPr="00E96C15">
        <w:t xml:space="preserve"> </w:t>
      </w:r>
      <w:r w:rsidR="00E96C15" w:rsidRPr="00595217">
        <w:t>exploratory</w:t>
      </w:r>
      <w:r w:rsidR="00595217">
        <w:t xml:space="preserve"> and based on inquiry </w:t>
      </w:r>
      <w:r w:rsidR="00E96C15">
        <w:t>(Vasuki et al</w:t>
      </w:r>
      <w:r w:rsidR="00E96C15" w:rsidRPr="00E96C15">
        <w:t>.</w:t>
      </w:r>
      <w:r w:rsidR="00E96C15">
        <w:t xml:space="preserve">, 2016; Ahmed &amp; Ahmed, 2017). </w:t>
      </w:r>
    </w:p>
    <w:p w14:paraId="7105CBF6" w14:textId="50789BC6" w:rsidR="00166F80" w:rsidRDefault="00181B2F">
      <w:r>
        <w:t>Research shows that scaffolding and guided inquiry-based learning are essential for the development of reasoning skills</w:t>
      </w:r>
      <w:r w:rsidR="00595217">
        <w:t xml:space="preserve">, </w:t>
      </w:r>
      <w:r>
        <w:t xml:space="preserve">however, </w:t>
      </w:r>
      <w:r w:rsidR="00595217">
        <w:t>applying</w:t>
      </w:r>
      <w:r>
        <w:t xml:space="preserve"> these strategies </w:t>
      </w:r>
      <w:r w:rsidR="00595217">
        <w:t xml:space="preserve">requires </w:t>
      </w:r>
      <w:r>
        <w:t>support for professional development (</w:t>
      </w:r>
      <w:proofErr w:type="spellStart"/>
      <w:r>
        <w:t>Mcleod</w:t>
      </w:r>
      <w:proofErr w:type="spellEnd"/>
      <w:r>
        <w:t xml:space="preserve">, 2024; </w:t>
      </w:r>
      <w:proofErr w:type="spellStart"/>
      <w:r>
        <w:t>Gholam</w:t>
      </w:r>
      <w:proofErr w:type="spellEnd"/>
      <w:r>
        <w:t>, 2019).</w:t>
      </w:r>
    </w:p>
    <w:p w14:paraId="264D88D2" w14:textId="77777777" w:rsidR="00595217" w:rsidRDefault="00595217"/>
    <w:p w14:paraId="2D4F3EE2" w14:textId="7C2F3C66" w:rsidR="00166F80" w:rsidRPr="00166F80" w:rsidRDefault="00166F80" w:rsidP="00166F80">
      <w:r>
        <w:t xml:space="preserve">3. </w:t>
      </w:r>
      <w:r w:rsidRPr="00166F80">
        <w:t>Evidence-Based Strategies for Improving Mathematical Fluency</w:t>
      </w:r>
    </w:p>
    <w:p w14:paraId="59F85B8D" w14:textId="70D08913" w:rsidR="00166F80" w:rsidRDefault="00166F80">
      <w:r>
        <w:t xml:space="preserve">3.1 </w:t>
      </w:r>
      <w:r w:rsidRPr="00166F80">
        <w:t>Interventions and Adaptive Teaching</w:t>
      </w:r>
    </w:p>
    <w:p w14:paraId="1252A956" w14:textId="4B2E60D0" w:rsidR="00E91D4E" w:rsidRDefault="009D1222">
      <w:r w:rsidRPr="009D1222">
        <w:t>The school’s data-driven approach, where tailored resource packs are created for year groups,</w:t>
      </w:r>
      <w:r>
        <w:t xml:space="preserve"> </w:t>
      </w:r>
      <w:r w:rsidR="00525987">
        <w:t xml:space="preserve">is </w:t>
      </w:r>
      <w:r>
        <w:t xml:space="preserve">consistent with the recommended practices described by the Education Endowment Foundation (2022), which emphasises that targeted, evidence-supported interventions designed to meet the specific needs of individual </w:t>
      </w:r>
      <w:r w:rsidR="00525987">
        <w:t>pupils</w:t>
      </w:r>
      <w:r>
        <w:t xml:space="preserve"> result in</w:t>
      </w:r>
      <w:r w:rsidR="00525987">
        <w:t xml:space="preserve"> </w:t>
      </w:r>
      <w:r>
        <w:t>improvements in numeracy compared to broad, whole-class teaching. Furthermore</w:t>
      </w:r>
      <w:r w:rsidRPr="009D1222">
        <w:t xml:space="preserve">, </w:t>
      </w:r>
      <w:r w:rsidR="00525987">
        <w:t>(</w:t>
      </w:r>
      <w:proofErr w:type="spellStart"/>
      <w:r w:rsidR="00525987">
        <w:t>Nickl</w:t>
      </w:r>
      <w:proofErr w:type="spellEnd"/>
      <w:r w:rsidR="00525987">
        <w:t xml:space="preserve"> et al., 2024) </w:t>
      </w:r>
      <w:r>
        <w:t>emphasise the importance of</w:t>
      </w:r>
      <w:r w:rsidRPr="009D1222">
        <w:t xml:space="preserve"> adaptive teaching </w:t>
      </w:r>
      <w:r>
        <w:t>methods</w:t>
      </w:r>
      <w:r w:rsidRPr="009D1222">
        <w:t xml:space="preserve"> informed by assessment data, ensuring that all learners</w:t>
      </w:r>
      <w:r>
        <w:t xml:space="preserve"> r</w:t>
      </w:r>
      <w:r w:rsidRPr="009D1222">
        <w:t>eceive appropriate</w:t>
      </w:r>
      <w:r>
        <w:t xml:space="preserve"> </w:t>
      </w:r>
      <w:r w:rsidRPr="009D1222">
        <w:t>scaffo</w:t>
      </w:r>
      <w:r>
        <w:t xml:space="preserve">lding </w:t>
      </w:r>
      <w:r w:rsidRPr="009D1222">
        <w:t xml:space="preserve">support </w:t>
      </w:r>
      <w:r w:rsidRPr="009D1222">
        <w:lastRenderedPageBreak/>
        <w:t>to develop both procedural and conceptual mathematical fluency</w:t>
      </w:r>
      <w:r w:rsidR="00E91D4E">
        <w:t xml:space="preserve"> (Welsh Government, 2024)</w:t>
      </w:r>
      <w:r w:rsidRPr="009D1222">
        <w:t>.</w:t>
      </w:r>
      <w:r w:rsidR="00E91D4E">
        <w:t xml:space="preserve"> </w:t>
      </w:r>
      <w:r w:rsidR="00E91D4E" w:rsidRPr="00E91D4E">
        <w:t>However, a</w:t>
      </w:r>
      <w:r w:rsidR="00525987">
        <w:t xml:space="preserve"> </w:t>
      </w:r>
      <w:r w:rsidR="00E91D4E" w:rsidRPr="00E91D4E">
        <w:t>challenge is ensuring differentiation, particularly given the school’s high percentage of pupils with additional learning needs</w:t>
      </w:r>
      <w:r w:rsidR="00E91D4E">
        <w:t xml:space="preserve"> </w:t>
      </w:r>
      <w:r w:rsidR="00E91D4E" w:rsidRPr="00E91D4E">
        <w:t>(21.7%) and EAL learners (15.9%).</w:t>
      </w:r>
      <w:r w:rsidR="003A4781">
        <w:t xml:space="preserve"> </w:t>
      </w:r>
      <w:r w:rsidR="00E91D4E" w:rsidRPr="00E91D4E">
        <w:t>Research shows that fluency interventions are often designed for</w:t>
      </w:r>
      <w:r w:rsidR="00E91D4E">
        <w:t xml:space="preserve"> ALN</w:t>
      </w:r>
      <w:r w:rsidR="00E91D4E" w:rsidRPr="00E91D4E">
        <w:t xml:space="preserve">, </w:t>
      </w:r>
      <w:r w:rsidR="00E91D4E">
        <w:t>bilingual</w:t>
      </w:r>
      <w:r w:rsidR="00E91D4E" w:rsidRPr="00E91D4E">
        <w:t xml:space="preserve"> learners, </w:t>
      </w:r>
      <w:r w:rsidR="003A4781" w:rsidRPr="003A4781">
        <w:t>requiring more flexible approaches</w:t>
      </w:r>
      <w:r w:rsidR="003A4781">
        <w:t xml:space="preserve"> (Gervasoni et al., 2021; Romero &amp; Uddin, 2021)</w:t>
      </w:r>
      <w:r w:rsidR="003A4781" w:rsidRPr="003A4781">
        <w:t>.</w:t>
      </w:r>
    </w:p>
    <w:p w14:paraId="74BCFED0" w14:textId="77777777" w:rsidR="003A4781" w:rsidRDefault="003A4781"/>
    <w:p w14:paraId="0BB4E970" w14:textId="38BDF22E" w:rsidR="003A4781" w:rsidRDefault="003A4781">
      <w:r>
        <w:t xml:space="preserve">3.2 </w:t>
      </w:r>
      <w:r w:rsidRPr="003A4781">
        <w:t>The Role of Teacher Professional Development</w:t>
      </w:r>
    </w:p>
    <w:p w14:paraId="4AEBEF8F" w14:textId="6674F9D9" w:rsidR="00B770BA" w:rsidRDefault="00E31722">
      <w:r w:rsidRPr="00E31722">
        <w:t>The school's Maths ADDs (Development Sessions) and collaboration with a Maths Specialist align with</w:t>
      </w:r>
      <w:r>
        <w:t xml:space="preserve"> the Educational Policy Institute (2020) evidence review</w:t>
      </w:r>
      <w:r w:rsidRPr="00E31722">
        <w:t xml:space="preserve"> which emphasi</w:t>
      </w:r>
      <w:r>
        <w:t>s</w:t>
      </w:r>
      <w:r w:rsidRPr="00E31722">
        <w:t>e</w:t>
      </w:r>
      <w:r>
        <w:t>s</w:t>
      </w:r>
      <w:r w:rsidRPr="00E31722">
        <w:t xml:space="preserve"> that high-quality professional development </w:t>
      </w:r>
      <w:r>
        <w:t>improves</w:t>
      </w:r>
      <w:r w:rsidRPr="00E31722">
        <w:t xml:space="preserve"> teacher expertise and directly improves pupil attainment.</w:t>
      </w:r>
      <w:r>
        <w:t xml:space="preserve"> However, it is important to note that Ofsted’s (2024) research and analysis of teachers’ professional development highlights that o</w:t>
      </w:r>
      <w:r w:rsidRPr="00E31722">
        <w:t>ne-time training courses are ineffective unless they are integrated into an approach of continuous learning, which emphasises the importance of organised cooperation with subject</w:t>
      </w:r>
      <w:r>
        <w:t>-</w:t>
      </w:r>
      <w:r w:rsidRPr="00E31722">
        <w:t>specific specialists.</w:t>
      </w:r>
      <w:r w:rsidR="00B770BA">
        <w:t xml:space="preserve">  Effective professional development should include ongoing reflection and practice-based learning instead of isolated workshops, as this leads to deeper pedagogical change (Stoll et al., 2012).</w:t>
      </w:r>
      <w:r w:rsidR="00AD4190">
        <w:t xml:space="preserve"> </w:t>
      </w:r>
      <w:r w:rsidR="00B770BA" w:rsidRPr="00B770BA">
        <w:t>Without such interventions</w:t>
      </w:r>
      <w:r w:rsidR="00AD4190">
        <w:t>,</w:t>
      </w:r>
      <w:r w:rsidR="00B770BA" w:rsidRPr="00B770BA">
        <w:t xml:space="preserve"> research</w:t>
      </w:r>
      <w:r w:rsidR="00AD4190">
        <w:t xml:space="preserve"> by Bailey et al., (2020)</w:t>
      </w:r>
      <w:r w:rsidR="00B770BA" w:rsidRPr="00B770BA">
        <w:t xml:space="preserve"> warns that professional development risks </w:t>
      </w:r>
      <w:r w:rsidR="00AD4190">
        <w:t xml:space="preserve">will be limited </w:t>
      </w:r>
      <w:r w:rsidR="00B770BA" w:rsidRPr="00B770BA">
        <w:t xml:space="preserve">and unlikely to </w:t>
      </w:r>
      <w:r w:rsidR="00AD4190">
        <w:t>lead</w:t>
      </w:r>
      <w:r w:rsidR="00B770BA" w:rsidRPr="00B770BA">
        <w:t xml:space="preserve"> </w:t>
      </w:r>
      <w:r w:rsidR="00AD4190">
        <w:t>to</w:t>
      </w:r>
      <w:r w:rsidR="00B770BA" w:rsidRPr="00B770BA">
        <w:t xml:space="preserve"> improved </w:t>
      </w:r>
      <w:r w:rsidR="00AD4190">
        <w:t>pupil</w:t>
      </w:r>
      <w:r w:rsidR="00B770BA" w:rsidRPr="00B770BA">
        <w:t xml:space="preserve"> outcomes</w:t>
      </w:r>
      <w:r w:rsidR="00AD4190">
        <w:t>.</w:t>
      </w:r>
    </w:p>
    <w:p w14:paraId="3F3D9BEB" w14:textId="77777777" w:rsidR="00D57F70" w:rsidRDefault="00D57F70"/>
    <w:p w14:paraId="67BED3B1" w14:textId="36C50018" w:rsidR="00D57F70" w:rsidRDefault="00D57F70">
      <w:r>
        <w:t xml:space="preserve">4. </w:t>
      </w:r>
      <w:r w:rsidRPr="00D57F70">
        <w:t>Critical Engagement: Gaps, Contradictions, and Emerging Trends</w:t>
      </w:r>
    </w:p>
    <w:p w14:paraId="4611E208" w14:textId="0BFA55A9" w:rsidR="00D57F70" w:rsidRPr="00595217" w:rsidRDefault="00D57F70">
      <w:r w:rsidRPr="00525987">
        <w:t xml:space="preserve">While the school’s SDP aligns with </w:t>
      </w:r>
      <w:r w:rsidR="00525987" w:rsidRPr="00525987">
        <w:t>research-based</w:t>
      </w:r>
      <w:r w:rsidRPr="00525987">
        <w:t xml:space="preserve"> strategies to improve mathematical fluency, gaps and contradictions remain that </w:t>
      </w:r>
      <w:r w:rsidR="00525987" w:rsidRPr="00525987">
        <w:t>should</w:t>
      </w:r>
      <w:r w:rsidRPr="00525987">
        <w:t xml:space="preserve"> be </w:t>
      </w:r>
      <w:r w:rsidR="00525987" w:rsidRPr="00525987">
        <w:t>resolved</w:t>
      </w:r>
      <w:r w:rsidRPr="00525987">
        <w:t xml:space="preserve"> to ensure long-term success.</w:t>
      </w:r>
      <w:r w:rsidRPr="00525987">
        <w:t xml:space="preserve"> </w:t>
      </w:r>
      <w:r w:rsidR="004E0391" w:rsidRPr="00525987">
        <w:t>Graven</w:t>
      </w:r>
      <w:r w:rsidR="00525987">
        <w:t xml:space="preserve"> &amp; Stott</w:t>
      </w:r>
      <w:r w:rsidR="004E0391" w:rsidRPr="00525987">
        <w:t xml:space="preserve"> (2012) </w:t>
      </w:r>
      <w:r w:rsidR="004E0391" w:rsidRPr="00525987">
        <w:t>highlight the challenges in categori</w:t>
      </w:r>
      <w:r w:rsidR="004E0391" w:rsidRPr="00525987">
        <w:t>s</w:t>
      </w:r>
      <w:r w:rsidR="004E0391" w:rsidRPr="00525987">
        <w:t xml:space="preserve">ing learner responses, </w:t>
      </w:r>
      <w:r w:rsidR="00525987" w:rsidRPr="00525987">
        <w:t>indicating</w:t>
      </w:r>
      <w:r w:rsidR="004E0391" w:rsidRPr="00525987">
        <w:t xml:space="preserve"> that overlap of categorising learne</w:t>
      </w:r>
      <w:r w:rsidR="00525987" w:rsidRPr="00525987">
        <w:t xml:space="preserve">r </w:t>
      </w:r>
      <w:r w:rsidR="004E0391" w:rsidRPr="00525987">
        <w:t xml:space="preserve">responses as both procedural fluency and conceptual understanding resulted especially when considering the </w:t>
      </w:r>
      <w:r w:rsidR="00525987" w:rsidRPr="00525987">
        <w:t>measure</w:t>
      </w:r>
      <w:r w:rsidR="004E0391" w:rsidRPr="00525987">
        <w:t xml:space="preserve"> of flexibility and efficiency </w:t>
      </w:r>
      <w:r w:rsidR="00595217">
        <w:t>of</w:t>
      </w:r>
      <w:r w:rsidR="004E0391" w:rsidRPr="00525987">
        <w:t xml:space="preserve"> procedural fluency.</w:t>
      </w:r>
      <w:r w:rsidR="004E0391" w:rsidRPr="00525987">
        <w:t xml:space="preserve"> </w:t>
      </w:r>
      <w:r w:rsidR="004E0391" w:rsidRPr="00525987">
        <w:t xml:space="preserve">This </w:t>
      </w:r>
      <w:r w:rsidR="00525987" w:rsidRPr="00525987">
        <w:t>highlights</w:t>
      </w:r>
      <w:r w:rsidR="004E0391" w:rsidRPr="00525987">
        <w:t xml:space="preserve"> the importance of balancing procedural skills with reasoning </w:t>
      </w:r>
      <w:r w:rsidR="00525987" w:rsidRPr="00525987">
        <w:t>skills</w:t>
      </w:r>
      <w:r w:rsidR="004E0391" w:rsidRPr="00525987">
        <w:t xml:space="preserve"> to achieve mathematical proficiency.</w:t>
      </w:r>
    </w:p>
    <w:p w14:paraId="708E404B" w14:textId="29487EE9" w:rsidR="00525987" w:rsidRDefault="00525987">
      <w:pPr>
        <w:rPr>
          <w:highlight w:val="cyan"/>
        </w:rPr>
      </w:pPr>
      <w:r w:rsidRPr="00525987">
        <w:t>Furthermore, although there are programs for parental engagement, it is still uncertain whether they directly affect numeracy results.</w:t>
      </w:r>
      <w:r>
        <w:t xml:space="preserve"> Though Research supports the importance of home numeracy environments in early mathematical development, Jay et al., (2018) advise that </w:t>
      </w:r>
      <w:r w:rsidRPr="00525987">
        <w:t xml:space="preserve">parental involvement does not always result in higher attainment unless it includes </w:t>
      </w:r>
      <w:r>
        <w:t xml:space="preserve">specific </w:t>
      </w:r>
      <w:r w:rsidRPr="00525987">
        <w:t>structured math activities</w:t>
      </w:r>
      <w:r>
        <w:t xml:space="preserve">. </w:t>
      </w:r>
      <w:r w:rsidRPr="00525987">
        <w:t xml:space="preserve">This is supported by </w:t>
      </w:r>
      <w:proofErr w:type="spellStart"/>
      <w:r w:rsidRPr="00525987">
        <w:t>Missall</w:t>
      </w:r>
      <w:proofErr w:type="spellEnd"/>
      <w:r w:rsidRPr="00525987">
        <w:t xml:space="preserve"> et al. (2014), who found that formal activities like practising simple sums were positively associated with children's mathematical performance, </w:t>
      </w:r>
      <w:r>
        <w:t xml:space="preserve">and </w:t>
      </w:r>
      <w:r w:rsidRPr="00525987">
        <w:t>informal activities</w:t>
      </w:r>
      <w:r w:rsidR="00595217">
        <w:t xml:space="preserve"> </w:t>
      </w:r>
      <w:r w:rsidRPr="00525987">
        <w:lastRenderedPageBreak/>
        <w:t>like playing games involving numbers were not significantly associated with numeracy outcomes.</w:t>
      </w:r>
      <w:r>
        <w:t xml:space="preserve"> This suggests that specific structured math activities and interactions could support children in </w:t>
      </w:r>
      <w:r w:rsidRPr="00525987">
        <w:t>improving</w:t>
      </w:r>
      <w:r>
        <w:t xml:space="preserve"> their</w:t>
      </w:r>
      <w:r w:rsidRPr="00525987">
        <w:t xml:space="preserve"> early numeracy skills</w:t>
      </w:r>
      <w:r>
        <w:t xml:space="preserve">. </w:t>
      </w:r>
    </w:p>
    <w:p w14:paraId="1E4B7C18" w14:textId="2D190134" w:rsidR="00525987" w:rsidRPr="00525987" w:rsidRDefault="00525987">
      <w:pPr>
        <w:rPr>
          <w:highlight w:val="cyan"/>
        </w:rPr>
      </w:pPr>
      <w:r w:rsidRPr="00525987">
        <w:t xml:space="preserve">Maths ADDs sessions and collaboration with specialists could be evaluated </w:t>
      </w:r>
      <w:r>
        <w:t>s</w:t>
      </w:r>
      <w:r w:rsidRPr="00525987">
        <w:t>ince research has shown that one-time training sessions rarely result in</w:t>
      </w:r>
      <w:r>
        <w:t xml:space="preserve"> </w:t>
      </w:r>
      <w:r w:rsidRPr="00525987">
        <w:t>sustained pedagogical change</w:t>
      </w:r>
      <w:r>
        <w:t xml:space="preserve"> (Stoll et al., 2012), </w:t>
      </w:r>
      <w:r w:rsidRPr="00525987">
        <w:t>and continuous, instructional coaching is far more successful in improving teaching practice (</w:t>
      </w:r>
      <w:proofErr w:type="spellStart"/>
      <w:r w:rsidRPr="00525987">
        <w:t>Fardon</w:t>
      </w:r>
      <w:proofErr w:type="spellEnd"/>
      <w:r w:rsidRPr="00525987">
        <w:t>, 2019).</w:t>
      </w:r>
      <w:r>
        <w:t xml:space="preserve"> </w:t>
      </w:r>
    </w:p>
    <w:p w14:paraId="285F496E" w14:textId="77777777" w:rsidR="00D57F70" w:rsidRDefault="00D57F70"/>
    <w:p w14:paraId="6788067C" w14:textId="77777777" w:rsidR="00503BF4" w:rsidRPr="00595217" w:rsidRDefault="00503BF4" w:rsidP="00503BF4">
      <w:pPr>
        <w:rPr>
          <w:sz w:val="28"/>
          <w:szCs w:val="28"/>
        </w:rPr>
      </w:pPr>
      <w:r w:rsidRPr="00595217">
        <w:rPr>
          <w:sz w:val="28"/>
          <w:szCs w:val="28"/>
        </w:rPr>
        <w:t>Developing an Action Point: Strengthening Pedagogy in Mathematical Fluency</w:t>
      </w:r>
    </w:p>
    <w:p w14:paraId="50BC8C70" w14:textId="5CE44DC9" w:rsidR="00D57F70" w:rsidRDefault="00503BF4">
      <w:r w:rsidRPr="00503BF4">
        <w:t>Context of the Target</w:t>
      </w:r>
    </w:p>
    <w:p w14:paraId="557D1686" w14:textId="17479F6A" w:rsidR="00E25093" w:rsidRPr="00E25093" w:rsidRDefault="00503BF4">
      <w:pPr>
        <w:rPr>
          <w:highlight w:val="yellow"/>
        </w:rPr>
      </w:pPr>
      <w:r w:rsidRPr="00525987">
        <w:t>The Strategic Development Plan (SDP) target to develop pedagogy in mathematics and enhance pupils’ fluency skills aligns with the school’s</w:t>
      </w:r>
      <w:r w:rsidR="00525987">
        <w:t xml:space="preserve"> </w:t>
      </w:r>
      <w:r w:rsidRPr="00525987">
        <w:t xml:space="preserve">commitment to raising standards in numeracy and closing attainment gaps. The need for targeted intervention is </w:t>
      </w:r>
      <w:r w:rsidR="00D9630D" w:rsidRPr="00525987">
        <w:t>highlighted</w:t>
      </w:r>
      <w:r w:rsidRPr="00525987">
        <w:t xml:space="preserve"> by the school's data, which </w:t>
      </w:r>
      <w:r w:rsidR="00525987" w:rsidRPr="00525987">
        <w:t>shows</w:t>
      </w:r>
      <w:r w:rsidRPr="00525987">
        <w:t xml:space="preserve"> that, while some year groups perform above the national </w:t>
      </w:r>
      <w:r w:rsidR="00D9630D" w:rsidRPr="00525987">
        <w:t>average</w:t>
      </w:r>
      <w:r w:rsidRPr="00525987">
        <w:t xml:space="preserve">, </w:t>
      </w:r>
      <w:r w:rsidR="00525987" w:rsidRPr="00525987">
        <w:t xml:space="preserve">the school states that </w:t>
      </w:r>
      <w:r w:rsidRPr="00525987">
        <w:t>overall attainment in procedural and reasoning mathematics remains slightly below the national averag</w:t>
      </w:r>
      <w:r w:rsidR="00525987" w:rsidRPr="00525987">
        <w:t xml:space="preserve">e. </w:t>
      </w:r>
      <w:r w:rsidR="00D9630D" w:rsidRPr="00525987">
        <w:t xml:space="preserve">This </w:t>
      </w:r>
      <w:r w:rsidR="00525987" w:rsidRPr="00525987">
        <w:t>commitment</w:t>
      </w:r>
      <w:r w:rsidR="00D9630D" w:rsidRPr="00525987">
        <w:t xml:space="preserve"> reflects national policy, particularly the Welsh Government’s Curriculum for Wales which emphasises the development of fluency, reasoning, and problem-solving skills </w:t>
      </w:r>
      <w:r w:rsidR="00525987" w:rsidRPr="00525987">
        <w:t>important for</w:t>
      </w:r>
      <w:r w:rsidR="00D9630D" w:rsidRPr="00525987">
        <w:t xml:space="preserve"> mathematical competence</w:t>
      </w:r>
      <w:r w:rsidR="00896FFF" w:rsidRPr="00525987">
        <w:t xml:space="preserve"> and </w:t>
      </w:r>
      <w:r w:rsidR="00896FFF" w:rsidRPr="00525987">
        <w:t>progress in all areas of learning and experience</w:t>
      </w:r>
      <w:r w:rsidR="00896FFF" w:rsidRPr="00525987">
        <w:t xml:space="preserve"> (Welsh Government, 202</w:t>
      </w:r>
      <w:r w:rsidR="00525987" w:rsidRPr="00525987">
        <w:t>0</w:t>
      </w:r>
      <w:r w:rsidR="00896FFF" w:rsidRPr="00525987">
        <w:t>)</w:t>
      </w:r>
      <w:r w:rsidR="00D9630D" w:rsidRPr="00525987">
        <w:t>.</w:t>
      </w:r>
    </w:p>
    <w:p w14:paraId="6304B28E" w14:textId="3080F0C9" w:rsidR="00E25093" w:rsidRDefault="00525987">
      <w:r w:rsidRPr="00525987">
        <w:t xml:space="preserve">Although </w:t>
      </w:r>
      <w:proofErr w:type="gramStart"/>
      <w:r w:rsidRPr="00525987">
        <w:t>It</w:t>
      </w:r>
      <w:proofErr w:type="gramEnd"/>
      <w:r w:rsidRPr="00525987">
        <w:t xml:space="preserve"> could be argued that </w:t>
      </w:r>
      <w:r w:rsidR="00595217">
        <w:t xml:space="preserve">a </w:t>
      </w:r>
      <w:r w:rsidRPr="00525987">
        <w:t>lack of exposure to numeracy-rich environments at home prevents disadvantaged pupils, such as those from low socioeconomic backgrounds, from developing mathematics fluency</w:t>
      </w:r>
      <w:r w:rsidRPr="00525987">
        <w:t xml:space="preserve"> </w:t>
      </w:r>
      <w:r w:rsidR="00B50DAA" w:rsidRPr="00525987">
        <w:t>(</w:t>
      </w:r>
      <w:r w:rsidRPr="00525987">
        <w:t xml:space="preserve">Silver &amp; </w:t>
      </w:r>
      <w:proofErr w:type="spellStart"/>
      <w:r w:rsidRPr="00525987">
        <w:t>Libertus</w:t>
      </w:r>
      <w:proofErr w:type="spellEnd"/>
      <w:r w:rsidRPr="00525987">
        <w:t>, 2022</w:t>
      </w:r>
      <w:r w:rsidR="00B50DAA" w:rsidRPr="00525987">
        <w:t>).</w:t>
      </w:r>
      <w:r w:rsidR="00B50DAA" w:rsidRPr="00525987">
        <w:t xml:space="preserve"> Research by Merkley et al., (2023) </w:t>
      </w:r>
      <w:r w:rsidRPr="00525987">
        <w:t>states</w:t>
      </w:r>
      <w:r w:rsidR="00B50DAA" w:rsidRPr="00525987">
        <w:t xml:space="preserve"> that </w:t>
      </w:r>
      <w:r>
        <w:t>t</w:t>
      </w:r>
      <w:r w:rsidRPr="00525987">
        <w:t>he accessibility of resources in the home environment, such as books and toys, and the frequency of home learning activities were not significantly associated with children's mathematics knowledge</w:t>
      </w:r>
    </w:p>
    <w:p w14:paraId="184BA0E5" w14:textId="77777777" w:rsidR="00B50DAA" w:rsidRPr="00B50DAA" w:rsidRDefault="00B50DAA" w:rsidP="00B50DAA">
      <w:r w:rsidRPr="00B50DAA">
        <w:t>Implementation of the Target</w:t>
      </w:r>
    </w:p>
    <w:p w14:paraId="10E98811" w14:textId="256381EC" w:rsidR="00E25093" w:rsidRPr="00525987" w:rsidRDefault="00525987">
      <w:pPr>
        <w:rPr>
          <w:color w:val="FF0000"/>
        </w:rPr>
      </w:pPr>
      <w:r w:rsidRPr="00525987">
        <w:t>The school used a variety of strategies to address these challenges, such as focused professional development, parental engagement initiatives, and thorough self-evaluation</w:t>
      </w:r>
      <w:r>
        <w:t>.</w:t>
      </w:r>
      <w:r w:rsidRPr="00525987">
        <w:t xml:space="preserve"> </w:t>
      </w:r>
      <w:r w:rsidRPr="00525987">
        <w:t>Analysing national test data to identify weaknesses across year groups is an important aspect of this approach, which enabled teachers to develop effective interventions. According to research, data-driven instruction can improve pupil outcomes when combined with responsive teaching strategies that target particular learning gaps, and data-based decision-making could increase pupil learning and achievement (</w:t>
      </w:r>
      <w:proofErr w:type="spellStart"/>
      <w:r w:rsidRPr="00525987">
        <w:t>Schildkamp</w:t>
      </w:r>
      <w:proofErr w:type="spellEnd"/>
      <w:r w:rsidRPr="00525987">
        <w:t>, 2019).</w:t>
      </w:r>
      <w:r w:rsidRPr="00525987">
        <w:t xml:space="preserve"> </w:t>
      </w:r>
      <w:proofErr w:type="spellStart"/>
      <w:r w:rsidRPr="00525987">
        <w:rPr>
          <w:color w:val="000000" w:themeColor="text1"/>
        </w:rPr>
        <w:t>Sepeng</w:t>
      </w:r>
      <w:proofErr w:type="spellEnd"/>
      <w:r w:rsidRPr="00525987">
        <w:rPr>
          <w:color w:val="000000" w:themeColor="text1"/>
        </w:rPr>
        <w:t xml:space="preserve"> and </w:t>
      </w:r>
      <w:proofErr w:type="spellStart"/>
      <w:r w:rsidRPr="00525987">
        <w:rPr>
          <w:color w:val="000000" w:themeColor="text1"/>
        </w:rPr>
        <w:t>Moleko</w:t>
      </w:r>
      <w:proofErr w:type="spellEnd"/>
      <w:r w:rsidRPr="00525987">
        <w:rPr>
          <w:color w:val="000000" w:themeColor="text1"/>
        </w:rPr>
        <w:t xml:space="preserve"> provide evidence </w:t>
      </w:r>
      <w:r w:rsidRPr="00525987">
        <w:rPr>
          <w:color w:val="000000" w:themeColor="text1"/>
        </w:rPr>
        <w:t>that d</w:t>
      </w:r>
      <w:r w:rsidRPr="00525987">
        <w:rPr>
          <w:color w:val="000000" w:themeColor="text1"/>
        </w:rPr>
        <w:t xml:space="preserve">ata-driven approaches can greatly improve individual learning and support educators </w:t>
      </w:r>
      <w:r w:rsidRPr="00525987">
        <w:rPr>
          <w:color w:val="000000" w:themeColor="text1"/>
        </w:rPr>
        <w:lastRenderedPageBreak/>
        <w:t>in making timely pedagogical decisions</w:t>
      </w:r>
      <w:r w:rsidRPr="00525987">
        <w:rPr>
          <w:color w:val="000000" w:themeColor="text1"/>
        </w:rPr>
        <w:t xml:space="preserve">. </w:t>
      </w:r>
      <w:r w:rsidRPr="00525987">
        <w:rPr>
          <w:color w:val="000000" w:themeColor="text1"/>
        </w:rPr>
        <w:t xml:space="preserve">They </w:t>
      </w:r>
      <w:r w:rsidRPr="00525987">
        <w:rPr>
          <w:color w:val="000000" w:themeColor="text1"/>
        </w:rPr>
        <w:t>stress</w:t>
      </w:r>
      <w:r w:rsidRPr="00525987">
        <w:rPr>
          <w:color w:val="000000" w:themeColor="text1"/>
        </w:rPr>
        <w:t xml:space="preserve"> that the success of these interventions relies on </w:t>
      </w:r>
      <w:r w:rsidRPr="00525987">
        <w:rPr>
          <w:color w:val="000000" w:themeColor="text1"/>
        </w:rPr>
        <w:t>thorough</w:t>
      </w:r>
      <w:r w:rsidRPr="00525987">
        <w:rPr>
          <w:color w:val="000000" w:themeColor="text1"/>
        </w:rPr>
        <w:t xml:space="preserve"> training, stakeholder</w:t>
      </w:r>
      <w:r w:rsidRPr="00525987">
        <w:rPr>
          <w:color w:val="000000" w:themeColor="text1"/>
        </w:rPr>
        <w:t xml:space="preserve"> support</w:t>
      </w:r>
      <w:r w:rsidRPr="00525987">
        <w:rPr>
          <w:color w:val="000000" w:themeColor="text1"/>
        </w:rPr>
        <w:t xml:space="preserve"> and continuous improvement</w:t>
      </w:r>
      <w:r w:rsidRPr="00525987">
        <w:rPr>
          <w:color w:val="000000" w:themeColor="text1"/>
        </w:rPr>
        <w:t xml:space="preserve"> (</w:t>
      </w:r>
      <w:proofErr w:type="spellStart"/>
      <w:r w:rsidRPr="00525987">
        <w:rPr>
          <w:color w:val="000000" w:themeColor="text1"/>
        </w:rPr>
        <w:t>Sepeng</w:t>
      </w:r>
      <w:proofErr w:type="spellEnd"/>
      <w:r w:rsidRPr="00525987">
        <w:rPr>
          <w:color w:val="000000" w:themeColor="text1"/>
        </w:rPr>
        <w:t xml:space="preserve"> &amp; </w:t>
      </w:r>
      <w:proofErr w:type="spellStart"/>
      <w:r w:rsidRPr="00525987">
        <w:rPr>
          <w:color w:val="000000" w:themeColor="text1"/>
        </w:rPr>
        <w:t>Moleko</w:t>
      </w:r>
      <w:proofErr w:type="spellEnd"/>
      <w:r w:rsidRPr="00525987">
        <w:rPr>
          <w:color w:val="000000" w:themeColor="text1"/>
        </w:rPr>
        <w:t>, 2024)</w:t>
      </w:r>
      <w:r w:rsidRPr="00525987">
        <w:rPr>
          <w:color w:val="000000" w:themeColor="text1"/>
        </w:rPr>
        <w:t>.</w:t>
      </w:r>
    </w:p>
    <w:p w14:paraId="45CDEB09" w14:textId="77777777" w:rsidR="00525987" w:rsidRDefault="00525987" w:rsidP="00525987">
      <w:r w:rsidRPr="00525987">
        <w:t xml:space="preserve">The introduction of a financial education initiative for Year 5/6 students </w:t>
      </w:r>
      <w:r w:rsidRPr="00525987">
        <w:t>is</w:t>
      </w:r>
      <w:r w:rsidRPr="00525987">
        <w:t xml:space="preserve"> another strategic approach</w:t>
      </w:r>
      <w:r w:rsidRPr="00525987">
        <w:t xml:space="preserve"> the school has adopted</w:t>
      </w:r>
      <w:r w:rsidRPr="00525987">
        <w:t xml:space="preserve"> to improv</w:t>
      </w:r>
      <w:r w:rsidRPr="00525987">
        <w:t>e</w:t>
      </w:r>
      <w:r w:rsidRPr="00525987">
        <w:t xml:space="preserve"> mathematical fluency by </w:t>
      </w:r>
      <w:r w:rsidRPr="00525987">
        <w:t>using</w:t>
      </w:r>
      <w:r w:rsidRPr="00525987">
        <w:t xml:space="preserve"> </w:t>
      </w:r>
      <w:r w:rsidRPr="00525987">
        <w:t>real</w:t>
      </w:r>
      <w:r>
        <w:t xml:space="preserve"> </w:t>
      </w:r>
      <w:r w:rsidRPr="00525987">
        <w:t>life authentic contexts</w:t>
      </w:r>
      <w:r w:rsidRPr="00525987">
        <w:t xml:space="preserve"> in learning. The OECD (2023) emphasises the importance of contextualised numeracy in education, arguing when mathematical skills are applied to real-world financial </w:t>
      </w:r>
      <w:r>
        <w:t>contexts</w:t>
      </w:r>
      <w:r w:rsidRPr="00525987">
        <w:t xml:space="preserve"> </w:t>
      </w:r>
      <w:r w:rsidRPr="00525987">
        <w:t xml:space="preserve">pupils gain a deeper and adaptable understanding of numeracy principles </w:t>
      </w:r>
      <w:r w:rsidRPr="00525987">
        <w:t>(OECD, 2024)</w:t>
      </w:r>
      <w:r w:rsidRPr="00525987">
        <w:t>. However, research shows that fluency development requires consistent, targeted practice beyond standalone interventions, even though the initiative is a good step towards making mathematics more meaningful</w:t>
      </w:r>
      <w:r>
        <w:t xml:space="preserve"> </w:t>
      </w:r>
      <w:r w:rsidRPr="00525987">
        <w:t>(</w:t>
      </w:r>
      <w:r w:rsidRPr="00525987">
        <w:t xml:space="preserve">Owen, 2020). Owen’s (2020) research </w:t>
      </w:r>
      <w:r w:rsidRPr="00525987">
        <w:t>emphasi</w:t>
      </w:r>
      <w:r w:rsidRPr="00525987">
        <w:t>s</w:t>
      </w:r>
      <w:r w:rsidRPr="00525987">
        <w:t xml:space="preserve">es that achieving mathematical fluency requires more than just one off intervention it depends on consistent, purposeful practice. </w:t>
      </w:r>
    </w:p>
    <w:p w14:paraId="2D50B6B8" w14:textId="55AC15D2" w:rsidR="00525987" w:rsidRDefault="00525987" w:rsidP="00525987">
      <w:r w:rsidRPr="00525987">
        <w:t>Impact Measurement</w:t>
      </w:r>
    </w:p>
    <w:p w14:paraId="4E8C5AAB" w14:textId="65C857EF" w:rsidR="00525987" w:rsidRDefault="00525987" w:rsidP="00525987">
      <w:r w:rsidRPr="00525987">
        <w:t xml:space="preserve">A mix of quantitative and qualitative assessment strategies, such as pupil performance data, listening-to-learners activities and parental feedback, are used to evaluate the success of these initiatives. The use of mixed-method evaluation is supported in educational research, </w:t>
      </w:r>
      <w:r w:rsidRPr="00525987">
        <w:t>b</w:t>
      </w:r>
      <w:r w:rsidRPr="00525987">
        <w:t xml:space="preserve">ecause it offers a deeper understanding of impact, </w:t>
      </w:r>
      <w:r w:rsidRPr="00525987">
        <w:t xml:space="preserve">(Shrestha &amp; Giri, 2021). </w:t>
      </w:r>
      <w:r w:rsidRPr="00525987">
        <w:t>However, while the school effectively tracks short-term progress, research suggests</w:t>
      </w:r>
      <w:r w:rsidRPr="00525987">
        <w:t xml:space="preserve"> </w:t>
      </w:r>
      <w:r w:rsidRPr="00525987">
        <w:t xml:space="preserve">that fluency increases gradually over time </w:t>
      </w:r>
      <w:r w:rsidRPr="00525987">
        <w:t>therefore,</w:t>
      </w:r>
      <w:r w:rsidRPr="00525987">
        <w:t xml:space="preserve"> longitudinal analysis is essential to achieve meaningful improvements in mathematical fluency (Department for </w:t>
      </w:r>
      <w:r>
        <w:t>E</w:t>
      </w:r>
      <w:r w:rsidRPr="00525987">
        <w:t>ducation, 2017).</w:t>
      </w:r>
    </w:p>
    <w:p w14:paraId="51C7EFB4" w14:textId="77777777" w:rsidR="00525987" w:rsidRDefault="00525987" w:rsidP="00525987"/>
    <w:p w14:paraId="03CB9CEE" w14:textId="29CB52D0" w:rsidR="00525987" w:rsidRPr="00595217" w:rsidRDefault="00525987" w:rsidP="00525987">
      <w:r w:rsidRPr="00595217">
        <w:t>Critical Analysis of the Approach</w:t>
      </w:r>
    </w:p>
    <w:p w14:paraId="132665FA" w14:textId="70042499" w:rsidR="00525987" w:rsidRPr="00E14C93" w:rsidRDefault="00525987" w:rsidP="00525987">
      <w:r w:rsidRPr="00525987">
        <w:t xml:space="preserve">Critically evaluating the school’s approach </w:t>
      </w:r>
      <w:r w:rsidRPr="00525987">
        <w:t>shows</w:t>
      </w:r>
      <w:r w:rsidRPr="00525987">
        <w:t xml:space="preserve"> both strengths and areas for </w:t>
      </w:r>
      <w:r w:rsidRPr="00525987">
        <w:t>improvement</w:t>
      </w:r>
      <w:r w:rsidRPr="00525987">
        <w:t>. The focus on data-informed teaching, professional development, and parental engagement aligns with best practice</w:t>
      </w:r>
      <w:r w:rsidRPr="00525987">
        <w:t>s</w:t>
      </w:r>
      <w:r w:rsidRPr="00525987">
        <w:t xml:space="preserve"> in mathematics education</w:t>
      </w:r>
      <w:r w:rsidRPr="00525987">
        <w:t xml:space="preserve"> (Welsh Government, 2022)</w:t>
      </w:r>
      <w:r w:rsidRPr="00525987">
        <w:t>.</w:t>
      </w:r>
      <w:r w:rsidR="00E14C93">
        <w:t xml:space="preserve"> But </w:t>
      </w:r>
      <w:r w:rsidRPr="00525987">
        <w:t xml:space="preserve">to ensure </w:t>
      </w:r>
      <w:r w:rsidR="00E14C93">
        <w:t xml:space="preserve">a </w:t>
      </w:r>
      <w:r w:rsidRPr="00525987">
        <w:t xml:space="preserve">long-lasting impact, continuous professional development needs to be included in a long-term plan (Stoll et al., 2012). </w:t>
      </w:r>
      <w:r w:rsidRPr="00595217">
        <w:t xml:space="preserve">When parental engagement strategies are </w:t>
      </w:r>
      <w:r w:rsidR="00595217" w:rsidRPr="00595217">
        <w:t>applied</w:t>
      </w:r>
      <w:r w:rsidRPr="00595217">
        <w:t xml:space="preserve"> successfully</w:t>
      </w:r>
      <w:r w:rsidR="00595217" w:rsidRPr="00595217">
        <w:t>,</w:t>
      </w:r>
      <w:r w:rsidRPr="00595217">
        <w:t xml:space="preserve"> the Education Endowment Foundation (2023) state</w:t>
      </w:r>
      <w:r w:rsidR="00595217" w:rsidRPr="00595217">
        <w:t>s</w:t>
      </w:r>
      <w:r w:rsidRPr="00595217">
        <w:t xml:space="preserve"> that on average it </w:t>
      </w:r>
      <w:r w:rsidR="00595217" w:rsidRPr="00595217">
        <w:t xml:space="preserve">can, on average, lead to five more months of progress over the course of a year. </w:t>
      </w:r>
      <w:r w:rsidR="00595217">
        <w:t>T</w:t>
      </w:r>
      <w:r w:rsidR="00595217" w:rsidRPr="00595217">
        <w:t>hough parental engagement is positive, it requires targeted support to be successful (Goodall et al., 2010Furthermore, to avoid rote learning and improve conceptual understanding, fluency practice needs to be meaningfully incorporated into broader mathematical reasoning tasks (Department for Education, 2021).</w:t>
      </w:r>
      <w:r w:rsidR="00595217">
        <w:t xml:space="preserve"> </w:t>
      </w:r>
      <w:r w:rsidR="00595217" w:rsidRPr="00595217">
        <w:t>Addressing these gaps could support in achieving long-term progress. </w:t>
      </w:r>
    </w:p>
    <w:p w14:paraId="57926399" w14:textId="267F01CC" w:rsidR="00525987" w:rsidRDefault="00525987" w:rsidP="00525987">
      <w:r>
        <w:lastRenderedPageBreak/>
        <w:t xml:space="preserve">Area for improvement </w:t>
      </w:r>
    </w:p>
    <w:p w14:paraId="322ECD52" w14:textId="5DA22A35" w:rsidR="00525987" w:rsidRDefault="00595217" w:rsidP="00525987">
      <w:pPr>
        <w:rPr>
          <w:color w:val="FF0000"/>
        </w:rPr>
      </w:pPr>
      <w:r w:rsidRPr="00595217">
        <w:t xml:space="preserve">According to </w:t>
      </w:r>
      <w:proofErr w:type="spellStart"/>
      <w:r w:rsidRPr="00595217">
        <w:t>Teachwire</w:t>
      </w:r>
      <w:proofErr w:type="spellEnd"/>
      <w:r w:rsidRPr="00595217">
        <w:t xml:space="preserve"> (2025), to increase long-term impact, the school could use a structured coaching model for teacher development, such as peer coaching, in which teachers mentor one another within the school to encourage mutual respect and cooperation and share the experience of professional development.</w:t>
      </w:r>
      <w:r>
        <w:t xml:space="preserve"> </w:t>
      </w:r>
      <w:r w:rsidRPr="00595217">
        <w:t>In contrast to traditional, one-size-fits-all training approaches, the use of coaching models in education can support providing a targeted and positive form of professional development (</w:t>
      </w:r>
      <w:proofErr w:type="spellStart"/>
      <w:r w:rsidRPr="00595217">
        <w:t>Teachwire</w:t>
      </w:r>
      <w:proofErr w:type="spellEnd"/>
      <w:r w:rsidRPr="00595217">
        <w:t>, 2025).</w:t>
      </w:r>
    </w:p>
    <w:p w14:paraId="1B687FA5" w14:textId="77777777" w:rsidR="00595217" w:rsidRPr="00595217" w:rsidRDefault="00595217" w:rsidP="00525987">
      <w:pPr>
        <w:rPr>
          <w:color w:val="FF0000"/>
        </w:rPr>
      </w:pPr>
    </w:p>
    <w:p w14:paraId="130F9B01" w14:textId="0D1B2124" w:rsidR="00525987" w:rsidRPr="00595217" w:rsidRDefault="00525987" w:rsidP="00525987">
      <w:pPr>
        <w:rPr>
          <w:sz w:val="28"/>
          <w:szCs w:val="28"/>
        </w:rPr>
      </w:pPr>
      <w:r w:rsidRPr="00595217">
        <w:rPr>
          <w:sz w:val="28"/>
          <w:szCs w:val="28"/>
        </w:rPr>
        <w:t>Reflection and Evaluation</w:t>
      </w:r>
    </w:p>
    <w:p w14:paraId="559D5091" w14:textId="1E642D22" w:rsidR="00525987" w:rsidRPr="00525987" w:rsidRDefault="00525987" w:rsidP="00525987">
      <w:r w:rsidRPr="00525987">
        <w:t xml:space="preserve">Reflecting on my practice, I </w:t>
      </w:r>
      <w:r w:rsidRPr="00525987">
        <w:t xml:space="preserve">incorporated </w:t>
      </w:r>
      <w:r>
        <w:t>several</w:t>
      </w:r>
      <w:r w:rsidRPr="00525987">
        <w:t xml:space="preserve"> strategies </w:t>
      </w:r>
      <w:r>
        <w:t xml:space="preserve">in a mathematics lesson </w:t>
      </w:r>
      <w:r w:rsidRPr="00525987">
        <w:t>which aimed to</w:t>
      </w:r>
      <w:r w:rsidRPr="00525987">
        <w:t xml:space="preserve"> </w:t>
      </w:r>
      <w:r w:rsidRPr="00525987">
        <w:t>improve</w:t>
      </w:r>
      <w:r w:rsidRPr="00525987">
        <w:t xml:space="preserve"> mathematical fluency</w:t>
      </w:r>
      <w:r w:rsidRPr="00525987">
        <w:t xml:space="preserve">. </w:t>
      </w:r>
      <w:r w:rsidRPr="00525987">
        <w:t xml:space="preserve">Through </w:t>
      </w:r>
      <w:r w:rsidRPr="00525987">
        <w:t>step</w:t>
      </w:r>
      <w:r>
        <w:t>-by-step</w:t>
      </w:r>
      <w:r w:rsidRPr="00525987">
        <w:t> modelling of the column method, clear guidance was used to increase fluency by emphasising procedural accuracy. Research emphasises that explicit teaching of strategies is highly effective in mathematics</w:t>
      </w:r>
      <w:r w:rsidRPr="00525987">
        <w:t>, it</w:t>
      </w:r>
      <w:r w:rsidRPr="00525987">
        <w:t xml:space="preserve"> gives teachers strategies to assist them in creating and delivering instructions for pupils in a meaningful way</w:t>
      </w:r>
      <w:r>
        <w:t xml:space="preserve"> (Mathematics Hub, 2024). </w:t>
      </w:r>
    </w:p>
    <w:p w14:paraId="601951A7" w14:textId="0D0A5909" w:rsidR="00525987" w:rsidRPr="00525987" w:rsidRDefault="00525987" w:rsidP="00525987">
      <w:pPr>
        <w:rPr>
          <w:highlight w:val="yellow"/>
        </w:rPr>
      </w:pPr>
      <w:r w:rsidRPr="00525987">
        <w:t>Differentiation ensured all pupils engaged at an appropriate level, with tasks suit</w:t>
      </w:r>
      <w:r w:rsidRPr="00525987">
        <w:t xml:space="preserve">ed to </w:t>
      </w:r>
      <w:r w:rsidRPr="00525987">
        <w:t xml:space="preserve">different abilities. </w:t>
      </w:r>
      <w:r w:rsidRPr="00525987">
        <w:t>D</w:t>
      </w:r>
      <w:r w:rsidRPr="00525987">
        <w:t xml:space="preserve">ifferentiated </w:t>
      </w:r>
      <w:r w:rsidRPr="00525987">
        <w:t xml:space="preserve">tasks </w:t>
      </w:r>
      <w:r w:rsidRPr="00525987">
        <w:t>support</w:t>
      </w:r>
      <w:r w:rsidRPr="00525987">
        <w:t xml:space="preserve"> different</w:t>
      </w:r>
      <w:r w:rsidRPr="00525987">
        <w:t xml:space="preserve"> learning needs, </w:t>
      </w:r>
      <w:r w:rsidRPr="00525987">
        <w:t>which prevents</w:t>
      </w:r>
      <w:r w:rsidRPr="00525987">
        <w:t xml:space="preserve"> </w:t>
      </w:r>
      <w:r w:rsidRPr="00525987">
        <w:t xml:space="preserve">pupils from becoming disengaged, </w:t>
      </w:r>
      <w:r w:rsidRPr="00525987">
        <w:t>teachers can meet the needs of each pupil and help them in meeting and exceed the set standards by using differentiated instructional strategies</w:t>
      </w:r>
      <w:r>
        <w:t xml:space="preserve"> (Gentry et al., 2013)</w:t>
      </w:r>
      <w:r w:rsidRPr="00525987">
        <w:t>.</w:t>
      </w:r>
    </w:p>
    <w:p w14:paraId="793DB73E" w14:textId="2A569349" w:rsidR="00525987" w:rsidRPr="00525987" w:rsidRDefault="00525987" w:rsidP="00525987">
      <w:pPr>
        <w:rPr>
          <w:highlight w:val="yellow"/>
        </w:rPr>
      </w:pPr>
      <w:r w:rsidRPr="00525987">
        <w:t xml:space="preserve">Retrieval practice was </w:t>
      </w:r>
      <w:r>
        <w:t>included in the mathematics lesson</w:t>
      </w:r>
      <w:r w:rsidRPr="00525987">
        <w:t xml:space="preserve"> through The Last Child Standing game, strengthening pupils’ recall of multiplication facts. Research suggests that </w:t>
      </w:r>
      <w:r>
        <w:t>r</w:t>
      </w:r>
      <w:r w:rsidRPr="00525987">
        <w:t xml:space="preserve">etrieval of previously studied subjects can improve long-term retention, </w:t>
      </w:r>
      <w:r>
        <w:t>encouraging</w:t>
      </w:r>
      <w:r w:rsidRPr="00525987">
        <w:t xml:space="preserve"> pupil learning in the classroom and reducing memory limitations</w:t>
      </w:r>
      <w:r>
        <w:t xml:space="preserve"> (</w:t>
      </w:r>
      <w:proofErr w:type="spellStart"/>
      <w:r>
        <w:t>Pastotter</w:t>
      </w:r>
      <w:proofErr w:type="spellEnd"/>
      <w:r>
        <w:t xml:space="preserve"> &amp; </w:t>
      </w:r>
      <w:proofErr w:type="spellStart"/>
      <w:r>
        <w:t>Bauml</w:t>
      </w:r>
      <w:proofErr w:type="spellEnd"/>
      <w:r>
        <w:t>, 2014)</w:t>
      </w:r>
      <w:r w:rsidRPr="00525987">
        <w:t>.</w:t>
      </w:r>
    </w:p>
    <w:p w14:paraId="28387AA4" w14:textId="2BF5B689" w:rsidR="00525987" w:rsidRPr="00525987" w:rsidRDefault="00525987" w:rsidP="00525987">
      <w:pPr>
        <w:rPr>
          <w:highlight w:val="cyan"/>
        </w:rPr>
      </w:pPr>
      <w:r w:rsidRPr="00525987">
        <w:t>Interactive activities, such as The Code</w:t>
      </w:r>
      <w:r>
        <w:t>b</w:t>
      </w:r>
      <w:r w:rsidRPr="00525987">
        <w:t xml:space="preserve">reaker </w:t>
      </w:r>
      <w:r w:rsidRPr="00525987">
        <w:t>e</w:t>
      </w:r>
      <w:r w:rsidRPr="00525987">
        <w:t>xtension</w:t>
      </w:r>
      <w:r w:rsidRPr="00525987">
        <w:t xml:space="preserve"> task</w:t>
      </w:r>
      <w:r w:rsidRPr="00525987">
        <w:t xml:space="preserve">, engaged pupils in meaningful problem-solving, </w:t>
      </w:r>
      <w:r w:rsidRPr="00525987">
        <w:t>encouraging</w:t>
      </w:r>
      <w:r w:rsidRPr="00525987">
        <w:t xml:space="preserve"> motivation</w:t>
      </w:r>
      <w:r>
        <w:t xml:space="preserve">. </w:t>
      </w:r>
      <w:r w:rsidRPr="00525987">
        <w:t>Children learn mathematics more effectively when they participate in appropriate, cognitively challenging tasks that encourage their curiosity, critical thinking, and problem-solving skill</w:t>
      </w:r>
      <w:r>
        <w:t xml:space="preserve">s </w:t>
      </w:r>
      <w:r w:rsidRPr="00525987">
        <w:t>(E</w:t>
      </w:r>
      <w:r>
        <w:t xml:space="preserve">ducation </w:t>
      </w:r>
      <w:r w:rsidRPr="00525987">
        <w:t>E</w:t>
      </w:r>
      <w:r>
        <w:t xml:space="preserve">ndowment </w:t>
      </w:r>
      <w:r w:rsidRPr="00525987">
        <w:t>F</w:t>
      </w:r>
      <w:r>
        <w:t>oundation</w:t>
      </w:r>
      <w:r w:rsidRPr="00525987">
        <w:t>, 2025)</w:t>
      </w:r>
      <w:r>
        <w:t xml:space="preserve">. </w:t>
      </w:r>
      <w:r w:rsidRPr="00525987">
        <w:t>This aligns with the</w:t>
      </w:r>
      <w:r w:rsidRPr="00525987">
        <w:t xml:space="preserve"> Codebreaker activity, according to Borthwick &amp; Kiddle (2018) it gives the children the opportunity to be curious, collaborative resilient and to think critically</w:t>
      </w:r>
      <w:r w:rsidRPr="00525987">
        <w:t>.</w:t>
      </w:r>
    </w:p>
    <w:p w14:paraId="2385720C" w14:textId="2E8ADAE1" w:rsidR="00525987" w:rsidRPr="00525987" w:rsidRDefault="00525987" w:rsidP="00525987">
      <w:r w:rsidRPr="00525987">
        <w:t>Recommendations</w:t>
      </w:r>
    </w:p>
    <w:p w14:paraId="2F8F0E33" w14:textId="47F3E1EF" w:rsidR="00525987" w:rsidRPr="00525987" w:rsidRDefault="00525987" w:rsidP="00525987">
      <w:r w:rsidRPr="00525987">
        <w:lastRenderedPageBreak/>
        <w:t>G</w:t>
      </w:r>
      <w:r w:rsidRPr="00525987">
        <w:t xml:space="preserve">reater use of collaborative learning strategies </w:t>
      </w:r>
      <w:r w:rsidRPr="00525987">
        <w:t>could further</w:t>
      </w:r>
      <w:r w:rsidRPr="00525987">
        <w:t xml:space="preserve"> be </w:t>
      </w:r>
      <w:r w:rsidRPr="00525987">
        <w:t>incorporated in</w:t>
      </w:r>
      <w:r w:rsidRPr="00525987">
        <w:t xml:space="preserve"> the </w:t>
      </w:r>
      <w:r w:rsidRPr="00525987">
        <w:t>classroom</w:t>
      </w:r>
      <w:r w:rsidRPr="00525987">
        <w:t xml:space="preserve">, </w:t>
      </w:r>
      <w:r>
        <w:t>a</w:t>
      </w:r>
      <w:r w:rsidRPr="00525987">
        <w:t>ccording to research, it gives pupils the chance to improve their problem-solving skills considerably more than they could on their own.</w:t>
      </w:r>
      <w:r w:rsidRPr="00525987">
        <w:t xml:space="preserve"> (</w:t>
      </w:r>
      <w:proofErr w:type="spellStart"/>
      <w:r w:rsidRPr="00525987">
        <w:t>Warsah</w:t>
      </w:r>
      <w:proofErr w:type="spellEnd"/>
      <w:r w:rsidRPr="00525987">
        <w:t xml:space="preserve"> </w:t>
      </w:r>
      <w:r>
        <w:t xml:space="preserve">&amp; </w:t>
      </w:r>
      <w:proofErr w:type="spellStart"/>
      <w:r>
        <w:t>Morganna</w:t>
      </w:r>
      <w:proofErr w:type="spellEnd"/>
      <w:r>
        <w:t xml:space="preserve">, </w:t>
      </w:r>
      <w:r w:rsidRPr="00525987">
        <w:t xml:space="preserve">2021). </w:t>
      </w:r>
      <w:r w:rsidRPr="00525987">
        <w:t>Digital resources for group problem-solving could also improve participation, especially for pupils who learn best through interactive methods</w:t>
      </w:r>
      <w:r w:rsidRPr="00525987">
        <w:t xml:space="preserve"> (</w:t>
      </w:r>
      <w:proofErr w:type="spellStart"/>
      <w:r w:rsidRPr="00525987">
        <w:t>Cherbonnier</w:t>
      </w:r>
      <w:proofErr w:type="spellEnd"/>
      <w:r w:rsidRPr="00525987">
        <w:t xml:space="preserve"> et al., 2023).</w:t>
      </w:r>
    </w:p>
    <w:p w14:paraId="79406035" w14:textId="7EB25DD5" w:rsidR="00525987" w:rsidRPr="00595217" w:rsidRDefault="00525987" w:rsidP="00525987">
      <w:pPr>
        <w:rPr>
          <w:sz w:val="28"/>
          <w:szCs w:val="28"/>
        </w:rPr>
      </w:pPr>
      <w:r w:rsidRPr="00595217">
        <w:rPr>
          <w:sz w:val="28"/>
          <w:szCs w:val="28"/>
        </w:rPr>
        <w:t xml:space="preserve">Conclusion </w:t>
      </w:r>
    </w:p>
    <w:p w14:paraId="644E0F3B" w14:textId="79CE268E" w:rsidR="00525987" w:rsidRDefault="00525987" w:rsidP="00525987">
      <w:r w:rsidRPr="00525987">
        <w:t>To conclude r</w:t>
      </w:r>
      <w:r w:rsidRPr="00525987">
        <w:t xml:space="preserve">esearch strongly supports </w:t>
      </w:r>
      <w:r w:rsidRPr="00525987">
        <w:t xml:space="preserve">the several strategies that </w:t>
      </w:r>
      <w:r w:rsidR="00595217">
        <w:t xml:space="preserve">my placement </w:t>
      </w:r>
      <w:r w:rsidRPr="00525987">
        <w:t xml:space="preserve">school has in place to </w:t>
      </w:r>
      <w:r w:rsidR="00595217">
        <w:t>develop</w:t>
      </w:r>
      <w:r w:rsidRPr="00525987">
        <w:t xml:space="preserve"> pedagogy in mathematics to </w:t>
      </w:r>
      <w:r w:rsidR="00595217">
        <w:t>positively impact</w:t>
      </w:r>
      <w:r w:rsidRPr="00525987">
        <w:t xml:space="preserve"> pupils’ fluency skills</w:t>
      </w:r>
      <w:r w:rsidRPr="00525987">
        <w:t xml:space="preserve">, have a </w:t>
      </w:r>
      <w:r w:rsidR="00595217">
        <w:t>beneficial</w:t>
      </w:r>
      <w:r w:rsidRPr="00525987">
        <w:t xml:space="preserve"> impact on engagement, retention, and problem-solving skills. </w:t>
      </w:r>
      <w:r w:rsidRPr="00525987">
        <w:t>The</w:t>
      </w:r>
      <w:r w:rsidRPr="00525987">
        <w:t xml:space="preserve"> school’s targeted approach to improving mathematical fluency aligns with best practices in pedagogy, incorporating </w:t>
      </w:r>
      <w:r w:rsidRPr="00525987">
        <w:t>clear</w:t>
      </w:r>
      <w:r w:rsidRPr="00525987">
        <w:t xml:space="preserve"> instruction, differentiation, retrieval practice, and interactive learning.</w:t>
      </w:r>
      <w:r w:rsidRPr="00525987">
        <w:t xml:space="preserve"> Though</w:t>
      </w:r>
      <w:r w:rsidRPr="00525987">
        <w:t xml:space="preserve"> these approaches have </w:t>
      </w:r>
      <w:r w:rsidRPr="00525987">
        <w:t>supported</w:t>
      </w:r>
      <w:r w:rsidRPr="00525987">
        <w:t xml:space="preserve"> closing attainment gaps, </w:t>
      </w:r>
      <w:r w:rsidRPr="00525987">
        <w:t>more focus</w:t>
      </w:r>
      <w:r w:rsidRPr="00525987">
        <w:t xml:space="preserve"> on parental engagement, collaborative learning, and digital resources could </w:t>
      </w:r>
      <w:r w:rsidRPr="00525987">
        <w:t>improve</w:t>
      </w:r>
      <w:r w:rsidRPr="00525987">
        <w:t xml:space="preserve"> progress and long-term retention</w:t>
      </w:r>
      <w:r w:rsidRPr="00525987">
        <w:t xml:space="preserve">. </w:t>
      </w:r>
      <w:r w:rsidRPr="00525987">
        <w:t xml:space="preserve">Moving forward, </w:t>
      </w:r>
      <w:r w:rsidRPr="00525987">
        <w:t>t</w:t>
      </w:r>
      <w:r w:rsidRPr="00525987">
        <w:t>o</w:t>
      </w:r>
      <w:r w:rsidRPr="00525987">
        <w:t xml:space="preserve"> </w:t>
      </w:r>
      <w:r w:rsidRPr="00525987">
        <w:t>achieve positive numeracy outcomes, these evidence-based strategies should be incorporated into ongoing professional development. The school could ensure that every pupil gains mathematical fluency by encouraging an inclusive, research-informed approach, which will improve confidence and academic performance.</w:t>
      </w:r>
    </w:p>
    <w:p w14:paraId="7605C780" w14:textId="77777777" w:rsidR="00595217" w:rsidRDefault="00595217" w:rsidP="00525987">
      <w:pPr>
        <w:rPr>
          <w:highlight w:val="yellow"/>
        </w:rPr>
      </w:pPr>
    </w:p>
    <w:p w14:paraId="240F80EA" w14:textId="34281688" w:rsidR="00595217" w:rsidRDefault="00595217" w:rsidP="00525987">
      <w:pPr>
        <w:rPr>
          <w:highlight w:val="yellow"/>
        </w:rPr>
      </w:pPr>
      <w:r>
        <w:rPr>
          <w:highlight w:val="yellow"/>
        </w:rPr>
        <w:t xml:space="preserve">Word count: </w:t>
      </w:r>
    </w:p>
    <w:p w14:paraId="71F4E671" w14:textId="788734E9" w:rsidR="00525987" w:rsidRPr="00525987" w:rsidRDefault="00525987" w:rsidP="00525987">
      <w:r>
        <w:rPr>
          <w:highlight w:val="yellow"/>
        </w:rPr>
        <w:t xml:space="preserve">Reference List </w:t>
      </w:r>
    </w:p>
    <w:sectPr w:rsidR="00525987" w:rsidRPr="005259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9561D" w14:textId="77777777" w:rsidR="00346ADB" w:rsidRDefault="00346ADB" w:rsidP="00346ADB">
      <w:pPr>
        <w:spacing w:after="0" w:line="240" w:lineRule="auto"/>
      </w:pPr>
      <w:r>
        <w:separator/>
      </w:r>
    </w:p>
  </w:endnote>
  <w:endnote w:type="continuationSeparator" w:id="0">
    <w:p w14:paraId="240F04FB" w14:textId="77777777" w:rsidR="00346ADB" w:rsidRDefault="00346ADB" w:rsidP="00346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CC602" w14:textId="77777777" w:rsidR="00346ADB" w:rsidRDefault="00346ADB" w:rsidP="00346ADB">
      <w:pPr>
        <w:spacing w:after="0" w:line="240" w:lineRule="auto"/>
      </w:pPr>
      <w:r>
        <w:separator/>
      </w:r>
    </w:p>
  </w:footnote>
  <w:footnote w:type="continuationSeparator" w:id="0">
    <w:p w14:paraId="7D7D657D" w14:textId="77777777" w:rsidR="00346ADB" w:rsidRDefault="00346ADB" w:rsidP="00346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8F7C19"/>
    <w:multiLevelType w:val="multilevel"/>
    <w:tmpl w:val="4958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344CB7"/>
    <w:multiLevelType w:val="multilevel"/>
    <w:tmpl w:val="C166E6EC"/>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61523502">
    <w:abstractNumId w:val="0"/>
  </w:num>
  <w:num w:numId="2" w16cid:durableId="1294361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7D3"/>
    <w:rsid w:val="00117E88"/>
    <w:rsid w:val="00147F15"/>
    <w:rsid w:val="00166F80"/>
    <w:rsid w:val="00181363"/>
    <w:rsid w:val="00181B2F"/>
    <w:rsid w:val="00260CDF"/>
    <w:rsid w:val="00346ADB"/>
    <w:rsid w:val="003A4781"/>
    <w:rsid w:val="003B4D9E"/>
    <w:rsid w:val="003D462D"/>
    <w:rsid w:val="00470685"/>
    <w:rsid w:val="004E0391"/>
    <w:rsid w:val="00503BF4"/>
    <w:rsid w:val="00511034"/>
    <w:rsid w:val="00525987"/>
    <w:rsid w:val="00595217"/>
    <w:rsid w:val="0069666F"/>
    <w:rsid w:val="00701DD6"/>
    <w:rsid w:val="007543EB"/>
    <w:rsid w:val="00766D65"/>
    <w:rsid w:val="007913A5"/>
    <w:rsid w:val="007C5647"/>
    <w:rsid w:val="00810204"/>
    <w:rsid w:val="00896FFF"/>
    <w:rsid w:val="008A5510"/>
    <w:rsid w:val="008D3858"/>
    <w:rsid w:val="009D1222"/>
    <w:rsid w:val="009E0A6E"/>
    <w:rsid w:val="00AD4190"/>
    <w:rsid w:val="00B36749"/>
    <w:rsid w:val="00B50DAA"/>
    <w:rsid w:val="00B770BA"/>
    <w:rsid w:val="00BD29A5"/>
    <w:rsid w:val="00C03E1E"/>
    <w:rsid w:val="00C06586"/>
    <w:rsid w:val="00C73B1E"/>
    <w:rsid w:val="00CC218D"/>
    <w:rsid w:val="00D57F70"/>
    <w:rsid w:val="00D83320"/>
    <w:rsid w:val="00D9630D"/>
    <w:rsid w:val="00E14C93"/>
    <w:rsid w:val="00E25093"/>
    <w:rsid w:val="00E31722"/>
    <w:rsid w:val="00E45FA9"/>
    <w:rsid w:val="00E91D4E"/>
    <w:rsid w:val="00E96C15"/>
    <w:rsid w:val="00EC7DDD"/>
    <w:rsid w:val="00F62561"/>
    <w:rsid w:val="00F91886"/>
    <w:rsid w:val="00FD2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B7C0D8"/>
  <w15:chartTrackingRefBased/>
  <w15:docId w15:val="{D5080350-76A1-0B4A-8E0B-9803D0C41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2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2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2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2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7D3"/>
    <w:rPr>
      <w:rFonts w:eastAsiaTheme="majorEastAsia" w:cstheme="majorBidi"/>
      <w:color w:val="272727" w:themeColor="text1" w:themeTint="D8"/>
    </w:rPr>
  </w:style>
  <w:style w:type="paragraph" w:styleId="Title">
    <w:name w:val="Title"/>
    <w:basedOn w:val="Normal"/>
    <w:next w:val="Normal"/>
    <w:link w:val="TitleChar"/>
    <w:uiPriority w:val="10"/>
    <w:qFormat/>
    <w:rsid w:val="00FD2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7D3"/>
    <w:pPr>
      <w:spacing w:before="160"/>
      <w:jc w:val="center"/>
    </w:pPr>
    <w:rPr>
      <w:i/>
      <w:iCs/>
      <w:color w:val="404040" w:themeColor="text1" w:themeTint="BF"/>
    </w:rPr>
  </w:style>
  <w:style w:type="character" w:customStyle="1" w:styleId="QuoteChar">
    <w:name w:val="Quote Char"/>
    <w:basedOn w:val="DefaultParagraphFont"/>
    <w:link w:val="Quote"/>
    <w:uiPriority w:val="29"/>
    <w:rsid w:val="00FD27D3"/>
    <w:rPr>
      <w:i/>
      <w:iCs/>
      <w:color w:val="404040" w:themeColor="text1" w:themeTint="BF"/>
    </w:rPr>
  </w:style>
  <w:style w:type="paragraph" w:styleId="ListParagraph">
    <w:name w:val="List Paragraph"/>
    <w:basedOn w:val="Normal"/>
    <w:uiPriority w:val="34"/>
    <w:qFormat/>
    <w:rsid w:val="00FD27D3"/>
    <w:pPr>
      <w:ind w:left="720"/>
      <w:contextualSpacing/>
    </w:pPr>
  </w:style>
  <w:style w:type="character" w:styleId="IntenseEmphasis">
    <w:name w:val="Intense Emphasis"/>
    <w:basedOn w:val="DefaultParagraphFont"/>
    <w:uiPriority w:val="21"/>
    <w:qFormat/>
    <w:rsid w:val="00FD27D3"/>
    <w:rPr>
      <w:i/>
      <w:iCs/>
      <w:color w:val="0F4761" w:themeColor="accent1" w:themeShade="BF"/>
    </w:rPr>
  </w:style>
  <w:style w:type="paragraph" w:styleId="IntenseQuote">
    <w:name w:val="Intense Quote"/>
    <w:basedOn w:val="Normal"/>
    <w:next w:val="Normal"/>
    <w:link w:val="IntenseQuoteChar"/>
    <w:uiPriority w:val="30"/>
    <w:qFormat/>
    <w:rsid w:val="00FD2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7D3"/>
    <w:rPr>
      <w:i/>
      <w:iCs/>
      <w:color w:val="0F4761" w:themeColor="accent1" w:themeShade="BF"/>
    </w:rPr>
  </w:style>
  <w:style w:type="character" w:styleId="IntenseReference">
    <w:name w:val="Intense Reference"/>
    <w:basedOn w:val="DefaultParagraphFont"/>
    <w:uiPriority w:val="32"/>
    <w:qFormat/>
    <w:rsid w:val="00FD27D3"/>
    <w:rPr>
      <w:b/>
      <w:bCs/>
      <w:smallCaps/>
      <w:color w:val="0F4761" w:themeColor="accent1" w:themeShade="BF"/>
      <w:spacing w:val="5"/>
    </w:rPr>
  </w:style>
  <w:style w:type="character" w:styleId="Strong">
    <w:name w:val="Strong"/>
    <w:basedOn w:val="DefaultParagraphFont"/>
    <w:uiPriority w:val="22"/>
    <w:qFormat/>
    <w:rsid w:val="00766D65"/>
    <w:rPr>
      <w:b/>
      <w:bCs/>
    </w:rPr>
  </w:style>
  <w:style w:type="paragraph" w:styleId="NormalWeb">
    <w:name w:val="Normal (Web)"/>
    <w:basedOn w:val="Normal"/>
    <w:uiPriority w:val="99"/>
    <w:semiHidden/>
    <w:unhideWhenUsed/>
    <w:rsid w:val="00766D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66D65"/>
  </w:style>
  <w:style w:type="paragraph" w:styleId="Header">
    <w:name w:val="header"/>
    <w:basedOn w:val="Normal"/>
    <w:link w:val="HeaderChar"/>
    <w:uiPriority w:val="99"/>
    <w:unhideWhenUsed/>
    <w:rsid w:val="00346A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ADB"/>
  </w:style>
  <w:style w:type="paragraph" w:styleId="Footer">
    <w:name w:val="footer"/>
    <w:basedOn w:val="Normal"/>
    <w:link w:val="FooterChar"/>
    <w:uiPriority w:val="99"/>
    <w:unhideWhenUsed/>
    <w:rsid w:val="00346A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7303">
      <w:bodyDiv w:val="1"/>
      <w:marLeft w:val="0"/>
      <w:marRight w:val="0"/>
      <w:marTop w:val="0"/>
      <w:marBottom w:val="0"/>
      <w:divBdr>
        <w:top w:val="none" w:sz="0" w:space="0" w:color="auto"/>
        <w:left w:val="none" w:sz="0" w:space="0" w:color="auto"/>
        <w:bottom w:val="none" w:sz="0" w:space="0" w:color="auto"/>
        <w:right w:val="none" w:sz="0" w:space="0" w:color="auto"/>
      </w:divBdr>
    </w:div>
    <w:div w:id="224610460">
      <w:bodyDiv w:val="1"/>
      <w:marLeft w:val="0"/>
      <w:marRight w:val="0"/>
      <w:marTop w:val="0"/>
      <w:marBottom w:val="0"/>
      <w:divBdr>
        <w:top w:val="none" w:sz="0" w:space="0" w:color="auto"/>
        <w:left w:val="none" w:sz="0" w:space="0" w:color="auto"/>
        <w:bottom w:val="none" w:sz="0" w:space="0" w:color="auto"/>
        <w:right w:val="none" w:sz="0" w:space="0" w:color="auto"/>
      </w:divBdr>
    </w:div>
    <w:div w:id="294071787">
      <w:bodyDiv w:val="1"/>
      <w:marLeft w:val="0"/>
      <w:marRight w:val="0"/>
      <w:marTop w:val="0"/>
      <w:marBottom w:val="0"/>
      <w:divBdr>
        <w:top w:val="none" w:sz="0" w:space="0" w:color="auto"/>
        <w:left w:val="none" w:sz="0" w:space="0" w:color="auto"/>
        <w:bottom w:val="none" w:sz="0" w:space="0" w:color="auto"/>
        <w:right w:val="none" w:sz="0" w:space="0" w:color="auto"/>
      </w:divBdr>
    </w:div>
    <w:div w:id="429089953">
      <w:bodyDiv w:val="1"/>
      <w:marLeft w:val="0"/>
      <w:marRight w:val="0"/>
      <w:marTop w:val="0"/>
      <w:marBottom w:val="0"/>
      <w:divBdr>
        <w:top w:val="none" w:sz="0" w:space="0" w:color="auto"/>
        <w:left w:val="none" w:sz="0" w:space="0" w:color="auto"/>
        <w:bottom w:val="none" w:sz="0" w:space="0" w:color="auto"/>
        <w:right w:val="none" w:sz="0" w:space="0" w:color="auto"/>
      </w:divBdr>
    </w:div>
    <w:div w:id="576407698">
      <w:bodyDiv w:val="1"/>
      <w:marLeft w:val="0"/>
      <w:marRight w:val="0"/>
      <w:marTop w:val="0"/>
      <w:marBottom w:val="0"/>
      <w:divBdr>
        <w:top w:val="none" w:sz="0" w:space="0" w:color="auto"/>
        <w:left w:val="none" w:sz="0" w:space="0" w:color="auto"/>
        <w:bottom w:val="none" w:sz="0" w:space="0" w:color="auto"/>
        <w:right w:val="none" w:sz="0" w:space="0" w:color="auto"/>
      </w:divBdr>
    </w:div>
    <w:div w:id="650410213">
      <w:bodyDiv w:val="1"/>
      <w:marLeft w:val="0"/>
      <w:marRight w:val="0"/>
      <w:marTop w:val="0"/>
      <w:marBottom w:val="0"/>
      <w:divBdr>
        <w:top w:val="none" w:sz="0" w:space="0" w:color="auto"/>
        <w:left w:val="none" w:sz="0" w:space="0" w:color="auto"/>
        <w:bottom w:val="none" w:sz="0" w:space="0" w:color="auto"/>
        <w:right w:val="none" w:sz="0" w:space="0" w:color="auto"/>
      </w:divBdr>
    </w:div>
    <w:div w:id="685517655">
      <w:bodyDiv w:val="1"/>
      <w:marLeft w:val="0"/>
      <w:marRight w:val="0"/>
      <w:marTop w:val="0"/>
      <w:marBottom w:val="0"/>
      <w:divBdr>
        <w:top w:val="none" w:sz="0" w:space="0" w:color="auto"/>
        <w:left w:val="none" w:sz="0" w:space="0" w:color="auto"/>
        <w:bottom w:val="none" w:sz="0" w:space="0" w:color="auto"/>
        <w:right w:val="none" w:sz="0" w:space="0" w:color="auto"/>
      </w:divBdr>
    </w:div>
    <w:div w:id="715011748">
      <w:bodyDiv w:val="1"/>
      <w:marLeft w:val="0"/>
      <w:marRight w:val="0"/>
      <w:marTop w:val="0"/>
      <w:marBottom w:val="0"/>
      <w:divBdr>
        <w:top w:val="none" w:sz="0" w:space="0" w:color="auto"/>
        <w:left w:val="none" w:sz="0" w:space="0" w:color="auto"/>
        <w:bottom w:val="none" w:sz="0" w:space="0" w:color="auto"/>
        <w:right w:val="none" w:sz="0" w:space="0" w:color="auto"/>
      </w:divBdr>
    </w:div>
    <w:div w:id="770009008">
      <w:bodyDiv w:val="1"/>
      <w:marLeft w:val="0"/>
      <w:marRight w:val="0"/>
      <w:marTop w:val="0"/>
      <w:marBottom w:val="0"/>
      <w:divBdr>
        <w:top w:val="none" w:sz="0" w:space="0" w:color="auto"/>
        <w:left w:val="none" w:sz="0" w:space="0" w:color="auto"/>
        <w:bottom w:val="none" w:sz="0" w:space="0" w:color="auto"/>
        <w:right w:val="none" w:sz="0" w:space="0" w:color="auto"/>
      </w:divBdr>
    </w:div>
    <w:div w:id="873273705">
      <w:bodyDiv w:val="1"/>
      <w:marLeft w:val="0"/>
      <w:marRight w:val="0"/>
      <w:marTop w:val="0"/>
      <w:marBottom w:val="0"/>
      <w:divBdr>
        <w:top w:val="none" w:sz="0" w:space="0" w:color="auto"/>
        <w:left w:val="none" w:sz="0" w:space="0" w:color="auto"/>
        <w:bottom w:val="none" w:sz="0" w:space="0" w:color="auto"/>
        <w:right w:val="none" w:sz="0" w:space="0" w:color="auto"/>
      </w:divBdr>
    </w:div>
    <w:div w:id="1037198019">
      <w:bodyDiv w:val="1"/>
      <w:marLeft w:val="0"/>
      <w:marRight w:val="0"/>
      <w:marTop w:val="0"/>
      <w:marBottom w:val="0"/>
      <w:divBdr>
        <w:top w:val="none" w:sz="0" w:space="0" w:color="auto"/>
        <w:left w:val="none" w:sz="0" w:space="0" w:color="auto"/>
        <w:bottom w:val="none" w:sz="0" w:space="0" w:color="auto"/>
        <w:right w:val="none" w:sz="0" w:space="0" w:color="auto"/>
      </w:divBdr>
    </w:div>
    <w:div w:id="1046565286">
      <w:bodyDiv w:val="1"/>
      <w:marLeft w:val="0"/>
      <w:marRight w:val="0"/>
      <w:marTop w:val="0"/>
      <w:marBottom w:val="0"/>
      <w:divBdr>
        <w:top w:val="none" w:sz="0" w:space="0" w:color="auto"/>
        <w:left w:val="none" w:sz="0" w:space="0" w:color="auto"/>
        <w:bottom w:val="none" w:sz="0" w:space="0" w:color="auto"/>
        <w:right w:val="none" w:sz="0" w:space="0" w:color="auto"/>
      </w:divBdr>
    </w:div>
    <w:div w:id="1077359712">
      <w:bodyDiv w:val="1"/>
      <w:marLeft w:val="0"/>
      <w:marRight w:val="0"/>
      <w:marTop w:val="0"/>
      <w:marBottom w:val="0"/>
      <w:divBdr>
        <w:top w:val="none" w:sz="0" w:space="0" w:color="auto"/>
        <w:left w:val="none" w:sz="0" w:space="0" w:color="auto"/>
        <w:bottom w:val="none" w:sz="0" w:space="0" w:color="auto"/>
        <w:right w:val="none" w:sz="0" w:space="0" w:color="auto"/>
      </w:divBdr>
    </w:div>
    <w:div w:id="1213537865">
      <w:bodyDiv w:val="1"/>
      <w:marLeft w:val="0"/>
      <w:marRight w:val="0"/>
      <w:marTop w:val="0"/>
      <w:marBottom w:val="0"/>
      <w:divBdr>
        <w:top w:val="none" w:sz="0" w:space="0" w:color="auto"/>
        <w:left w:val="none" w:sz="0" w:space="0" w:color="auto"/>
        <w:bottom w:val="none" w:sz="0" w:space="0" w:color="auto"/>
        <w:right w:val="none" w:sz="0" w:space="0" w:color="auto"/>
      </w:divBdr>
    </w:div>
    <w:div w:id="1234782006">
      <w:bodyDiv w:val="1"/>
      <w:marLeft w:val="0"/>
      <w:marRight w:val="0"/>
      <w:marTop w:val="0"/>
      <w:marBottom w:val="0"/>
      <w:divBdr>
        <w:top w:val="none" w:sz="0" w:space="0" w:color="auto"/>
        <w:left w:val="none" w:sz="0" w:space="0" w:color="auto"/>
        <w:bottom w:val="none" w:sz="0" w:space="0" w:color="auto"/>
        <w:right w:val="none" w:sz="0" w:space="0" w:color="auto"/>
      </w:divBdr>
    </w:div>
    <w:div w:id="1277063181">
      <w:bodyDiv w:val="1"/>
      <w:marLeft w:val="0"/>
      <w:marRight w:val="0"/>
      <w:marTop w:val="0"/>
      <w:marBottom w:val="0"/>
      <w:divBdr>
        <w:top w:val="none" w:sz="0" w:space="0" w:color="auto"/>
        <w:left w:val="none" w:sz="0" w:space="0" w:color="auto"/>
        <w:bottom w:val="none" w:sz="0" w:space="0" w:color="auto"/>
        <w:right w:val="none" w:sz="0" w:space="0" w:color="auto"/>
      </w:divBdr>
    </w:div>
    <w:div w:id="1289438080">
      <w:bodyDiv w:val="1"/>
      <w:marLeft w:val="0"/>
      <w:marRight w:val="0"/>
      <w:marTop w:val="0"/>
      <w:marBottom w:val="0"/>
      <w:divBdr>
        <w:top w:val="none" w:sz="0" w:space="0" w:color="auto"/>
        <w:left w:val="none" w:sz="0" w:space="0" w:color="auto"/>
        <w:bottom w:val="none" w:sz="0" w:space="0" w:color="auto"/>
        <w:right w:val="none" w:sz="0" w:space="0" w:color="auto"/>
      </w:divBdr>
    </w:div>
    <w:div w:id="1315721599">
      <w:bodyDiv w:val="1"/>
      <w:marLeft w:val="0"/>
      <w:marRight w:val="0"/>
      <w:marTop w:val="0"/>
      <w:marBottom w:val="0"/>
      <w:divBdr>
        <w:top w:val="none" w:sz="0" w:space="0" w:color="auto"/>
        <w:left w:val="none" w:sz="0" w:space="0" w:color="auto"/>
        <w:bottom w:val="none" w:sz="0" w:space="0" w:color="auto"/>
        <w:right w:val="none" w:sz="0" w:space="0" w:color="auto"/>
      </w:divBdr>
    </w:div>
    <w:div w:id="1337415665">
      <w:bodyDiv w:val="1"/>
      <w:marLeft w:val="0"/>
      <w:marRight w:val="0"/>
      <w:marTop w:val="0"/>
      <w:marBottom w:val="0"/>
      <w:divBdr>
        <w:top w:val="none" w:sz="0" w:space="0" w:color="auto"/>
        <w:left w:val="none" w:sz="0" w:space="0" w:color="auto"/>
        <w:bottom w:val="none" w:sz="0" w:space="0" w:color="auto"/>
        <w:right w:val="none" w:sz="0" w:space="0" w:color="auto"/>
      </w:divBdr>
    </w:div>
    <w:div w:id="1414472451">
      <w:bodyDiv w:val="1"/>
      <w:marLeft w:val="0"/>
      <w:marRight w:val="0"/>
      <w:marTop w:val="0"/>
      <w:marBottom w:val="0"/>
      <w:divBdr>
        <w:top w:val="none" w:sz="0" w:space="0" w:color="auto"/>
        <w:left w:val="none" w:sz="0" w:space="0" w:color="auto"/>
        <w:bottom w:val="none" w:sz="0" w:space="0" w:color="auto"/>
        <w:right w:val="none" w:sz="0" w:space="0" w:color="auto"/>
      </w:divBdr>
    </w:div>
    <w:div w:id="1421222031">
      <w:bodyDiv w:val="1"/>
      <w:marLeft w:val="0"/>
      <w:marRight w:val="0"/>
      <w:marTop w:val="0"/>
      <w:marBottom w:val="0"/>
      <w:divBdr>
        <w:top w:val="none" w:sz="0" w:space="0" w:color="auto"/>
        <w:left w:val="none" w:sz="0" w:space="0" w:color="auto"/>
        <w:bottom w:val="none" w:sz="0" w:space="0" w:color="auto"/>
        <w:right w:val="none" w:sz="0" w:space="0" w:color="auto"/>
      </w:divBdr>
    </w:div>
    <w:div w:id="1476071291">
      <w:bodyDiv w:val="1"/>
      <w:marLeft w:val="0"/>
      <w:marRight w:val="0"/>
      <w:marTop w:val="0"/>
      <w:marBottom w:val="0"/>
      <w:divBdr>
        <w:top w:val="none" w:sz="0" w:space="0" w:color="auto"/>
        <w:left w:val="none" w:sz="0" w:space="0" w:color="auto"/>
        <w:bottom w:val="none" w:sz="0" w:space="0" w:color="auto"/>
        <w:right w:val="none" w:sz="0" w:space="0" w:color="auto"/>
      </w:divBdr>
    </w:div>
    <w:div w:id="1519537799">
      <w:bodyDiv w:val="1"/>
      <w:marLeft w:val="0"/>
      <w:marRight w:val="0"/>
      <w:marTop w:val="0"/>
      <w:marBottom w:val="0"/>
      <w:divBdr>
        <w:top w:val="none" w:sz="0" w:space="0" w:color="auto"/>
        <w:left w:val="none" w:sz="0" w:space="0" w:color="auto"/>
        <w:bottom w:val="none" w:sz="0" w:space="0" w:color="auto"/>
        <w:right w:val="none" w:sz="0" w:space="0" w:color="auto"/>
      </w:divBdr>
    </w:div>
    <w:div w:id="1520118988">
      <w:bodyDiv w:val="1"/>
      <w:marLeft w:val="0"/>
      <w:marRight w:val="0"/>
      <w:marTop w:val="0"/>
      <w:marBottom w:val="0"/>
      <w:divBdr>
        <w:top w:val="none" w:sz="0" w:space="0" w:color="auto"/>
        <w:left w:val="none" w:sz="0" w:space="0" w:color="auto"/>
        <w:bottom w:val="none" w:sz="0" w:space="0" w:color="auto"/>
        <w:right w:val="none" w:sz="0" w:space="0" w:color="auto"/>
      </w:divBdr>
    </w:div>
    <w:div w:id="1539196022">
      <w:bodyDiv w:val="1"/>
      <w:marLeft w:val="0"/>
      <w:marRight w:val="0"/>
      <w:marTop w:val="0"/>
      <w:marBottom w:val="0"/>
      <w:divBdr>
        <w:top w:val="none" w:sz="0" w:space="0" w:color="auto"/>
        <w:left w:val="none" w:sz="0" w:space="0" w:color="auto"/>
        <w:bottom w:val="none" w:sz="0" w:space="0" w:color="auto"/>
        <w:right w:val="none" w:sz="0" w:space="0" w:color="auto"/>
      </w:divBdr>
    </w:div>
    <w:div w:id="1569219892">
      <w:bodyDiv w:val="1"/>
      <w:marLeft w:val="0"/>
      <w:marRight w:val="0"/>
      <w:marTop w:val="0"/>
      <w:marBottom w:val="0"/>
      <w:divBdr>
        <w:top w:val="none" w:sz="0" w:space="0" w:color="auto"/>
        <w:left w:val="none" w:sz="0" w:space="0" w:color="auto"/>
        <w:bottom w:val="none" w:sz="0" w:space="0" w:color="auto"/>
        <w:right w:val="none" w:sz="0" w:space="0" w:color="auto"/>
      </w:divBdr>
    </w:div>
    <w:div w:id="1602957496">
      <w:bodyDiv w:val="1"/>
      <w:marLeft w:val="0"/>
      <w:marRight w:val="0"/>
      <w:marTop w:val="0"/>
      <w:marBottom w:val="0"/>
      <w:divBdr>
        <w:top w:val="none" w:sz="0" w:space="0" w:color="auto"/>
        <w:left w:val="none" w:sz="0" w:space="0" w:color="auto"/>
        <w:bottom w:val="none" w:sz="0" w:space="0" w:color="auto"/>
        <w:right w:val="none" w:sz="0" w:space="0" w:color="auto"/>
      </w:divBdr>
    </w:div>
    <w:div w:id="1624844192">
      <w:bodyDiv w:val="1"/>
      <w:marLeft w:val="0"/>
      <w:marRight w:val="0"/>
      <w:marTop w:val="0"/>
      <w:marBottom w:val="0"/>
      <w:divBdr>
        <w:top w:val="none" w:sz="0" w:space="0" w:color="auto"/>
        <w:left w:val="none" w:sz="0" w:space="0" w:color="auto"/>
        <w:bottom w:val="none" w:sz="0" w:space="0" w:color="auto"/>
        <w:right w:val="none" w:sz="0" w:space="0" w:color="auto"/>
      </w:divBdr>
    </w:div>
    <w:div w:id="1717391251">
      <w:bodyDiv w:val="1"/>
      <w:marLeft w:val="0"/>
      <w:marRight w:val="0"/>
      <w:marTop w:val="0"/>
      <w:marBottom w:val="0"/>
      <w:divBdr>
        <w:top w:val="none" w:sz="0" w:space="0" w:color="auto"/>
        <w:left w:val="none" w:sz="0" w:space="0" w:color="auto"/>
        <w:bottom w:val="none" w:sz="0" w:space="0" w:color="auto"/>
        <w:right w:val="none" w:sz="0" w:space="0" w:color="auto"/>
      </w:divBdr>
    </w:div>
    <w:div w:id="1776245386">
      <w:bodyDiv w:val="1"/>
      <w:marLeft w:val="0"/>
      <w:marRight w:val="0"/>
      <w:marTop w:val="0"/>
      <w:marBottom w:val="0"/>
      <w:divBdr>
        <w:top w:val="none" w:sz="0" w:space="0" w:color="auto"/>
        <w:left w:val="none" w:sz="0" w:space="0" w:color="auto"/>
        <w:bottom w:val="none" w:sz="0" w:space="0" w:color="auto"/>
        <w:right w:val="none" w:sz="0" w:space="0" w:color="auto"/>
      </w:divBdr>
    </w:div>
    <w:div w:id="1894344481">
      <w:bodyDiv w:val="1"/>
      <w:marLeft w:val="0"/>
      <w:marRight w:val="0"/>
      <w:marTop w:val="0"/>
      <w:marBottom w:val="0"/>
      <w:divBdr>
        <w:top w:val="none" w:sz="0" w:space="0" w:color="auto"/>
        <w:left w:val="none" w:sz="0" w:space="0" w:color="auto"/>
        <w:bottom w:val="none" w:sz="0" w:space="0" w:color="auto"/>
        <w:right w:val="none" w:sz="0" w:space="0" w:color="auto"/>
      </w:divBdr>
    </w:div>
    <w:div w:id="2076005720">
      <w:bodyDiv w:val="1"/>
      <w:marLeft w:val="0"/>
      <w:marRight w:val="0"/>
      <w:marTop w:val="0"/>
      <w:marBottom w:val="0"/>
      <w:divBdr>
        <w:top w:val="none" w:sz="0" w:space="0" w:color="auto"/>
        <w:left w:val="none" w:sz="0" w:space="0" w:color="auto"/>
        <w:bottom w:val="none" w:sz="0" w:space="0" w:color="auto"/>
        <w:right w:val="none" w:sz="0" w:space="0" w:color="auto"/>
      </w:divBdr>
    </w:div>
    <w:div w:id="21458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3C2A1-A0A2-8E4C-AD9E-D6F28D209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2995</Words>
  <Characters>17075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Charles (2101032)</dc:creator>
  <cp:keywords/>
  <dc:description/>
  <cp:lastModifiedBy>Amy Charles (2101032)</cp:lastModifiedBy>
  <cp:revision>2</cp:revision>
  <dcterms:created xsi:type="dcterms:W3CDTF">2025-03-01T16:21:00Z</dcterms:created>
  <dcterms:modified xsi:type="dcterms:W3CDTF">2025-03-01T16:21:00Z</dcterms:modified>
</cp:coreProperties>
</file>