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7BAD8" w14:textId="2D4C60A3" w:rsidR="00541EDB" w:rsidRDefault="000E2A46" w:rsidP="00541EDB">
      <w:pPr>
        <w:pStyle w:val="Heading1"/>
      </w:pPr>
      <w:r>
        <w:t xml:space="preserve">                                                                </w:t>
      </w:r>
      <w:r w:rsidR="00541EDB" w:rsidRPr="006F7AA7">
        <w:t>Exercise 2</w:t>
      </w:r>
    </w:p>
    <w:p w14:paraId="142ED36F" w14:textId="77777777" w:rsidR="000E2A46" w:rsidRDefault="000E2A46" w:rsidP="000E2A46"/>
    <w:p w14:paraId="274C9286" w14:textId="77777777" w:rsidR="000E2A46" w:rsidRDefault="000E2A46" w:rsidP="000E2A46"/>
    <w:p w14:paraId="2A371948" w14:textId="77777777" w:rsidR="000E2A46" w:rsidRPr="000E2A46" w:rsidRDefault="000E2A46" w:rsidP="000E2A46"/>
    <w:p w14:paraId="4867AB10" w14:textId="77777777" w:rsidR="00541EDB" w:rsidRPr="006F7AA7" w:rsidRDefault="00541EDB" w:rsidP="00541EDB">
      <w:pPr>
        <w:pStyle w:val="Heading2"/>
      </w:pPr>
      <w:r w:rsidRPr="006F7AA7">
        <w:t>Introduction</w:t>
      </w:r>
    </w:p>
    <w:p w14:paraId="4C1A604D" w14:textId="77777777" w:rsidR="00541EDB" w:rsidRDefault="00541EDB" w:rsidP="00541EDB">
      <w:r w:rsidRPr="002028A9">
        <w:t xml:space="preserve">The "Chronicon </w:t>
      </w:r>
      <w:proofErr w:type="spellStart"/>
      <w:r w:rsidRPr="002028A9">
        <w:t>Anglicanum</w:t>
      </w:r>
      <w:proofErr w:type="spellEnd"/>
      <w:r w:rsidRPr="002028A9">
        <w:t>," a record of significant occurrences from 1187 to the 13th century, eloquently depicts mediaeval history and complicated society. The chronicle is examined in this exercise to learn more about the author's and the audience's interests and viewpoints. This exercise aims to provide insight on the chronicle's origins, subjects, and the societal, political in nature, and interpersonal factors that created it by studying it within the context of its historical setting. The results of the research provide light on mediaeval society and help to make sense of the relationship between historical narratives and their contemporary ramifications.</w:t>
      </w:r>
    </w:p>
    <w:p w14:paraId="2AED3B7F" w14:textId="77777777" w:rsidR="00541EDB" w:rsidRPr="006F7AA7" w:rsidRDefault="00541EDB" w:rsidP="00541EDB">
      <w:pPr>
        <w:pStyle w:val="Heading2"/>
      </w:pPr>
      <w:r w:rsidRPr="006F7AA7">
        <w:t>Analysis of Content and Author's Interests Overview of Events (1207-1209)</w:t>
      </w:r>
    </w:p>
    <w:p w14:paraId="6A104296" w14:textId="77777777" w:rsidR="00541EDB" w:rsidRPr="006F7AA7" w:rsidRDefault="00541EDB" w:rsidP="00541EDB">
      <w:r w:rsidRPr="003D093E">
        <w:t xml:space="preserve">A </w:t>
      </w:r>
      <w:r>
        <w:t xml:space="preserve">"Chronicon </w:t>
      </w:r>
      <w:proofErr w:type="spellStart"/>
      <w:r>
        <w:t>Anglicanum</w:t>
      </w:r>
      <w:proofErr w:type="spellEnd"/>
      <w:r>
        <w:t>" section</w:t>
      </w:r>
      <w:r w:rsidRPr="003D093E">
        <w:t xml:space="preserve"> dated 1207–1209 elucidates many aspects of mediaeval politics and daily life. The death of Lord Thomas of Coggeshall in 1207 was the first event recorded in the chronicle</w:t>
      </w:r>
      <w:r>
        <w:t xml:space="preserve"> (</w:t>
      </w:r>
      <w:r w:rsidRPr="00112078">
        <w:t>Willoughby</w:t>
      </w:r>
      <w:r>
        <w:t xml:space="preserve">, </w:t>
      </w:r>
      <w:proofErr w:type="spellStart"/>
      <w:r>
        <w:t>n.d</w:t>
      </w:r>
      <w:proofErr w:type="spellEnd"/>
      <w:r>
        <w:t>)</w:t>
      </w:r>
      <w:r w:rsidRPr="003D093E">
        <w:t xml:space="preserve">. </w:t>
      </w:r>
      <w:r>
        <w:t xml:space="preserve">Lord Ralph followed Lord Thomas and </w:t>
      </w:r>
      <w:proofErr w:type="gramStart"/>
      <w:r>
        <w:t>monastery</w:t>
      </w:r>
      <w:proofErr w:type="gramEnd"/>
      <w:r>
        <w:t xml:space="preserve"> of Coggeshall</w:t>
      </w:r>
      <w:r w:rsidRPr="003D093E">
        <w:t xml:space="preserve">, who contributed access to the chronicle. </w:t>
      </w:r>
      <w:r>
        <w:t>It is important to comprehend that t</w:t>
      </w:r>
      <w:r w:rsidRPr="006F7AA7">
        <w:t xml:space="preserve">his year saw the installation of Stephen Langton as Canterbury's bishop </w:t>
      </w:r>
      <w:r>
        <w:t>and</w:t>
      </w:r>
      <w:r w:rsidRPr="006F7AA7">
        <w:t xml:space="preserve"> King John's attack on the monastery</w:t>
      </w:r>
      <w:r>
        <w:t xml:space="preserve"> (</w:t>
      </w:r>
      <w:r w:rsidRPr="00E03ADC">
        <w:t>Wickson, 2015</w:t>
      </w:r>
      <w:r>
        <w:t>)</w:t>
      </w:r>
      <w:r w:rsidRPr="006F7AA7">
        <w:t xml:space="preserve">. </w:t>
      </w:r>
      <w:r>
        <w:t>Moreover, Rist (2016) explains that in 1208,</w:t>
      </w:r>
      <w:r w:rsidRPr="006F7AA7">
        <w:t xml:space="preserve"> the estates of monks and clergy were seized, and a general ban was imposed throughout England and Wales, </w:t>
      </w:r>
      <w:proofErr w:type="spellStart"/>
      <w:r w:rsidRPr="006F7AA7">
        <w:t>signalling</w:t>
      </w:r>
      <w:proofErr w:type="spellEnd"/>
      <w:r w:rsidRPr="006F7AA7">
        <w:t xml:space="preserve"> a period of unrest for the Church. In addition to the Queen's captivity and King John's severe proclamations against bishops, the year 1209 also brought Henry, Duke of Saxony, and the birth of King John's second son, Richard</w:t>
      </w:r>
      <w:r>
        <w:t xml:space="preserve"> (</w:t>
      </w:r>
      <w:r w:rsidRPr="007A0749">
        <w:t>Hanley, 2016</w:t>
      </w:r>
      <w:r>
        <w:t>)</w:t>
      </w:r>
      <w:r w:rsidRPr="006F7AA7">
        <w:t xml:space="preserve">. There was </w:t>
      </w:r>
      <w:r>
        <w:t xml:space="preserve">also a "battle of the clouds" as </w:t>
      </w:r>
      <w:r w:rsidRPr="006F7AA7">
        <w:t>all</w:t>
      </w:r>
      <w:r>
        <w:t xml:space="preserve"> these </w:t>
      </w:r>
      <w:r w:rsidRPr="006F7AA7">
        <w:t>happen</w:t>
      </w:r>
      <w:r>
        <w:t>ed</w:t>
      </w:r>
      <w:r w:rsidRPr="006F7AA7">
        <w:t xml:space="preserve"> in the same year.</w:t>
      </w:r>
    </w:p>
    <w:p w14:paraId="0CD77153" w14:textId="77777777" w:rsidR="00541EDB" w:rsidRPr="006F7AA7" w:rsidRDefault="00541EDB" w:rsidP="00541EDB">
      <w:r>
        <w:t xml:space="preserve">Considering the </w:t>
      </w:r>
      <w:r w:rsidRPr="006F7AA7">
        <w:t xml:space="preserve">overview of </w:t>
      </w:r>
      <w:r>
        <w:t xml:space="preserve">the above </w:t>
      </w:r>
      <w:r w:rsidRPr="006F7AA7">
        <w:t>events</w:t>
      </w:r>
      <w:r>
        <w:t xml:space="preserve">, it is essential </w:t>
      </w:r>
      <w:r w:rsidRPr="006F7AA7">
        <w:t xml:space="preserve">to comprehend the author's religious leaning from their selected interests and viewpoint. The author's thorough descriptions of religious events, such </w:t>
      </w:r>
      <w:r>
        <w:t>as the bishop's sanctification and the interdicts, suggest that the author was a clerical or monastic person</w:t>
      </w:r>
      <w:r w:rsidRPr="006F7AA7">
        <w:t xml:space="preserve"> involved in church matters. Observing the </w:t>
      </w:r>
      <w:r>
        <w:t xml:space="preserve">Church's </w:t>
      </w:r>
      <w:proofErr w:type="spellStart"/>
      <w:r>
        <w:t>behaviour</w:t>
      </w:r>
      <w:proofErr w:type="spellEnd"/>
      <w:r>
        <w:t xml:space="preserve"> is one way to determine the status of</w:t>
      </w:r>
      <w:r w:rsidRPr="006F7AA7">
        <w:t xml:space="preserve"> the Church and its members. The chronicle also takes an interest in politics, namely the activities of King John and the impact those actions had on the Church</w:t>
      </w:r>
      <w:r>
        <w:t xml:space="preserve"> (</w:t>
      </w:r>
      <w:r w:rsidRPr="002E70D4">
        <w:t>Webster, 2015</w:t>
      </w:r>
      <w:r>
        <w:t>)</w:t>
      </w:r>
      <w:r w:rsidRPr="006F7AA7">
        <w:t xml:space="preserve">. The level of political information </w:t>
      </w:r>
      <w:r>
        <w:t>displayed here demonstrates a grasp of the complex interrelationships and mutual consequences</w:t>
      </w:r>
      <w:r w:rsidRPr="006F7AA7">
        <w:t xml:space="preserve"> between religious and secular bodies of power.</w:t>
      </w:r>
      <w:r>
        <w:t xml:space="preserve"> Moreover, t</w:t>
      </w:r>
      <w:r w:rsidRPr="006F7AA7">
        <w:t xml:space="preserve">hose who believe in divine messengers or signs from the </w:t>
      </w:r>
      <w:r>
        <w:t>Middle A</w:t>
      </w:r>
      <w:r w:rsidRPr="006F7AA7">
        <w:t>ges are reminded of the supernatural components, most notably the incredible</w:t>
      </w:r>
      <w:r>
        <w:t>,</w:t>
      </w:r>
      <w:r w:rsidRPr="006F7AA7">
        <w:t xml:space="preserve"> wonderful vision. The </w:t>
      </w:r>
      <w:r>
        <w:t>chronicle demonstrates the portrayal of nature and its divine link in mediaeval society (</w:t>
      </w:r>
      <w:r w:rsidRPr="002029C9">
        <w:t>Wickson, 2015</w:t>
      </w:r>
      <w:r>
        <w:t>)</w:t>
      </w:r>
      <w:r w:rsidRPr="006F7AA7">
        <w:t xml:space="preserve">. Therefore, the author's historical expertise is demonstrated by his ability to track events and happenings from year to year. This approach demonstrates the author's commitment to history, and the narrative is presented in a way designed to aid readers in comprehending the period. A unique perspective on the politics, religion, and society of the early 13th century </w:t>
      </w:r>
      <w:r>
        <w:t>is</w:t>
      </w:r>
      <w:r w:rsidRPr="006F7AA7">
        <w:t xml:space="preserve"> gained from this chronicle.</w:t>
      </w:r>
    </w:p>
    <w:p w14:paraId="40234828" w14:textId="77777777" w:rsidR="00541EDB" w:rsidRPr="006F7AA7" w:rsidRDefault="00541EDB" w:rsidP="00541EDB">
      <w:pPr>
        <w:pStyle w:val="Heading2"/>
      </w:pPr>
      <w:r w:rsidRPr="006F7AA7">
        <w:t>Analysis of Content and Intended Audience Overview of Events (1210-1212)</w:t>
      </w:r>
    </w:p>
    <w:p w14:paraId="2493F98E" w14:textId="77777777" w:rsidR="00541EDB" w:rsidRDefault="00541EDB" w:rsidP="00541EDB">
      <w:r w:rsidRPr="006F7AA7">
        <w:t xml:space="preserve">The political and religious events between 1210 and 1212 are still chronicled in the "Chronicon </w:t>
      </w:r>
      <w:proofErr w:type="spellStart"/>
      <w:r w:rsidRPr="006F7AA7">
        <w:t>Anglicanum</w:t>
      </w:r>
      <w:proofErr w:type="spellEnd"/>
      <w:r w:rsidRPr="006F7AA7">
        <w:t xml:space="preserve">". The chronicle describes the war between Pope and Emperor Otto, King John's military expedition in Ireland, and the punishing levy he placed on religious </w:t>
      </w:r>
      <w:r w:rsidRPr="006F7AA7">
        <w:lastRenderedPageBreak/>
        <w:t>buildings in 1210</w:t>
      </w:r>
      <w:r>
        <w:t xml:space="preserve"> (</w:t>
      </w:r>
      <w:r w:rsidRPr="00F7292B">
        <w:t>Thomas, 2020</w:t>
      </w:r>
      <w:r>
        <w:t>)</w:t>
      </w:r>
      <w:r w:rsidRPr="006F7AA7">
        <w:t xml:space="preserve">. This year, the </w:t>
      </w:r>
      <w:proofErr w:type="gramStart"/>
      <w:r w:rsidRPr="006F7AA7">
        <w:t>Bishop</w:t>
      </w:r>
      <w:proofErr w:type="gramEnd"/>
      <w:r w:rsidRPr="006F7AA7">
        <w:t xml:space="preserve"> returned to Canterbury despite his hesitation. The story </w:t>
      </w:r>
      <w:r>
        <w:t>continues</w:t>
      </w:r>
      <w:r w:rsidRPr="006F7AA7">
        <w:t xml:space="preserve"> until 1211 when King John and Emperor Otto are cut off from the populace</w:t>
      </w:r>
      <w:r>
        <w:t xml:space="preserve"> (</w:t>
      </w:r>
      <w:r w:rsidRPr="000629B4">
        <w:t>Isaac, 2015</w:t>
      </w:r>
      <w:r>
        <w:t>)</w:t>
      </w:r>
      <w:r w:rsidRPr="006F7AA7">
        <w:t>. This was the year when John, Count of Brienne, was crowned King of Jerusalem, and other clerks and bishops were restored to their places. The son of the Scottish king is knighted in 1212, and on the same day, King John again demands a large payment from the Cistercians in retaliation for his sister Joanna's murder.</w:t>
      </w:r>
      <w:r>
        <w:t xml:space="preserve"> </w:t>
      </w:r>
      <w:r w:rsidRPr="006F7AA7">
        <w:t xml:space="preserve">The chronicle's style and substance suggest that it was produced with monastic or clerical audiences in mind. Clerical concerns are given </w:t>
      </w:r>
      <w:r>
        <w:t>excessive</w:t>
      </w:r>
      <w:r w:rsidRPr="006F7AA7">
        <w:t xml:space="preserve"> </w:t>
      </w:r>
      <w:r>
        <w:t>attention, as seen by the thorough documentation of church difficulties, which include</w:t>
      </w:r>
      <w:r w:rsidRPr="006F7AA7">
        <w:t xml:space="preserve"> excommunications, appointments, and conflicts with secular authorities</w:t>
      </w:r>
      <w:r>
        <w:t xml:space="preserve"> (</w:t>
      </w:r>
      <w:r w:rsidRPr="00D624B9">
        <w:t>Gerrard, 2016</w:t>
      </w:r>
      <w:r>
        <w:t>)</w:t>
      </w:r>
      <w:r w:rsidRPr="006F7AA7">
        <w:t xml:space="preserve">. </w:t>
      </w:r>
    </w:p>
    <w:p w14:paraId="5BD979F3" w14:textId="77777777" w:rsidR="00541EDB" w:rsidRPr="006F7AA7" w:rsidRDefault="00541EDB" w:rsidP="00541EDB">
      <w:r w:rsidRPr="006F7AA7">
        <w:t xml:space="preserve">This makes it evident that the chronicle was used to impart knowledge about the church's complicated relationships with secular authorities to those </w:t>
      </w:r>
      <w:r>
        <w:t>considering</w:t>
      </w:r>
      <w:r w:rsidRPr="006F7AA7">
        <w:t xml:space="preserve"> pursuing a career in the clergy</w:t>
      </w:r>
      <w:r>
        <w:t xml:space="preserve"> (</w:t>
      </w:r>
      <w:r w:rsidRPr="007E1E5C">
        <w:t>Bridges, 2017</w:t>
      </w:r>
      <w:r>
        <w:t>)</w:t>
      </w:r>
      <w:r w:rsidRPr="006F7AA7">
        <w:t xml:space="preserve">. It appears from the extensive coverage of political disputes and events that the audience was supposed to be well-versed in politics, especially </w:t>
      </w:r>
      <w:r>
        <w:t>regarding</w:t>
      </w:r>
      <w:r w:rsidRPr="006F7AA7">
        <w:t xml:space="preserve"> the struggles between religious and secular authorities. The events detailed in the chronicle have made more sense with this knowledge.</w:t>
      </w:r>
      <w:r>
        <w:t xml:space="preserve"> </w:t>
      </w:r>
      <w:r w:rsidRPr="006F7AA7">
        <w:t xml:space="preserve">The chronicle also highlights these historical era customs, both social and cultural. Ingenious political </w:t>
      </w:r>
      <w:proofErr w:type="spellStart"/>
      <w:r w:rsidRPr="006F7AA7">
        <w:t>manoeuvring</w:t>
      </w:r>
      <w:proofErr w:type="spellEnd"/>
      <w:r w:rsidRPr="006F7AA7">
        <w:t xml:space="preserve">, the exclusion of powerful people, and supernatural phenomena </w:t>
      </w:r>
      <w:r>
        <w:t>demonstrate how mediaeval society saw and reacted to</w:t>
      </w:r>
      <w:r w:rsidRPr="006F7AA7">
        <w:t xml:space="preserve"> natural and artificial events</w:t>
      </w:r>
      <w:r>
        <w:t xml:space="preserve"> (</w:t>
      </w:r>
      <w:r w:rsidRPr="007E1E5C">
        <w:t>Kaufman</w:t>
      </w:r>
      <w:r>
        <w:t xml:space="preserve"> </w:t>
      </w:r>
      <w:r w:rsidRPr="007E1E5C">
        <w:t>and Sturtevant, 2020</w:t>
      </w:r>
      <w:r>
        <w:t>)</w:t>
      </w:r>
      <w:r w:rsidRPr="006F7AA7">
        <w:t xml:space="preserve">. It is clear from the chronicle's emphasis on religious-secular links that the church had a significant role in both politics and modern society. </w:t>
      </w:r>
      <w:r>
        <w:t>Therefore, i</w:t>
      </w:r>
      <w:r w:rsidRPr="006F7AA7">
        <w:t xml:space="preserve">t sheds light on the </w:t>
      </w:r>
      <w:r>
        <w:t>church's authorship and its connections to the governing class,</w:t>
      </w:r>
      <w:r w:rsidRPr="006F7AA7">
        <w:t xml:space="preserve"> explaining the complex structure of mediaeval Europe</w:t>
      </w:r>
      <w:r>
        <w:t xml:space="preserve"> (</w:t>
      </w:r>
      <w:r w:rsidRPr="003E6C5D">
        <w:t>Grzymala-Busse, 2020</w:t>
      </w:r>
      <w:r>
        <w:t>)</w:t>
      </w:r>
      <w:r w:rsidRPr="006F7AA7">
        <w:t xml:space="preserve">. </w:t>
      </w:r>
      <w:r w:rsidRPr="009A0AE9">
        <w:t xml:space="preserve">From </w:t>
      </w:r>
      <w:proofErr w:type="gramStart"/>
      <w:r w:rsidRPr="009A0AE9">
        <w:t>all of</w:t>
      </w:r>
      <w:proofErr w:type="gramEnd"/>
      <w:r w:rsidRPr="009A0AE9">
        <w:t xml:space="preserve"> this one can see how the mediaeval worldview affected the history of that age, and its cultural and social background.</w:t>
      </w:r>
    </w:p>
    <w:p w14:paraId="4128566A" w14:textId="77777777" w:rsidR="00541EDB" w:rsidRPr="006F7AA7" w:rsidRDefault="00541EDB" w:rsidP="00541EDB">
      <w:pPr>
        <w:pStyle w:val="Heading2"/>
      </w:pPr>
      <w:r w:rsidRPr="006F7AA7">
        <w:t>Conclusion</w:t>
      </w:r>
    </w:p>
    <w:p w14:paraId="4387F301" w14:textId="77777777" w:rsidR="00541EDB" w:rsidRPr="006F7AA7" w:rsidRDefault="00541EDB" w:rsidP="00541EDB">
      <w:r w:rsidRPr="00F579D6">
        <w:t xml:space="preserve">It is concluded that the author of "Chronicon </w:t>
      </w:r>
      <w:proofErr w:type="spellStart"/>
      <w:r w:rsidRPr="00F579D6">
        <w:t>Anglicanum</w:t>
      </w:r>
      <w:proofErr w:type="spellEnd"/>
      <w:r w:rsidRPr="00F579D6">
        <w:t xml:space="preserve">" was a priest given his interests in religion, politics, and odd natural phenomena. </w:t>
      </w:r>
      <w:proofErr w:type="gramStart"/>
      <w:r w:rsidRPr="00F579D6">
        <w:t>Despite the fact that</w:t>
      </w:r>
      <w:proofErr w:type="gramEnd"/>
      <w:r w:rsidRPr="00F579D6">
        <w:t xml:space="preserve"> it serves both as a historical record and an instructional resource, the chronicle may have been written with the intention of being read by those who are well-versed in both politics and theology. </w:t>
      </w:r>
      <w:proofErr w:type="gramStart"/>
      <w:r w:rsidRPr="00F579D6">
        <w:t>Due to the fact that</w:t>
      </w:r>
      <w:proofErr w:type="gramEnd"/>
      <w:r w:rsidRPr="00F579D6">
        <w:t xml:space="preserve"> it covers a lot of material about mediaeval society, politics, and religion, it will be highly beneficial to researchers. If the chronicle had not been available, it would have been impossible to do research on the Middle Ages.</w:t>
      </w:r>
    </w:p>
    <w:p w14:paraId="663F1483" w14:textId="77777777" w:rsidR="00416A7F" w:rsidRDefault="00416A7F"/>
    <w:p w14:paraId="0DDE4879" w14:textId="77777777" w:rsidR="00541EDB" w:rsidRDefault="00541EDB"/>
    <w:p w14:paraId="3E1F0E32" w14:textId="77777777" w:rsidR="00541EDB" w:rsidRDefault="00541EDB"/>
    <w:p w14:paraId="1DCE3BCD" w14:textId="77777777" w:rsidR="00541EDB" w:rsidRDefault="00541EDB"/>
    <w:p w14:paraId="1E2B5636" w14:textId="77777777" w:rsidR="00541EDB" w:rsidRDefault="00541EDB"/>
    <w:p w14:paraId="643B61BD" w14:textId="77777777" w:rsidR="00541EDB" w:rsidRDefault="00541EDB"/>
    <w:p w14:paraId="7E40A083" w14:textId="77777777" w:rsidR="00541EDB" w:rsidRDefault="00541EDB"/>
    <w:p w14:paraId="057B927B" w14:textId="77777777" w:rsidR="00541EDB" w:rsidRDefault="00541EDB"/>
    <w:p w14:paraId="086C7308" w14:textId="77777777" w:rsidR="00541EDB" w:rsidRDefault="00541EDB"/>
    <w:p w14:paraId="7A145D60" w14:textId="77777777" w:rsidR="00541EDB" w:rsidRDefault="00541EDB"/>
    <w:p w14:paraId="47DCA9B9" w14:textId="77777777" w:rsidR="00541EDB" w:rsidRDefault="00541EDB"/>
    <w:p w14:paraId="6AC074BC" w14:textId="77777777" w:rsidR="00541EDB" w:rsidRDefault="00541EDB"/>
    <w:p w14:paraId="07DD95DE" w14:textId="77777777" w:rsidR="00541EDB" w:rsidRDefault="00541EDB"/>
    <w:p w14:paraId="3AF1C4EC" w14:textId="77777777" w:rsidR="00541EDB" w:rsidRDefault="00541EDB"/>
    <w:p w14:paraId="04ECB7CD" w14:textId="77777777" w:rsidR="00541EDB" w:rsidRDefault="00541EDB"/>
    <w:p w14:paraId="1673A295" w14:textId="154BECDA" w:rsidR="00541EDB" w:rsidRDefault="00541EDB">
      <w:r>
        <w:t>References</w:t>
      </w:r>
    </w:p>
    <w:p w14:paraId="12EC2D73" w14:textId="77777777" w:rsidR="00541EDB" w:rsidRDefault="00541EDB"/>
    <w:p w14:paraId="474B619F" w14:textId="77777777" w:rsidR="00541EDB" w:rsidRDefault="00541EDB" w:rsidP="00541EDB">
      <w:pPr>
        <w:ind w:left="720" w:hanging="720"/>
      </w:pPr>
      <w:r>
        <w:t>Willoughby, J., The Chronicle of Ralph of Coggeshall: Publication and Censorship in Angevin England. In The Art of Publication from the Ninth to the Sixteenth Century (pp. 131-166).</w:t>
      </w:r>
    </w:p>
    <w:p w14:paraId="15354E00" w14:textId="77777777" w:rsidR="00335999" w:rsidRDefault="00335999" w:rsidP="00335999">
      <w:pPr>
        <w:ind w:left="720" w:hanging="720"/>
      </w:pPr>
      <w:r>
        <w:t>Wickson, R., 2015. Stephen Langton, the Bishops and. In Kings and Bishops in Medieval England, 1066–1216 (pp. 149-168). Palgrave, London.</w:t>
      </w:r>
    </w:p>
    <w:p w14:paraId="2DFAAC1B" w14:textId="77777777" w:rsidR="00335999" w:rsidRDefault="00335999" w:rsidP="00335999">
      <w:pPr>
        <w:ind w:left="720" w:hanging="720"/>
      </w:pPr>
      <w:r>
        <w:t>Rist, R., 2016. The Medieval Papacy, Crusading, and Heresy, 1095–1291. In A Companion to the Medieval Papacy (pp. 309-332). Brill.</w:t>
      </w:r>
    </w:p>
    <w:p w14:paraId="774D9BEF" w14:textId="77777777" w:rsidR="00335999" w:rsidRDefault="00335999" w:rsidP="00335999">
      <w:pPr>
        <w:ind w:left="720" w:hanging="720"/>
      </w:pPr>
      <w:r>
        <w:t>Hanley, C., 2016. Louis: the French prince who invaded England. Yale University Press.</w:t>
      </w:r>
    </w:p>
    <w:p w14:paraId="5405BA87" w14:textId="77777777" w:rsidR="00335999" w:rsidRDefault="00335999" w:rsidP="00335999">
      <w:pPr>
        <w:ind w:left="720" w:hanging="720"/>
      </w:pPr>
      <w:r>
        <w:t>Webster, P., 2015. King John and religion (Vol. 43). Boydell &amp; Brewer.</w:t>
      </w:r>
    </w:p>
    <w:p w14:paraId="77F21785" w14:textId="68CB1876" w:rsidR="000E2A46" w:rsidRDefault="000E2A46" w:rsidP="000E2A46">
      <w:pPr>
        <w:ind w:left="720" w:hanging="720"/>
      </w:pPr>
      <w:r>
        <w:t xml:space="preserve">Thomas, H.M., 2020. Power and pleasure: court life under King John, 1199-1216. Oxford </w:t>
      </w:r>
    </w:p>
    <w:p w14:paraId="774E7A10" w14:textId="1D7D3E48" w:rsidR="000E2A46" w:rsidRDefault="000E2A46" w:rsidP="000E2A46">
      <w:pPr>
        <w:ind w:left="720" w:hanging="720"/>
      </w:pPr>
      <w:r>
        <w:t>University Press, USA.</w:t>
      </w:r>
    </w:p>
    <w:p w14:paraId="3121F1F9" w14:textId="77777777" w:rsidR="000E2A46" w:rsidRDefault="000E2A46" w:rsidP="000E2A46">
      <w:pPr>
        <w:ind w:left="720" w:hanging="720"/>
      </w:pPr>
      <w:r>
        <w:t xml:space="preserve">Isaac, S., 2015. The Role of Towns in the Battle of </w:t>
      </w:r>
      <w:proofErr w:type="spellStart"/>
      <w:r>
        <w:t>Bouvines</w:t>
      </w:r>
      <w:proofErr w:type="spellEnd"/>
      <w:r>
        <w:t xml:space="preserve"> (1214). Journal of Military History, 79(2).</w:t>
      </w:r>
    </w:p>
    <w:p w14:paraId="1F3DFEAD" w14:textId="74C57C25" w:rsidR="000E2A46" w:rsidRDefault="000E2A46" w:rsidP="000E2A46">
      <w:pPr>
        <w:ind w:left="720" w:hanging="720"/>
      </w:pPr>
      <w:r>
        <w:t>Gerrard, D., 2016. The Church at War: The military activities of bishops, abbots and other clergy in England, c. 900-1200. Routledge.</w:t>
      </w:r>
    </w:p>
    <w:p w14:paraId="77C85BAE" w14:textId="77777777" w:rsidR="000E2A46" w:rsidRDefault="000E2A46" w:rsidP="000E2A46">
      <w:pPr>
        <w:ind w:left="720" w:hanging="720"/>
      </w:pPr>
      <w:r>
        <w:t>Bridges, B., 2017. Throne and Pulpit: The Relationship Between the Medieval Church and the Nascent State During the Pontificate of Alexander III (1159-1181). University of Idaho.</w:t>
      </w:r>
    </w:p>
    <w:p w14:paraId="2D92D36B" w14:textId="77777777" w:rsidR="000E2A46" w:rsidRDefault="000E2A46" w:rsidP="000E2A46">
      <w:pPr>
        <w:ind w:left="720" w:hanging="720"/>
      </w:pPr>
      <w:r>
        <w:t>Kaufman, A.S. and Sturtevant, P.B., 2020. The Devil's Historians: How Modern Extremists Abuse the Medieval Past. University of Toronto Press.</w:t>
      </w:r>
    </w:p>
    <w:p w14:paraId="73866169" w14:textId="77777777" w:rsidR="000E2A46" w:rsidRDefault="000E2A46" w:rsidP="000E2A46">
      <w:pPr>
        <w:ind w:left="720" w:hanging="720"/>
      </w:pPr>
      <w:r>
        <w:t>Grzymala-Busse, A., 2020. Beyond war and contracts: The medieval and religious roots of the European state. Annual Review of Political Science, 23, pp.19-36.</w:t>
      </w:r>
    </w:p>
    <w:p w14:paraId="29F7AA8B" w14:textId="77777777" w:rsidR="000E2A46" w:rsidRDefault="000E2A46" w:rsidP="000E2A46">
      <w:pPr>
        <w:ind w:left="720" w:hanging="720"/>
      </w:pPr>
    </w:p>
    <w:p w14:paraId="32E7ADFA" w14:textId="77777777" w:rsidR="00541EDB" w:rsidRDefault="00541EDB"/>
    <w:sectPr w:rsidR="00541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EDB"/>
    <w:rsid w:val="000E2A46"/>
    <w:rsid w:val="00153E51"/>
    <w:rsid w:val="00335999"/>
    <w:rsid w:val="00416A7F"/>
    <w:rsid w:val="00541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4277F"/>
  <w15:chartTrackingRefBased/>
  <w15:docId w15:val="{28C2A932-FF74-4A9C-990A-224B6EDDC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EDB"/>
    <w:pPr>
      <w:spacing w:before="120" w:after="120" w:line="240" w:lineRule="auto"/>
      <w:ind w:firstLine="720"/>
      <w:jc w:val="both"/>
    </w:pPr>
    <w:rPr>
      <w:rFonts w:ascii="Times New Roman" w:hAnsi="Times New Roman"/>
      <w:kern w:val="0"/>
      <w:sz w:val="24"/>
      <w:lang w:val="en-US"/>
      <w14:ligatures w14:val="none"/>
    </w:rPr>
  </w:style>
  <w:style w:type="paragraph" w:styleId="Heading1">
    <w:name w:val="heading 1"/>
    <w:basedOn w:val="Normal"/>
    <w:next w:val="Normal"/>
    <w:link w:val="Heading1Char"/>
    <w:autoRedefine/>
    <w:uiPriority w:val="9"/>
    <w:qFormat/>
    <w:rsid w:val="00541EDB"/>
    <w:pPr>
      <w:keepNext/>
      <w:keepLines/>
      <w:ind w:firstLine="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541EDB"/>
    <w:pPr>
      <w:keepNext/>
      <w:keepLines/>
      <w:ind w:firstLine="0"/>
      <w:jc w:val="left"/>
      <w:outlineLvl w:val="1"/>
    </w:pPr>
    <w:rPr>
      <w:rFonts w:eastAsiaTheme="majorEastAsia" w:cstheme="majorBidi"/>
      <w:bCs/>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EDB"/>
    <w:rPr>
      <w:rFonts w:ascii="Times New Roman" w:eastAsiaTheme="majorEastAsia" w:hAnsi="Times New Roman" w:cstheme="majorBidi"/>
      <w:b/>
      <w:i/>
      <w:color w:val="000000" w:themeColor="text1"/>
      <w:kern w:val="0"/>
      <w:sz w:val="24"/>
      <w:szCs w:val="32"/>
      <w:lang w:val="en-US"/>
      <w14:ligatures w14:val="none"/>
    </w:rPr>
  </w:style>
  <w:style w:type="character" w:customStyle="1" w:styleId="Heading2Char">
    <w:name w:val="Heading 2 Char"/>
    <w:basedOn w:val="DefaultParagraphFont"/>
    <w:link w:val="Heading2"/>
    <w:uiPriority w:val="9"/>
    <w:rsid w:val="00541EDB"/>
    <w:rPr>
      <w:rFonts w:ascii="Times New Roman" w:eastAsiaTheme="majorEastAsia" w:hAnsi="Times New Roman" w:cstheme="majorBidi"/>
      <w:bCs/>
      <w:i/>
      <w:color w:val="000000" w:themeColor="text1"/>
      <w:kern w:val="0"/>
      <w:sz w:val="24"/>
      <w:szCs w:val="2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1161</Words>
  <Characters>6619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Fanica Mazilu</dc:creator>
  <cp:keywords/>
  <dc:description/>
  <cp:lastModifiedBy>Fanica Mazilu</cp:lastModifiedBy>
  <cp:revision>2</cp:revision>
  <dcterms:created xsi:type="dcterms:W3CDTF">2023-12-24T00:24:00Z</dcterms:created>
  <dcterms:modified xsi:type="dcterms:W3CDTF">2023-12-24T00:24:00Z</dcterms:modified>
</cp:coreProperties>
</file>