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8A076" w14:textId="77777777" w:rsidR="001D4B8F" w:rsidRDefault="001D4B8F" w:rsidP="001D4B8F">
      <w:pPr>
        <w:pStyle w:val="NormalWeb"/>
        <w:spacing w:before="0" w:beforeAutospacing="0" w:after="0" w:afterAutospacing="0"/>
        <w:ind w:left="-180" w:right="-334"/>
      </w:pPr>
      <w:r>
        <w:rPr>
          <w:noProof/>
          <w:lang w:eastAsia="en-GB"/>
        </w:rPr>
        <w:drawing>
          <wp:inline distT="0" distB="0" distL="0" distR="0" wp14:anchorId="0353F56F" wp14:editId="46FB487D">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2C08A6F" w14:textId="77777777" w:rsidR="001D4B8F" w:rsidRDefault="001D4B8F" w:rsidP="001D4B8F">
      <w:pPr>
        <w:pStyle w:val="NormalWeb"/>
        <w:spacing w:before="0" w:beforeAutospacing="0" w:after="0" w:afterAutospacing="0"/>
        <w:ind w:left="-180" w:right="-334"/>
      </w:pPr>
    </w:p>
    <w:p w14:paraId="6F8BADAC" w14:textId="77777777" w:rsidR="001D4B8F" w:rsidRDefault="001D4B8F" w:rsidP="001D4B8F">
      <w:pPr>
        <w:pStyle w:val="NormalWeb"/>
        <w:spacing w:before="0" w:beforeAutospacing="0" w:after="0" w:afterAutospacing="0"/>
        <w:ind w:left="-180" w:right="-334"/>
      </w:pPr>
    </w:p>
    <w:p w14:paraId="5C928828" w14:textId="77777777"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7E5D4A" w14:textId="77777777"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6CDDC44" w14:textId="77777777" w:rsidR="001D4B8F" w:rsidRPr="00230F35" w:rsidRDefault="001D4B8F" w:rsidP="001D4B8F">
      <w:pPr>
        <w:rPr>
          <w:rFonts w:ascii="Arial" w:hAnsi="Arial" w:cs="Arial"/>
          <w:sz w:val="28"/>
          <w:szCs w:val="28"/>
          <w:lang w:val="cy-GB"/>
        </w:rPr>
      </w:pPr>
    </w:p>
    <w:p w14:paraId="7287E442" w14:textId="77777777" w:rsidR="001D4B8F" w:rsidRDefault="001D4B8F" w:rsidP="001D4B8F">
      <w:pPr>
        <w:pStyle w:val="Heading3"/>
        <w:jc w:val="center"/>
        <w:rPr>
          <w:lang w:val="cy-GB"/>
        </w:rPr>
      </w:pPr>
      <w:r>
        <w:rPr>
          <w:lang w:val="cy-GB"/>
        </w:rPr>
        <w:t>THIS SHEET MUST BE THE FIRST PAGE OF THE ASSIGNMENT YOU ARE SUBMITTING  (DO NOT SEND AS A SEPARATE FILE)</w:t>
      </w:r>
    </w:p>
    <w:p w14:paraId="624CA3B9" w14:textId="77777777"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14:paraId="5F4BF294" w14:textId="77777777" w:rsidTr="000E5422">
        <w:trPr>
          <w:trHeight w:val="614"/>
        </w:trPr>
        <w:tc>
          <w:tcPr>
            <w:tcW w:w="8856" w:type="dxa"/>
            <w:gridSpan w:val="5"/>
          </w:tcPr>
          <w:p w14:paraId="3131D1D7" w14:textId="77777777"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14:paraId="42880062" w14:textId="77777777" w:rsidTr="000E5422">
        <w:trPr>
          <w:trHeight w:val="718"/>
        </w:trPr>
        <w:tc>
          <w:tcPr>
            <w:tcW w:w="8856" w:type="dxa"/>
            <w:gridSpan w:val="5"/>
          </w:tcPr>
          <w:p w14:paraId="7FA610EC" w14:textId="699F1BF8" w:rsidR="001D4B8F"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EB2245">
              <w:rPr>
                <w:rFonts w:ascii="Arial" w:hAnsi="Arial" w:cs="Arial"/>
                <w:sz w:val="22"/>
                <w:szCs w:val="22"/>
              </w:rPr>
              <w:t xml:space="preserve"> </w:t>
            </w:r>
            <w:r w:rsidR="001D5327">
              <w:rPr>
                <w:rFonts w:ascii="Arial" w:hAnsi="Arial" w:cs="Arial"/>
                <w:sz w:val="22"/>
                <w:szCs w:val="22"/>
              </w:rPr>
              <w:t>Jacqueline Ginty</w:t>
            </w:r>
          </w:p>
          <w:p w14:paraId="20E422ED" w14:textId="77777777" w:rsidR="001D4B8F" w:rsidRPr="00230F35" w:rsidRDefault="001D4B8F" w:rsidP="000E5422">
            <w:pPr>
              <w:pStyle w:val="NormalWeb"/>
              <w:spacing w:before="0" w:beforeAutospacing="0" w:after="0" w:afterAutospacing="0"/>
              <w:ind w:right="34"/>
              <w:rPr>
                <w:rFonts w:ascii="Arial" w:hAnsi="Arial" w:cs="Arial"/>
                <w:sz w:val="22"/>
                <w:szCs w:val="22"/>
              </w:rPr>
            </w:pPr>
          </w:p>
          <w:p w14:paraId="6B1C94DE" w14:textId="77777777"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14:paraId="6E729A5B" w14:textId="77777777" w:rsidTr="000E5422">
        <w:trPr>
          <w:trHeight w:val="849"/>
        </w:trPr>
        <w:tc>
          <w:tcPr>
            <w:tcW w:w="4788" w:type="dxa"/>
          </w:tcPr>
          <w:p w14:paraId="768393A1" w14:textId="4D0173BF"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w:t>
            </w:r>
            <w:r w:rsidR="009B7EDC">
              <w:rPr>
                <w:rFonts w:ascii="Arial" w:hAnsi="Arial" w:cs="Arial"/>
                <w:sz w:val="22"/>
                <w:szCs w:val="22"/>
              </w:rPr>
              <w:t>APCA7005</w:t>
            </w:r>
          </w:p>
          <w:p w14:paraId="30C37423" w14:textId="77777777" w:rsidR="001D4B8F" w:rsidRPr="00230F35" w:rsidRDefault="001D4B8F" w:rsidP="000E5422">
            <w:pPr>
              <w:pStyle w:val="NormalWeb"/>
              <w:spacing w:before="0" w:beforeAutospacing="0" w:after="0" w:afterAutospacing="0"/>
              <w:ind w:right="34"/>
              <w:rPr>
                <w:rFonts w:ascii="Arial" w:hAnsi="Arial" w:cs="Arial"/>
                <w:sz w:val="22"/>
                <w:szCs w:val="22"/>
              </w:rPr>
            </w:pPr>
          </w:p>
          <w:p w14:paraId="554B24E0" w14:textId="78D7B60E" w:rsidR="001D4B8F"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875821">
              <w:rPr>
                <w:rFonts w:ascii="Arial" w:hAnsi="Arial" w:cs="Arial"/>
                <w:sz w:val="22"/>
                <w:szCs w:val="22"/>
              </w:rPr>
              <w:t xml:space="preserve"> </w:t>
            </w:r>
            <w:r w:rsidR="009B7EDC">
              <w:rPr>
                <w:rFonts w:ascii="Arial" w:hAnsi="Arial" w:cs="Arial"/>
                <w:sz w:val="22"/>
                <w:szCs w:val="22"/>
              </w:rPr>
              <w:t>Cosmology, Magic and Divination</w:t>
            </w:r>
          </w:p>
          <w:p w14:paraId="3ED28E20" w14:textId="77777777" w:rsidR="001D4B8F" w:rsidRDefault="001D4B8F" w:rsidP="000E5422">
            <w:pPr>
              <w:pStyle w:val="NormalWeb"/>
              <w:spacing w:before="0" w:beforeAutospacing="0" w:after="0" w:afterAutospacing="0"/>
              <w:ind w:right="34"/>
              <w:rPr>
                <w:rFonts w:ascii="Arial" w:hAnsi="Arial" w:cs="Arial"/>
                <w:sz w:val="22"/>
                <w:szCs w:val="22"/>
              </w:rPr>
            </w:pPr>
          </w:p>
          <w:p w14:paraId="2EA338EB" w14:textId="77777777" w:rsidR="001D4B8F" w:rsidRPr="00230F35" w:rsidRDefault="001D4B8F" w:rsidP="000E5422">
            <w:pPr>
              <w:pStyle w:val="NormalWeb"/>
              <w:spacing w:before="0" w:beforeAutospacing="0" w:after="0" w:afterAutospacing="0"/>
              <w:ind w:right="34"/>
              <w:rPr>
                <w:rFonts w:ascii="Arial" w:hAnsi="Arial" w:cs="Arial"/>
                <w:sz w:val="22"/>
                <w:szCs w:val="22"/>
              </w:rPr>
            </w:pPr>
          </w:p>
        </w:tc>
        <w:tc>
          <w:tcPr>
            <w:tcW w:w="2266" w:type="dxa"/>
            <w:gridSpan w:val="3"/>
          </w:tcPr>
          <w:p w14:paraId="46CB5A4D" w14:textId="77777777" w:rsidR="001D4B8F"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2540807" w14:textId="77777777" w:rsidR="001D5327" w:rsidRPr="00230F35" w:rsidRDefault="001D5327" w:rsidP="000E5422">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14:paraId="6CC4B607" w14:textId="77777777"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188214E" w14:textId="77777777"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14:paraId="7319AE1E" w14:textId="77777777" w:rsidTr="000E5422">
        <w:trPr>
          <w:trHeight w:val="1139"/>
        </w:trPr>
        <w:tc>
          <w:tcPr>
            <w:tcW w:w="8856" w:type="dxa"/>
            <w:gridSpan w:val="5"/>
          </w:tcPr>
          <w:p w14:paraId="3D9879EA" w14:textId="68315DB9" w:rsidR="001D5327" w:rsidRPr="003F7BFE" w:rsidRDefault="001D4B8F" w:rsidP="003F7BFE">
            <w:r w:rsidRPr="00230F35">
              <w:rPr>
                <w:rFonts w:ascii="Arial" w:hAnsi="Arial" w:cs="Arial"/>
                <w:szCs w:val="22"/>
              </w:rPr>
              <w:t>Assignment title:</w:t>
            </w:r>
            <w:r w:rsidR="00697D2A">
              <w:rPr>
                <w:rFonts w:ascii="Arial" w:hAnsi="Arial" w:cs="Arial"/>
                <w:szCs w:val="22"/>
              </w:rPr>
              <w:t xml:space="preserve"> </w:t>
            </w:r>
            <w:r w:rsidR="003F7BFE">
              <w:t>Analyse the connections between theurgy, philosophy and magic.</w:t>
            </w:r>
          </w:p>
          <w:p w14:paraId="1D89CC5E" w14:textId="77777777" w:rsidR="001D4B8F" w:rsidRPr="00230F35" w:rsidRDefault="001D4B8F" w:rsidP="003F7BFE">
            <w:pPr>
              <w:rPr>
                <w:rFonts w:ascii="Arial" w:hAnsi="Arial" w:cs="Arial"/>
                <w:szCs w:val="22"/>
              </w:rPr>
            </w:pPr>
          </w:p>
          <w:p w14:paraId="4A71FB21" w14:textId="77777777" w:rsidR="001D4B8F" w:rsidRDefault="001D4B8F" w:rsidP="003F7BFE">
            <w:pPr>
              <w:rPr>
                <w:rFonts w:ascii="Arial" w:hAnsi="Arial" w:cs="Arial"/>
                <w:szCs w:val="22"/>
              </w:rPr>
            </w:pPr>
          </w:p>
          <w:p w14:paraId="11BBF7AF" w14:textId="08B64589" w:rsidR="001D4B8F" w:rsidRPr="00230F35" w:rsidRDefault="001D5327" w:rsidP="003F7BFE">
            <w:pPr>
              <w:rPr>
                <w:rFonts w:ascii="Arial" w:hAnsi="Arial" w:cs="Arial"/>
                <w:szCs w:val="22"/>
              </w:rPr>
            </w:pPr>
            <w:r>
              <w:rPr>
                <w:rFonts w:ascii="Arial" w:hAnsi="Arial" w:cs="Arial"/>
                <w:szCs w:val="22"/>
              </w:rPr>
              <w:t>Assignment due date:</w:t>
            </w:r>
            <w:r w:rsidR="009B7EDC">
              <w:rPr>
                <w:rFonts w:ascii="Arial" w:hAnsi="Arial" w:cs="Arial"/>
                <w:szCs w:val="22"/>
              </w:rPr>
              <w:t xml:space="preserve"> Monday </w:t>
            </w:r>
            <w:r w:rsidR="00863581">
              <w:rPr>
                <w:rFonts w:ascii="Arial" w:hAnsi="Arial" w:cs="Arial"/>
                <w:szCs w:val="22"/>
              </w:rPr>
              <w:t>29</w:t>
            </w:r>
            <w:r w:rsidR="009B7EDC" w:rsidRPr="00667E90">
              <w:rPr>
                <w:rFonts w:ascii="Arial" w:hAnsi="Arial" w:cs="Arial"/>
                <w:szCs w:val="22"/>
                <w:vertAlign w:val="superscript"/>
              </w:rPr>
              <w:t>th</w:t>
            </w:r>
            <w:r w:rsidR="009B7EDC">
              <w:rPr>
                <w:rFonts w:ascii="Arial" w:hAnsi="Arial" w:cs="Arial"/>
                <w:szCs w:val="22"/>
              </w:rPr>
              <w:t xml:space="preserve"> Ju</w:t>
            </w:r>
            <w:r w:rsidR="00863581">
              <w:rPr>
                <w:rFonts w:ascii="Arial" w:hAnsi="Arial" w:cs="Arial"/>
                <w:szCs w:val="22"/>
              </w:rPr>
              <w:t>ly</w:t>
            </w:r>
            <w:r w:rsidR="009B7EDC">
              <w:rPr>
                <w:rFonts w:ascii="Arial" w:hAnsi="Arial" w:cs="Arial"/>
                <w:szCs w:val="22"/>
              </w:rPr>
              <w:t xml:space="preserve"> 2019</w:t>
            </w:r>
          </w:p>
        </w:tc>
      </w:tr>
      <w:tr w:rsidR="001D4B8F" w:rsidRPr="00230F35" w14:paraId="2D05994D" w14:textId="77777777" w:rsidTr="000E5422">
        <w:trPr>
          <w:trHeight w:val="978"/>
        </w:trPr>
        <w:tc>
          <w:tcPr>
            <w:tcW w:w="8856" w:type="dxa"/>
            <w:gridSpan w:val="5"/>
            <w:tcBorders>
              <w:bottom w:val="single" w:sz="4" w:space="0" w:color="000000"/>
            </w:tcBorders>
          </w:tcPr>
          <w:p w14:paraId="3B39A1EB" w14:textId="0DFD71A0" w:rsidR="001D4B8F" w:rsidRPr="00230F35" w:rsidRDefault="001D4B8F" w:rsidP="000E5422">
            <w:pPr>
              <w:rPr>
                <w:rFonts w:ascii="Arial" w:hAnsi="Arial" w:cs="Arial"/>
                <w:szCs w:val="22"/>
              </w:rPr>
            </w:pPr>
            <w:r w:rsidRPr="00230F35">
              <w:rPr>
                <w:rFonts w:ascii="Arial" w:hAnsi="Arial" w:cs="Arial"/>
                <w:szCs w:val="22"/>
              </w:rPr>
              <w:t>This assignment is for the       1</w:t>
            </w:r>
            <w:r w:rsidRPr="00230F35">
              <w:rPr>
                <w:rFonts w:ascii="Arial" w:hAnsi="Arial" w:cs="Arial"/>
                <w:szCs w:val="22"/>
                <w:vertAlign w:val="superscript"/>
              </w:rPr>
              <w:t xml:space="preserve">st </w:t>
            </w:r>
            <w:r w:rsidR="00863581">
              <w:rPr>
                <w:rFonts w:ascii="Arial" w:hAnsi="Arial" w:cs="Arial"/>
                <w:szCs w:val="22"/>
                <w:highlight w:val="lightGray"/>
              </w:rPr>
              <w:fldChar w:fldCharType="begin">
                <w:ffData>
                  <w:name w:val="Check13"/>
                  <w:enabled w:val="0"/>
                  <w:calcOnExit w:val="0"/>
                  <w:checkBox>
                    <w:sizeAuto/>
                    <w:default w:val="0"/>
                  </w:checkBox>
                </w:ffData>
              </w:fldChar>
            </w:r>
            <w:bookmarkStart w:id="0" w:name="Check13"/>
            <w:r w:rsidR="00863581">
              <w:rPr>
                <w:rFonts w:ascii="Arial" w:hAnsi="Arial" w:cs="Arial"/>
                <w:szCs w:val="22"/>
                <w:highlight w:val="lightGray"/>
              </w:rPr>
              <w:instrText xml:space="preserve"> FORMCHECKBOX </w:instrText>
            </w:r>
            <w:r w:rsidR="00F57006">
              <w:rPr>
                <w:rFonts w:ascii="Arial" w:hAnsi="Arial" w:cs="Arial"/>
                <w:szCs w:val="22"/>
                <w:highlight w:val="lightGray"/>
              </w:rPr>
            </w:r>
            <w:r w:rsidR="00F57006">
              <w:rPr>
                <w:rFonts w:ascii="Arial" w:hAnsi="Arial" w:cs="Arial"/>
                <w:szCs w:val="22"/>
                <w:highlight w:val="lightGray"/>
              </w:rPr>
              <w:fldChar w:fldCharType="separate"/>
            </w:r>
            <w:r w:rsidR="00863581">
              <w:rPr>
                <w:rFonts w:ascii="Arial" w:hAnsi="Arial" w:cs="Arial"/>
                <w:szCs w:val="22"/>
                <w:highlight w:val="lightGray"/>
              </w:rPr>
              <w:fldChar w:fldCharType="end"/>
            </w:r>
            <w:bookmarkEnd w:id="0"/>
            <w:r w:rsidRPr="00230F35">
              <w:rPr>
                <w:rFonts w:ascii="Arial" w:hAnsi="Arial" w:cs="Arial"/>
                <w:szCs w:val="22"/>
              </w:rPr>
              <w:t xml:space="preserve">    2</w:t>
            </w:r>
            <w:r w:rsidRPr="00230F35">
              <w:rPr>
                <w:rFonts w:ascii="Arial" w:hAnsi="Arial" w:cs="Arial"/>
                <w:szCs w:val="22"/>
                <w:vertAlign w:val="superscript"/>
              </w:rPr>
              <w:t>nd</w:t>
            </w:r>
            <w:r w:rsidRPr="00230F35">
              <w:rPr>
                <w:rFonts w:ascii="Arial" w:hAnsi="Arial" w:cs="Arial"/>
                <w:szCs w:val="22"/>
              </w:rPr>
              <w:t xml:space="preserve">  </w:t>
            </w:r>
            <w:r w:rsidR="009B7EDC">
              <w:rPr>
                <w:rFonts w:ascii="Arial" w:hAnsi="Arial" w:cs="Arial"/>
                <w:szCs w:val="22"/>
              </w:rPr>
              <w:fldChar w:fldCharType="begin">
                <w:ffData>
                  <w:name w:val="Check14"/>
                  <w:enabled/>
                  <w:calcOnExit w:val="0"/>
                  <w:checkBox>
                    <w:sizeAuto/>
                    <w:default w:val="0"/>
                  </w:checkBox>
                </w:ffData>
              </w:fldChar>
            </w:r>
            <w:bookmarkStart w:id="1" w:name="Check14"/>
            <w:r w:rsidR="009B7EDC">
              <w:rPr>
                <w:rFonts w:ascii="Arial" w:hAnsi="Arial" w:cs="Arial"/>
                <w:szCs w:val="22"/>
              </w:rPr>
              <w:instrText xml:space="preserve"> FORMCHECKBOX </w:instrText>
            </w:r>
            <w:r w:rsidR="00F57006">
              <w:rPr>
                <w:rFonts w:ascii="Arial" w:hAnsi="Arial" w:cs="Arial"/>
                <w:szCs w:val="22"/>
              </w:rPr>
            </w:r>
            <w:r w:rsidR="00F57006">
              <w:rPr>
                <w:rFonts w:ascii="Arial" w:hAnsi="Arial" w:cs="Arial"/>
                <w:szCs w:val="22"/>
              </w:rPr>
              <w:fldChar w:fldCharType="separate"/>
            </w:r>
            <w:r w:rsidR="009B7EDC">
              <w:rPr>
                <w:rFonts w:ascii="Arial" w:hAnsi="Arial" w:cs="Arial"/>
                <w:szCs w:val="22"/>
              </w:rPr>
              <w:fldChar w:fldCharType="end"/>
            </w:r>
            <w:bookmarkEnd w:id="1"/>
            <w:r w:rsidRPr="00230F35">
              <w:rPr>
                <w:rFonts w:ascii="Arial" w:hAnsi="Arial" w:cs="Arial"/>
                <w:szCs w:val="22"/>
              </w:rPr>
              <w:t xml:space="preserve">     3</w:t>
            </w:r>
            <w:r w:rsidRPr="00230F35">
              <w:rPr>
                <w:rFonts w:ascii="Arial" w:hAnsi="Arial" w:cs="Arial"/>
                <w:szCs w:val="22"/>
                <w:vertAlign w:val="superscript"/>
              </w:rPr>
              <w:t>rd</w:t>
            </w:r>
            <w:r w:rsidRPr="00230F35">
              <w:rPr>
                <w:rFonts w:ascii="Arial" w:hAnsi="Arial" w:cs="Arial"/>
                <w:szCs w:val="22"/>
              </w:rPr>
              <w:t xml:space="preserve">  </w:t>
            </w:r>
            <w:r w:rsidRPr="00230F35">
              <w:rPr>
                <w:rFonts w:ascii="Arial" w:hAnsi="Arial" w:cs="Arial"/>
                <w:szCs w:val="22"/>
              </w:rPr>
              <w:fldChar w:fldCharType="begin">
                <w:ffData>
                  <w:name w:val="Check15"/>
                  <w:enabled/>
                  <w:calcOnExit w:val="0"/>
                  <w:checkBox>
                    <w:sizeAuto/>
                    <w:default w:val="0"/>
                  </w:checkBox>
                </w:ffData>
              </w:fldChar>
            </w:r>
            <w:bookmarkStart w:id="2" w:name="Check15"/>
            <w:r w:rsidRPr="00230F35">
              <w:rPr>
                <w:rFonts w:ascii="Arial" w:hAnsi="Arial" w:cs="Arial"/>
                <w:szCs w:val="22"/>
              </w:rPr>
              <w:instrText xml:space="preserve"> FORMCHECKBOX </w:instrText>
            </w:r>
            <w:r w:rsidR="00F57006">
              <w:rPr>
                <w:rFonts w:ascii="Arial" w:hAnsi="Arial" w:cs="Arial"/>
                <w:szCs w:val="22"/>
              </w:rPr>
            </w:r>
            <w:r w:rsidR="00F57006">
              <w:rPr>
                <w:rFonts w:ascii="Arial" w:hAnsi="Arial" w:cs="Arial"/>
                <w:szCs w:val="22"/>
              </w:rPr>
              <w:fldChar w:fldCharType="separate"/>
            </w:r>
            <w:r w:rsidRPr="00230F35">
              <w:rPr>
                <w:rFonts w:ascii="Arial" w:hAnsi="Arial" w:cs="Arial"/>
                <w:szCs w:val="22"/>
              </w:rPr>
              <w:fldChar w:fldCharType="end"/>
            </w:r>
            <w:bookmarkEnd w:id="2"/>
            <w:r w:rsidRPr="00230F35">
              <w:rPr>
                <w:rFonts w:ascii="Arial" w:hAnsi="Arial" w:cs="Arial"/>
                <w:szCs w:val="22"/>
              </w:rPr>
              <w:t xml:space="preserve">      4</w:t>
            </w:r>
            <w:r w:rsidRPr="00230F35">
              <w:rPr>
                <w:rFonts w:ascii="Arial" w:hAnsi="Arial" w:cs="Arial"/>
                <w:szCs w:val="22"/>
                <w:vertAlign w:val="superscript"/>
              </w:rPr>
              <w:t>th</w:t>
            </w:r>
            <w:r w:rsidRPr="00230F35">
              <w:rPr>
                <w:rFonts w:ascii="Arial" w:hAnsi="Arial" w:cs="Arial"/>
                <w:szCs w:val="22"/>
              </w:rPr>
              <w:t xml:space="preserve"> </w:t>
            </w:r>
            <w:r w:rsidRPr="00230F35">
              <w:rPr>
                <w:rFonts w:ascii="Arial" w:hAnsi="Arial" w:cs="Arial"/>
                <w:szCs w:val="22"/>
              </w:rPr>
              <w:fldChar w:fldCharType="begin">
                <w:ffData>
                  <w:name w:val="Check16"/>
                  <w:enabled/>
                  <w:calcOnExit w:val="0"/>
                  <w:checkBox>
                    <w:sizeAuto/>
                    <w:default w:val="0"/>
                  </w:checkBox>
                </w:ffData>
              </w:fldChar>
            </w:r>
            <w:bookmarkStart w:id="3" w:name="Check16"/>
            <w:r w:rsidRPr="00230F35">
              <w:rPr>
                <w:rFonts w:ascii="Arial" w:hAnsi="Arial" w:cs="Arial"/>
                <w:szCs w:val="22"/>
              </w:rPr>
              <w:instrText xml:space="preserve"> FORMCHECKBOX </w:instrText>
            </w:r>
            <w:r w:rsidR="00F57006">
              <w:rPr>
                <w:rFonts w:ascii="Arial" w:hAnsi="Arial" w:cs="Arial"/>
                <w:szCs w:val="22"/>
              </w:rPr>
            </w:r>
            <w:r w:rsidR="00F57006">
              <w:rPr>
                <w:rFonts w:ascii="Arial" w:hAnsi="Arial" w:cs="Arial"/>
                <w:szCs w:val="22"/>
              </w:rPr>
              <w:fldChar w:fldCharType="separate"/>
            </w:r>
            <w:r w:rsidRPr="00230F35">
              <w:rPr>
                <w:rFonts w:ascii="Arial" w:hAnsi="Arial" w:cs="Arial"/>
                <w:szCs w:val="22"/>
              </w:rPr>
              <w:fldChar w:fldCharType="end"/>
            </w:r>
            <w:bookmarkEnd w:id="3"/>
            <w:r w:rsidRPr="00230F35">
              <w:rPr>
                <w:rFonts w:ascii="Arial" w:hAnsi="Arial" w:cs="Arial"/>
                <w:szCs w:val="22"/>
              </w:rPr>
              <w:t xml:space="preserve">      5</w:t>
            </w:r>
            <w:r w:rsidRPr="00230F35">
              <w:rPr>
                <w:rFonts w:ascii="Arial" w:hAnsi="Arial" w:cs="Arial"/>
                <w:szCs w:val="22"/>
                <w:vertAlign w:val="superscript"/>
              </w:rPr>
              <w:t>th</w:t>
            </w:r>
            <w:r w:rsidRPr="00230F35">
              <w:rPr>
                <w:rFonts w:ascii="Arial" w:hAnsi="Arial" w:cs="Arial"/>
                <w:szCs w:val="22"/>
              </w:rPr>
              <w:t xml:space="preserve"> </w:t>
            </w:r>
            <w:r w:rsidR="00863581">
              <w:rPr>
                <w:rFonts w:ascii="Arial" w:hAnsi="Arial" w:cs="Arial"/>
                <w:szCs w:val="22"/>
              </w:rPr>
              <w:fldChar w:fldCharType="begin">
                <w:ffData>
                  <w:name w:val="Check17"/>
                  <w:enabled/>
                  <w:calcOnExit w:val="0"/>
                  <w:checkBox>
                    <w:sizeAuto/>
                    <w:default w:val="1"/>
                  </w:checkBox>
                </w:ffData>
              </w:fldChar>
            </w:r>
            <w:bookmarkStart w:id="4" w:name="Check17"/>
            <w:r w:rsidR="00863581">
              <w:rPr>
                <w:rFonts w:ascii="Arial" w:hAnsi="Arial" w:cs="Arial"/>
                <w:szCs w:val="22"/>
              </w:rPr>
              <w:instrText xml:space="preserve"> FORMCHECKBOX </w:instrText>
            </w:r>
            <w:r w:rsidR="00F57006">
              <w:rPr>
                <w:rFonts w:ascii="Arial" w:hAnsi="Arial" w:cs="Arial"/>
                <w:szCs w:val="22"/>
              </w:rPr>
            </w:r>
            <w:r w:rsidR="00F57006">
              <w:rPr>
                <w:rFonts w:ascii="Arial" w:hAnsi="Arial" w:cs="Arial"/>
                <w:szCs w:val="22"/>
              </w:rPr>
              <w:fldChar w:fldCharType="separate"/>
            </w:r>
            <w:r w:rsidR="00863581">
              <w:rPr>
                <w:rFonts w:ascii="Arial" w:hAnsi="Arial" w:cs="Arial"/>
                <w:szCs w:val="22"/>
              </w:rPr>
              <w:fldChar w:fldCharType="end"/>
            </w:r>
            <w:bookmarkEnd w:id="4"/>
            <w:r w:rsidRPr="00230F35">
              <w:rPr>
                <w:rFonts w:ascii="Arial" w:hAnsi="Arial" w:cs="Arial"/>
                <w:szCs w:val="22"/>
              </w:rPr>
              <w:t xml:space="preserve">      6</w:t>
            </w:r>
            <w:r w:rsidRPr="00230F35">
              <w:rPr>
                <w:rFonts w:ascii="Arial" w:hAnsi="Arial" w:cs="Arial"/>
                <w:szCs w:val="22"/>
                <w:vertAlign w:val="superscript"/>
              </w:rPr>
              <w:t>th</w:t>
            </w:r>
            <w:r w:rsidRPr="00230F35">
              <w:rPr>
                <w:rFonts w:ascii="Arial" w:hAnsi="Arial" w:cs="Arial"/>
                <w:szCs w:val="22"/>
              </w:rPr>
              <w:t xml:space="preserve"> </w:t>
            </w:r>
            <w:r w:rsidRPr="00230F35">
              <w:rPr>
                <w:rFonts w:ascii="Arial" w:hAnsi="Arial" w:cs="Arial"/>
                <w:szCs w:val="22"/>
              </w:rPr>
              <w:fldChar w:fldCharType="begin">
                <w:ffData>
                  <w:name w:val="Check18"/>
                  <w:enabled/>
                  <w:calcOnExit w:val="0"/>
                  <w:checkBox>
                    <w:sizeAuto/>
                    <w:default w:val="0"/>
                  </w:checkBox>
                </w:ffData>
              </w:fldChar>
            </w:r>
            <w:bookmarkStart w:id="5" w:name="Check18"/>
            <w:r w:rsidRPr="00230F35">
              <w:rPr>
                <w:rFonts w:ascii="Arial" w:hAnsi="Arial" w:cs="Arial"/>
                <w:szCs w:val="22"/>
              </w:rPr>
              <w:instrText xml:space="preserve"> FORMCHECKBOX </w:instrText>
            </w:r>
            <w:r w:rsidR="00F57006">
              <w:rPr>
                <w:rFonts w:ascii="Arial" w:hAnsi="Arial" w:cs="Arial"/>
                <w:szCs w:val="22"/>
              </w:rPr>
            </w:r>
            <w:r w:rsidR="00F57006">
              <w:rPr>
                <w:rFonts w:ascii="Arial" w:hAnsi="Arial" w:cs="Arial"/>
                <w:szCs w:val="22"/>
              </w:rPr>
              <w:fldChar w:fldCharType="separate"/>
            </w:r>
            <w:r w:rsidRPr="00230F35">
              <w:rPr>
                <w:rFonts w:ascii="Arial" w:hAnsi="Arial" w:cs="Arial"/>
                <w:szCs w:val="22"/>
              </w:rPr>
              <w:fldChar w:fldCharType="end"/>
            </w:r>
            <w:bookmarkEnd w:id="5"/>
            <w:r w:rsidRPr="00230F35">
              <w:rPr>
                <w:rFonts w:ascii="Arial" w:hAnsi="Arial" w:cs="Arial"/>
                <w:b/>
                <w:szCs w:val="22"/>
              </w:rPr>
              <w:t xml:space="preserve">   </w:t>
            </w:r>
            <w:r w:rsidRPr="00230F35">
              <w:rPr>
                <w:rFonts w:ascii="Arial" w:hAnsi="Arial" w:cs="Arial"/>
                <w:szCs w:val="22"/>
              </w:rPr>
              <w:t>module of the degre</w:t>
            </w:r>
            <w:r>
              <w:rPr>
                <w:rFonts w:ascii="Arial" w:hAnsi="Arial" w:cs="Arial"/>
                <w:szCs w:val="22"/>
              </w:rPr>
              <w:t>e</w:t>
            </w:r>
          </w:p>
        </w:tc>
      </w:tr>
      <w:tr w:rsidR="001D4B8F" w:rsidRPr="00230F35" w14:paraId="59C2F326" w14:textId="77777777" w:rsidTr="000E5422">
        <w:trPr>
          <w:trHeight w:val="978"/>
        </w:trPr>
        <w:tc>
          <w:tcPr>
            <w:tcW w:w="8856" w:type="dxa"/>
            <w:gridSpan w:val="5"/>
            <w:shd w:val="clear" w:color="auto" w:fill="D9D9D9"/>
          </w:tcPr>
          <w:p w14:paraId="4AD6EC26" w14:textId="77777777" w:rsidR="001D4B8F" w:rsidRPr="00230F35"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22E4B17" w14:textId="77777777" w:rsidR="001D4B8F" w:rsidRDefault="001D4B8F" w:rsidP="000E54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3F7BFE">
              <w:rPr>
                <w:rFonts w:ascii="Arial" w:hAnsi="Arial" w:cs="Arial"/>
                <w:sz w:val="22"/>
                <w:szCs w:val="22"/>
              </w:rPr>
              <w:t>……</w:t>
            </w:r>
            <w:r w:rsidRPr="00230F35">
              <w:rPr>
                <w:rFonts w:ascii="Arial" w:hAnsi="Arial" w:cs="Arial"/>
                <w:sz w:val="22"/>
                <w:szCs w:val="22"/>
              </w:rPr>
              <w:t>………………………………………………</w:t>
            </w:r>
          </w:p>
          <w:p w14:paraId="350390AA" w14:textId="77777777" w:rsidR="001D4B8F" w:rsidRDefault="001D4B8F" w:rsidP="000E542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64D1A565" w14:textId="77777777" w:rsidR="001D4B8F" w:rsidRPr="00230F35" w:rsidRDefault="001D4B8F" w:rsidP="000E542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14:paraId="164D783F" w14:textId="77777777" w:rsidTr="000E5422">
        <w:trPr>
          <w:trHeight w:val="3972"/>
        </w:trPr>
        <w:tc>
          <w:tcPr>
            <w:tcW w:w="8856" w:type="dxa"/>
            <w:gridSpan w:val="5"/>
          </w:tcPr>
          <w:p w14:paraId="26F6E261" w14:textId="77777777" w:rsidR="001D4B8F" w:rsidRDefault="001D4B8F" w:rsidP="000E5422">
            <w:pPr>
              <w:rPr>
                <w:rFonts w:ascii="Arial" w:hAnsi="Arial"/>
                <w:b/>
              </w:rPr>
            </w:pPr>
          </w:p>
          <w:p w14:paraId="68577A74" w14:textId="77777777" w:rsidR="001D4B8F" w:rsidRPr="00116CE6" w:rsidRDefault="001D4B8F" w:rsidP="000E542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14:paraId="279CC5EE" w14:textId="77777777" w:rsidTr="000E5422">
              <w:tc>
                <w:tcPr>
                  <w:tcW w:w="6970" w:type="dxa"/>
                </w:tcPr>
                <w:p w14:paraId="7F019E76" w14:textId="77777777" w:rsidR="001D4B8F" w:rsidRPr="00116CE6" w:rsidRDefault="001D4B8F" w:rsidP="000E5422">
                  <w:pPr>
                    <w:rPr>
                      <w:rFonts w:ascii="Arial" w:hAnsi="Arial"/>
                      <w:sz w:val="20"/>
                      <w:szCs w:val="20"/>
                    </w:rPr>
                  </w:pPr>
                </w:p>
                <w:p w14:paraId="7C290B67" w14:textId="77777777" w:rsidR="001D4B8F" w:rsidRPr="00116CE6" w:rsidRDefault="001D4B8F" w:rsidP="000E542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DA7560B" w14:textId="77777777" w:rsidR="001D4B8F" w:rsidRPr="00116CE6" w:rsidRDefault="001D4B8F" w:rsidP="000E5422">
                  <w:pPr>
                    <w:rPr>
                      <w:rFonts w:ascii="Arial" w:hAnsi="Arial"/>
                      <w:sz w:val="20"/>
                      <w:szCs w:val="20"/>
                    </w:rPr>
                  </w:pPr>
                </w:p>
              </w:tc>
            </w:tr>
            <w:tr w:rsidR="001D4B8F" w:rsidRPr="00116CE6" w14:paraId="09474044" w14:textId="77777777" w:rsidTr="000E5422">
              <w:tc>
                <w:tcPr>
                  <w:tcW w:w="6970" w:type="dxa"/>
                </w:tcPr>
                <w:p w14:paraId="4461FE72" w14:textId="77777777" w:rsidR="001D4B8F" w:rsidRPr="00116CE6" w:rsidRDefault="001D4B8F" w:rsidP="000E5422">
                  <w:pPr>
                    <w:rPr>
                      <w:rFonts w:ascii="Arial" w:hAnsi="Arial"/>
                      <w:sz w:val="20"/>
                      <w:szCs w:val="20"/>
                    </w:rPr>
                  </w:pPr>
                </w:p>
                <w:p w14:paraId="7E6B4416" w14:textId="77777777" w:rsidR="001D4B8F" w:rsidRPr="00116CE6" w:rsidRDefault="001D4B8F" w:rsidP="000E542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1FF6AD" w14:textId="77777777" w:rsidR="001D4B8F" w:rsidRPr="00116CE6" w:rsidRDefault="001D4B8F" w:rsidP="000E5422">
                  <w:pPr>
                    <w:rPr>
                      <w:rFonts w:ascii="Arial" w:hAnsi="Arial"/>
                      <w:sz w:val="20"/>
                      <w:szCs w:val="20"/>
                    </w:rPr>
                  </w:pPr>
                </w:p>
              </w:tc>
            </w:tr>
            <w:tr w:rsidR="001D4B8F" w:rsidRPr="00116CE6" w14:paraId="4BADFA74" w14:textId="77777777" w:rsidTr="000E5422">
              <w:tc>
                <w:tcPr>
                  <w:tcW w:w="6970" w:type="dxa"/>
                </w:tcPr>
                <w:p w14:paraId="0D791619" w14:textId="77777777" w:rsidR="001D4B8F" w:rsidRPr="00116CE6" w:rsidRDefault="001D4B8F" w:rsidP="000E5422">
                  <w:pPr>
                    <w:rPr>
                      <w:rFonts w:ascii="Arial" w:hAnsi="Arial"/>
                      <w:sz w:val="20"/>
                      <w:szCs w:val="20"/>
                    </w:rPr>
                  </w:pPr>
                </w:p>
                <w:p w14:paraId="795162B1" w14:textId="77777777" w:rsidR="001D4B8F" w:rsidRPr="00116CE6" w:rsidRDefault="001D4B8F" w:rsidP="000E542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244278C" w14:textId="77777777" w:rsidR="001D4B8F" w:rsidRPr="00116CE6" w:rsidRDefault="001D4B8F" w:rsidP="000E5422">
                  <w:pPr>
                    <w:rPr>
                      <w:rFonts w:ascii="Arial" w:hAnsi="Arial"/>
                      <w:sz w:val="20"/>
                      <w:szCs w:val="20"/>
                    </w:rPr>
                  </w:pPr>
                </w:p>
              </w:tc>
            </w:tr>
            <w:tr w:rsidR="001D4B8F" w:rsidRPr="00116CE6" w14:paraId="16334050" w14:textId="77777777" w:rsidTr="000E5422">
              <w:tc>
                <w:tcPr>
                  <w:tcW w:w="6970" w:type="dxa"/>
                </w:tcPr>
                <w:p w14:paraId="6C6E10C0" w14:textId="77777777" w:rsidR="001D4B8F" w:rsidRDefault="001D4B8F" w:rsidP="000E5422">
                  <w:pPr>
                    <w:rPr>
                      <w:rFonts w:ascii="Arial" w:hAnsi="Arial"/>
                      <w:sz w:val="20"/>
                      <w:szCs w:val="20"/>
                    </w:rPr>
                  </w:pPr>
                </w:p>
                <w:p w14:paraId="55858312" w14:textId="77777777" w:rsidR="001D4B8F" w:rsidRPr="00022345" w:rsidRDefault="001D4B8F" w:rsidP="000E5422">
                  <w:pPr>
                    <w:rPr>
                      <w:rFonts w:ascii="Arial" w:hAnsi="Arial"/>
                      <w:b/>
                      <w:sz w:val="20"/>
                      <w:szCs w:val="20"/>
                    </w:rPr>
                  </w:pPr>
                  <w:r w:rsidRPr="00022345">
                    <w:rPr>
                      <w:rFonts w:ascii="Arial" w:hAnsi="Arial"/>
                      <w:b/>
                      <w:sz w:val="20"/>
                      <w:szCs w:val="20"/>
                    </w:rPr>
                    <w:t>Final Mark</w:t>
                  </w:r>
                </w:p>
                <w:p w14:paraId="7E0223F9" w14:textId="77777777" w:rsidR="001D4B8F" w:rsidRPr="00116CE6" w:rsidRDefault="001D4B8F" w:rsidP="000E5422">
                  <w:pPr>
                    <w:rPr>
                      <w:rFonts w:ascii="Arial" w:hAnsi="Arial"/>
                      <w:sz w:val="20"/>
                      <w:szCs w:val="20"/>
                    </w:rPr>
                  </w:pPr>
                </w:p>
              </w:tc>
              <w:tc>
                <w:tcPr>
                  <w:tcW w:w="1660" w:type="dxa"/>
                </w:tcPr>
                <w:p w14:paraId="332B10E0" w14:textId="77777777" w:rsidR="001D4B8F" w:rsidRPr="00116CE6" w:rsidRDefault="001D4B8F" w:rsidP="000E5422">
                  <w:pPr>
                    <w:rPr>
                      <w:rFonts w:ascii="Arial" w:hAnsi="Arial"/>
                      <w:sz w:val="20"/>
                      <w:szCs w:val="20"/>
                    </w:rPr>
                  </w:pPr>
                </w:p>
              </w:tc>
            </w:tr>
          </w:tbl>
          <w:p w14:paraId="4736F5DC" w14:textId="77777777" w:rsidR="001D4B8F" w:rsidRDefault="001D4B8F" w:rsidP="000E5422">
            <w:pPr>
              <w:pStyle w:val="NormalWeb"/>
              <w:spacing w:before="0" w:beforeAutospacing="0" w:after="0" w:afterAutospacing="0"/>
              <w:ind w:left="142" w:right="34"/>
              <w:rPr>
                <w:rFonts w:ascii="Arial" w:hAnsi="Arial" w:cs="Arial"/>
                <w:b/>
                <w:sz w:val="22"/>
                <w:szCs w:val="22"/>
              </w:rPr>
            </w:pPr>
          </w:p>
          <w:p w14:paraId="2282C6A0" w14:textId="77777777" w:rsidR="001D4B8F" w:rsidRPr="00230F35" w:rsidRDefault="001D4B8F" w:rsidP="000E542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E0AA977" w14:textId="77777777" w:rsidR="001D4B8F" w:rsidRDefault="001D4B8F" w:rsidP="000E5422">
            <w:pPr>
              <w:pStyle w:val="NormalWeb"/>
              <w:spacing w:before="0" w:beforeAutospacing="0" w:after="0" w:afterAutospacing="0"/>
              <w:rPr>
                <w:rFonts w:ascii="Arial" w:hAnsi="Arial" w:cs="Arial"/>
                <w:b/>
                <w:sz w:val="22"/>
                <w:szCs w:val="22"/>
              </w:rPr>
            </w:pPr>
          </w:p>
          <w:p w14:paraId="4A13FCB1" w14:textId="77777777" w:rsidR="001D4B8F" w:rsidRDefault="001D4B8F" w:rsidP="000E5422">
            <w:pPr>
              <w:pStyle w:val="NormalWeb"/>
              <w:spacing w:before="0" w:beforeAutospacing="0" w:after="0" w:afterAutospacing="0"/>
              <w:rPr>
                <w:rFonts w:ascii="Arial" w:hAnsi="Arial" w:cs="Arial"/>
                <w:b/>
                <w:sz w:val="22"/>
                <w:szCs w:val="22"/>
              </w:rPr>
            </w:pPr>
          </w:p>
          <w:p w14:paraId="7BD1F08F" w14:textId="77777777" w:rsidR="001D4B8F" w:rsidRDefault="001D4B8F" w:rsidP="000E5422">
            <w:pPr>
              <w:pStyle w:val="NormalWeb"/>
              <w:spacing w:before="0" w:beforeAutospacing="0" w:after="0" w:afterAutospacing="0"/>
              <w:rPr>
                <w:rFonts w:ascii="Arial" w:hAnsi="Arial" w:cs="Arial"/>
                <w:b/>
                <w:sz w:val="22"/>
                <w:szCs w:val="22"/>
              </w:rPr>
            </w:pPr>
          </w:p>
          <w:p w14:paraId="40068B1F" w14:textId="77777777" w:rsidR="001D4B8F" w:rsidRDefault="001D4B8F" w:rsidP="000E5422">
            <w:pPr>
              <w:pStyle w:val="NormalWeb"/>
              <w:spacing w:before="0" w:beforeAutospacing="0" w:after="0" w:afterAutospacing="0"/>
              <w:rPr>
                <w:rFonts w:ascii="Arial" w:hAnsi="Arial" w:cs="Arial"/>
                <w:b/>
                <w:sz w:val="22"/>
                <w:szCs w:val="22"/>
              </w:rPr>
            </w:pPr>
          </w:p>
          <w:p w14:paraId="5613F0C3" w14:textId="77777777" w:rsidR="001D4B8F" w:rsidRDefault="001D4B8F" w:rsidP="000E5422">
            <w:pPr>
              <w:pStyle w:val="NormalWeb"/>
              <w:spacing w:before="0" w:beforeAutospacing="0" w:after="0" w:afterAutospacing="0"/>
              <w:rPr>
                <w:rFonts w:ascii="Arial" w:hAnsi="Arial" w:cs="Arial"/>
                <w:b/>
                <w:sz w:val="22"/>
                <w:szCs w:val="22"/>
              </w:rPr>
            </w:pPr>
          </w:p>
          <w:p w14:paraId="56085423" w14:textId="77777777" w:rsidR="001D4B8F" w:rsidRPr="00230F35" w:rsidRDefault="001D4B8F" w:rsidP="000E542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890A0C1" w14:textId="77777777" w:rsidR="001D4B8F" w:rsidRDefault="001D4B8F" w:rsidP="000E542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F73BE03" w14:textId="77777777" w:rsidR="001D4B8F" w:rsidRPr="00001C3B" w:rsidRDefault="001D4B8F" w:rsidP="000E5422">
            <w:pPr>
              <w:pStyle w:val="NormalWeb"/>
              <w:rPr>
                <w:rFonts w:ascii="Arial" w:hAnsi="Arial" w:cs="Arial"/>
                <w:sz w:val="22"/>
                <w:szCs w:val="22"/>
              </w:rPr>
            </w:pPr>
          </w:p>
        </w:tc>
      </w:tr>
      <w:tr w:rsidR="001D4B8F" w:rsidRPr="00230F35" w14:paraId="095E391F" w14:textId="77777777" w:rsidTr="000E5422">
        <w:trPr>
          <w:trHeight w:val="492"/>
        </w:trPr>
        <w:tc>
          <w:tcPr>
            <w:tcW w:w="6768" w:type="dxa"/>
            <w:gridSpan w:val="3"/>
          </w:tcPr>
          <w:p w14:paraId="350AC5CE" w14:textId="77777777" w:rsidR="001D4B8F" w:rsidRPr="00230F35" w:rsidRDefault="001D4B8F" w:rsidP="000E5422">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9533D29" w14:textId="77777777" w:rsidR="001D4B8F" w:rsidRPr="00230F35" w:rsidRDefault="001D4B8F" w:rsidP="000E5422">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14:paraId="1EA7B186" w14:textId="77777777" w:rsidTr="000E5422">
        <w:tc>
          <w:tcPr>
            <w:tcW w:w="8856" w:type="dxa"/>
            <w:gridSpan w:val="5"/>
          </w:tcPr>
          <w:p w14:paraId="7EC20B09" w14:textId="77777777" w:rsidR="001D4B8F" w:rsidRPr="00230F35" w:rsidRDefault="001D4B8F" w:rsidP="000E5422">
            <w:pPr>
              <w:pStyle w:val="NormalWeb"/>
              <w:spacing w:before="0" w:beforeAutospacing="0" w:after="0" w:afterAutospacing="0"/>
              <w:ind w:right="-334"/>
              <w:rPr>
                <w:rFonts w:ascii="Arial" w:hAnsi="Arial" w:cs="Arial"/>
                <w:bCs/>
                <w:i/>
                <w:sz w:val="22"/>
                <w:szCs w:val="22"/>
              </w:rPr>
            </w:pPr>
          </w:p>
          <w:p w14:paraId="752E61FC" w14:textId="77777777" w:rsidR="001D4B8F" w:rsidRPr="00230F35" w:rsidRDefault="001D4B8F" w:rsidP="000E542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F71FB5C" w14:textId="77777777" w:rsidR="001D4B8F" w:rsidRPr="00230F35" w:rsidRDefault="001D4B8F" w:rsidP="000E5422">
            <w:pPr>
              <w:pStyle w:val="NormalWeb"/>
              <w:spacing w:before="0" w:beforeAutospacing="0" w:after="0" w:afterAutospacing="0"/>
              <w:ind w:right="-334"/>
              <w:rPr>
                <w:rFonts w:ascii="Arial" w:hAnsi="Arial" w:cs="Arial"/>
                <w:b/>
                <w:bCs/>
                <w:sz w:val="22"/>
                <w:szCs w:val="22"/>
              </w:rPr>
            </w:pPr>
          </w:p>
          <w:p w14:paraId="22C4A0CF"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59FB5D"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530D1AA4"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38C3E929"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ED48CBB"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B27BCAC"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E7DEB0D"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FAF2006"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0C6C58E7"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339B5DC6" w14:textId="77777777" w:rsidR="001D4B8F" w:rsidRDefault="001D4B8F" w:rsidP="000E5422">
            <w:pPr>
              <w:pStyle w:val="NormalWeb"/>
              <w:spacing w:before="0" w:beforeAutospacing="0" w:after="0" w:afterAutospacing="0"/>
              <w:ind w:right="-334"/>
              <w:rPr>
                <w:rFonts w:ascii="Arial" w:hAnsi="Arial" w:cs="Arial"/>
                <w:bCs/>
                <w:sz w:val="22"/>
                <w:szCs w:val="22"/>
              </w:rPr>
            </w:pPr>
          </w:p>
          <w:p w14:paraId="6A69562F"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661C406F"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64E0C9B9"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tc>
      </w:tr>
      <w:tr w:rsidR="001D4B8F" w:rsidRPr="002F467C" w14:paraId="217B18C7" w14:textId="77777777" w:rsidTr="000E5422">
        <w:trPr>
          <w:trHeight w:val="720"/>
        </w:trPr>
        <w:tc>
          <w:tcPr>
            <w:tcW w:w="5211" w:type="dxa"/>
            <w:gridSpan w:val="2"/>
          </w:tcPr>
          <w:p w14:paraId="22522A10"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5246D1F"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14:paraId="3617E39E" w14:textId="77777777" w:rsidTr="000E5422">
        <w:trPr>
          <w:trHeight w:val="720"/>
        </w:trPr>
        <w:tc>
          <w:tcPr>
            <w:tcW w:w="8856" w:type="dxa"/>
            <w:gridSpan w:val="5"/>
          </w:tcPr>
          <w:p w14:paraId="0A724DF5" w14:textId="77777777" w:rsidR="001D4B8F" w:rsidRPr="00B34964" w:rsidRDefault="001D4B8F" w:rsidP="000E5422">
            <w:pPr>
              <w:rPr>
                <w:rFonts w:ascii="Arial" w:hAnsi="Arial" w:cs="Arial"/>
                <w:b/>
                <w:szCs w:val="22"/>
              </w:rPr>
            </w:pPr>
            <w:r w:rsidRPr="00B34964">
              <w:rPr>
                <w:rFonts w:ascii="Arial" w:hAnsi="Arial" w:cs="Arial"/>
                <w:b/>
                <w:szCs w:val="22"/>
              </w:rPr>
              <w:t>External Examiner’s comments (if relevant)</w:t>
            </w:r>
          </w:p>
          <w:p w14:paraId="5E25644D"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5B85D5EE"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386D043F"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948B73C"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05AA442E"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700641D8"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3B18F0F5"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46E0B9A6"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363EFC8F" w14:textId="77777777" w:rsidR="001D4B8F" w:rsidRDefault="001D4B8F" w:rsidP="000E5422">
            <w:pPr>
              <w:pStyle w:val="NormalWeb"/>
              <w:spacing w:before="0" w:beforeAutospacing="0" w:after="0" w:afterAutospacing="0"/>
              <w:ind w:right="-334"/>
              <w:rPr>
                <w:rFonts w:ascii="Arial" w:hAnsi="Arial" w:cs="Arial"/>
                <w:bCs/>
                <w:sz w:val="22"/>
                <w:szCs w:val="22"/>
              </w:rPr>
            </w:pPr>
          </w:p>
          <w:p w14:paraId="296BB8F7"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p w14:paraId="24A3AC5B" w14:textId="77777777" w:rsidR="001D4B8F" w:rsidRPr="00230F35" w:rsidRDefault="001D4B8F" w:rsidP="000E5422">
            <w:pPr>
              <w:pStyle w:val="NormalWeb"/>
              <w:spacing w:before="0" w:beforeAutospacing="0" w:after="0" w:afterAutospacing="0"/>
              <w:ind w:right="-334"/>
              <w:rPr>
                <w:rFonts w:ascii="Arial" w:hAnsi="Arial" w:cs="Arial"/>
                <w:bCs/>
                <w:sz w:val="22"/>
                <w:szCs w:val="22"/>
              </w:rPr>
            </w:pPr>
          </w:p>
        </w:tc>
      </w:tr>
      <w:tr w:rsidR="001D4B8F" w:rsidRPr="002F467C" w14:paraId="6401CE81" w14:textId="77777777" w:rsidTr="000E5422">
        <w:trPr>
          <w:trHeight w:val="720"/>
        </w:trPr>
        <w:tc>
          <w:tcPr>
            <w:tcW w:w="5211" w:type="dxa"/>
            <w:gridSpan w:val="2"/>
          </w:tcPr>
          <w:p w14:paraId="4D8405F4" w14:textId="77777777" w:rsidR="001D4B8F" w:rsidRPr="00230F35" w:rsidRDefault="001D4B8F" w:rsidP="000E5422">
            <w:pPr>
              <w:rPr>
                <w:rFonts w:ascii="Arial" w:hAnsi="Arial" w:cs="Arial"/>
                <w:szCs w:val="22"/>
              </w:rPr>
            </w:pPr>
            <w:r w:rsidRPr="00230F35">
              <w:rPr>
                <w:rFonts w:ascii="Arial" w:hAnsi="Arial" w:cs="Arial"/>
                <w:szCs w:val="22"/>
              </w:rPr>
              <w:t>External Examiner’s Signature:</w:t>
            </w:r>
          </w:p>
        </w:tc>
        <w:tc>
          <w:tcPr>
            <w:tcW w:w="3645" w:type="dxa"/>
            <w:gridSpan w:val="3"/>
          </w:tcPr>
          <w:p w14:paraId="5CE54E83" w14:textId="77777777" w:rsidR="001D4B8F" w:rsidRPr="00230F35" w:rsidRDefault="001D4B8F" w:rsidP="000E5422">
            <w:pPr>
              <w:rPr>
                <w:rFonts w:ascii="Arial" w:hAnsi="Arial" w:cs="Arial"/>
                <w:szCs w:val="22"/>
              </w:rPr>
            </w:pPr>
            <w:r w:rsidRPr="00230F35">
              <w:rPr>
                <w:rFonts w:ascii="Arial" w:hAnsi="Arial" w:cs="Arial"/>
                <w:szCs w:val="22"/>
              </w:rPr>
              <w:t>Date:</w:t>
            </w:r>
          </w:p>
        </w:tc>
      </w:tr>
    </w:tbl>
    <w:p w14:paraId="345C1FAD" w14:textId="77777777" w:rsidR="00D86AC8" w:rsidRDefault="00D86AC8" w:rsidP="00D86AC8">
      <w:pPr>
        <w:rPr>
          <w:color w:val="000000"/>
        </w:rPr>
      </w:pPr>
    </w:p>
    <w:p w14:paraId="4D381081" w14:textId="77777777" w:rsidR="00D86AC8" w:rsidRDefault="00D86AC8" w:rsidP="00D86AC8">
      <w:pPr>
        <w:rPr>
          <w:color w:val="000000"/>
        </w:rPr>
      </w:pPr>
    </w:p>
    <w:p w14:paraId="3B68EF8F" w14:textId="14C1BC7C" w:rsidR="00F62FA9" w:rsidRPr="00F62FA9" w:rsidRDefault="00F62FA9" w:rsidP="00F62FA9">
      <w:pPr>
        <w:contextualSpacing/>
        <w:rPr>
          <w:rFonts w:ascii="Calibri Light" w:hAnsi="Calibri Light"/>
          <w:spacing w:val="-10"/>
          <w:kern w:val="28"/>
          <w:sz w:val="36"/>
          <w:szCs w:val="56"/>
        </w:rPr>
      </w:pPr>
      <w:r w:rsidRPr="00F62FA9">
        <w:rPr>
          <w:rFonts w:ascii="Calibri Light" w:hAnsi="Calibri Light"/>
          <w:spacing w:val="-10"/>
          <w:kern w:val="28"/>
          <w:sz w:val="36"/>
          <w:szCs w:val="56"/>
        </w:rPr>
        <w:lastRenderedPageBreak/>
        <w:t xml:space="preserve">Analyse the </w:t>
      </w:r>
      <w:r w:rsidR="00073BBA">
        <w:rPr>
          <w:rFonts w:ascii="Calibri Light" w:hAnsi="Calibri Light"/>
          <w:spacing w:val="-10"/>
          <w:kern w:val="28"/>
          <w:sz w:val="36"/>
          <w:szCs w:val="56"/>
        </w:rPr>
        <w:t>c</w:t>
      </w:r>
      <w:r w:rsidRPr="00F62FA9">
        <w:rPr>
          <w:rFonts w:ascii="Calibri Light" w:hAnsi="Calibri Light"/>
          <w:spacing w:val="-10"/>
          <w:kern w:val="28"/>
          <w:sz w:val="36"/>
          <w:szCs w:val="56"/>
        </w:rPr>
        <w:t xml:space="preserve">onnections between theurgy, philosophy and magic </w:t>
      </w:r>
    </w:p>
    <w:p w14:paraId="43BB13AC" w14:textId="77777777" w:rsidR="00F62FA9" w:rsidRPr="00F62FA9" w:rsidRDefault="00F62FA9" w:rsidP="00F62FA9">
      <w:pPr>
        <w:rPr>
          <w:rFonts w:ascii="Calibri" w:eastAsia="Calibri" w:hAnsi="Calibri"/>
          <w:sz w:val="22"/>
        </w:rPr>
      </w:pPr>
    </w:p>
    <w:p w14:paraId="7AEE7556" w14:textId="31636372" w:rsidR="00F62FA9" w:rsidRPr="00F62FA9" w:rsidRDefault="00F62FA9" w:rsidP="00F62FA9">
      <w:pPr>
        <w:spacing w:after="200" w:line="276" w:lineRule="auto"/>
        <w:rPr>
          <w:rFonts w:ascii="Calibri" w:eastAsia="Calibri" w:hAnsi="Calibri"/>
          <w:color w:val="000000"/>
          <w:sz w:val="22"/>
        </w:rPr>
      </w:pPr>
      <w:r w:rsidRPr="00F62FA9">
        <w:rPr>
          <w:rFonts w:ascii="Calibri" w:eastAsia="Calibri" w:hAnsi="Calibri"/>
          <w:color w:val="000000"/>
          <w:sz w:val="22"/>
        </w:rPr>
        <w:t>Word Count: 3</w:t>
      </w:r>
      <w:r w:rsidR="00AD0006">
        <w:rPr>
          <w:rFonts w:ascii="Calibri" w:eastAsia="Calibri" w:hAnsi="Calibri"/>
          <w:color w:val="000000"/>
          <w:sz w:val="22"/>
        </w:rPr>
        <w:t>128</w:t>
      </w:r>
    </w:p>
    <w:p w14:paraId="29186BDD" w14:textId="35CF069A" w:rsidR="00F62FA9" w:rsidRPr="000316EC" w:rsidRDefault="00F62FA9" w:rsidP="00F62FA9">
      <w:pPr>
        <w:keepNext/>
        <w:keepLines/>
        <w:spacing w:before="240"/>
        <w:outlineLvl w:val="0"/>
        <w:rPr>
          <w:rFonts w:ascii="Calibri Light" w:hAnsi="Calibri Light"/>
          <w:color w:val="2F5496"/>
        </w:rPr>
      </w:pPr>
      <w:r w:rsidRPr="000316EC">
        <w:rPr>
          <w:rFonts w:ascii="Calibri Light" w:hAnsi="Calibri Light"/>
          <w:color w:val="2F5496"/>
        </w:rPr>
        <w:t>Introduction</w:t>
      </w:r>
    </w:p>
    <w:p w14:paraId="28EECE6F" w14:textId="0373C422" w:rsidR="00F62FA9" w:rsidRPr="00F62FA9" w:rsidRDefault="00F62FA9" w:rsidP="00F62FA9">
      <w:pPr>
        <w:rPr>
          <w:rFonts w:ascii="Calibri" w:hAnsi="Calibri"/>
          <w:sz w:val="22"/>
        </w:rPr>
      </w:pPr>
      <w:r w:rsidRPr="00F62FA9">
        <w:rPr>
          <w:rFonts w:ascii="Calibri" w:hAnsi="Calibri"/>
          <w:sz w:val="22"/>
        </w:rPr>
        <w:t xml:space="preserve">This paper provides an analysis of the connections between theurgy, philosophy and magic within the classical Greek world. Theurgy is closely tied to philosophy as it rests upon a philosophical </w:t>
      </w:r>
      <w:r w:rsidR="00AE19B3">
        <w:rPr>
          <w:rFonts w:ascii="Calibri" w:hAnsi="Calibri"/>
          <w:sz w:val="22"/>
        </w:rPr>
        <w:t>t</w:t>
      </w:r>
      <w:r w:rsidRPr="00F62FA9">
        <w:rPr>
          <w:rFonts w:ascii="Calibri" w:hAnsi="Calibri"/>
          <w:sz w:val="22"/>
        </w:rPr>
        <w:t>radition inspired by Plato (ca. 427-347 CE). As stated by Gregory Shaw, it was ‘a synthesis’ of philosophy and ritual practices from the Egyptian and Chaldean religious traditions.</w:t>
      </w:r>
      <w:r w:rsidRPr="00F62FA9">
        <w:rPr>
          <w:rFonts w:ascii="Calibri" w:hAnsi="Calibri"/>
          <w:sz w:val="22"/>
          <w:vertAlign w:val="superscript"/>
        </w:rPr>
        <w:footnoteReference w:id="1"/>
      </w:r>
      <w:r w:rsidRPr="00F62FA9">
        <w:rPr>
          <w:rFonts w:ascii="Calibri" w:hAnsi="Calibri"/>
          <w:sz w:val="22"/>
        </w:rPr>
        <w:t xml:space="preserve">  It was a ‘work of the gods’ capable of transforming man to divine status.</w:t>
      </w:r>
      <w:r w:rsidRPr="00F62FA9">
        <w:rPr>
          <w:rFonts w:ascii="Calibri" w:hAnsi="Calibri"/>
          <w:sz w:val="22"/>
          <w:vertAlign w:val="superscript"/>
        </w:rPr>
        <w:footnoteReference w:id="2"/>
      </w:r>
      <w:r w:rsidRPr="00F62FA9">
        <w:rPr>
          <w:rFonts w:ascii="Calibri" w:hAnsi="Calibri"/>
          <w:sz w:val="22"/>
        </w:rPr>
        <w:t xml:space="preserve"> The most comprehensive account of theurgy is ‘On the Mysteries’ written by the Neoplatonic Iamblichus of Syria (ca. 240–325 CE).</w:t>
      </w:r>
      <w:r w:rsidRPr="00F62FA9">
        <w:rPr>
          <w:rFonts w:ascii="Calibri" w:hAnsi="Calibri"/>
          <w:sz w:val="22"/>
          <w:vertAlign w:val="superscript"/>
        </w:rPr>
        <w:footnoteReference w:id="3"/>
      </w:r>
      <w:r w:rsidRPr="00F62FA9">
        <w:rPr>
          <w:rFonts w:ascii="Calibri" w:hAnsi="Calibri"/>
          <w:sz w:val="22"/>
        </w:rPr>
        <w:t xml:space="preserve"> It is a philosophical discourse aimed to answer philosophical questions raised by Porphyry who was a student of Plotinus (c. 204-270 CE).</w:t>
      </w:r>
      <w:r w:rsidRPr="00F62FA9">
        <w:rPr>
          <w:rFonts w:ascii="Calibri" w:hAnsi="Calibri"/>
          <w:sz w:val="22"/>
          <w:vertAlign w:val="superscript"/>
        </w:rPr>
        <w:footnoteReference w:id="4"/>
      </w:r>
      <w:r w:rsidRPr="00F62FA9">
        <w:rPr>
          <w:rFonts w:ascii="Calibri" w:hAnsi="Calibri"/>
          <w:sz w:val="22"/>
        </w:rPr>
        <w:t xml:space="preserve"> Porphyry and Iamblichus were the most highly educated Platonist</w:t>
      </w:r>
      <w:r w:rsidR="005F0269">
        <w:rPr>
          <w:rFonts w:ascii="Calibri" w:hAnsi="Calibri"/>
          <w:sz w:val="22"/>
        </w:rPr>
        <w:t>s</w:t>
      </w:r>
      <w:r w:rsidRPr="00F62FA9">
        <w:rPr>
          <w:rFonts w:ascii="Calibri" w:hAnsi="Calibri"/>
          <w:sz w:val="22"/>
        </w:rPr>
        <w:t xml:space="preserve"> of that period.</w:t>
      </w:r>
      <w:r w:rsidRPr="00F62FA9">
        <w:rPr>
          <w:rFonts w:ascii="Calibri" w:hAnsi="Calibri"/>
          <w:sz w:val="22"/>
          <w:vertAlign w:val="superscript"/>
        </w:rPr>
        <w:footnoteReference w:id="5"/>
      </w:r>
      <w:r w:rsidRPr="00F62FA9">
        <w:rPr>
          <w:rFonts w:ascii="Calibri" w:hAnsi="Calibri"/>
          <w:sz w:val="22"/>
        </w:rPr>
        <w:t xml:space="preserve"> According to John Dillon, after Plotinus the idea that one could influence the Gods through ritual actions</w:t>
      </w:r>
      <w:r w:rsidR="005F0269">
        <w:rPr>
          <w:rFonts w:ascii="Calibri" w:hAnsi="Calibri"/>
          <w:sz w:val="22"/>
        </w:rPr>
        <w:t>,</w:t>
      </w:r>
      <w:r w:rsidRPr="00F62FA9">
        <w:rPr>
          <w:rFonts w:ascii="Calibri" w:hAnsi="Calibri"/>
          <w:sz w:val="22"/>
        </w:rPr>
        <w:t xml:space="preserve"> such as ‘prayer’ and ‘sacrifice’</w:t>
      </w:r>
      <w:r w:rsidR="005F0269">
        <w:rPr>
          <w:rFonts w:ascii="Calibri" w:hAnsi="Calibri"/>
          <w:sz w:val="22"/>
        </w:rPr>
        <w:t>,</w:t>
      </w:r>
      <w:r w:rsidRPr="00F62FA9">
        <w:rPr>
          <w:rFonts w:ascii="Calibri" w:hAnsi="Calibri"/>
          <w:sz w:val="22"/>
        </w:rPr>
        <w:t xml:space="preserve"> became an issue within the platonic tradition.</w:t>
      </w:r>
      <w:r w:rsidRPr="00F62FA9">
        <w:rPr>
          <w:rFonts w:ascii="Calibri" w:hAnsi="Calibri"/>
          <w:sz w:val="22"/>
          <w:vertAlign w:val="superscript"/>
        </w:rPr>
        <w:footnoteReference w:id="6"/>
      </w:r>
      <w:r w:rsidRPr="00F62FA9">
        <w:rPr>
          <w:rFonts w:ascii="Calibri" w:hAnsi="Calibri"/>
          <w:sz w:val="22"/>
        </w:rPr>
        <w:t xml:space="preserve">  He views the questions posed by </w:t>
      </w:r>
      <w:proofErr w:type="spellStart"/>
      <w:r w:rsidRPr="00F62FA9">
        <w:rPr>
          <w:rFonts w:ascii="Calibri" w:hAnsi="Calibri"/>
          <w:sz w:val="22"/>
        </w:rPr>
        <w:t>Porphryr</w:t>
      </w:r>
      <w:proofErr w:type="spellEnd"/>
      <w:r w:rsidRPr="00F62FA9">
        <w:rPr>
          <w:rFonts w:ascii="Calibri" w:hAnsi="Calibri"/>
          <w:sz w:val="22"/>
        </w:rPr>
        <w:t xml:space="preserve"> as a ‘comprehensive attack’ which highlights ‘philosophical objections to magic’.</w:t>
      </w:r>
      <w:r w:rsidRPr="00F62FA9">
        <w:rPr>
          <w:rFonts w:ascii="Calibri" w:hAnsi="Calibri"/>
          <w:sz w:val="22"/>
          <w:vertAlign w:val="superscript"/>
        </w:rPr>
        <w:footnoteReference w:id="7"/>
      </w:r>
      <w:r w:rsidRPr="00F62FA9">
        <w:rPr>
          <w:rFonts w:ascii="Calibri" w:hAnsi="Calibri"/>
          <w:sz w:val="22"/>
        </w:rPr>
        <w:t xml:space="preserve"> Anne Sheppard comments on how theurgy divided the Neoplatonic tradition into those who favoured philosophy as a rational discourse and those who allowed it to degenerate into ‘magic, superstition and irrationalism’</w:t>
      </w:r>
      <w:r w:rsidR="005F0269">
        <w:rPr>
          <w:rFonts w:ascii="Calibri" w:hAnsi="Calibri"/>
          <w:sz w:val="22"/>
        </w:rPr>
        <w:t>.</w:t>
      </w:r>
      <w:r w:rsidRPr="00F62FA9">
        <w:rPr>
          <w:rFonts w:ascii="Calibri" w:hAnsi="Calibri"/>
          <w:sz w:val="22"/>
          <w:vertAlign w:val="superscript"/>
        </w:rPr>
        <w:footnoteReference w:id="8"/>
      </w:r>
      <w:r w:rsidRPr="00F62FA9">
        <w:rPr>
          <w:rFonts w:ascii="Calibri" w:hAnsi="Calibri"/>
          <w:sz w:val="22"/>
        </w:rPr>
        <w:t xml:space="preserve"> Likewise, E.R. </w:t>
      </w:r>
      <w:proofErr w:type="spellStart"/>
      <w:r w:rsidRPr="00F62FA9">
        <w:rPr>
          <w:rFonts w:ascii="Calibri" w:hAnsi="Calibri"/>
          <w:sz w:val="22"/>
        </w:rPr>
        <w:t>Dodds</w:t>
      </w:r>
      <w:proofErr w:type="spellEnd"/>
      <w:r w:rsidRPr="00F62FA9">
        <w:rPr>
          <w:rFonts w:ascii="Calibri" w:hAnsi="Calibri"/>
          <w:sz w:val="22"/>
        </w:rPr>
        <w:t xml:space="preserve"> views the discussion as an opposition between reason and ritual.</w:t>
      </w:r>
      <w:r w:rsidRPr="00F62FA9">
        <w:rPr>
          <w:rFonts w:ascii="Calibri" w:hAnsi="Calibri"/>
          <w:sz w:val="22"/>
          <w:vertAlign w:val="superscript"/>
        </w:rPr>
        <w:footnoteReference w:id="9"/>
      </w:r>
      <w:r w:rsidRPr="00F62FA9">
        <w:rPr>
          <w:rFonts w:ascii="Calibri" w:hAnsi="Calibri"/>
          <w:sz w:val="22"/>
        </w:rPr>
        <w:t xml:space="preserve"> Plotinus and Porphyry are often conceived to be on the rational side, with Iamblichus and Proclus associated with religious superstition, irrationalism and magic. This paper explores these perspectives highlighting </w:t>
      </w:r>
      <w:r w:rsidR="005F0269">
        <w:rPr>
          <w:rFonts w:ascii="Calibri" w:hAnsi="Calibri"/>
          <w:sz w:val="22"/>
        </w:rPr>
        <w:t xml:space="preserve">the </w:t>
      </w:r>
      <w:r w:rsidRPr="00F62FA9">
        <w:rPr>
          <w:rFonts w:ascii="Calibri" w:hAnsi="Calibri"/>
          <w:sz w:val="22"/>
        </w:rPr>
        <w:t>connections between magic and theurgy and their links with scholarly debates regarding the platonic philosophical tradition. It highlights the problems associated with defining magic and distinguishing it from religion</w:t>
      </w:r>
      <w:r w:rsidR="004D2230">
        <w:rPr>
          <w:rFonts w:ascii="Calibri" w:hAnsi="Calibri"/>
          <w:sz w:val="22"/>
        </w:rPr>
        <w:t>,</w:t>
      </w:r>
      <w:r w:rsidRPr="00F62FA9">
        <w:rPr>
          <w:rFonts w:ascii="Calibri" w:hAnsi="Calibri"/>
          <w:sz w:val="22"/>
        </w:rPr>
        <w:t xml:space="preserve"> </w:t>
      </w:r>
      <w:r w:rsidR="005F0269">
        <w:rPr>
          <w:rFonts w:ascii="Calibri" w:hAnsi="Calibri"/>
          <w:sz w:val="22"/>
        </w:rPr>
        <w:t xml:space="preserve">and </w:t>
      </w:r>
      <w:r w:rsidRPr="00F62FA9">
        <w:rPr>
          <w:rFonts w:ascii="Calibri" w:hAnsi="Calibri"/>
          <w:sz w:val="22"/>
        </w:rPr>
        <w:t xml:space="preserve">looks at the worldview within which magic and theurgy were </w:t>
      </w:r>
      <w:r w:rsidR="005F0269">
        <w:rPr>
          <w:rFonts w:ascii="Calibri" w:hAnsi="Calibri"/>
          <w:sz w:val="22"/>
        </w:rPr>
        <w:t>embedded</w:t>
      </w:r>
      <w:r w:rsidR="005F0269" w:rsidRPr="00F62FA9">
        <w:rPr>
          <w:rFonts w:ascii="Calibri" w:hAnsi="Calibri"/>
          <w:sz w:val="22"/>
        </w:rPr>
        <w:t xml:space="preserve"> </w:t>
      </w:r>
      <w:r w:rsidRPr="00F62FA9">
        <w:rPr>
          <w:rFonts w:ascii="Calibri" w:hAnsi="Calibri"/>
          <w:sz w:val="22"/>
        </w:rPr>
        <w:t xml:space="preserve">and </w:t>
      </w:r>
      <w:r w:rsidR="005F0269">
        <w:rPr>
          <w:rFonts w:ascii="Calibri" w:hAnsi="Calibri"/>
          <w:sz w:val="22"/>
        </w:rPr>
        <w:t xml:space="preserve">the </w:t>
      </w:r>
      <w:r w:rsidRPr="00F62FA9">
        <w:rPr>
          <w:rFonts w:ascii="Calibri" w:hAnsi="Calibri"/>
          <w:sz w:val="22"/>
        </w:rPr>
        <w:t xml:space="preserve">underlying concepts of causation. It challenges the assumption that theurgy is ritual magic and that it is opposed to reason and rationality and </w:t>
      </w:r>
      <w:r w:rsidR="005F0269">
        <w:rPr>
          <w:rFonts w:ascii="Calibri" w:hAnsi="Calibri"/>
          <w:sz w:val="22"/>
        </w:rPr>
        <w:t xml:space="preserve">it </w:t>
      </w:r>
      <w:r w:rsidRPr="00F62FA9">
        <w:rPr>
          <w:rFonts w:ascii="Calibri" w:hAnsi="Calibri"/>
          <w:sz w:val="22"/>
        </w:rPr>
        <w:t>examin</w:t>
      </w:r>
      <w:r w:rsidR="005F0269">
        <w:rPr>
          <w:rFonts w:ascii="Calibri" w:hAnsi="Calibri"/>
          <w:sz w:val="22"/>
        </w:rPr>
        <w:t>es</w:t>
      </w:r>
      <w:r w:rsidRPr="00F62FA9">
        <w:rPr>
          <w:rFonts w:ascii="Calibri" w:hAnsi="Calibri"/>
          <w:sz w:val="22"/>
        </w:rPr>
        <w:t xml:space="preserve"> its role in relation to divination and the salvation of the soul</w:t>
      </w:r>
      <w:r w:rsidR="005F0269">
        <w:rPr>
          <w:rFonts w:ascii="Calibri" w:hAnsi="Calibri"/>
          <w:sz w:val="22"/>
        </w:rPr>
        <w:t>. It also</w:t>
      </w:r>
      <w:r w:rsidR="005F0269" w:rsidRPr="00F62FA9">
        <w:rPr>
          <w:rFonts w:ascii="Calibri" w:hAnsi="Calibri"/>
          <w:sz w:val="22"/>
        </w:rPr>
        <w:t xml:space="preserve"> </w:t>
      </w:r>
      <w:r w:rsidRPr="00F62FA9">
        <w:rPr>
          <w:rFonts w:ascii="Calibri" w:hAnsi="Calibri"/>
          <w:sz w:val="22"/>
        </w:rPr>
        <w:t>highlights the distinctions between magic and theurgy and the connections between theurgy and doctrines at the heart of platonic philosophy.</w:t>
      </w:r>
    </w:p>
    <w:p w14:paraId="6C72474C" w14:textId="38F45914" w:rsidR="00F62FA9" w:rsidRPr="000316EC" w:rsidRDefault="00DD13B2" w:rsidP="00F62FA9">
      <w:pPr>
        <w:keepNext/>
        <w:keepLines/>
        <w:spacing w:before="240"/>
        <w:outlineLvl w:val="0"/>
        <w:rPr>
          <w:rFonts w:ascii="Calibri Light" w:hAnsi="Calibri Light"/>
          <w:color w:val="2F5496"/>
        </w:rPr>
      </w:pPr>
      <w:r>
        <w:rPr>
          <w:rFonts w:ascii="Calibri Light" w:hAnsi="Calibri Light"/>
          <w:color w:val="2F5496"/>
        </w:rPr>
        <w:t>Magic, Religion,</w:t>
      </w:r>
      <w:r w:rsidR="00F62FA9" w:rsidRPr="000316EC">
        <w:rPr>
          <w:rFonts w:ascii="Calibri Light" w:hAnsi="Calibri Light"/>
          <w:color w:val="2F5496"/>
        </w:rPr>
        <w:t xml:space="preserve"> Theurgy</w:t>
      </w:r>
      <w:r>
        <w:rPr>
          <w:rFonts w:ascii="Calibri Light" w:hAnsi="Calibri Light"/>
          <w:color w:val="2F5496"/>
        </w:rPr>
        <w:t xml:space="preserve"> and Worldview</w:t>
      </w:r>
    </w:p>
    <w:p w14:paraId="772619AE" w14:textId="5864601A" w:rsidR="00F62FA9" w:rsidRPr="00F62FA9" w:rsidRDefault="00F62FA9" w:rsidP="00F62FA9">
      <w:pPr>
        <w:rPr>
          <w:rFonts w:ascii="Calibri" w:hAnsi="Calibri"/>
          <w:sz w:val="22"/>
          <w:szCs w:val="22"/>
        </w:rPr>
      </w:pPr>
      <w:r w:rsidRPr="00F62FA9">
        <w:rPr>
          <w:rFonts w:ascii="Calibri" w:hAnsi="Calibri"/>
          <w:sz w:val="22"/>
        </w:rPr>
        <w:t>As stated by Daniel Ogden, magic is ‘famously problematic’ to define, yet any classification of theurgy as magic depends upon the definition that one assigns to it.</w:t>
      </w:r>
      <w:r w:rsidRPr="00F62FA9">
        <w:rPr>
          <w:rFonts w:ascii="Calibri" w:hAnsi="Calibri"/>
          <w:sz w:val="22"/>
          <w:vertAlign w:val="superscript"/>
        </w:rPr>
        <w:t xml:space="preserve"> </w:t>
      </w:r>
      <w:r w:rsidRPr="00F62FA9">
        <w:rPr>
          <w:rFonts w:ascii="Calibri" w:hAnsi="Calibri"/>
          <w:sz w:val="22"/>
          <w:vertAlign w:val="superscript"/>
        </w:rPr>
        <w:footnoteReference w:id="10"/>
      </w:r>
      <w:r w:rsidRPr="00F62FA9">
        <w:rPr>
          <w:rFonts w:ascii="Calibri" w:hAnsi="Calibri"/>
          <w:sz w:val="22"/>
        </w:rPr>
        <w:t xml:space="preserve"> </w:t>
      </w:r>
      <w:r w:rsidRPr="00F62FA9">
        <w:rPr>
          <w:rFonts w:ascii="Calibri" w:hAnsi="Calibri" w:cs="Calibri"/>
          <w:sz w:val="22"/>
        </w:rPr>
        <w:t xml:space="preserve"> </w:t>
      </w:r>
      <w:r w:rsidR="005F0269">
        <w:rPr>
          <w:rFonts w:ascii="Calibri" w:hAnsi="Calibri"/>
          <w:sz w:val="22"/>
        </w:rPr>
        <w:t>The</w:t>
      </w:r>
      <w:r w:rsidRPr="00F62FA9">
        <w:rPr>
          <w:rFonts w:ascii="Calibri" w:hAnsi="Calibri"/>
          <w:sz w:val="22"/>
        </w:rPr>
        <w:t xml:space="preserve"> importance</w:t>
      </w:r>
      <w:r w:rsidR="005F0269">
        <w:rPr>
          <w:rFonts w:ascii="Calibri" w:hAnsi="Calibri"/>
          <w:sz w:val="22"/>
        </w:rPr>
        <w:t xml:space="preserve"> of magic</w:t>
      </w:r>
      <w:r w:rsidRPr="00F62FA9">
        <w:rPr>
          <w:rFonts w:ascii="Calibri" w:hAnsi="Calibri"/>
          <w:sz w:val="22"/>
        </w:rPr>
        <w:t xml:space="preserve"> in recent times has been in relation to the study of ancient religions</w:t>
      </w:r>
      <w:r w:rsidR="00DB66FF">
        <w:rPr>
          <w:rFonts w:ascii="Calibri" w:hAnsi="Calibri"/>
          <w:sz w:val="22"/>
        </w:rPr>
        <w:t>,</w:t>
      </w:r>
      <w:r w:rsidRPr="00F62FA9">
        <w:rPr>
          <w:rFonts w:ascii="Calibri" w:hAnsi="Calibri"/>
          <w:sz w:val="22"/>
        </w:rPr>
        <w:t xml:space="preserve"> but definitions often have drawbacks due to changing conceptions of magic and religion through time. As noted by Jan Bremmer, in ancient times ‘</w:t>
      </w:r>
      <w:r w:rsidRPr="00F62FA9">
        <w:rPr>
          <w:rFonts w:ascii="Calibri" w:hAnsi="Calibri"/>
          <w:sz w:val="22"/>
          <w:lang w:val="en-US"/>
        </w:rPr>
        <w:t>religion was not yet conceptualized as a separate sphere of life’</w:t>
      </w:r>
      <w:r w:rsidR="00DB66FF">
        <w:rPr>
          <w:rFonts w:ascii="Calibri" w:hAnsi="Calibri"/>
          <w:sz w:val="22"/>
          <w:lang w:val="en-US"/>
        </w:rPr>
        <w:t>,</w:t>
      </w:r>
      <w:r w:rsidRPr="00F62FA9">
        <w:rPr>
          <w:rFonts w:ascii="Calibri" w:hAnsi="Calibri"/>
          <w:sz w:val="22"/>
          <w:lang w:val="en-US"/>
        </w:rPr>
        <w:t xml:space="preserve"> so </w:t>
      </w:r>
      <w:r w:rsidRPr="00F62FA9">
        <w:rPr>
          <w:rFonts w:ascii="Calibri" w:hAnsi="Calibri"/>
          <w:sz w:val="22"/>
          <w:lang w:val="en-US"/>
        </w:rPr>
        <w:lastRenderedPageBreak/>
        <w:t>attempts to distinguish magic from religion can be based upon misconceptions of both.</w:t>
      </w:r>
      <w:r w:rsidRPr="00F62FA9">
        <w:rPr>
          <w:rFonts w:ascii="Calibri" w:hAnsi="Calibri"/>
          <w:sz w:val="22"/>
          <w:vertAlign w:val="superscript"/>
          <w:lang w:val="en-US"/>
        </w:rPr>
        <w:footnoteReference w:id="11"/>
      </w:r>
      <w:r w:rsidRPr="00F62FA9">
        <w:rPr>
          <w:rFonts w:ascii="Calibri" w:hAnsi="Calibri"/>
          <w:sz w:val="22"/>
        </w:rPr>
        <w:t xml:space="preserve"> </w:t>
      </w:r>
      <w:r w:rsidRPr="00F62FA9">
        <w:rPr>
          <w:rFonts w:ascii="Calibri" w:hAnsi="Calibri"/>
          <w:sz w:val="22"/>
          <w:szCs w:val="22"/>
        </w:rPr>
        <w:t>According to Bremmer one of the earliest mentions of magic in ancient Greece comes from Heraclitus and suggest</w:t>
      </w:r>
      <w:r w:rsidR="00DD13B2">
        <w:rPr>
          <w:rFonts w:ascii="Calibri" w:hAnsi="Calibri"/>
          <w:sz w:val="22"/>
          <w:szCs w:val="22"/>
        </w:rPr>
        <w:t>s</w:t>
      </w:r>
      <w:r w:rsidRPr="00F62FA9">
        <w:rPr>
          <w:rFonts w:ascii="Calibri" w:hAnsi="Calibri"/>
          <w:sz w:val="22"/>
          <w:szCs w:val="22"/>
        </w:rPr>
        <w:t xml:space="preserve"> links with practitioners in the mystery cults.</w:t>
      </w:r>
      <w:r w:rsidRPr="00F62FA9">
        <w:rPr>
          <w:rFonts w:ascii="Calibri" w:hAnsi="Calibri"/>
          <w:sz w:val="22"/>
          <w:szCs w:val="22"/>
          <w:vertAlign w:val="superscript"/>
        </w:rPr>
        <w:footnoteReference w:id="12"/>
      </w:r>
      <w:r w:rsidRPr="00F62FA9">
        <w:rPr>
          <w:rFonts w:ascii="Calibri" w:hAnsi="Calibri"/>
          <w:sz w:val="22"/>
          <w:szCs w:val="22"/>
        </w:rPr>
        <w:t xml:space="preserve"> </w:t>
      </w:r>
      <w:r w:rsidRPr="00F62FA9">
        <w:rPr>
          <w:rFonts w:ascii="Calibri" w:hAnsi="Calibri"/>
          <w:color w:val="1A1A1A"/>
          <w:spacing w:val="5"/>
          <w:sz w:val="22"/>
          <w:szCs w:val="22"/>
        </w:rPr>
        <w:t xml:space="preserve">Terms such as </w:t>
      </w:r>
      <w:r w:rsidRPr="00F62FA9">
        <w:rPr>
          <w:rFonts w:ascii="Calibri" w:hAnsi="Calibri"/>
          <w:i/>
          <w:color w:val="1A1A1A"/>
          <w:spacing w:val="5"/>
          <w:sz w:val="22"/>
          <w:szCs w:val="22"/>
        </w:rPr>
        <w:t>magi</w:t>
      </w:r>
      <w:r w:rsidRPr="00F62FA9">
        <w:rPr>
          <w:rFonts w:ascii="Calibri" w:hAnsi="Calibri"/>
          <w:color w:val="1A1A1A"/>
          <w:spacing w:val="5"/>
          <w:sz w:val="22"/>
          <w:szCs w:val="22"/>
        </w:rPr>
        <w:t xml:space="preserve"> or </w:t>
      </w:r>
      <w:proofErr w:type="spellStart"/>
      <w:r w:rsidRPr="00F62FA9">
        <w:rPr>
          <w:rFonts w:ascii="Calibri" w:hAnsi="Calibri"/>
          <w:i/>
          <w:color w:val="1A1A1A"/>
          <w:spacing w:val="5"/>
          <w:sz w:val="22"/>
          <w:szCs w:val="22"/>
        </w:rPr>
        <w:t>magos</w:t>
      </w:r>
      <w:proofErr w:type="spellEnd"/>
      <w:r w:rsidRPr="00F62FA9">
        <w:rPr>
          <w:rFonts w:ascii="Calibri" w:hAnsi="Calibri"/>
          <w:color w:val="1A1A1A"/>
          <w:spacing w:val="5"/>
          <w:sz w:val="22"/>
          <w:szCs w:val="22"/>
        </w:rPr>
        <w:t xml:space="preserve"> were also related to the role of Priest.</w:t>
      </w:r>
      <w:r w:rsidRPr="00F62FA9">
        <w:rPr>
          <w:rFonts w:ascii="Calibri" w:hAnsi="Calibri"/>
          <w:color w:val="1A1A1A"/>
          <w:spacing w:val="5"/>
          <w:sz w:val="22"/>
          <w:szCs w:val="22"/>
          <w:vertAlign w:val="superscript"/>
        </w:rPr>
        <w:footnoteReference w:id="13"/>
      </w:r>
      <w:r w:rsidRPr="00F62FA9">
        <w:rPr>
          <w:rFonts w:ascii="Calibri" w:hAnsi="Calibri"/>
          <w:color w:val="1A1A1A"/>
          <w:spacing w:val="5"/>
          <w:sz w:val="22"/>
          <w:szCs w:val="22"/>
        </w:rPr>
        <w:t xml:space="preserve"> </w:t>
      </w:r>
      <w:r w:rsidRPr="00F62FA9">
        <w:rPr>
          <w:rFonts w:ascii="Calibri" w:eastAsia="Calibri" w:hAnsi="Calibri"/>
          <w:sz w:val="22"/>
          <w:szCs w:val="22"/>
          <w:lang w:val="en-US"/>
        </w:rPr>
        <w:t>Bremmer</w:t>
      </w:r>
      <w:r w:rsidR="00DB66FF">
        <w:rPr>
          <w:rFonts w:ascii="Calibri" w:eastAsia="Calibri" w:hAnsi="Calibri"/>
          <w:sz w:val="22"/>
          <w:szCs w:val="22"/>
          <w:lang w:val="en-US"/>
        </w:rPr>
        <w:t xml:space="preserve"> </w:t>
      </w:r>
      <w:r w:rsidRPr="00F62FA9">
        <w:rPr>
          <w:rFonts w:ascii="Calibri" w:eastAsia="Calibri" w:hAnsi="Calibri"/>
          <w:sz w:val="22"/>
          <w:szCs w:val="22"/>
          <w:lang w:val="en-US"/>
        </w:rPr>
        <w:t xml:space="preserve">notes that philosophers were particularly interested in the </w:t>
      </w:r>
      <w:r w:rsidRPr="00F62FA9">
        <w:rPr>
          <w:rFonts w:ascii="Calibri" w:eastAsia="Calibri" w:hAnsi="Calibri"/>
          <w:i/>
          <w:sz w:val="22"/>
          <w:szCs w:val="22"/>
          <w:lang w:val="en-US"/>
        </w:rPr>
        <w:t>magi</w:t>
      </w:r>
      <w:r w:rsidRPr="00F62FA9">
        <w:rPr>
          <w:rFonts w:ascii="Calibri" w:eastAsia="Calibri" w:hAnsi="Calibri"/>
          <w:sz w:val="22"/>
          <w:szCs w:val="22"/>
          <w:lang w:val="en-US"/>
        </w:rPr>
        <w:t xml:space="preserve"> and Aristotle is quoted as claiming that they were oriented toward those who believe that </w:t>
      </w:r>
      <w:r w:rsidR="00DB66FF">
        <w:rPr>
          <w:rFonts w:ascii="Calibri" w:eastAsia="Calibri" w:hAnsi="Calibri"/>
          <w:sz w:val="22"/>
          <w:szCs w:val="22"/>
          <w:lang w:val="en-US"/>
        </w:rPr>
        <w:t>‘</w:t>
      </w:r>
      <w:r w:rsidRPr="00F62FA9">
        <w:rPr>
          <w:rFonts w:ascii="Calibri" w:eastAsia="Calibri" w:hAnsi="Calibri"/>
          <w:sz w:val="22"/>
          <w:szCs w:val="22"/>
          <w:lang w:val="en-US"/>
        </w:rPr>
        <w:t xml:space="preserve">good is the source of all’. </w:t>
      </w:r>
      <w:r w:rsidRPr="00F62FA9">
        <w:rPr>
          <w:rFonts w:ascii="Calibri" w:eastAsia="Calibri" w:hAnsi="Calibri"/>
          <w:sz w:val="22"/>
          <w:szCs w:val="22"/>
          <w:vertAlign w:val="superscript"/>
          <w:lang w:val="en-US"/>
        </w:rPr>
        <w:footnoteReference w:id="14"/>
      </w:r>
      <w:r w:rsidRPr="00F62FA9">
        <w:rPr>
          <w:rFonts w:ascii="Calibri" w:eastAsia="Calibri" w:hAnsi="Calibri"/>
          <w:sz w:val="22"/>
          <w:szCs w:val="22"/>
          <w:lang w:val="en-US"/>
        </w:rPr>
        <w:t xml:space="preserve"> Other terms with more pejorative associations were </w:t>
      </w:r>
      <w:proofErr w:type="spellStart"/>
      <w:r w:rsidRPr="00F62FA9">
        <w:rPr>
          <w:rFonts w:ascii="Calibri" w:eastAsia="Calibri" w:hAnsi="Calibri"/>
          <w:i/>
          <w:sz w:val="22"/>
          <w:szCs w:val="22"/>
          <w:lang w:val="en-US"/>
        </w:rPr>
        <w:t>goêteia</w:t>
      </w:r>
      <w:proofErr w:type="spellEnd"/>
      <w:r w:rsidRPr="00F62FA9">
        <w:rPr>
          <w:rFonts w:ascii="Calibri" w:eastAsia="Calibri" w:hAnsi="Calibri"/>
          <w:sz w:val="22"/>
          <w:szCs w:val="22"/>
          <w:lang w:val="en-US"/>
        </w:rPr>
        <w:t xml:space="preserve"> and </w:t>
      </w:r>
      <w:proofErr w:type="spellStart"/>
      <w:r w:rsidRPr="00F62FA9">
        <w:rPr>
          <w:rFonts w:ascii="Calibri" w:eastAsia="Calibri" w:hAnsi="Calibri"/>
          <w:i/>
          <w:sz w:val="22"/>
          <w:szCs w:val="22"/>
          <w:lang w:val="en-US"/>
        </w:rPr>
        <w:t>mageia</w:t>
      </w:r>
      <w:proofErr w:type="spellEnd"/>
      <w:r w:rsidR="00DB66FF">
        <w:rPr>
          <w:rFonts w:ascii="Calibri" w:hAnsi="Calibri"/>
          <w:sz w:val="22"/>
          <w:szCs w:val="22"/>
        </w:rPr>
        <w:t xml:space="preserve"> a</w:t>
      </w:r>
      <w:r w:rsidRPr="00F62FA9">
        <w:rPr>
          <w:rFonts w:ascii="Calibri" w:hAnsi="Calibri"/>
          <w:sz w:val="22"/>
          <w:szCs w:val="22"/>
        </w:rPr>
        <w:t>nd</w:t>
      </w:r>
      <w:r w:rsidR="00DB66FF">
        <w:rPr>
          <w:rFonts w:ascii="Calibri" w:hAnsi="Calibri"/>
          <w:sz w:val="22"/>
          <w:szCs w:val="22"/>
        </w:rPr>
        <w:t>,</w:t>
      </w:r>
      <w:r w:rsidRPr="00F62FA9">
        <w:rPr>
          <w:rFonts w:ascii="Calibri" w:hAnsi="Calibri"/>
          <w:sz w:val="22"/>
          <w:szCs w:val="22"/>
        </w:rPr>
        <w:t xml:space="preserve"> although theurgy shares characteristics with such conceptions of magic from the Greek and Roman worlds, Iamblichus distinguishes theurgy from </w:t>
      </w:r>
      <w:proofErr w:type="spellStart"/>
      <w:r w:rsidRPr="00F62FA9">
        <w:rPr>
          <w:rFonts w:ascii="Calibri" w:eastAsia="Calibri" w:hAnsi="Calibri"/>
          <w:i/>
          <w:sz w:val="22"/>
          <w:szCs w:val="22"/>
          <w:lang w:val="en-US"/>
        </w:rPr>
        <w:t>goêteia</w:t>
      </w:r>
      <w:proofErr w:type="spellEnd"/>
      <w:r w:rsidRPr="00F62FA9">
        <w:rPr>
          <w:rFonts w:ascii="Calibri" w:hAnsi="Calibri"/>
          <w:sz w:val="22"/>
          <w:szCs w:val="22"/>
        </w:rPr>
        <w:t xml:space="preserve"> or what he describes as sorcery. </w:t>
      </w:r>
      <w:r w:rsidRPr="00F62FA9">
        <w:rPr>
          <w:rFonts w:ascii="Calibri" w:eastAsia="Calibri" w:hAnsi="Calibri"/>
          <w:i/>
          <w:sz w:val="22"/>
          <w:szCs w:val="22"/>
          <w:vertAlign w:val="superscript"/>
          <w:lang w:val="en-US"/>
        </w:rPr>
        <w:footnoteReference w:id="15"/>
      </w:r>
      <w:r w:rsidRPr="00F62FA9">
        <w:rPr>
          <w:rFonts w:ascii="Calibri" w:hAnsi="Calibri"/>
          <w:sz w:val="22"/>
          <w:szCs w:val="22"/>
        </w:rPr>
        <w:t xml:space="preserve"> </w:t>
      </w:r>
    </w:p>
    <w:p w14:paraId="0BB417C8" w14:textId="77777777" w:rsidR="00F62FA9" w:rsidRPr="00F62FA9" w:rsidRDefault="00F62FA9" w:rsidP="00F62FA9">
      <w:pPr>
        <w:rPr>
          <w:rFonts w:ascii="Calibri" w:hAnsi="Calibri"/>
          <w:sz w:val="22"/>
          <w:szCs w:val="22"/>
        </w:rPr>
      </w:pPr>
    </w:p>
    <w:p w14:paraId="170118F8" w14:textId="4AAEB8E1" w:rsidR="00F62FA9" w:rsidRPr="00F62FA9" w:rsidRDefault="00F62FA9" w:rsidP="00F62FA9">
      <w:pPr>
        <w:rPr>
          <w:rFonts w:ascii="Calibri" w:hAnsi="Calibri"/>
          <w:sz w:val="22"/>
        </w:rPr>
      </w:pPr>
      <w:r w:rsidRPr="00F62FA9">
        <w:rPr>
          <w:rFonts w:ascii="Calibri" w:hAnsi="Calibri"/>
          <w:sz w:val="22"/>
        </w:rPr>
        <w:t xml:space="preserve">A key source for understanding ancient conceptions of magic and religion is the Greek Magical Papyri. </w:t>
      </w:r>
      <w:r w:rsidR="00DB66FF">
        <w:rPr>
          <w:rFonts w:ascii="Calibri" w:hAnsi="Calibri"/>
          <w:sz w:val="22"/>
        </w:rPr>
        <w:t>It</w:t>
      </w:r>
      <w:r w:rsidRPr="00F62FA9">
        <w:rPr>
          <w:rFonts w:ascii="Calibri" w:hAnsi="Calibri"/>
          <w:sz w:val="22"/>
        </w:rPr>
        <w:t xml:space="preserve"> includes a great selection of ‘magic spells, formulae, hymns and rituals</w:t>
      </w:r>
      <w:proofErr w:type="gramStart"/>
      <w:r w:rsidRPr="00F62FA9">
        <w:rPr>
          <w:rFonts w:ascii="Calibri" w:hAnsi="Calibri"/>
          <w:sz w:val="22"/>
        </w:rPr>
        <w:t>’  from</w:t>
      </w:r>
      <w:proofErr w:type="gramEnd"/>
      <w:r w:rsidRPr="00F62FA9">
        <w:rPr>
          <w:rFonts w:ascii="Calibri" w:hAnsi="Calibri"/>
          <w:sz w:val="22"/>
        </w:rPr>
        <w:t xml:space="preserve"> spells to inflict harm</w:t>
      </w:r>
      <w:r w:rsidR="00DB66FF">
        <w:rPr>
          <w:rFonts w:ascii="Calibri" w:hAnsi="Calibri"/>
          <w:sz w:val="22"/>
        </w:rPr>
        <w:t>,</w:t>
      </w:r>
      <w:r w:rsidRPr="00F62FA9">
        <w:rPr>
          <w:rFonts w:ascii="Calibri" w:hAnsi="Calibri"/>
          <w:sz w:val="22"/>
        </w:rPr>
        <w:t xml:space="preserve"> to humble requests for truthful revelations.</w:t>
      </w:r>
      <w:r w:rsidRPr="00F62FA9">
        <w:rPr>
          <w:rFonts w:ascii="Calibri" w:hAnsi="Calibri"/>
          <w:sz w:val="22"/>
          <w:vertAlign w:val="superscript"/>
        </w:rPr>
        <w:footnoteReference w:id="16"/>
      </w:r>
      <w:r w:rsidR="00DB66FF">
        <w:rPr>
          <w:rFonts w:ascii="Calibri" w:hAnsi="Calibri"/>
          <w:sz w:val="22"/>
        </w:rPr>
        <w:t xml:space="preserve"> </w:t>
      </w:r>
      <w:r w:rsidRPr="00F62FA9">
        <w:rPr>
          <w:rFonts w:ascii="Calibri" w:hAnsi="Calibri"/>
          <w:sz w:val="22"/>
        </w:rPr>
        <w:t>All types can involve material objects, sacrifice, performance of prescribed actions</w:t>
      </w:r>
      <w:r w:rsidR="00DB66FF">
        <w:rPr>
          <w:rFonts w:ascii="Calibri" w:hAnsi="Calibri"/>
          <w:sz w:val="22"/>
        </w:rPr>
        <w:t xml:space="preserve"> and </w:t>
      </w:r>
      <w:r w:rsidRPr="00F62FA9">
        <w:rPr>
          <w:rFonts w:ascii="Calibri" w:hAnsi="Calibri"/>
          <w:sz w:val="22"/>
        </w:rPr>
        <w:t>prayers and invocation</w:t>
      </w:r>
      <w:r w:rsidR="00DB66FF">
        <w:rPr>
          <w:rFonts w:ascii="Calibri" w:hAnsi="Calibri"/>
          <w:sz w:val="22"/>
        </w:rPr>
        <w:t>s</w:t>
      </w:r>
      <w:r w:rsidRPr="00F62FA9">
        <w:rPr>
          <w:rFonts w:ascii="Calibri" w:hAnsi="Calibri"/>
          <w:sz w:val="22"/>
        </w:rPr>
        <w:t xml:space="preserve"> of deities, angels or daemons.  Many of the spells were written</w:t>
      </w:r>
      <w:r w:rsidR="00DB66FF">
        <w:rPr>
          <w:rFonts w:ascii="Calibri" w:hAnsi="Calibri"/>
          <w:sz w:val="22"/>
        </w:rPr>
        <w:t>,</w:t>
      </w:r>
      <w:r w:rsidRPr="00F62FA9">
        <w:rPr>
          <w:rFonts w:ascii="Calibri" w:hAnsi="Calibri"/>
          <w:sz w:val="22"/>
        </w:rPr>
        <w:t xml:space="preserve"> not only in Coptic</w:t>
      </w:r>
      <w:r w:rsidR="00DB66FF">
        <w:rPr>
          <w:rFonts w:ascii="Calibri" w:hAnsi="Calibri"/>
          <w:sz w:val="22"/>
        </w:rPr>
        <w:t>,</w:t>
      </w:r>
      <w:r w:rsidRPr="00F62FA9">
        <w:rPr>
          <w:rFonts w:ascii="Calibri" w:hAnsi="Calibri"/>
          <w:sz w:val="22"/>
        </w:rPr>
        <w:t xml:space="preserve"> but in ‘Demotic’</w:t>
      </w:r>
      <w:r w:rsidR="00DB66FF">
        <w:rPr>
          <w:rFonts w:ascii="Calibri" w:hAnsi="Calibri"/>
          <w:sz w:val="22"/>
        </w:rPr>
        <w:t xml:space="preserve">; </w:t>
      </w:r>
      <w:r w:rsidRPr="00F62FA9">
        <w:rPr>
          <w:rFonts w:ascii="Calibri" w:hAnsi="Calibri"/>
          <w:sz w:val="22"/>
        </w:rPr>
        <w:t>an old Egyptian language and</w:t>
      </w:r>
      <w:r w:rsidR="00DB66FF">
        <w:rPr>
          <w:rFonts w:ascii="Calibri" w:hAnsi="Calibri"/>
          <w:sz w:val="22"/>
        </w:rPr>
        <w:t>,</w:t>
      </w:r>
      <w:r w:rsidRPr="00F62FA9">
        <w:rPr>
          <w:rFonts w:ascii="Calibri" w:hAnsi="Calibri"/>
          <w:sz w:val="22"/>
        </w:rPr>
        <w:t xml:space="preserve"> as noted by </w:t>
      </w:r>
      <w:r w:rsidR="003718FA">
        <w:rPr>
          <w:rFonts w:ascii="Calibri" w:hAnsi="Calibri"/>
          <w:sz w:val="22"/>
        </w:rPr>
        <w:t xml:space="preserve">Crystal </w:t>
      </w:r>
      <w:proofErr w:type="spellStart"/>
      <w:r w:rsidRPr="00F62FA9">
        <w:rPr>
          <w:rFonts w:ascii="Calibri" w:hAnsi="Calibri"/>
          <w:sz w:val="22"/>
        </w:rPr>
        <w:t>Addey</w:t>
      </w:r>
      <w:proofErr w:type="spellEnd"/>
      <w:r w:rsidR="00DB66FF">
        <w:rPr>
          <w:rFonts w:ascii="Calibri" w:hAnsi="Calibri"/>
          <w:sz w:val="22"/>
        </w:rPr>
        <w:t>,</w:t>
      </w:r>
      <w:r w:rsidRPr="00F62FA9">
        <w:rPr>
          <w:rFonts w:ascii="Calibri" w:hAnsi="Calibri"/>
          <w:sz w:val="22"/>
        </w:rPr>
        <w:t xml:space="preserve"> recent scholarship suggests that some of the sources may have been Egyptian priests, so they may have some bearing on theurgic ritual.</w:t>
      </w:r>
      <w:r w:rsidRPr="00F62FA9">
        <w:rPr>
          <w:rFonts w:ascii="Calibri" w:hAnsi="Calibri"/>
          <w:sz w:val="22"/>
          <w:vertAlign w:val="superscript"/>
        </w:rPr>
        <w:footnoteReference w:id="17"/>
      </w:r>
      <w:r w:rsidRPr="00F62FA9">
        <w:rPr>
          <w:rFonts w:ascii="Calibri" w:hAnsi="Calibri"/>
          <w:sz w:val="22"/>
        </w:rPr>
        <w:t xml:space="preserve"> A Key technique used in theurgy was use of symbols to </w:t>
      </w:r>
      <w:proofErr w:type="gramStart"/>
      <w:r w:rsidRPr="00F62FA9">
        <w:rPr>
          <w:rFonts w:ascii="Calibri" w:hAnsi="Calibri"/>
          <w:sz w:val="22"/>
        </w:rPr>
        <w:t>effect</w:t>
      </w:r>
      <w:proofErr w:type="gramEnd"/>
      <w:r w:rsidRPr="00F62FA9">
        <w:rPr>
          <w:rFonts w:ascii="Calibri" w:hAnsi="Calibri"/>
          <w:sz w:val="22"/>
        </w:rPr>
        <w:t xml:space="preserve"> a mystical or magical transformation. A symbol could be all kinds of things from natural objects</w:t>
      </w:r>
      <w:r w:rsidR="00DB66FF">
        <w:rPr>
          <w:rFonts w:ascii="Calibri" w:hAnsi="Calibri"/>
          <w:sz w:val="22"/>
        </w:rPr>
        <w:t>,</w:t>
      </w:r>
      <w:r w:rsidRPr="00F62FA9">
        <w:rPr>
          <w:rFonts w:ascii="Calibri" w:hAnsi="Calibri"/>
          <w:sz w:val="22"/>
        </w:rPr>
        <w:t xml:space="preserve"> such as a stone or plant with affinity to a specific deity, or a musical composition, text or sacred name.’</w:t>
      </w:r>
      <w:r w:rsidRPr="00F62FA9">
        <w:rPr>
          <w:rFonts w:ascii="Calibri" w:hAnsi="Calibri"/>
          <w:sz w:val="22"/>
          <w:vertAlign w:val="superscript"/>
        </w:rPr>
        <w:footnoteReference w:id="18"/>
      </w:r>
      <w:r w:rsidR="00DB66FF">
        <w:rPr>
          <w:rFonts w:ascii="Calibri" w:hAnsi="Calibri"/>
          <w:sz w:val="22"/>
        </w:rPr>
        <w:t xml:space="preserve"> </w:t>
      </w:r>
      <w:r w:rsidRPr="00F62FA9">
        <w:rPr>
          <w:rFonts w:ascii="Calibri" w:hAnsi="Calibri"/>
          <w:sz w:val="22"/>
        </w:rPr>
        <w:t>According to Iamblichus:</w:t>
      </w:r>
    </w:p>
    <w:p w14:paraId="2027963F" w14:textId="77777777" w:rsidR="00F62FA9" w:rsidRPr="00F62FA9" w:rsidRDefault="00F62FA9" w:rsidP="00F62FA9">
      <w:pPr>
        <w:rPr>
          <w:rFonts w:ascii="Calibri" w:hAnsi="Calibri"/>
          <w:sz w:val="22"/>
        </w:rPr>
      </w:pPr>
    </w:p>
    <w:p w14:paraId="29BBB28C" w14:textId="06E46CC4" w:rsidR="00F62FA9" w:rsidRPr="00F62FA9" w:rsidRDefault="00F62FA9" w:rsidP="00F62FA9">
      <w:pPr>
        <w:ind w:left="720"/>
        <w:rPr>
          <w:rFonts w:ascii="Calibri" w:hAnsi="Calibri"/>
          <w:sz w:val="22"/>
          <w:szCs w:val="22"/>
        </w:rPr>
      </w:pPr>
      <w:r w:rsidRPr="00F62FA9">
        <w:rPr>
          <w:rFonts w:ascii="Calibri" w:hAnsi="Calibri"/>
          <w:sz w:val="22"/>
          <w:szCs w:val="22"/>
        </w:rPr>
        <w:t xml:space="preserve">Theurgic union is attained only by the efficacy of the unspeakable acts performed in the appropriate manner, acts which are beyond all comprehension, and by the potency of the unutterable symbols which are comprehended only by the gods...Without intellectual effort on our part the tokens by their own virtue accomplish their proper work. </w:t>
      </w:r>
      <w:r w:rsidRPr="00F62FA9">
        <w:rPr>
          <w:rFonts w:ascii="Calibri" w:hAnsi="Calibri"/>
          <w:sz w:val="22"/>
          <w:szCs w:val="22"/>
          <w:vertAlign w:val="superscript"/>
        </w:rPr>
        <w:footnoteReference w:id="19"/>
      </w:r>
    </w:p>
    <w:p w14:paraId="20BD7F86" w14:textId="77777777" w:rsidR="00F62FA9" w:rsidRPr="00F62FA9" w:rsidRDefault="00F62FA9" w:rsidP="00F62FA9">
      <w:pPr>
        <w:rPr>
          <w:rFonts w:ascii="Calibri" w:hAnsi="Calibri"/>
          <w:sz w:val="22"/>
        </w:rPr>
      </w:pPr>
    </w:p>
    <w:p w14:paraId="20D20947" w14:textId="53CE531F" w:rsidR="00F62FA9" w:rsidRPr="00F62FA9" w:rsidRDefault="00F62FA9" w:rsidP="00F62FA9">
      <w:pPr>
        <w:rPr>
          <w:rFonts w:ascii="Calibri" w:hAnsi="Calibri"/>
          <w:sz w:val="22"/>
        </w:rPr>
      </w:pPr>
      <w:r w:rsidRPr="00F62FA9">
        <w:rPr>
          <w:rFonts w:ascii="Calibri" w:hAnsi="Calibri" w:cs="Calibri"/>
          <w:sz w:val="22"/>
        </w:rPr>
        <w:t xml:space="preserve">Dillon, in attempting to classify theurgy, draws upon </w:t>
      </w:r>
      <w:r w:rsidR="004D17BB">
        <w:rPr>
          <w:rFonts w:ascii="Calibri" w:hAnsi="Calibri" w:cs="Calibri"/>
          <w:sz w:val="22"/>
        </w:rPr>
        <w:t xml:space="preserve">James </w:t>
      </w:r>
      <w:r w:rsidRPr="00F62FA9">
        <w:rPr>
          <w:rFonts w:ascii="Calibri" w:hAnsi="Calibri" w:cs="Calibri"/>
          <w:sz w:val="22"/>
        </w:rPr>
        <w:t>Frazer’s distinction between magic and religion. Frazer defines religion as that which seeks to ‘propitiate a higher power’ and magic as that which seeks to ‘bend it to the magician’s will.’</w:t>
      </w:r>
      <w:r w:rsidRPr="00F62FA9">
        <w:rPr>
          <w:rFonts w:ascii="Calibri" w:hAnsi="Calibri" w:cs="Calibri"/>
          <w:sz w:val="22"/>
          <w:vertAlign w:val="superscript"/>
        </w:rPr>
        <w:footnoteReference w:id="20"/>
      </w:r>
      <w:r w:rsidRPr="00F62FA9">
        <w:rPr>
          <w:rFonts w:ascii="Calibri" w:hAnsi="Calibri"/>
          <w:sz w:val="22"/>
        </w:rPr>
        <w:t>Dillon suggests that the theurgist utilizes knowledge of symbols and actions</w:t>
      </w:r>
      <w:r w:rsidR="004D17BB">
        <w:rPr>
          <w:rFonts w:ascii="Calibri" w:hAnsi="Calibri"/>
          <w:sz w:val="22"/>
        </w:rPr>
        <w:t>,</w:t>
      </w:r>
      <w:r w:rsidRPr="00F62FA9">
        <w:rPr>
          <w:rFonts w:ascii="Calibri" w:hAnsi="Calibri"/>
          <w:sz w:val="22"/>
        </w:rPr>
        <w:t xml:space="preserve"> such as sacrifice, on the assumption that if he does the right things, the </w:t>
      </w:r>
      <w:r w:rsidR="004D17BB">
        <w:rPr>
          <w:rFonts w:ascii="Calibri" w:hAnsi="Calibri"/>
          <w:sz w:val="22"/>
        </w:rPr>
        <w:t>g</w:t>
      </w:r>
      <w:r w:rsidRPr="00F62FA9">
        <w:rPr>
          <w:rFonts w:ascii="Calibri" w:hAnsi="Calibri"/>
          <w:sz w:val="22"/>
        </w:rPr>
        <w:t>ods will come.</w:t>
      </w:r>
      <w:r w:rsidRPr="00F62FA9">
        <w:rPr>
          <w:rFonts w:ascii="Calibri" w:hAnsi="Calibri"/>
          <w:sz w:val="22"/>
          <w:vertAlign w:val="superscript"/>
        </w:rPr>
        <w:footnoteReference w:id="21"/>
      </w:r>
      <w:r w:rsidRPr="00F62FA9">
        <w:rPr>
          <w:rFonts w:ascii="Calibri" w:hAnsi="Calibri"/>
          <w:sz w:val="22"/>
        </w:rPr>
        <w:t xml:space="preserve"> He therefore concludes that ‘theurgy is manipulative</w:t>
      </w:r>
      <w:r w:rsidR="00DD13B2">
        <w:rPr>
          <w:rFonts w:ascii="Calibri" w:hAnsi="Calibri"/>
          <w:sz w:val="22"/>
        </w:rPr>
        <w:t>’,</w:t>
      </w:r>
      <w:r w:rsidRPr="00F62FA9">
        <w:rPr>
          <w:rFonts w:ascii="Calibri" w:hAnsi="Calibri"/>
          <w:sz w:val="22"/>
        </w:rPr>
        <w:t xml:space="preserve"> and thus ‘firmly established on the magical side of the divide’.</w:t>
      </w:r>
      <w:r w:rsidRPr="00F62FA9">
        <w:rPr>
          <w:rFonts w:ascii="Calibri" w:hAnsi="Calibri"/>
          <w:sz w:val="22"/>
          <w:vertAlign w:val="superscript"/>
        </w:rPr>
        <w:footnoteReference w:id="22"/>
      </w:r>
      <w:r w:rsidRPr="00F62FA9">
        <w:rPr>
          <w:rFonts w:ascii="Calibri" w:hAnsi="Calibri"/>
          <w:sz w:val="22"/>
        </w:rPr>
        <w:t xml:space="preserve"> However, the scholarly view that the questions raised by Porphyry represent philosophical objections to magic based upon superstition and irrationalism, is hard to sustain in light of the worldview in ancient Greece. </w:t>
      </w:r>
      <w:r w:rsidRPr="00F62FA9">
        <w:rPr>
          <w:rFonts w:ascii="Calibri" w:hAnsi="Calibri"/>
          <w:color w:val="000000"/>
          <w:sz w:val="22"/>
        </w:rPr>
        <w:t xml:space="preserve">As Derek Collins argues, the </w:t>
      </w:r>
      <w:proofErr w:type="spellStart"/>
      <w:r w:rsidR="004D2230">
        <w:rPr>
          <w:rFonts w:ascii="Calibri" w:hAnsi="Calibri"/>
          <w:color w:val="000000"/>
          <w:sz w:val="22"/>
        </w:rPr>
        <w:t>p</w:t>
      </w:r>
      <w:r w:rsidRPr="00F62FA9">
        <w:rPr>
          <w:rFonts w:ascii="Calibri" w:hAnsi="Calibri"/>
          <w:color w:val="000000"/>
          <w:sz w:val="22"/>
        </w:rPr>
        <w:t>re-socratic</w:t>
      </w:r>
      <w:proofErr w:type="spellEnd"/>
      <w:r w:rsidRPr="00F62FA9">
        <w:rPr>
          <w:rFonts w:ascii="Calibri" w:hAnsi="Calibri"/>
          <w:color w:val="000000"/>
          <w:sz w:val="22"/>
        </w:rPr>
        <w:t xml:space="preserve"> and platonic world view, combined invisible causes with natural causes, and therefore, could not dispute the efficacy of magical or supernatural forces. Attacks against magic, such as those by Plato, were </w:t>
      </w:r>
      <w:r w:rsidRPr="00F62FA9">
        <w:rPr>
          <w:rFonts w:ascii="Calibri" w:hAnsi="Calibri"/>
          <w:color w:val="000000"/>
          <w:sz w:val="22"/>
        </w:rPr>
        <w:lastRenderedPageBreak/>
        <w:t>mostly levied on the ‘logical and moral premises’ of its efficacy.</w:t>
      </w:r>
      <w:r w:rsidRPr="00F62FA9">
        <w:rPr>
          <w:rFonts w:ascii="Calibri" w:hAnsi="Calibri"/>
          <w:color w:val="000000"/>
          <w:sz w:val="22"/>
          <w:vertAlign w:val="superscript"/>
        </w:rPr>
        <w:footnoteReference w:id="23"/>
      </w:r>
      <w:r w:rsidRPr="00F62FA9">
        <w:rPr>
          <w:rFonts w:ascii="Calibri" w:hAnsi="Calibri"/>
          <w:color w:val="000000"/>
          <w:sz w:val="22"/>
        </w:rPr>
        <w:t xml:space="preserve">  </w:t>
      </w:r>
      <w:r w:rsidRPr="00F62FA9">
        <w:rPr>
          <w:rFonts w:ascii="Calibri" w:hAnsi="Calibri"/>
          <w:sz w:val="22"/>
        </w:rPr>
        <w:t xml:space="preserve">Plotinus also did not deny the possibility of magic.  According to </w:t>
      </w:r>
      <w:proofErr w:type="spellStart"/>
      <w:r w:rsidRPr="00F62FA9">
        <w:rPr>
          <w:rFonts w:ascii="Calibri" w:hAnsi="Calibri"/>
          <w:sz w:val="22"/>
        </w:rPr>
        <w:t>Dodds</w:t>
      </w:r>
      <w:proofErr w:type="spellEnd"/>
      <w:r w:rsidRPr="00F62FA9">
        <w:rPr>
          <w:rFonts w:ascii="Calibri" w:hAnsi="Calibri"/>
          <w:sz w:val="22"/>
        </w:rPr>
        <w:t xml:space="preserve">, he understood magic as a universal force working within a unified cosmos, and present in nature itself. </w:t>
      </w:r>
      <w:r w:rsidRPr="00F62FA9">
        <w:rPr>
          <w:rFonts w:ascii="Calibri" w:hAnsi="Calibri"/>
          <w:sz w:val="22"/>
          <w:vertAlign w:val="superscript"/>
        </w:rPr>
        <w:footnoteReference w:id="24"/>
      </w:r>
      <w:r w:rsidRPr="00F62FA9">
        <w:rPr>
          <w:rFonts w:ascii="Calibri" w:hAnsi="Calibri"/>
          <w:sz w:val="22"/>
        </w:rPr>
        <w:t xml:space="preserve"> He did not consider it to be a ‘marvel’, just because unlike nature its workings were ‘less familiar’</w:t>
      </w:r>
      <w:r w:rsidR="004D17BB">
        <w:rPr>
          <w:rFonts w:ascii="Calibri" w:hAnsi="Calibri"/>
          <w:sz w:val="22"/>
        </w:rPr>
        <w:t>.</w:t>
      </w:r>
      <w:r w:rsidRPr="00F62FA9">
        <w:rPr>
          <w:rFonts w:ascii="Calibri" w:hAnsi="Calibri"/>
          <w:sz w:val="22"/>
          <w:vertAlign w:val="superscript"/>
        </w:rPr>
        <w:footnoteReference w:id="25"/>
      </w:r>
      <w:r w:rsidRPr="00F62FA9">
        <w:rPr>
          <w:rFonts w:ascii="Calibri" w:hAnsi="Calibri"/>
          <w:sz w:val="22"/>
        </w:rPr>
        <w:t xml:space="preserve"> According to Shep</w:t>
      </w:r>
      <w:r w:rsidR="004D17BB">
        <w:rPr>
          <w:rFonts w:ascii="Calibri" w:hAnsi="Calibri"/>
          <w:sz w:val="22"/>
        </w:rPr>
        <w:t>pard</w:t>
      </w:r>
      <w:r w:rsidRPr="00F62FA9">
        <w:rPr>
          <w:rFonts w:ascii="Calibri" w:hAnsi="Calibri"/>
          <w:sz w:val="22"/>
        </w:rPr>
        <w:t xml:space="preserve">, Plotinus attributed magic to cosmic ‘sympathy’, and similarly, Iamblichus attributes the effectiveness of theurgic ritual, to ‘affinity’ and ‘friendship’ within the sympathetic chain. </w:t>
      </w:r>
      <w:r w:rsidRPr="00F62FA9">
        <w:rPr>
          <w:rFonts w:ascii="Calibri" w:hAnsi="Calibri"/>
          <w:sz w:val="22"/>
          <w:vertAlign w:val="superscript"/>
        </w:rPr>
        <w:footnoteReference w:id="26"/>
      </w:r>
      <w:r w:rsidRPr="00F62FA9">
        <w:rPr>
          <w:rFonts w:ascii="Calibri" w:hAnsi="Calibri"/>
          <w:sz w:val="22"/>
        </w:rPr>
        <w:t xml:space="preserve">  Sympathy relates to the Platonic idea from the Timaeus whereby the cosmos is a living being</w:t>
      </w:r>
      <w:r w:rsidRPr="001E2829">
        <w:rPr>
          <w:rFonts w:ascii="Calibri" w:hAnsi="Calibri"/>
          <w:sz w:val="22"/>
        </w:rPr>
        <w:t>.</w:t>
      </w:r>
      <w:r w:rsidRPr="001E2829">
        <w:rPr>
          <w:rFonts w:ascii="Calibri" w:hAnsi="Calibri"/>
          <w:sz w:val="22"/>
          <w:vertAlign w:val="superscript"/>
        </w:rPr>
        <w:footnoteReference w:id="27"/>
      </w:r>
      <w:r w:rsidRPr="000316EC">
        <w:rPr>
          <w:rFonts w:ascii="Calibri" w:hAnsi="Calibri"/>
          <w:sz w:val="22"/>
        </w:rPr>
        <w:t xml:space="preserve"> </w:t>
      </w:r>
      <w:r w:rsidR="001E2829" w:rsidRPr="001E2829">
        <w:rPr>
          <w:rFonts w:ascii="Calibri" w:hAnsi="Calibri"/>
          <w:sz w:val="22"/>
        </w:rPr>
        <w:t>T</w:t>
      </w:r>
      <w:r w:rsidR="001E2829">
        <w:rPr>
          <w:rFonts w:ascii="Calibri" w:hAnsi="Calibri"/>
          <w:sz w:val="22"/>
        </w:rPr>
        <w:t xml:space="preserve">hus, </w:t>
      </w:r>
      <w:r w:rsidR="001E2829">
        <w:rPr>
          <w:rFonts w:ascii="Calibri" w:hAnsi="Calibri"/>
          <w:sz w:val="22"/>
        </w:rPr>
        <w:t xml:space="preserve">ancient </w:t>
      </w:r>
      <w:r w:rsidR="001E2829">
        <w:rPr>
          <w:rFonts w:ascii="Calibri" w:hAnsi="Calibri"/>
          <w:sz w:val="22"/>
        </w:rPr>
        <w:t>magic</w:t>
      </w:r>
      <w:r w:rsidR="001E2829">
        <w:rPr>
          <w:rFonts w:ascii="Calibri" w:hAnsi="Calibri"/>
          <w:sz w:val="22"/>
        </w:rPr>
        <w:t xml:space="preserve">, </w:t>
      </w:r>
      <w:r w:rsidR="001E2829">
        <w:rPr>
          <w:rFonts w:ascii="Calibri" w:hAnsi="Calibri"/>
          <w:sz w:val="22"/>
        </w:rPr>
        <w:t xml:space="preserve">religion </w:t>
      </w:r>
      <w:r w:rsidR="001E2829">
        <w:rPr>
          <w:rFonts w:ascii="Calibri" w:hAnsi="Calibri"/>
          <w:sz w:val="22"/>
        </w:rPr>
        <w:t xml:space="preserve">and theurgy </w:t>
      </w:r>
      <w:r w:rsidR="001E2829">
        <w:rPr>
          <w:rFonts w:ascii="Calibri" w:hAnsi="Calibri"/>
          <w:sz w:val="22"/>
        </w:rPr>
        <w:t xml:space="preserve">share </w:t>
      </w:r>
      <w:r w:rsidR="00F57006">
        <w:rPr>
          <w:rFonts w:ascii="Calibri" w:hAnsi="Calibri"/>
          <w:sz w:val="22"/>
        </w:rPr>
        <w:t xml:space="preserve">terms, intents and </w:t>
      </w:r>
      <w:r w:rsidR="001E2829">
        <w:rPr>
          <w:rFonts w:ascii="Calibri" w:hAnsi="Calibri"/>
          <w:sz w:val="22"/>
        </w:rPr>
        <w:t>practices</w:t>
      </w:r>
      <w:r w:rsidR="00F57006">
        <w:rPr>
          <w:rFonts w:ascii="Calibri" w:hAnsi="Calibri"/>
          <w:sz w:val="22"/>
        </w:rPr>
        <w:t>,</w:t>
      </w:r>
      <w:r w:rsidR="001E2829">
        <w:rPr>
          <w:rFonts w:ascii="Calibri" w:hAnsi="Calibri"/>
          <w:sz w:val="22"/>
        </w:rPr>
        <w:t xml:space="preserve"> and they also operate within </w:t>
      </w:r>
      <w:r w:rsidR="001E2829">
        <w:rPr>
          <w:rFonts w:ascii="Calibri" w:hAnsi="Calibri"/>
          <w:sz w:val="22"/>
        </w:rPr>
        <w:t>the</w:t>
      </w:r>
      <w:r w:rsidR="001E2829">
        <w:rPr>
          <w:rFonts w:ascii="Calibri" w:hAnsi="Calibri"/>
          <w:sz w:val="22"/>
        </w:rPr>
        <w:t xml:space="preserve"> worldview of a sympathetic </w:t>
      </w:r>
      <w:r w:rsidR="001E2829">
        <w:rPr>
          <w:rFonts w:ascii="Calibri" w:hAnsi="Calibri"/>
          <w:sz w:val="22"/>
        </w:rPr>
        <w:t xml:space="preserve">participatory </w:t>
      </w:r>
      <w:r w:rsidR="001E2829">
        <w:rPr>
          <w:rFonts w:ascii="Calibri" w:hAnsi="Calibri"/>
          <w:sz w:val="22"/>
        </w:rPr>
        <w:t xml:space="preserve">cosmos. </w:t>
      </w:r>
    </w:p>
    <w:p w14:paraId="34BABB37" w14:textId="72CEACE9" w:rsidR="00F62FA9" w:rsidRPr="000316EC" w:rsidRDefault="00F62FA9" w:rsidP="00F62FA9">
      <w:pPr>
        <w:keepNext/>
        <w:keepLines/>
        <w:spacing w:before="240"/>
        <w:outlineLvl w:val="0"/>
        <w:rPr>
          <w:rFonts w:ascii="Calibri Light" w:hAnsi="Calibri Light"/>
          <w:color w:val="2F5496"/>
        </w:rPr>
      </w:pPr>
      <w:r w:rsidRPr="000316EC">
        <w:rPr>
          <w:rFonts w:ascii="Calibri Light" w:hAnsi="Calibri Light"/>
          <w:color w:val="2F5496"/>
        </w:rPr>
        <w:t xml:space="preserve">Magic, Theurgy and Causation </w:t>
      </w:r>
    </w:p>
    <w:p w14:paraId="1330ECEE" w14:textId="110A1B13" w:rsidR="00281300" w:rsidRDefault="00F62FA9" w:rsidP="00F62FA9">
      <w:pPr>
        <w:rPr>
          <w:rFonts w:ascii="Calibri" w:hAnsi="Calibri"/>
          <w:sz w:val="22"/>
        </w:rPr>
      </w:pPr>
      <w:r w:rsidRPr="00F62FA9">
        <w:rPr>
          <w:rFonts w:ascii="Calibri" w:hAnsi="Calibri"/>
          <w:sz w:val="22"/>
        </w:rPr>
        <w:t>Theurgy and magic both work through the ontological power of symbols and other ritual actions within the framework of a sympathetic cosmos. Use of symbols and ineffable names ha</w:t>
      </w:r>
      <w:r w:rsidR="001E2829">
        <w:rPr>
          <w:rFonts w:ascii="Calibri" w:hAnsi="Calibri"/>
          <w:sz w:val="22"/>
        </w:rPr>
        <w:t>ve</w:t>
      </w:r>
      <w:r w:rsidRPr="00F62FA9">
        <w:rPr>
          <w:rFonts w:ascii="Calibri" w:hAnsi="Calibri"/>
          <w:sz w:val="22"/>
        </w:rPr>
        <w:t xml:space="preserve"> roots in magical traditions</w:t>
      </w:r>
      <w:r w:rsidR="001E2829">
        <w:rPr>
          <w:rFonts w:ascii="Calibri" w:hAnsi="Calibri"/>
          <w:sz w:val="22"/>
        </w:rPr>
        <w:t>,</w:t>
      </w:r>
      <w:r w:rsidRPr="00F62FA9">
        <w:rPr>
          <w:rFonts w:ascii="Calibri" w:hAnsi="Calibri"/>
          <w:sz w:val="22"/>
        </w:rPr>
        <w:t xml:space="preserve"> and other practices</w:t>
      </w:r>
      <w:r w:rsidR="001E2829">
        <w:rPr>
          <w:rFonts w:ascii="Calibri" w:hAnsi="Calibri"/>
          <w:sz w:val="22"/>
        </w:rPr>
        <w:t>,</w:t>
      </w:r>
      <w:r w:rsidRPr="00F62FA9">
        <w:rPr>
          <w:rFonts w:ascii="Calibri" w:hAnsi="Calibri"/>
          <w:sz w:val="22"/>
        </w:rPr>
        <w:t xml:space="preserve"> such as prayer</w:t>
      </w:r>
      <w:r w:rsidR="001E2829">
        <w:rPr>
          <w:rFonts w:ascii="Calibri" w:hAnsi="Calibri"/>
          <w:sz w:val="22"/>
        </w:rPr>
        <w:t>,</w:t>
      </w:r>
      <w:r w:rsidRPr="00F62FA9">
        <w:rPr>
          <w:rFonts w:ascii="Calibri" w:hAnsi="Calibri"/>
          <w:sz w:val="22"/>
        </w:rPr>
        <w:t xml:space="preserve"> have deep roots in religious traditions.</w:t>
      </w:r>
      <w:r w:rsidRPr="00F62FA9">
        <w:rPr>
          <w:rFonts w:ascii="Calibri" w:hAnsi="Calibri"/>
          <w:sz w:val="22"/>
          <w:vertAlign w:val="superscript"/>
        </w:rPr>
        <w:footnoteReference w:id="28"/>
      </w:r>
      <w:r w:rsidRPr="00F62FA9">
        <w:rPr>
          <w:rFonts w:ascii="Calibri" w:hAnsi="Calibri"/>
          <w:sz w:val="22"/>
        </w:rPr>
        <w:t xml:space="preserve"> However, whilst distinguishing magic and religion by practices </w:t>
      </w:r>
      <w:r w:rsidR="00F57006">
        <w:rPr>
          <w:rFonts w:ascii="Calibri" w:hAnsi="Calibri"/>
          <w:sz w:val="22"/>
        </w:rPr>
        <w:t xml:space="preserve">can be </w:t>
      </w:r>
      <w:r w:rsidRPr="00F62FA9">
        <w:rPr>
          <w:rFonts w:ascii="Calibri" w:hAnsi="Calibri"/>
          <w:sz w:val="22"/>
        </w:rPr>
        <w:t xml:space="preserve">useful, as shown </w:t>
      </w:r>
      <w:r w:rsidR="00F57006">
        <w:rPr>
          <w:rFonts w:ascii="Calibri" w:hAnsi="Calibri"/>
          <w:sz w:val="22"/>
        </w:rPr>
        <w:t>by</w:t>
      </w:r>
      <w:r w:rsidR="00F57006" w:rsidRPr="00F62FA9">
        <w:rPr>
          <w:rFonts w:ascii="Calibri" w:hAnsi="Calibri"/>
          <w:sz w:val="22"/>
        </w:rPr>
        <w:t xml:space="preserve"> </w:t>
      </w:r>
      <w:r w:rsidRPr="00F62FA9">
        <w:rPr>
          <w:rFonts w:ascii="Calibri" w:hAnsi="Calibri"/>
          <w:sz w:val="22"/>
        </w:rPr>
        <w:t xml:space="preserve">Dillon’s example, it can be problematic </w:t>
      </w:r>
      <w:r w:rsidR="00F57006">
        <w:rPr>
          <w:rFonts w:ascii="Calibri" w:hAnsi="Calibri"/>
          <w:sz w:val="22"/>
        </w:rPr>
        <w:t>when</w:t>
      </w:r>
      <w:r w:rsidRPr="00F62FA9">
        <w:rPr>
          <w:rFonts w:ascii="Calibri" w:hAnsi="Calibri"/>
          <w:sz w:val="22"/>
        </w:rPr>
        <w:t xml:space="preserve"> the </w:t>
      </w:r>
      <w:r w:rsidR="00F57006" w:rsidRPr="00F62FA9">
        <w:rPr>
          <w:rFonts w:ascii="Calibri" w:hAnsi="Calibri"/>
          <w:sz w:val="22"/>
        </w:rPr>
        <w:t xml:space="preserve">underlying </w:t>
      </w:r>
      <w:r w:rsidRPr="00F62FA9">
        <w:rPr>
          <w:rFonts w:ascii="Calibri" w:hAnsi="Calibri"/>
          <w:sz w:val="22"/>
        </w:rPr>
        <w:t>concepts</w:t>
      </w:r>
      <w:r w:rsidR="00F57006">
        <w:rPr>
          <w:rFonts w:ascii="Calibri" w:hAnsi="Calibri"/>
          <w:sz w:val="22"/>
        </w:rPr>
        <w:t xml:space="preserve"> are not understood</w:t>
      </w:r>
      <w:r w:rsidRPr="00F62FA9">
        <w:rPr>
          <w:rFonts w:ascii="Calibri" w:hAnsi="Calibri"/>
          <w:sz w:val="22"/>
        </w:rPr>
        <w:t>. In exploring classical Greek magical practice</w:t>
      </w:r>
      <w:r w:rsidR="00F57006">
        <w:rPr>
          <w:rFonts w:ascii="Calibri" w:hAnsi="Calibri"/>
          <w:sz w:val="22"/>
        </w:rPr>
        <w:t>s</w:t>
      </w:r>
      <w:r w:rsidRPr="00F62FA9">
        <w:rPr>
          <w:rFonts w:ascii="Calibri" w:hAnsi="Calibri"/>
          <w:sz w:val="22"/>
        </w:rPr>
        <w:t xml:space="preserve"> from the 4</w:t>
      </w:r>
      <w:r w:rsidRPr="00F62FA9">
        <w:rPr>
          <w:rFonts w:ascii="Calibri" w:hAnsi="Calibri"/>
          <w:sz w:val="22"/>
          <w:vertAlign w:val="superscript"/>
        </w:rPr>
        <w:t>th</w:t>
      </w:r>
      <w:r w:rsidRPr="00F62FA9">
        <w:rPr>
          <w:rFonts w:ascii="Calibri" w:hAnsi="Calibri"/>
          <w:sz w:val="22"/>
        </w:rPr>
        <w:t xml:space="preserve"> and 5</w:t>
      </w:r>
      <w:r w:rsidRPr="00F62FA9">
        <w:rPr>
          <w:rFonts w:ascii="Calibri" w:hAnsi="Calibri"/>
          <w:sz w:val="22"/>
          <w:vertAlign w:val="superscript"/>
        </w:rPr>
        <w:t>th</w:t>
      </w:r>
      <w:r w:rsidRPr="00F62FA9">
        <w:rPr>
          <w:rFonts w:ascii="Calibri" w:hAnsi="Calibri"/>
          <w:sz w:val="22"/>
        </w:rPr>
        <w:t xml:space="preserve"> centuries, Collins suggests that in order to understand magic</w:t>
      </w:r>
      <w:r w:rsidR="00F57006">
        <w:rPr>
          <w:rFonts w:ascii="Calibri" w:hAnsi="Calibri"/>
          <w:sz w:val="22"/>
        </w:rPr>
        <w:t>,</w:t>
      </w:r>
      <w:r w:rsidRPr="00F62FA9">
        <w:rPr>
          <w:rFonts w:ascii="Calibri" w:hAnsi="Calibri"/>
          <w:sz w:val="22"/>
        </w:rPr>
        <w:t xml:space="preserve"> one must </w:t>
      </w:r>
      <w:r w:rsidR="001E2829">
        <w:rPr>
          <w:rFonts w:ascii="Calibri" w:hAnsi="Calibri"/>
          <w:sz w:val="22"/>
        </w:rPr>
        <w:t xml:space="preserve">first </w:t>
      </w:r>
      <w:r w:rsidRPr="00F62FA9">
        <w:rPr>
          <w:rFonts w:ascii="Calibri" w:hAnsi="Calibri"/>
          <w:sz w:val="22"/>
        </w:rPr>
        <w:t>understand Greek conceptions of agency</w:t>
      </w:r>
      <w:r w:rsidR="001E2829">
        <w:rPr>
          <w:rFonts w:ascii="Calibri" w:hAnsi="Calibri"/>
          <w:sz w:val="22"/>
        </w:rPr>
        <w:t>,</w:t>
      </w:r>
      <w:r w:rsidRPr="00F62FA9">
        <w:rPr>
          <w:rFonts w:ascii="Calibri" w:hAnsi="Calibri"/>
          <w:sz w:val="22"/>
        </w:rPr>
        <w:t xml:space="preserve"> i.e. what is ‘deemed capable of producing effects in the world.’</w:t>
      </w:r>
      <w:r w:rsidRPr="00F62FA9">
        <w:rPr>
          <w:rFonts w:ascii="Calibri" w:hAnsi="Calibri"/>
          <w:sz w:val="22"/>
          <w:vertAlign w:val="superscript"/>
        </w:rPr>
        <w:footnoteReference w:id="29"/>
      </w:r>
      <w:r w:rsidRPr="00F62FA9">
        <w:rPr>
          <w:rFonts w:ascii="Calibri" w:hAnsi="Calibri"/>
          <w:sz w:val="22"/>
        </w:rPr>
        <w:t xml:space="preserve"> The use of ritual objects and practices and the underlying notions of causation are central considerations in any analysis of magic. Collins suggest</w:t>
      </w:r>
      <w:r w:rsidR="00F57006">
        <w:rPr>
          <w:rFonts w:ascii="Calibri" w:hAnsi="Calibri"/>
          <w:sz w:val="22"/>
        </w:rPr>
        <w:t>s</w:t>
      </w:r>
      <w:r w:rsidRPr="00F62FA9">
        <w:rPr>
          <w:rFonts w:ascii="Calibri" w:hAnsi="Calibri"/>
          <w:sz w:val="22"/>
        </w:rPr>
        <w:t xml:space="preserve"> that events could be caused by a multitude of factors</w:t>
      </w:r>
      <w:r w:rsidR="00F57006">
        <w:rPr>
          <w:rFonts w:ascii="Calibri" w:hAnsi="Calibri"/>
          <w:sz w:val="22"/>
        </w:rPr>
        <w:t>,</w:t>
      </w:r>
      <w:r w:rsidRPr="00F62FA9">
        <w:rPr>
          <w:rFonts w:ascii="Calibri" w:hAnsi="Calibri"/>
          <w:sz w:val="22"/>
        </w:rPr>
        <w:t xml:space="preserve"> including ‘invisible and visible, human and divine, present and past’. </w:t>
      </w:r>
      <w:r w:rsidRPr="00F62FA9">
        <w:rPr>
          <w:rFonts w:ascii="Calibri" w:hAnsi="Calibri"/>
          <w:sz w:val="22"/>
          <w:vertAlign w:val="superscript"/>
        </w:rPr>
        <w:footnoteReference w:id="30"/>
      </w:r>
      <w:r w:rsidRPr="00F62FA9">
        <w:rPr>
          <w:rFonts w:ascii="Calibri" w:hAnsi="Calibri"/>
          <w:sz w:val="22"/>
        </w:rPr>
        <w:t xml:space="preserve"> Illustrative examples demonstrate how even ritual objects</w:t>
      </w:r>
      <w:r w:rsidR="00F57006">
        <w:rPr>
          <w:rFonts w:ascii="Calibri" w:hAnsi="Calibri"/>
          <w:sz w:val="22"/>
        </w:rPr>
        <w:t>,</w:t>
      </w:r>
      <w:r w:rsidRPr="00F62FA9">
        <w:rPr>
          <w:rFonts w:ascii="Calibri" w:hAnsi="Calibri"/>
          <w:sz w:val="22"/>
        </w:rPr>
        <w:t xml:space="preserve"> such as statues or weapons</w:t>
      </w:r>
      <w:r w:rsidR="00F57006">
        <w:rPr>
          <w:rFonts w:ascii="Calibri" w:hAnsi="Calibri"/>
          <w:sz w:val="22"/>
        </w:rPr>
        <w:t>,</w:t>
      </w:r>
      <w:r w:rsidRPr="00F62FA9">
        <w:rPr>
          <w:rFonts w:ascii="Calibri" w:hAnsi="Calibri"/>
          <w:sz w:val="22"/>
        </w:rPr>
        <w:t xml:space="preserve"> were deemed to have legal agency</w:t>
      </w:r>
      <w:r w:rsidR="00DD13B2">
        <w:rPr>
          <w:rFonts w:ascii="Calibri" w:hAnsi="Calibri"/>
          <w:sz w:val="22"/>
        </w:rPr>
        <w:t>,</w:t>
      </w:r>
      <w:r w:rsidRPr="00F62FA9">
        <w:rPr>
          <w:rFonts w:ascii="Calibri" w:hAnsi="Calibri"/>
          <w:sz w:val="22"/>
        </w:rPr>
        <w:t xml:space="preserve"> similar to human beings and how different causal factors could operate simultaneously in the same event. The three main categories of causation are identified as ‘mechanical’, suggesting natural and empirical causes, ‘volition’ which relates to personal will and desire</w:t>
      </w:r>
      <w:r w:rsidR="00F57006">
        <w:rPr>
          <w:rFonts w:ascii="Calibri" w:hAnsi="Calibri"/>
          <w:sz w:val="22"/>
        </w:rPr>
        <w:t>,</w:t>
      </w:r>
      <w:r w:rsidRPr="00F62FA9">
        <w:rPr>
          <w:rFonts w:ascii="Calibri" w:hAnsi="Calibri"/>
          <w:sz w:val="22"/>
        </w:rPr>
        <w:t xml:space="preserve"> and ‘teleological’</w:t>
      </w:r>
      <w:r w:rsidR="00F57006">
        <w:rPr>
          <w:rFonts w:ascii="Calibri" w:hAnsi="Calibri"/>
          <w:sz w:val="22"/>
        </w:rPr>
        <w:t>,</w:t>
      </w:r>
      <w:r w:rsidRPr="00F62FA9">
        <w:rPr>
          <w:rFonts w:ascii="Calibri" w:hAnsi="Calibri"/>
          <w:sz w:val="22"/>
        </w:rPr>
        <w:t xml:space="preserve"> which is more aligned with divine causation. </w:t>
      </w:r>
      <w:r w:rsidRPr="00F62FA9">
        <w:rPr>
          <w:rFonts w:ascii="Calibri" w:hAnsi="Calibri"/>
          <w:sz w:val="22"/>
          <w:vertAlign w:val="superscript"/>
        </w:rPr>
        <w:footnoteReference w:id="31"/>
      </w:r>
      <w:r w:rsidRPr="00F62FA9">
        <w:rPr>
          <w:rFonts w:ascii="Calibri" w:hAnsi="Calibri"/>
          <w:sz w:val="22"/>
        </w:rPr>
        <w:t xml:space="preserve"> Twentieth century anthropological studies also support the idea that magical worldviews are based upon a logic which allows for schemes of </w:t>
      </w:r>
      <w:r w:rsidR="00281300" w:rsidRPr="00F62FA9">
        <w:rPr>
          <w:rFonts w:ascii="Calibri" w:hAnsi="Calibri"/>
          <w:sz w:val="22"/>
        </w:rPr>
        <w:t>simultaneous</w:t>
      </w:r>
      <w:r w:rsidR="00281300" w:rsidRPr="00F62FA9">
        <w:rPr>
          <w:rFonts w:ascii="Calibri" w:hAnsi="Calibri"/>
          <w:sz w:val="22"/>
        </w:rPr>
        <w:t xml:space="preserve"> </w:t>
      </w:r>
      <w:r w:rsidRPr="00F62FA9">
        <w:rPr>
          <w:rFonts w:ascii="Calibri" w:hAnsi="Calibri"/>
          <w:sz w:val="22"/>
        </w:rPr>
        <w:t>multiple causation.</w:t>
      </w:r>
      <w:r w:rsidRPr="00F62FA9">
        <w:rPr>
          <w:rFonts w:ascii="Calibri" w:hAnsi="Calibri"/>
          <w:sz w:val="22"/>
          <w:vertAlign w:val="superscript"/>
        </w:rPr>
        <w:footnoteReference w:id="32"/>
      </w:r>
      <w:r w:rsidRPr="00F62FA9">
        <w:rPr>
          <w:rFonts w:ascii="Calibri" w:hAnsi="Calibri"/>
          <w:sz w:val="22"/>
        </w:rPr>
        <w:t xml:space="preserve"> </w:t>
      </w:r>
    </w:p>
    <w:p w14:paraId="6CC5C2E7" w14:textId="77777777" w:rsidR="00281300" w:rsidRDefault="00281300" w:rsidP="00F62FA9">
      <w:pPr>
        <w:rPr>
          <w:rFonts w:ascii="Calibri" w:hAnsi="Calibri"/>
          <w:sz w:val="22"/>
        </w:rPr>
      </w:pPr>
    </w:p>
    <w:p w14:paraId="7AACFF53" w14:textId="56FE1703" w:rsidR="00F62FA9" w:rsidRPr="00F62FA9" w:rsidRDefault="00F62FA9" w:rsidP="00F62FA9">
      <w:pPr>
        <w:rPr>
          <w:rFonts w:ascii="Calibri" w:hAnsi="Calibri"/>
          <w:strike/>
          <w:sz w:val="22"/>
        </w:rPr>
      </w:pPr>
      <w:r w:rsidRPr="00F62FA9">
        <w:rPr>
          <w:rFonts w:ascii="Calibri" w:hAnsi="Calibri"/>
          <w:sz w:val="22"/>
        </w:rPr>
        <w:t xml:space="preserve">Such frameworks are important for theurgy, as it is similarly underpinned by a scheme of causation which is hierarchical in nature. Iamblichus describes this as follows: </w:t>
      </w:r>
    </w:p>
    <w:p w14:paraId="59CC04E4" w14:textId="77777777" w:rsidR="00F62FA9" w:rsidRPr="00F62FA9" w:rsidRDefault="00F62FA9" w:rsidP="00F62FA9">
      <w:pPr>
        <w:rPr>
          <w:rFonts w:ascii="Calibri" w:hAnsi="Calibri"/>
          <w:strike/>
          <w:sz w:val="22"/>
        </w:rPr>
      </w:pPr>
    </w:p>
    <w:p w14:paraId="02E494D8" w14:textId="77777777" w:rsidR="00F62FA9" w:rsidRPr="00F62FA9" w:rsidRDefault="00F62FA9" w:rsidP="00F62FA9">
      <w:pPr>
        <w:ind w:left="720"/>
        <w:rPr>
          <w:rFonts w:ascii="Calibri" w:hAnsi="Calibri"/>
          <w:strike/>
          <w:sz w:val="22"/>
        </w:rPr>
      </w:pPr>
      <w:r w:rsidRPr="00F62FA9">
        <w:rPr>
          <w:rFonts w:ascii="Calibri" w:hAnsi="Calibri"/>
          <w:sz w:val="22"/>
        </w:rPr>
        <w:t>[ In the same way that] terrestrial things derive their nourishment from celestial sources [</w:t>
      </w:r>
      <w:proofErr w:type="spellStart"/>
      <w:r w:rsidRPr="00F62FA9">
        <w:rPr>
          <w:rFonts w:ascii="Calibri" w:hAnsi="Calibri"/>
          <w:sz w:val="22"/>
        </w:rPr>
        <w:t>eg.</w:t>
      </w:r>
      <w:proofErr w:type="spellEnd"/>
      <w:r w:rsidRPr="00F62FA9">
        <w:rPr>
          <w:rFonts w:ascii="Calibri" w:hAnsi="Calibri"/>
          <w:sz w:val="22"/>
        </w:rPr>
        <w:t xml:space="preserve"> The sun], within the hierarchy humans are causally inferior to daemons…since these relationships are numerous, and some have an immediate source of influence, as in the case of daemonic ones, while others are superior to these, having divine causes, and, higher than these again, there is the one pre-eminent cause [the primary god]. </w:t>
      </w:r>
      <w:r w:rsidRPr="00F62FA9">
        <w:rPr>
          <w:rFonts w:ascii="Calibri" w:hAnsi="Calibri"/>
          <w:sz w:val="22"/>
          <w:vertAlign w:val="superscript"/>
        </w:rPr>
        <w:footnoteReference w:id="33"/>
      </w:r>
    </w:p>
    <w:p w14:paraId="162ED92B" w14:textId="77777777" w:rsidR="00F62FA9" w:rsidRPr="00F62FA9" w:rsidRDefault="00F62FA9" w:rsidP="00F62FA9">
      <w:pPr>
        <w:rPr>
          <w:rFonts w:ascii="Calibri" w:hAnsi="Calibri"/>
          <w:sz w:val="22"/>
        </w:rPr>
      </w:pPr>
    </w:p>
    <w:p w14:paraId="1E4E1108" w14:textId="4AF2B83A" w:rsidR="00F62FA9" w:rsidRPr="00F62FA9" w:rsidRDefault="00F62FA9" w:rsidP="00F62FA9">
      <w:pPr>
        <w:rPr>
          <w:rFonts w:ascii="Calibri" w:hAnsi="Calibri"/>
          <w:sz w:val="22"/>
        </w:rPr>
      </w:pPr>
      <w:r w:rsidRPr="00F62FA9">
        <w:rPr>
          <w:rFonts w:ascii="Calibri" w:hAnsi="Calibri"/>
          <w:sz w:val="22"/>
        </w:rPr>
        <w:lastRenderedPageBreak/>
        <w:t>The efficacy of theurgic ritual rested upon the primary</w:t>
      </w:r>
      <w:r w:rsidR="00281300">
        <w:rPr>
          <w:rFonts w:ascii="Calibri" w:hAnsi="Calibri"/>
          <w:sz w:val="22"/>
        </w:rPr>
        <w:t>,</w:t>
      </w:r>
      <w:r w:rsidRPr="00F62FA9">
        <w:rPr>
          <w:rFonts w:ascii="Calibri" w:hAnsi="Calibri"/>
          <w:sz w:val="22"/>
        </w:rPr>
        <w:t xml:space="preserve"> or divine cause</w:t>
      </w:r>
      <w:r w:rsidR="00281300">
        <w:rPr>
          <w:rFonts w:ascii="Calibri" w:hAnsi="Calibri"/>
          <w:sz w:val="22"/>
        </w:rPr>
        <w:t>,</w:t>
      </w:r>
      <w:r w:rsidRPr="00F62FA9">
        <w:rPr>
          <w:rFonts w:ascii="Calibri" w:hAnsi="Calibri"/>
          <w:sz w:val="22"/>
        </w:rPr>
        <w:t xml:space="preserve"> and</w:t>
      </w:r>
      <w:r w:rsidR="00281300">
        <w:rPr>
          <w:rFonts w:ascii="Calibri" w:hAnsi="Calibri"/>
          <w:sz w:val="22"/>
        </w:rPr>
        <w:t>,</w:t>
      </w:r>
      <w:r w:rsidRPr="00F62FA9">
        <w:rPr>
          <w:rFonts w:ascii="Calibri" w:hAnsi="Calibri"/>
          <w:sz w:val="22"/>
        </w:rPr>
        <w:t xml:space="preserve"> it was this level of agency or causation which distinguished it from the kind of magic which may ha</w:t>
      </w:r>
      <w:r w:rsidR="00DD13B2">
        <w:rPr>
          <w:rFonts w:ascii="Calibri" w:hAnsi="Calibri"/>
          <w:sz w:val="22"/>
        </w:rPr>
        <w:t xml:space="preserve">ve been attributed </w:t>
      </w:r>
      <w:r w:rsidRPr="00F62FA9">
        <w:rPr>
          <w:rFonts w:ascii="Calibri" w:hAnsi="Calibri"/>
          <w:sz w:val="22"/>
        </w:rPr>
        <w:t>solely to material</w:t>
      </w:r>
      <w:r w:rsidR="00DD13B2">
        <w:rPr>
          <w:rFonts w:ascii="Calibri" w:hAnsi="Calibri"/>
          <w:sz w:val="22"/>
        </w:rPr>
        <w:t>,</w:t>
      </w:r>
      <w:r w:rsidRPr="00F62FA9">
        <w:rPr>
          <w:rFonts w:ascii="Calibri" w:hAnsi="Calibri"/>
          <w:sz w:val="22"/>
        </w:rPr>
        <w:t xml:space="preserve"> or human volitional causes.  Practices of sacrifice should likewise not be perceived as way to satisfy the compulsions of evil daemons. According to Iamblichus, the goal was to restore balance in the cosmic being, as ‘the benefits extend to the divine realm as a whole’.</w:t>
      </w:r>
      <w:r w:rsidRPr="00F62FA9">
        <w:rPr>
          <w:rFonts w:ascii="Calibri" w:hAnsi="Calibri"/>
          <w:sz w:val="22"/>
          <w:vertAlign w:val="superscript"/>
        </w:rPr>
        <w:footnoteReference w:id="34"/>
      </w:r>
      <w:r w:rsidRPr="00F62FA9">
        <w:rPr>
          <w:rFonts w:ascii="Calibri" w:hAnsi="Calibri"/>
          <w:sz w:val="22"/>
        </w:rPr>
        <w:t xml:space="preserve"> Human will could not influence the daemons, since they were higher in the scheme of causation. Transformation could only happen via a superior force</w:t>
      </w:r>
      <w:r w:rsidR="00281300">
        <w:rPr>
          <w:rFonts w:ascii="Calibri" w:hAnsi="Calibri"/>
          <w:sz w:val="22"/>
        </w:rPr>
        <w:t>.</w:t>
      </w:r>
      <w:r w:rsidRPr="00F62FA9">
        <w:rPr>
          <w:rFonts w:ascii="Calibri" w:hAnsi="Calibri"/>
          <w:sz w:val="22"/>
        </w:rPr>
        <w:t xml:space="preserve"> </w:t>
      </w:r>
      <w:r w:rsidR="00281300">
        <w:rPr>
          <w:rFonts w:ascii="Calibri" w:hAnsi="Calibri"/>
          <w:sz w:val="22"/>
        </w:rPr>
        <w:t>T</w:t>
      </w:r>
      <w:r w:rsidRPr="00F62FA9">
        <w:rPr>
          <w:rFonts w:ascii="Calibri" w:hAnsi="Calibri"/>
          <w:sz w:val="22"/>
        </w:rPr>
        <w:t xml:space="preserve">hus, claims of human magic and actions controlling or manipulating higher forces were fraudulent. Daemons acted from their own volition, </w:t>
      </w:r>
      <w:r w:rsidR="00281300">
        <w:rPr>
          <w:rFonts w:ascii="Calibri" w:hAnsi="Calibri"/>
          <w:sz w:val="22"/>
        </w:rPr>
        <w:t>therefore</w:t>
      </w:r>
      <w:r w:rsidRPr="00F62FA9">
        <w:rPr>
          <w:rFonts w:ascii="Calibri" w:hAnsi="Calibri"/>
          <w:sz w:val="22"/>
        </w:rPr>
        <w:t>, any accusation of theurgy</w:t>
      </w:r>
      <w:r w:rsidR="00281300">
        <w:rPr>
          <w:rFonts w:ascii="Calibri" w:hAnsi="Calibri"/>
          <w:sz w:val="22"/>
        </w:rPr>
        <w:t xml:space="preserve">, </w:t>
      </w:r>
      <w:r w:rsidRPr="00F62FA9">
        <w:rPr>
          <w:rFonts w:ascii="Calibri" w:hAnsi="Calibri"/>
          <w:sz w:val="22"/>
        </w:rPr>
        <w:t>or magic</w:t>
      </w:r>
      <w:r w:rsidR="00281300">
        <w:rPr>
          <w:rFonts w:ascii="Calibri" w:hAnsi="Calibri"/>
          <w:sz w:val="22"/>
        </w:rPr>
        <w:t>,</w:t>
      </w:r>
      <w:r w:rsidRPr="00F62FA9">
        <w:rPr>
          <w:rFonts w:ascii="Calibri" w:hAnsi="Calibri"/>
          <w:sz w:val="22"/>
        </w:rPr>
        <w:t xml:space="preserve"> manipulating a god or daemon to its own will</w:t>
      </w:r>
      <w:r w:rsidR="00281300">
        <w:rPr>
          <w:rFonts w:ascii="Calibri" w:hAnsi="Calibri"/>
          <w:sz w:val="22"/>
        </w:rPr>
        <w:t>,</w:t>
      </w:r>
      <w:r w:rsidRPr="00F62FA9">
        <w:rPr>
          <w:rFonts w:ascii="Calibri" w:hAnsi="Calibri"/>
          <w:sz w:val="22"/>
        </w:rPr>
        <w:t xml:space="preserve"> was misconceived</w:t>
      </w:r>
      <w:r w:rsidR="00281300">
        <w:rPr>
          <w:rFonts w:ascii="Calibri" w:hAnsi="Calibri"/>
          <w:sz w:val="22"/>
        </w:rPr>
        <w:t>. A</w:t>
      </w:r>
      <w:r w:rsidRPr="00F62FA9">
        <w:rPr>
          <w:rFonts w:ascii="Calibri" w:hAnsi="Calibri"/>
          <w:sz w:val="22"/>
        </w:rPr>
        <w:t>s Iamblichus states ‘it is impossible’ that man ‘is the originating cause’ of a daemon.</w:t>
      </w:r>
      <w:r w:rsidRPr="00F62FA9">
        <w:rPr>
          <w:rFonts w:ascii="Calibri" w:hAnsi="Calibri"/>
          <w:sz w:val="22"/>
          <w:vertAlign w:val="superscript"/>
        </w:rPr>
        <w:t xml:space="preserve"> </w:t>
      </w:r>
      <w:r w:rsidRPr="00F62FA9">
        <w:rPr>
          <w:rFonts w:ascii="Calibri" w:hAnsi="Calibri"/>
          <w:sz w:val="22"/>
          <w:vertAlign w:val="superscript"/>
        </w:rPr>
        <w:footnoteReference w:id="35"/>
      </w:r>
      <w:r w:rsidRPr="00F62FA9">
        <w:rPr>
          <w:rFonts w:ascii="Calibri" w:hAnsi="Calibri"/>
          <w:sz w:val="22"/>
        </w:rPr>
        <w:t xml:space="preserve"> </w:t>
      </w:r>
      <w:r w:rsidR="004D2230">
        <w:rPr>
          <w:rFonts w:ascii="Calibri" w:hAnsi="Calibri"/>
          <w:sz w:val="22"/>
        </w:rPr>
        <w:t>Therefore, v</w:t>
      </w:r>
      <w:r w:rsidRPr="00F62FA9">
        <w:rPr>
          <w:rFonts w:ascii="Calibri" w:hAnsi="Calibri"/>
          <w:sz w:val="22"/>
        </w:rPr>
        <w:t>iewed from the perspective of divine agency and the causal hierarchy, the evaluation by Dillon that that theurgy is manipulative magic</w:t>
      </w:r>
      <w:r w:rsidR="00281300">
        <w:rPr>
          <w:rFonts w:ascii="Calibri" w:hAnsi="Calibri"/>
          <w:sz w:val="22"/>
        </w:rPr>
        <w:t>,</w:t>
      </w:r>
      <w:r w:rsidRPr="00F62FA9">
        <w:rPr>
          <w:rFonts w:ascii="Calibri" w:hAnsi="Calibri"/>
          <w:sz w:val="22"/>
        </w:rPr>
        <w:t xml:space="preserve"> is not feasible.  According to Iamblichus it is the divine that causes the sympathy to arise, and</w:t>
      </w:r>
      <w:r w:rsidR="00281300">
        <w:rPr>
          <w:rFonts w:ascii="Calibri" w:hAnsi="Calibri"/>
          <w:sz w:val="22"/>
        </w:rPr>
        <w:t>,</w:t>
      </w:r>
      <w:r w:rsidRPr="00F62FA9">
        <w:rPr>
          <w:rFonts w:ascii="Calibri" w:hAnsi="Calibri"/>
          <w:sz w:val="22"/>
        </w:rPr>
        <w:t xml:space="preserve"> since the ultimate goal of theurgy was to unite with the gods, all actions were rooted in divine causes.</w:t>
      </w:r>
      <w:r w:rsidRPr="00F62FA9">
        <w:rPr>
          <w:rFonts w:ascii="Calibri" w:hAnsi="Calibri"/>
          <w:sz w:val="22"/>
          <w:vertAlign w:val="superscript"/>
        </w:rPr>
        <w:footnoteReference w:id="36"/>
      </w:r>
      <w:r w:rsidRPr="00F62FA9">
        <w:rPr>
          <w:rFonts w:ascii="Calibri" w:hAnsi="Calibri"/>
          <w:sz w:val="22"/>
        </w:rPr>
        <w:t xml:space="preserve"> </w:t>
      </w:r>
      <w:r w:rsidR="00281300">
        <w:rPr>
          <w:rFonts w:ascii="Calibri" w:hAnsi="Calibri"/>
          <w:sz w:val="22"/>
        </w:rPr>
        <w:t>It follows therefore, that</w:t>
      </w:r>
      <w:r w:rsidRPr="00F62FA9">
        <w:rPr>
          <w:rFonts w:ascii="Calibri" w:hAnsi="Calibri"/>
          <w:sz w:val="22"/>
        </w:rPr>
        <w:t xml:space="preserve"> any practice which attempted to effect a change based on natural or personal desire alone, without seeking alignment with its primary cause could be said to be practicing magic.</w:t>
      </w:r>
    </w:p>
    <w:p w14:paraId="33F0122F" w14:textId="71C5E97C" w:rsidR="00F62FA9" w:rsidRPr="000316EC" w:rsidRDefault="00F62FA9" w:rsidP="00F62FA9">
      <w:pPr>
        <w:keepNext/>
        <w:keepLines/>
        <w:spacing w:before="240"/>
        <w:outlineLvl w:val="0"/>
        <w:rPr>
          <w:rFonts w:ascii="Calibri Light" w:hAnsi="Calibri Light"/>
          <w:color w:val="2F5496"/>
        </w:rPr>
      </w:pPr>
      <w:r w:rsidRPr="000316EC">
        <w:rPr>
          <w:rFonts w:ascii="Calibri Light" w:hAnsi="Calibri Light"/>
          <w:color w:val="2F5496"/>
        </w:rPr>
        <w:t>Magic, Theurgy and Divination</w:t>
      </w:r>
    </w:p>
    <w:p w14:paraId="46032945" w14:textId="08807AA0" w:rsidR="00F62FA9" w:rsidRPr="00F62FA9" w:rsidRDefault="00F62FA9" w:rsidP="00F62FA9">
      <w:pPr>
        <w:rPr>
          <w:rFonts w:ascii="Calibri" w:hAnsi="Calibri"/>
          <w:sz w:val="22"/>
        </w:rPr>
      </w:pPr>
      <w:r w:rsidRPr="00F62FA9">
        <w:rPr>
          <w:rFonts w:ascii="Calibri" w:hAnsi="Calibri"/>
          <w:sz w:val="22"/>
        </w:rPr>
        <w:t>As noted by Ogden</w:t>
      </w:r>
      <w:r w:rsidR="004D2230">
        <w:rPr>
          <w:rFonts w:ascii="Calibri" w:hAnsi="Calibri"/>
          <w:sz w:val="22"/>
        </w:rPr>
        <w:t>,</w:t>
      </w:r>
      <w:r w:rsidRPr="00F62FA9">
        <w:rPr>
          <w:rFonts w:ascii="Calibri" w:hAnsi="Calibri"/>
          <w:sz w:val="22"/>
        </w:rPr>
        <w:t xml:space="preserve"> engagement with ghosts or non-physical beings was central to Greek and Roman magic. </w:t>
      </w:r>
      <w:r w:rsidRPr="00F62FA9">
        <w:rPr>
          <w:rFonts w:ascii="Calibri" w:hAnsi="Calibri"/>
          <w:sz w:val="22"/>
          <w:vertAlign w:val="superscript"/>
        </w:rPr>
        <w:footnoteReference w:id="37"/>
      </w:r>
      <w:r w:rsidRPr="00F62FA9">
        <w:rPr>
          <w:rFonts w:ascii="Calibri" w:hAnsi="Calibri"/>
          <w:sz w:val="22"/>
        </w:rPr>
        <w:t xml:space="preserve"> Many such spel</w:t>
      </w:r>
      <w:r w:rsidR="003718FA">
        <w:rPr>
          <w:rFonts w:ascii="Calibri" w:hAnsi="Calibri"/>
          <w:sz w:val="22"/>
        </w:rPr>
        <w:t>ls would call upon ancestors,</w:t>
      </w:r>
      <w:r w:rsidRPr="00F62FA9">
        <w:rPr>
          <w:rFonts w:ascii="Calibri" w:hAnsi="Calibri"/>
          <w:sz w:val="22"/>
        </w:rPr>
        <w:t xml:space="preserve"> or utilize a technique called necromancy</w:t>
      </w:r>
      <w:r w:rsidR="00275F30">
        <w:rPr>
          <w:rFonts w:ascii="Calibri" w:hAnsi="Calibri"/>
          <w:sz w:val="22"/>
        </w:rPr>
        <w:t>,</w:t>
      </w:r>
      <w:r w:rsidRPr="00F62FA9">
        <w:rPr>
          <w:rFonts w:ascii="Calibri" w:hAnsi="Calibri"/>
          <w:sz w:val="22"/>
        </w:rPr>
        <w:t xml:space="preserve"> to attempt to reanimate the recently deceased to obtain prophecies. </w:t>
      </w:r>
      <w:r w:rsidRPr="00F62FA9">
        <w:rPr>
          <w:rFonts w:ascii="Calibri" w:hAnsi="Calibri"/>
          <w:sz w:val="22"/>
          <w:vertAlign w:val="superscript"/>
        </w:rPr>
        <w:footnoteReference w:id="38"/>
      </w:r>
      <w:r w:rsidRPr="00F62FA9">
        <w:rPr>
          <w:rFonts w:ascii="Calibri" w:hAnsi="Calibri"/>
          <w:sz w:val="22"/>
        </w:rPr>
        <w:t xml:space="preserve"> Theurgical divination differed from this in that it subordinated certain practices and </w:t>
      </w:r>
      <w:r w:rsidRPr="00F62FA9">
        <w:rPr>
          <w:rFonts w:ascii="Calibri" w:hAnsi="Calibri"/>
          <w:sz w:val="22"/>
          <w:szCs w:val="22"/>
        </w:rPr>
        <w:t xml:space="preserve">since theurgists wished to join with the gods and share in their foreknowledge, they </w:t>
      </w:r>
      <w:r w:rsidRPr="00F62FA9">
        <w:rPr>
          <w:rFonts w:ascii="Calibri" w:hAnsi="Calibri"/>
          <w:sz w:val="22"/>
        </w:rPr>
        <w:t>sought</w:t>
      </w:r>
      <w:r w:rsidRPr="00F62FA9">
        <w:rPr>
          <w:rFonts w:ascii="Calibri" w:hAnsi="Calibri"/>
          <w:sz w:val="22"/>
          <w:szCs w:val="22"/>
        </w:rPr>
        <w:t xml:space="preserve"> contact with gods and daemons</w:t>
      </w:r>
      <w:r w:rsidR="00275F30">
        <w:rPr>
          <w:rFonts w:ascii="Calibri" w:hAnsi="Calibri"/>
          <w:sz w:val="22"/>
          <w:szCs w:val="22"/>
        </w:rPr>
        <w:t>, rather than the deceased</w:t>
      </w:r>
      <w:r w:rsidRPr="00F62FA9">
        <w:rPr>
          <w:rFonts w:ascii="Calibri" w:hAnsi="Calibri"/>
          <w:sz w:val="22"/>
          <w:szCs w:val="22"/>
        </w:rPr>
        <w:t xml:space="preserve">.  </w:t>
      </w:r>
      <w:r w:rsidR="00275F30">
        <w:rPr>
          <w:rFonts w:ascii="Calibri" w:hAnsi="Calibri"/>
          <w:sz w:val="22"/>
          <w:szCs w:val="22"/>
        </w:rPr>
        <w:t>Also,</w:t>
      </w:r>
      <w:r w:rsidRPr="00F62FA9">
        <w:rPr>
          <w:rFonts w:ascii="Calibri" w:hAnsi="Calibri"/>
          <w:sz w:val="22"/>
          <w:szCs w:val="22"/>
        </w:rPr>
        <w:t xml:space="preserve"> </w:t>
      </w:r>
      <w:r w:rsidRPr="00F62FA9">
        <w:rPr>
          <w:rFonts w:ascii="Calibri" w:hAnsi="Calibri"/>
          <w:sz w:val="22"/>
        </w:rPr>
        <w:t>despite the centrality of divination within theurgy, it was only considered to be a ‘consequence’</w:t>
      </w:r>
      <w:r w:rsidR="00275F30">
        <w:rPr>
          <w:rFonts w:ascii="Calibri" w:hAnsi="Calibri"/>
          <w:sz w:val="22"/>
        </w:rPr>
        <w:t xml:space="preserve">, </w:t>
      </w:r>
      <w:r w:rsidRPr="00F62FA9">
        <w:rPr>
          <w:rFonts w:ascii="Calibri" w:hAnsi="Calibri"/>
          <w:sz w:val="22"/>
        </w:rPr>
        <w:t>not the goal.</w:t>
      </w:r>
      <w:r w:rsidRPr="00F62FA9">
        <w:rPr>
          <w:rFonts w:ascii="Calibri" w:hAnsi="Calibri"/>
          <w:sz w:val="22"/>
          <w:vertAlign w:val="superscript"/>
        </w:rPr>
        <w:footnoteReference w:id="39"/>
      </w:r>
      <w:r w:rsidRPr="00F62FA9">
        <w:rPr>
          <w:rFonts w:ascii="Calibri" w:hAnsi="Calibri"/>
          <w:sz w:val="22"/>
        </w:rPr>
        <w:t xml:space="preserve">  </w:t>
      </w:r>
      <w:r w:rsidRPr="00F62FA9">
        <w:rPr>
          <w:rFonts w:ascii="Calibri" w:hAnsi="Calibri"/>
          <w:sz w:val="22"/>
          <w:szCs w:val="22"/>
        </w:rPr>
        <w:t xml:space="preserve">Porphyry’s questions to Iamblichus </w:t>
      </w:r>
      <w:r w:rsidR="00275F30">
        <w:rPr>
          <w:rFonts w:ascii="Calibri" w:hAnsi="Calibri"/>
          <w:sz w:val="22"/>
          <w:szCs w:val="22"/>
        </w:rPr>
        <w:t>raises</w:t>
      </w:r>
      <w:r w:rsidRPr="00F62FA9">
        <w:rPr>
          <w:rFonts w:ascii="Calibri" w:hAnsi="Calibri"/>
          <w:sz w:val="22"/>
          <w:szCs w:val="22"/>
        </w:rPr>
        <w:t xml:space="preserve"> the issue of whether divination comes from evil daemons, but </w:t>
      </w:r>
      <w:proofErr w:type="spellStart"/>
      <w:r w:rsidRPr="00F62FA9">
        <w:rPr>
          <w:rFonts w:ascii="Calibri" w:hAnsi="Calibri"/>
          <w:sz w:val="22"/>
          <w:szCs w:val="22"/>
        </w:rPr>
        <w:t>Addey</w:t>
      </w:r>
      <w:proofErr w:type="spellEnd"/>
      <w:r w:rsidRPr="00F62FA9">
        <w:rPr>
          <w:rFonts w:ascii="Calibri" w:hAnsi="Calibri"/>
          <w:sz w:val="22"/>
          <w:szCs w:val="22"/>
        </w:rPr>
        <w:t xml:space="preserve"> notes that in other works he argues that ‘good </w:t>
      </w:r>
      <w:proofErr w:type="spellStart"/>
      <w:r w:rsidRPr="00F62FA9">
        <w:rPr>
          <w:rFonts w:ascii="Calibri" w:hAnsi="Calibri"/>
          <w:sz w:val="22"/>
          <w:szCs w:val="22"/>
        </w:rPr>
        <w:t>daimones</w:t>
      </w:r>
      <w:proofErr w:type="spellEnd"/>
      <w:r w:rsidRPr="00F62FA9">
        <w:rPr>
          <w:rFonts w:ascii="Calibri" w:hAnsi="Calibri"/>
          <w:sz w:val="22"/>
          <w:szCs w:val="22"/>
        </w:rPr>
        <w:t xml:space="preserve"> bring oracles to men from the Gods’.</w:t>
      </w:r>
      <w:r w:rsidRPr="00F62FA9">
        <w:rPr>
          <w:rFonts w:ascii="Calibri" w:hAnsi="Calibri"/>
          <w:sz w:val="22"/>
          <w:szCs w:val="22"/>
          <w:vertAlign w:val="superscript"/>
        </w:rPr>
        <w:footnoteReference w:id="40"/>
      </w:r>
      <w:r w:rsidRPr="00F62FA9">
        <w:rPr>
          <w:rFonts w:ascii="Calibri" w:hAnsi="Calibri"/>
          <w:sz w:val="22"/>
          <w:szCs w:val="22"/>
        </w:rPr>
        <w:t xml:space="preserve"> She also argues that the purpose of Porphyry questions was not to ‘attack’ as has been suggested, but to elicit ‘a comprehensive account’ of theurgic ritual.</w:t>
      </w:r>
      <w:r w:rsidRPr="00F62FA9">
        <w:rPr>
          <w:rFonts w:ascii="Calibri" w:hAnsi="Calibri"/>
          <w:sz w:val="22"/>
          <w:szCs w:val="22"/>
          <w:vertAlign w:val="superscript"/>
        </w:rPr>
        <w:footnoteReference w:id="41"/>
      </w:r>
      <w:r w:rsidRPr="00F62FA9">
        <w:rPr>
          <w:rFonts w:ascii="Calibri" w:hAnsi="Calibri"/>
          <w:sz w:val="22"/>
          <w:szCs w:val="22"/>
        </w:rPr>
        <w:t xml:space="preserve"> </w:t>
      </w:r>
      <w:r w:rsidRPr="00F62FA9">
        <w:rPr>
          <w:rFonts w:ascii="Calibri" w:hAnsi="Calibri"/>
          <w:sz w:val="22"/>
        </w:rPr>
        <w:t xml:space="preserve">This idea of interaction and union with gods and daemons had links with the Platonic notion of an ideal state in </w:t>
      </w:r>
      <w:r w:rsidRPr="00F62FA9">
        <w:rPr>
          <w:rFonts w:ascii="Calibri" w:hAnsi="Calibri"/>
          <w:i/>
          <w:sz w:val="22"/>
        </w:rPr>
        <w:t>The Laws</w:t>
      </w:r>
      <w:r w:rsidRPr="00F62FA9">
        <w:rPr>
          <w:rFonts w:ascii="Calibri" w:hAnsi="Calibri"/>
          <w:sz w:val="22"/>
        </w:rPr>
        <w:t xml:space="preserve">. In this Plato reveals how gods and </w:t>
      </w:r>
      <w:proofErr w:type="spellStart"/>
      <w:r w:rsidRPr="00F62FA9">
        <w:rPr>
          <w:rFonts w:ascii="Calibri" w:hAnsi="Calibri"/>
          <w:sz w:val="22"/>
        </w:rPr>
        <w:t>diamones</w:t>
      </w:r>
      <w:proofErr w:type="spellEnd"/>
      <w:r w:rsidRPr="00F62FA9">
        <w:rPr>
          <w:rFonts w:ascii="Calibri" w:hAnsi="Calibri"/>
          <w:sz w:val="22"/>
        </w:rPr>
        <w:t xml:space="preserve"> were responsible for ruling the state. </w:t>
      </w:r>
      <w:proofErr w:type="spellStart"/>
      <w:r w:rsidRPr="00F62FA9">
        <w:rPr>
          <w:rFonts w:ascii="Calibri" w:hAnsi="Calibri"/>
          <w:sz w:val="22"/>
        </w:rPr>
        <w:t>Daimones</w:t>
      </w:r>
      <w:proofErr w:type="spellEnd"/>
      <w:r w:rsidRPr="00F62FA9">
        <w:rPr>
          <w:rFonts w:ascii="Calibri" w:hAnsi="Calibri"/>
          <w:sz w:val="22"/>
        </w:rPr>
        <w:t xml:space="preserve"> were ‘beings of diviner and superior kind’ which were placed over man as an act of </w:t>
      </w:r>
      <w:r w:rsidR="00275F30">
        <w:rPr>
          <w:rFonts w:ascii="Calibri" w:hAnsi="Calibri"/>
          <w:sz w:val="22"/>
        </w:rPr>
        <w:t xml:space="preserve">the </w:t>
      </w:r>
      <w:r w:rsidRPr="00F62FA9">
        <w:rPr>
          <w:rFonts w:ascii="Calibri" w:hAnsi="Calibri"/>
          <w:sz w:val="22"/>
        </w:rPr>
        <w:t>god</w:t>
      </w:r>
      <w:r w:rsidR="00275F30">
        <w:rPr>
          <w:rFonts w:ascii="Calibri" w:hAnsi="Calibri"/>
          <w:sz w:val="22"/>
        </w:rPr>
        <w:t>’</w:t>
      </w:r>
      <w:r w:rsidRPr="00F62FA9">
        <w:rPr>
          <w:rFonts w:ascii="Calibri" w:hAnsi="Calibri"/>
          <w:sz w:val="22"/>
        </w:rPr>
        <w:t>s kindness.</w:t>
      </w:r>
      <w:r w:rsidRPr="00F62FA9">
        <w:rPr>
          <w:rFonts w:ascii="Calibri" w:hAnsi="Calibri"/>
          <w:sz w:val="22"/>
          <w:vertAlign w:val="superscript"/>
        </w:rPr>
        <w:footnoteReference w:id="42"/>
      </w:r>
      <w:r w:rsidRPr="00F62FA9">
        <w:rPr>
          <w:rFonts w:ascii="Calibri" w:hAnsi="Calibri"/>
          <w:sz w:val="22"/>
        </w:rPr>
        <w:t xml:space="preserve"> Following the guidance of the </w:t>
      </w:r>
      <w:proofErr w:type="spellStart"/>
      <w:r w:rsidRPr="00F62FA9">
        <w:rPr>
          <w:rFonts w:ascii="Calibri" w:hAnsi="Calibri"/>
          <w:sz w:val="22"/>
        </w:rPr>
        <w:t>daimones</w:t>
      </w:r>
      <w:proofErr w:type="spellEnd"/>
      <w:r w:rsidRPr="00F62FA9">
        <w:rPr>
          <w:rFonts w:ascii="Calibri" w:hAnsi="Calibri"/>
          <w:sz w:val="22"/>
        </w:rPr>
        <w:t xml:space="preserve"> man could enjoy ‘peace’ and ‘prosperity’ and participate with the gods learning their place within the cosmos.</w:t>
      </w:r>
      <w:r w:rsidRPr="00F62FA9">
        <w:rPr>
          <w:rFonts w:ascii="Calibri" w:hAnsi="Calibri"/>
          <w:sz w:val="22"/>
          <w:vertAlign w:val="superscript"/>
        </w:rPr>
        <w:footnoteReference w:id="43"/>
      </w:r>
      <w:r w:rsidRPr="00F62FA9">
        <w:rPr>
          <w:rFonts w:ascii="Calibri" w:hAnsi="Calibri"/>
          <w:sz w:val="22"/>
        </w:rPr>
        <w:t xml:space="preserve">  Plato believed this should be re-established</w:t>
      </w:r>
      <w:r w:rsidR="00275F30">
        <w:rPr>
          <w:rFonts w:ascii="Calibri" w:hAnsi="Calibri"/>
          <w:sz w:val="22"/>
        </w:rPr>
        <w:t>,</w:t>
      </w:r>
      <w:r w:rsidRPr="00F62FA9">
        <w:rPr>
          <w:rFonts w:ascii="Calibri" w:hAnsi="Calibri"/>
          <w:sz w:val="22"/>
        </w:rPr>
        <w:t xml:space="preserve"> and for Iamblichus</w:t>
      </w:r>
      <w:r w:rsidR="00275F30">
        <w:rPr>
          <w:rFonts w:ascii="Calibri" w:hAnsi="Calibri"/>
          <w:sz w:val="22"/>
        </w:rPr>
        <w:t>,</w:t>
      </w:r>
      <w:r w:rsidRPr="00F62FA9">
        <w:rPr>
          <w:rFonts w:ascii="Calibri" w:hAnsi="Calibri"/>
          <w:sz w:val="22"/>
        </w:rPr>
        <w:t xml:space="preserve"> theurgy was the medium to provide this.</w:t>
      </w:r>
      <w:r w:rsidRPr="00F62FA9">
        <w:rPr>
          <w:rFonts w:ascii="Calibri" w:hAnsi="Calibri"/>
          <w:sz w:val="22"/>
          <w:vertAlign w:val="superscript"/>
        </w:rPr>
        <w:footnoteReference w:id="44"/>
      </w:r>
      <w:r w:rsidRPr="00F62FA9">
        <w:rPr>
          <w:rFonts w:ascii="Calibri" w:hAnsi="Calibri"/>
          <w:sz w:val="22"/>
        </w:rPr>
        <w:t xml:space="preserve"> Theurgic divination</w:t>
      </w:r>
      <w:r w:rsidR="00275F30">
        <w:rPr>
          <w:rFonts w:ascii="Calibri" w:hAnsi="Calibri"/>
          <w:sz w:val="22"/>
        </w:rPr>
        <w:t xml:space="preserve">, therefore, </w:t>
      </w:r>
      <w:r w:rsidRPr="00F62FA9">
        <w:rPr>
          <w:rFonts w:ascii="Calibri" w:hAnsi="Calibri"/>
          <w:sz w:val="22"/>
        </w:rPr>
        <w:t>differed from magic</w:t>
      </w:r>
      <w:r w:rsidR="00275F30">
        <w:rPr>
          <w:rFonts w:ascii="Calibri" w:hAnsi="Calibri"/>
          <w:sz w:val="22"/>
        </w:rPr>
        <w:t xml:space="preserve"> </w:t>
      </w:r>
      <w:r w:rsidRPr="00F62FA9">
        <w:rPr>
          <w:rFonts w:ascii="Calibri" w:hAnsi="Calibri"/>
          <w:sz w:val="22"/>
        </w:rPr>
        <w:t>in the types of spirits they contacted</w:t>
      </w:r>
      <w:r w:rsidR="00275F30">
        <w:rPr>
          <w:rFonts w:ascii="Calibri" w:hAnsi="Calibri"/>
          <w:sz w:val="22"/>
        </w:rPr>
        <w:t xml:space="preserve"> and their aims. T</w:t>
      </w:r>
      <w:r w:rsidRPr="00F62FA9">
        <w:rPr>
          <w:rFonts w:ascii="Calibri" w:hAnsi="Calibri"/>
          <w:sz w:val="22"/>
        </w:rPr>
        <w:t>heurgist</w:t>
      </w:r>
      <w:r w:rsidR="00275F30">
        <w:rPr>
          <w:rFonts w:ascii="Calibri" w:hAnsi="Calibri"/>
          <w:sz w:val="22"/>
        </w:rPr>
        <w:t>s</w:t>
      </w:r>
      <w:r w:rsidRPr="00F62FA9">
        <w:rPr>
          <w:rFonts w:ascii="Calibri" w:hAnsi="Calibri"/>
          <w:sz w:val="22"/>
        </w:rPr>
        <w:t xml:space="preserve"> did not engage in necromancy</w:t>
      </w:r>
      <w:r w:rsidR="00275F30">
        <w:rPr>
          <w:rFonts w:ascii="Calibri" w:hAnsi="Calibri"/>
          <w:sz w:val="22"/>
        </w:rPr>
        <w:t>, they</w:t>
      </w:r>
      <w:r w:rsidRPr="00F62FA9">
        <w:rPr>
          <w:rFonts w:ascii="Calibri" w:hAnsi="Calibri"/>
          <w:sz w:val="22"/>
        </w:rPr>
        <w:t xml:space="preserve"> only sought contact with superior beings</w:t>
      </w:r>
      <w:r w:rsidR="00275F30">
        <w:rPr>
          <w:rFonts w:ascii="Calibri" w:hAnsi="Calibri"/>
          <w:sz w:val="22"/>
        </w:rPr>
        <w:t xml:space="preserve">. </w:t>
      </w:r>
      <w:r w:rsidR="006E69C2">
        <w:rPr>
          <w:rFonts w:ascii="Calibri" w:hAnsi="Calibri"/>
          <w:sz w:val="22"/>
        </w:rPr>
        <w:t>Theurgy’s goal was to</w:t>
      </w:r>
      <w:r w:rsidRPr="00F62FA9">
        <w:rPr>
          <w:rFonts w:ascii="Calibri" w:hAnsi="Calibri"/>
          <w:sz w:val="22"/>
        </w:rPr>
        <w:t xml:space="preserve"> re-establish the ideal state </w:t>
      </w:r>
      <w:r w:rsidR="006E69C2">
        <w:rPr>
          <w:rFonts w:ascii="Calibri" w:hAnsi="Calibri"/>
          <w:sz w:val="22"/>
        </w:rPr>
        <w:t>to align</w:t>
      </w:r>
      <w:r w:rsidRPr="00F62FA9">
        <w:rPr>
          <w:rFonts w:ascii="Calibri" w:hAnsi="Calibri"/>
          <w:sz w:val="22"/>
        </w:rPr>
        <w:t xml:space="preserve"> with the gods</w:t>
      </w:r>
      <w:r w:rsidR="006E69C2">
        <w:rPr>
          <w:rFonts w:ascii="Calibri" w:hAnsi="Calibri"/>
          <w:sz w:val="22"/>
        </w:rPr>
        <w:t xml:space="preserve"> plans</w:t>
      </w:r>
      <w:r w:rsidRPr="00F62FA9">
        <w:rPr>
          <w:rFonts w:ascii="Calibri" w:hAnsi="Calibri"/>
          <w:sz w:val="22"/>
        </w:rPr>
        <w:t>, foreknowledge was the by-product of this, not the aim as in the other magical practices.</w:t>
      </w:r>
    </w:p>
    <w:p w14:paraId="6ACDDF5A" w14:textId="77777777" w:rsidR="00B4708F" w:rsidRPr="00F62FA9" w:rsidRDefault="00B4708F" w:rsidP="00F62FA9">
      <w:pPr>
        <w:rPr>
          <w:rFonts w:ascii="Calibri" w:hAnsi="Calibri"/>
          <w:sz w:val="22"/>
          <w:szCs w:val="22"/>
          <w:highlight w:val="cyan"/>
        </w:rPr>
      </w:pPr>
    </w:p>
    <w:p w14:paraId="64A24AAD" w14:textId="66E0AF75" w:rsidR="00F62FA9" w:rsidRPr="00F62FA9" w:rsidRDefault="00F62FA9" w:rsidP="00F62FA9">
      <w:pPr>
        <w:rPr>
          <w:rFonts w:ascii="Calibri" w:hAnsi="Calibri"/>
          <w:sz w:val="22"/>
          <w:szCs w:val="22"/>
        </w:rPr>
      </w:pPr>
      <w:r w:rsidRPr="00F62FA9">
        <w:rPr>
          <w:rFonts w:ascii="Calibri" w:hAnsi="Calibri"/>
          <w:sz w:val="22"/>
        </w:rPr>
        <w:lastRenderedPageBreak/>
        <w:t>Philosophical objections to theurgy as magic and irrationalism</w:t>
      </w:r>
      <w:r w:rsidR="006E69C2">
        <w:rPr>
          <w:rFonts w:ascii="Calibri" w:hAnsi="Calibri"/>
          <w:sz w:val="22"/>
        </w:rPr>
        <w:t>,</w:t>
      </w:r>
      <w:r w:rsidRPr="00F62FA9">
        <w:rPr>
          <w:rFonts w:ascii="Calibri" w:hAnsi="Calibri"/>
          <w:sz w:val="22"/>
        </w:rPr>
        <w:t xml:space="preserve"> was partly due to the importance of divination within theurgy. According to </w:t>
      </w:r>
      <w:proofErr w:type="spellStart"/>
      <w:r w:rsidRPr="00F62FA9">
        <w:rPr>
          <w:rFonts w:ascii="Calibri" w:hAnsi="Calibri"/>
          <w:sz w:val="22"/>
        </w:rPr>
        <w:t>Dodds</w:t>
      </w:r>
      <w:proofErr w:type="spellEnd"/>
      <w:r w:rsidRPr="00F62FA9">
        <w:rPr>
          <w:rFonts w:ascii="Calibri" w:hAnsi="Calibri"/>
          <w:sz w:val="22"/>
        </w:rPr>
        <w:t xml:space="preserve">, </w:t>
      </w:r>
      <w:r w:rsidRPr="00F62FA9">
        <w:rPr>
          <w:rFonts w:ascii="Calibri" w:hAnsi="Calibri"/>
          <w:sz w:val="22"/>
          <w:szCs w:val="22"/>
        </w:rPr>
        <w:t>Plotinus</w:t>
      </w:r>
      <w:r w:rsidR="006E69C2">
        <w:rPr>
          <w:rFonts w:ascii="Calibri" w:hAnsi="Calibri"/>
          <w:sz w:val="22"/>
          <w:szCs w:val="22"/>
        </w:rPr>
        <w:t>,</w:t>
      </w:r>
      <w:r w:rsidRPr="00F62FA9">
        <w:rPr>
          <w:rFonts w:ascii="Calibri" w:hAnsi="Calibri"/>
          <w:sz w:val="22"/>
          <w:szCs w:val="22"/>
        </w:rPr>
        <w:t xml:space="preserve"> as a defender of the ‘Greek rationalist tradition’</w:t>
      </w:r>
      <w:r w:rsidR="006E69C2">
        <w:rPr>
          <w:rFonts w:ascii="Calibri" w:hAnsi="Calibri"/>
          <w:sz w:val="22"/>
          <w:szCs w:val="22"/>
        </w:rPr>
        <w:t>,</w:t>
      </w:r>
      <w:r w:rsidRPr="00F62FA9">
        <w:rPr>
          <w:rFonts w:ascii="Calibri" w:hAnsi="Calibri"/>
          <w:sz w:val="22"/>
          <w:szCs w:val="22"/>
        </w:rPr>
        <w:t xml:space="preserve"> had </w:t>
      </w:r>
      <w:r w:rsidR="002A1D4B">
        <w:rPr>
          <w:rFonts w:ascii="Calibri" w:hAnsi="Calibri"/>
          <w:sz w:val="22"/>
          <w:szCs w:val="22"/>
        </w:rPr>
        <w:t xml:space="preserve">a </w:t>
      </w:r>
      <w:r w:rsidRPr="00F62FA9">
        <w:rPr>
          <w:rFonts w:ascii="Calibri" w:hAnsi="Calibri"/>
          <w:sz w:val="22"/>
          <w:szCs w:val="22"/>
        </w:rPr>
        <w:t xml:space="preserve">‘distaste for all such megalomaniac 'special revelations'. </w:t>
      </w:r>
      <w:r w:rsidRPr="00F62FA9">
        <w:rPr>
          <w:rFonts w:ascii="Calibri" w:hAnsi="Calibri"/>
          <w:sz w:val="22"/>
          <w:szCs w:val="22"/>
          <w:vertAlign w:val="superscript"/>
        </w:rPr>
        <w:footnoteReference w:id="45"/>
      </w:r>
      <w:r w:rsidRPr="00F62FA9">
        <w:rPr>
          <w:rFonts w:ascii="Calibri" w:hAnsi="Calibri"/>
          <w:sz w:val="22"/>
        </w:rPr>
        <w:t xml:space="preserve"> </w:t>
      </w:r>
      <w:r w:rsidR="006E69C2">
        <w:rPr>
          <w:rFonts w:ascii="Calibri" w:hAnsi="Calibri"/>
          <w:sz w:val="22"/>
          <w:szCs w:val="22"/>
        </w:rPr>
        <w:t>Yet, c</w:t>
      </w:r>
      <w:r w:rsidRPr="00F62FA9">
        <w:rPr>
          <w:rFonts w:ascii="Calibri" w:hAnsi="Calibri"/>
          <w:sz w:val="22"/>
          <w:szCs w:val="22"/>
        </w:rPr>
        <w:t>ontrary to the idea that divination was irrational, Proclus</w:t>
      </w:r>
      <w:r w:rsidR="006E69C2">
        <w:rPr>
          <w:rFonts w:ascii="Calibri" w:hAnsi="Calibri"/>
          <w:sz w:val="22"/>
          <w:szCs w:val="22"/>
        </w:rPr>
        <w:t>,</w:t>
      </w:r>
      <w:r w:rsidRPr="00F62FA9">
        <w:rPr>
          <w:rFonts w:ascii="Calibri" w:hAnsi="Calibri"/>
          <w:sz w:val="22"/>
          <w:szCs w:val="22"/>
        </w:rPr>
        <w:t xml:space="preserve"> in </w:t>
      </w:r>
      <w:r w:rsidRPr="00F62FA9">
        <w:rPr>
          <w:rFonts w:ascii="Calibri" w:hAnsi="Calibri"/>
          <w:i/>
          <w:sz w:val="22"/>
          <w:szCs w:val="22"/>
        </w:rPr>
        <w:t>Theological Platonism</w:t>
      </w:r>
      <w:r w:rsidR="006E69C2">
        <w:rPr>
          <w:rFonts w:ascii="Calibri" w:hAnsi="Calibri"/>
          <w:i/>
          <w:sz w:val="22"/>
          <w:szCs w:val="22"/>
        </w:rPr>
        <w:t>,</w:t>
      </w:r>
      <w:r w:rsidRPr="00F62FA9">
        <w:rPr>
          <w:rFonts w:ascii="Calibri" w:hAnsi="Calibri"/>
          <w:i/>
          <w:sz w:val="22"/>
          <w:szCs w:val="22"/>
        </w:rPr>
        <w:t xml:space="preserve"> </w:t>
      </w:r>
      <w:r w:rsidRPr="00F62FA9">
        <w:rPr>
          <w:rFonts w:ascii="Calibri" w:hAnsi="Calibri"/>
          <w:sz w:val="22"/>
          <w:szCs w:val="22"/>
        </w:rPr>
        <w:t>suggests that theurgy was superior to human knowledge.</w:t>
      </w:r>
      <w:r w:rsidRPr="00F62FA9">
        <w:rPr>
          <w:rFonts w:ascii="Calibri" w:hAnsi="Calibri"/>
          <w:sz w:val="22"/>
          <w:szCs w:val="22"/>
          <w:vertAlign w:val="superscript"/>
        </w:rPr>
        <w:footnoteReference w:id="46"/>
      </w:r>
      <w:r w:rsidRPr="00F62FA9">
        <w:rPr>
          <w:rFonts w:ascii="Calibri" w:hAnsi="Calibri"/>
          <w:sz w:val="22"/>
          <w:szCs w:val="22"/>
        </w:rPr>
        <w:t xml:space="preserve"> </w:t>
      </w:r>
      <w:r w:rsidRPr="00F62FA9">
        <w:rPr>
          <w:rFonts w:ascii="Calibri" w:hAnsi="Calibri"/>
          <w:sz w:val="22"/>
        </w:rPr>
        <w:t xml:space="preserve">Theurgy thus, sought only to connect to </w:t>
      </w:r>
      <w:r w:rsidR="006E69C2">
        <w:rPr>
          <w:rFonts w:ascii="Calibri" w:hAnsi="Calibri"/>
          <w:sz w:val="22"/>
        </w:rPr>
        <w:t>superior beings on a higher causal level,</w:t>
      </w:r>
      <w:r w:rsidRPr="00F62FA9">
        <w:rPr>
          <w:rFonts w:ascii="Calibri" w:hAnsi="Calibri"/>
          <w:sz w:val="22"/>
        </w:rPr>
        <w:t xml:space="preserve"> and when such contact occurred, it surpassed ordinary human knowledge. Iamblichus also did not advocate the use of all forms of divination, he utilize</w:t>
      </w:r>
      <w:r w:rsidR="004D2230">
        <w:rPr>
          <w:rFonts w:ascii="Calibri" w:hAnsi="Calibri"/>
          <w:sz w:val="22"/>
        </w:rPr>
        <w:t>d</w:t>
      </w:r>
      <w:r w:rsidRPr="00F62FA9">
        <w:rPr>
          <w:rFonts w:ascii="Calibri" w:hAnsi="Calibri"/>
          <w:sz w:val="22"/>
        </w:rPr>
        <w:t xml:space="preserve"> a framework of causation to differentiate different scales of divination. Iamblichus describes inspired divination as a mantic art</w:t>
      </w:r>
      <w:r w:rsidR="004D2230">
        <w:rPr>
          <w:rFonts w:ascii="Calibri" w:hAnsi="Calibri"/>
          <w:sz w:val="22"/>
        </w:rPr>
        <w:t>,</w:t>
      </w:r>
      <w:r w:rsidRPr="00F62FA9">
        <w:rPr>
          <w:rFonts w:ascii="Calibri" w:hAnsi="Calibri"/>
          <w:sz w:val="22"/>
        </w:rPr>
        <w:t xml:space="preserve"> which suggest links with Plato’s notion of divine ‘prophetic madness’ from the </w:t>
      </w:r>
      <w:r w:rsidRPr="00F62FA9">
        <w:rPr>
          <w:rFonts w:ascii="Calibri" w:hAnsi="Calibri"/>
          <w:i/>
          <w:sz w:val="22"/>
        </w:rPr>
        <w:t>Phaedrus</w:t>
      </w:r>
      <w:r w:rsidRPr="00F62FA9">
        <w:rPr>
          <w:rFonts w:ascii="Calibri" w:hAnsi="Calibri"/>
          <w:sz w:val="22"/>
        </w:rPr>
        <w:t>.</w:t>
      </w:r>
      <w:r w:rsidRPr="00F62FA9">
        <w:rPr>
          <w:rFonts w:ascii="Calibri" w:hAnsi="Calibri"/>
          <w:sz w:val="22"/>
          <w:vertAlign w:val="superscript"/>
        </w:rPr>
        <w:footnoteReference w:id="47"/>
      </w:r>
      <w:r w:rsidRPr="00F62FA9">
        <w:rPr>
          <w:rFonts w:ascii="Calibri" w:hAnsi="Calibri"/>
          <w:sz w:val="22"/>
        </w:rPr>
        <w:t xml:space="preserve"> He states that divination’s ‘supreme power belongs to the gods’ it is ‘accomplished by divine acts and signs and consists of divine visions and scientific </w:t>
      </w:r>
      <w:proofErr w:type="gramStart"/>
      <w:r w:rsidRPr="00F62FA9">
        <w:rPr>
          <w:rFonts w:ascii="Calibri" w:hAnsi="Calibri"/>
          <w:sz w:val="22"/>
        </w:rPr>
        <w:t>insights’</w:t>
      </w:r>
      <w:proofErr w:type="gramEnd"/>
      <w:r w:rsidRPr="00F62FA9">
        <w:rPr>
          <w:rFonts w:ascii="Calibri" w:hAnsi="Calibri"/>
          <w:sz w:val="22"/>
        </w:rPr>
        <w:t xml:space="preserve">. </w:t>
      </w:r>
      <w:r w:rsidRPr="00F62FA9">
        <w:rPr>
          <w:rFonts w:ascii="Calibri" w:hAnsi="Calibri"/>
          <w:sz w:val="22"/>
          <w:vertAlign w:val="superscript"/>
        </w:rPr>
        <w:footnoteReference w:id="48"/>
      </w:r>
      <w:r w:rsidRPr="00F62FA9">
        <w:rPr>
          <w:rFonts w:ascii="Calibri" w:hAnsi="Calibri"/>
          <w:sz w:val="22"/>
        </w:rPr>
        <w:t xml:space="preserve"> Such divination </w:t>
      </w:r>
      <w:r w:rsidR="004D2230">
        <w:rPr>
          <w:rFonts w:ascii="Calibri" w:hAnsi="Calibri"/>
          <w:sz w:val="22"/>
        </w:rPr>
        <w:t>was attributed to</w:t>
      </w:r>
      <w:r w:rsidRPr="00F62FA9">
        <w:rPr>
          <w:rFonts w:ascii="Calibri" w:hAnsi="Calibri"/>
          <w:sz w:val="22"/>
        </w:rPr>
        <w:t xml:space="preserve"> ‘primary causes’, </w:t>
      </w:r>
      <w:r w:rsidR="000316EC">
        <w:rPr>
          <w:rFonts w:ascii="Calibri" w:hAnsi="Calibri"/>
          <w:sz w:val="22"/>
        </w:rPr>
        <w:t>everything else, such as</w:t>
      </w:r>
      <w:r w:rsidRPr="00F62FA9">
        <w:rPr>
          <w:rFonts w:ascii="Calibri" w:hAnsi="Calibri"/>
          <w:sz w:val="22"/>
        </w:rPr>
        <w:t xml:space="preserve"> a learned divinatory craft </w:t>
      </w:r>
      <w:r w:rsidR="000316EC">
        <w:rPr>
          <w:rFonts w:ascii="Calibri" w:hAnsi="Calibri"/>
          <w:sz w:val="22"/>
        </w:rPr>
        <w:t>involving</w:t>
      </w:r>
      <w:r w:rsidR="000316EC" w:rsidRPr="00F62FA9">
        <w:rPr>
          <w:rFonts w:ascii="Calibri" w:hAnsi="Calibri"/>
          <w:sz w:val="22"/>
        </w:rPr>
        <w:t xml:space="preserve"> </w:t>
      </w:r>
      <w:r w:rsidRPr="00F62FA9">
        <w:rPr>
          <w:rFonts w:ascii="Calibri" w:hAnsi="Calibri"/>
          <w:sz w:val="22"/>
        </w:rPr>
        <w:t>human technical skill</w:t>
      </w:r>
      <w:r w:rsidR="002A1D4B">
        <w:rPr>
          <w:rFonts w:ascii="Calibri" w:hAnsi="Calibri"/>
          <w:sz w:val="22"/>
        </w:rPr>
        <w:t>,</w:t>
      </w:r>
      <w:r w:rsidRPr="00F62FA9">
        <w:rPr>
          <w:rFonts w:ascii="Calibri" w:hAnsi="Calibri"/>
          <w:sz w:val="22"/>
        </w:rPr>
        <w:t xml:space="preserve"> </w:t>
      </w:r>
      <w:r w:rsidR="000316EC">
        <w:rPr>
          <w:rFonts w:ascii="Calibri" w:hAnsi="Calibri"/>
          <w:sz w:val="22"/>
        </w:rPr>
        <w:t>was</w:t>
      </w:r>
      <w:r w:rsidR="00AE4661" w:rsidRPr="00AE4661">
        <w:rPr>
          <w:rFonts w:ascii="Calibri" w:hAnsi="Calibri"/>
          <w:sz w:val="22"/>
        </w:rPr>
        <w:t xml:space="preserve"> </w:t>
      </w:r>
      <w:r w:rsidR="00AE4661" w:rsidRPr="00F62FA9">
        <w:rPr>
          <w:rFonts w:ascii="Calibri" w:hAnsi="Calibri"/>
          <w:sz w:val="22"/>
        </w:rPr>
        <w:t>a ‘secondary operation’.</w:t>
      </w:r>
      <w:r w:rsidR="00AE4661" w:rsidRPr="00F62FA9">
        <w:rPr>
          <w:rFonts w:ascii="Calibri" w:hAnsi="Calibri"/>
          <w:sz w:val="22"/>
          <w:vertAlign w:val="superscript"/>
        </w:rPr>
        <w:footnoteReference w:id="49"/>
      </w:r>
      <w:r w:rsidR="00AE4661" w:rsidRPr="00F62FA9">
        <w:rPr>
          <w:rFonts w:ascii="Calibri" w:hAnsi="Calibri"/>
          <w:sz w:val="22"/>
        </w:rPr>
        <w:t xml:space="preserve">  </w:t>
      </w:r>
      <w:r w:rsidRPr="00F62FA9">
        <w:rPr>
          <w:rFonts w:ascii="Calibri" w:hAnsi="Calibri"/>
          <w:sz w:val="22"/>
        </w:rPr>
        <w:t xml:space="preserve"> ‘Inspired’ divination</w:t>
      </w:r>
      <w:r w:rsidR="00AE4661">
        <w:rPr>
          <w:rFonts w:ascii="Calibri" w:hAnsi="Calibri"/>
          <w:sz w:val="22"/>
        </w:rPr>
        <w:t>,</w:t>
      </w:r>
      <w:r w:rsidRPr="00F62FA9">
        <w:rPr>
          <w:rFonts w:ascii="Calibri" w:hAnsi="Calibri"/>
          <w:sz w:val="22"/>
        </w:rPr>
        <w:t xml:space="preserve"> such as that which </w:t>
      </w:r>
      <w:r w:rsidR="000316EC">
        <w:rPr>
          <w:rFonts w:ascii="Calibri" w:hAnsi="Calibri"/>
          <w:sz w:val="22"/>
        </w:rPr>
        <w:t>came</w:t>
      </w:r>
      <w:r w:rsidR="000316EC" w:rsidRPr="00F62FA9">
        <w:rPr>
          <w:rFonts w:ascii="Calibri" w:hAnsi="Calibri"/>
          <w:sz w:val="22"/>
        </w:rPr>
        <w:t xml:space="preserve"> </w:t>
      </w:r>
      <w:r w:rsidRPr="00F62FA9">
        <w:rPr>
          <w:rFonts w:ascii="Calibri" w:hAnsi="Calibri"/>
          <w:sz w:val="22"/>
        </w:rPr>
        <w:t xml:space="preserve">in a state of ‘divine possession’ </w:t>
      </w:r>
      <w:r w:rsidR="000316EC">
        <w:rPr>
          <w:rFonts w:ascii="Calibri" w:hAnsi="Calibri"/>
          <w:sz w:val="22"/>
        </w:rPr>
        <w:t>could</w:t>
      </w:r>
      <w:r w:rsidR="000316EC" w:rsidRPr="00F62FA9">
        <w:rPr>
          <w:rFonts w:ascii="Calibri" w:hAnsi="Calibri"/>
          <w:sz w:val="22"/>
        </w:rPr>
        <w:t xml:space="preserve"> </w:t>
      </w:r>
      <w:r w:rsidRPr="00F62FA9">
        <w:rPr>
          <w:rFonts w:ascii="Calibri" w:hAnsi="Calibri"/>
          <w:sz w:val="22"/>
        </w:rPr>
        <w:t>occur via such things as sacred oracles</w:t>
      </w:r>
      <w:r w:rsidR="00AE4661">
        <w:rPr>
          <w:rFonts w:ascii="Calibri" w:hAnsi="Calibri"/>
          <w:sz w:val="22"/>
        </w:rPr>
        <w:t>.</w:t>
      </w:r>
      <w:r w:rsidRPr="00F62FA9">
        <w:rPr>
          <w:rFonts w:ascii="Calibri" w:hAnsi="Calibri"/>
          <w:sz w:val="22"/>
          <w:vertAlign w:val="superscript"/>
        </w:rPr>
        <w:footnoteReference w:id="50"/>
      </w:r>
      <w:r w:rsidRPr="00F62FA9">
        <w:rPr>
          <w:rFonts w:ascii="Calibri" w:hAnsi="Calibri"/>
          <w:sz w:val="22"/>
        </w:rPr>
        <w:t xml:space="preserve"> </w:t>
      </w:r>
      <w:proofErr w:type="spellStart"/>
      <w:r w:rsidRPr="00F62FA9">
        <w:rPr>
          <w:rFonts w:ascii="Calibri" w:hAnsi="Calibri"/>
          <w:sz w:val="22"/>
        </w:rPr>
        <w:t>Dodds</w:t>
      </w:r>
      <w:proofErr w:type="spellEnd"/>
      <w:r w:rsidRPr="00F62FA9">
        <w:rPr>
          <w:rFonts w:ascii="Calibri" w:hAnsi="Calibri"/>
          <w:sz w:val="22"/>
        </w:rPr>
        <w:t xml:space="preserve"> quotes Porphyry as having an ‘incurable weakness for oracles’ and Sheppard notes that P</w:t>
      </w:r>
      <w:r w:rsidRPr="00F62FA9">
        <w:rPr>
          <w:rFonts w:ascii="Calibri" w:hAnsi="Calibri"/>
          <w:sz w:val="22"/>
          <w:szCs w:val="22"/>
        </w:rPr>
        <w:t>orphyry’s writing on the theurgy used the sacred text of the Chaldean oracles as its basis.</w:t>
      </w:r>
      <w:r w:rsidRPr="00F62FA9">
        <w:rPr>
          <w:rFonts w:ascii="Calibri" w:hAnsi="Calibri"/>
          <w:sz w:val="22"/>
          <w:vertAlign w:val="superscript"/>
        </w:rPr>
        <w:t xml:space="preserve"> </w:t>
      </w:r>
      <w:r w:rsidRPr="00F62FA9">
        <w:rPr>
          <w:rFonts w:ascii="Calibri" w:hAnsi="Calibri"/>
          <w:sz w:val="22"/>
          <w:vertAlign w:val="superscript"/>
        </w:rPr>
        <w:footnoteReference w:id="51"/>
      </w:r>
      <w:r w:rsidRPr="00F62FA9">
        <w:rPr>
          <w:rFonts w:ascii="Calibri" w:hAnsi="Calibri"/>
          <w:sz w:val="22"/>
        </w:rPr>
        <w:t xml:space="preserve"> </w:t>
      </w:r>
      <w:r w:rsidRPr="00F62FA9">
        <w:rPr>
          <w:rFonts w:ascii="Calibri" w:hAnsi="Calibri"/>
          <w:sz w:val="22"/>
          <w:szCs w:val="22"/>
        </w:rPr>
        <w:t>Iamblichus also speaks of oracular sanctuaries and the fasting</w:t>
      </w:r>
      <w:r w:rsidR="006E69C2">
        <w:rPr>
          <w:rFonts w:ascii="Calibri" w:hAnsi="Calibri"/>
          <w:sz w:val="22"/>
          <w:szCs w:val="22"/>
        </w:rPr>
        <w:t xml:space="preserve"> </w:t>
      </w:r>
      <w:r w:rsidRPr="00F62FA9">
        <w:rPr>
          <w:rFonts w:ascii="Calibri" w:hAnsi="Calibri"/>
          <w:sz w:val="22"/>
          <w:szCs w:val="22"/>
        </w:rPr>
        <w:t>and ritual preparations required prior to receiving divinations.</w:t>
      </w:r>
      <w:r w:rsidRPr="00F62FA9">
        <w:rPr>
          <w:rFonts w:ascii="Calibri" w:hAnsi="Calibri"/>
          <w:sz w:val="22"/>
          <w:szCs w:val="22"/>
          <w:vertAlign w:val="superscript"/>
        </w:rPr>
        <w:footnoteReference w:id="52"/>
      </w:r>
      <w:r w:rsidRPr="00F62FA9">
        <w:rPr>
          <w:rFonts w:ascii="Calibri" w:hAnsi="Calibri"/>
          <w:sz w:val="22"/>
          <w:szCs w:val="22"/>
        </w:rPr>
        <w:t xml:space="preserve"> </w:t>
      </w:r>
      <w:r w:rsidRPr="00F62FA9">
        <w:rPr>
          <w:rFonts w:ascii="Calibri" w:hAnsi="Calibri"/>
          <w:sz w:val="22"/>
        </w:rPr>
        <w:t xml:space="preserve">Such efforts at ritual purification were required for the theurgist to develop the ‘receptivity’ needed in order to attract and receive </w:t>
      </w:r>
      <w:r w:rsidR="000316EC">
        <w:rPr>
          <w:rFonts w:ascii="Calibri" w:hAnsi="Calibri"/>
          <w:sz w:val="22"/>
        </w:rPr>
        <w:t>‘</w:t>
      </w:r>
      <w:r w:rsidRPr="00F62FA9">
        <w:rPr>
          <w:rFonts w:ascii="Calibri" w:hAnsi="Calibri"/>
          <w:sz w:val="22"/>
        </w:rPr>
        <w:t>divine illuminations</w:t>
      </w:r>
      <w:r w:rsidR="000316EC">
        <w:rPr>
          <w:rFonts w:ascii="Calibri" w:hAnsi="Calibri"/>
          <w:sz w:val="22"/>
        </w:rPr>
        <w:t>’</w:t>
      </w:r>
      <w:r w:rsidRPr="00F62FA9">
        <w:rPr>
          <w:rFonts w:ascii="Calibri" w:hAnsi="Calibri"/>
          <w:sz w:val="22"/>
        </w:rPr>
        <w:t xml:space="preserve">.  </w:t>
      </w:r>
      <w:r w:rsidRPr="00F62FA9">
        <w:rPr>
          <w:rFonts w:ascii="Calibri" w:hAnsi="Calibri"/>
          <w:sz w:val="22"/>
          <w:szCs w:val="22"/>
        </w:rPr>
        <w:t>This required moral effort and could not occur just by following technical procedures, it required ‘long protracted endurance of toils’ and the following of ‘customs, prayers and other rituals’.</w:t>
      </w:r>
      <w:r w:rsidRPr="00F62FA9">
        <w:rPr>
          <w:rFonts w:ascii="Calibri" w:hAnsi="Calibri"/>
          <w:sz w:val="22"/>
          <w:szCs w:val="22"/>
          <w:vertAlign w:val="superscript"/>
        </w:rPr>
        <w:footnoteReference w:id="53"/>
      </w:r>
      <w:r w:rsidRPr="00F62FA9">
        <w:rPr>
          <w:rFonts w:ascii="Calibri" w:hAnsi="Calibri"/>
          <w:sz w:val="22"/>
          <w:szCs w:val="22"/>
        </w:rPr>
        <w:t xml:space="preserve"> Iamblichus believed that it was necessary to be a philosopher, to develop the mind, practice mediation and contemplation, as well as prayer.</w:t>
      </w:r>
      <w:r w:rsidRPr="00F62FA9">
        <w:rPr>
          <w:rFonts w:ascii="Calibri" w:hAnsi="Calibri"/>
          <w:sz w:val="22"/>
          <w:szCs w:val="22"/>
          <w:vertAlign w:val="superscript"/>
        </w:rPr>
        <w:footnoteReference w:id="54"/>
      </w:r>
      <w:r w:rsidRPr="00F62FA9">
        <w:rPr>
          <w:rFonts w:ascii="Calibri" w:hAnsi="Calibri"/>
          <w:sz w:val="22"/>
        </w:rPr>
        <w:t>Theurgy</w:t>
      </w:r>
      <w:r w:rsidR="006E69C2">
        <w:rPr>
          <w:rFonts w:ascii="Calibri" w:hAnsi="Calibri"/>
          <w:sz w:val="22"/>
        </w:rPr>
        <w:t>,</w:t>
      </w:r>
      <w:r w:rsidRPr="00F62FA9">
        <w:rPr>
          <w:rFonts w:ascii="Calibri" w:hAnsi="Calibri"/>
          <w:sz w:val="22"/>
        </w:rPr>
        <w:t xml:space="preserve"> therefore</w:t>
      </w:r>
      <w:r w:rsidR="006E69C2">
        <w:rPr>
          <w:rFonts w:ascii="Calibri" w:hAnsi="Calibri"/>
          <w:sz w:val="22"/>
        </w:rPr>
        <w:t>,</w:t>
      </w:r>
      <w:r w:rsidRPr="00F62FA9">
        <w:rPr>
          <w:rFonts w:ascii="Calibri" w:hAnsi="Calibri"/>
          <w:sz w:val="22"/>
        </w:rPr>
        <w:t xml:space="preserve"> required a scheme of causation where only inspired divination such as oracles were capable of perfect foreknowledge. It also required the moral integrity of the philosopher in order to be receptive to the gods. </w:t>
      </w:r>
      <w:r w:rsidR="006E69C2">
        <w:rPr>
          <w:rFonts w:ascii="Calibri" w:hAnsi="Calibri"/>
          <w:sz w:val="22"/>
        </w:rPr>
        <w:t xml:space="preserve">In contrast to </w:t>
      </w:r>
      <w:proofErr w:type="spellStart"/>
      <w:r w:rsidR="006E69C2">
        <w:rPr>
          <w:rFonts w:ascii="Calibri" w:hAnsi="Calibri"/>
          <w:sz w:val="22"/>
        </w:rPr>
        <w:t>Dodds</w:t>
      </w:r>
      <w:proofErr w:type="spellEnd"/>
      <w:r w:rsidR="006E69C2">
        <w:rPr>
          <w:rFonts w:ascii="Calibri" w:hAnsi="Calibri"/>
          <w:sz w:val="22"/>
        </w:rPr>
        <w:t>’ views, o</w:t>
      </w:r>
      <w:r w:rsidRPr="00F62FA9">
        <w:rPr>
          <w:rFonts w:ascii="Calibri" w:hAnsi="Calibri"/>
          <w:sz w:val="22"/>
        </w:rPr>
        <w:t>racular divination also see</w:t>
      </w:r>
      <w:r w:rsidR="002A1D4B">
        <w:rPr>
          <w:rFonts w:ascii="Calibri" w:hAnsi="Calibri"/>
          <w:sz w:val="22"/>
        </w:rPr>
        <w:t xml:space="preserve">ms to be reasonably accepted </w:t>
      </w:r>
      <w:r w:rsidR="006E69C2">
        <w:rPr>
          <w:rFonts w:ascii="Calibri" w:hAnsi="Calibri"/>
          <w:sz w:val="22"/>
        </w:rPr>
        <w:t>amongst the</w:t>
      </w:r>
      <w:r w:rsidR="006E69C2" w:rsidRPr="00F62FA9">
        <w:rPr>
          <w:rFonts w:ascii="Calibri" w:hAnsi="Calibri"/>
          <w:sz w:val="22"/>
        </w:rPr>
        <w:t xml:space="preserve"> </w:t>
      </w:r>
      <w:r w:rsidRPr="00F62FA9">
        <w:rPr>
          <w:rFonts w:ascii="Calibri" w:hAnsi="Calibri"/>
          <w:sz w:val="22"/>
        </w:rPr>
        <w:t>Philosophers</w:t>
      </w:r>
      <w:r w:rsidR="006E69C2">
        <w:rPr>
          <w:rFonts w:ascii="Calibri" w:hAnsi="Calibri"/>
          <w:sz w:val="22"/>
        </w:rPr>
        <w:t>.</w:t>
      </w:r>
    </w:p>
    <w:p w14:paraId="1DFFE22F" w14:textId="09D5F1A9" w:rsidR="00F62FA9" w:rsidRPr="00F62FA9" w:rsidRDefault="00F62FA9" w:rsidP="00F62FA9">
      <w:pPr>
        <w:keepNext/>
        <w:keepLines/>
        <w:spacing w:before="240"/>
        <w:outlineLvl w:val="0"/>
        <w:rPr>
          <w:rFonts w:ascii="Calibri Light" w:hAnsi="Calibri Light"/>
          <w:color w:val="2F5496"/>
          <w:sz w:val="32"/>
          <w:szCs w:val="32"/>
        </w:rPr>
      </w:pPr>
      <w:r w:rsidRPr="000316EC">
        <w:rPr>
          <w:rFonts w:ascii="Calibri Light" w:hAnsi="Calibri Light"/>
          <w:color w:val="2F5496"/>
        </w:rPr>
        <w:t>Theurgy, Divinization and Salvation</w:t>
      </w:r>
    </w:p>
    <w:p w14:paraId="79F03517" w14:textId="4EAB9897" w:rsidR="00F62FA9" w:rsidRPr="00F62FA9" w:rsidRDefault="00F62FA9" w:rsidP="00F62FA9">
      <w:pPr>
        <w:rPr>
          <w:rFonts w:ascii="Calibri" w:hAnsi="Calibri"/>
          <w:sz w:val="22"/>
        </w:rPr>
      </w:pPr>
      <w:r w:rsidRPr="00F62FA9">
        <w:rPr>
          <w:rFonts w:ascii="Calibri" w:hAnsi="Calibri"/>
          <w:sz w:val="22"/>
        </w:rPr>
        <w:t>The goal of theurgy was ‘divinisation’, it was soteriological.</w:t>
      </w:r>
      <w:r w:rsidRPr="00F62FA9">
        <w:rPr>
          <w:rFonts w:ascii="Calibri" w:hAnsi="Calibri"/>
          <w:sz w:val="22"/>
          <w:vertAlign w:val="superscript"/>
        </w:rPr>
        <w:footnoteReference w:id="55"/>
      </w:r>
      <w:r w:rsidRPr="00F62FA9">
        <w:rPr>
          <w:rFonts w:ascii="Calibri" w:hAnsi="Calibri"/>
          <w:sz w:val="22"/>
        </w:rPr>
        <w:t xml:space="preserve"> According to Shaw, the theurgic rituals enabled the soul to connect with its divine power and ‘participate directly in the creation and salvation of the cosmos.’</w:t>
      </w:r>
      <w:r w:rsidRPr="00F62FA9">
        <w:rPr>
          <w:rFonts w:ascii="Calibri" w:hAnsi="Calibri"/>
          <w:sz w:val="22"/>
          <w:vertAlign w:val="superscript"/>
        </w:rPr>
        <w:footnoteReference w:id="56"/>
      </w:r>
      <w:r w:rsidRPr="00F62FA9">
        <w:rPr>
          <w:rFonts w:ascii="Calibri" w:hAnsi="Calibri"/>
          <w:sz w:val="22"/>
        </w:rPr>
        <w:t xml:space="preserve"> Theurgy was activated through symbol and sympathy. </w:t>
      </w:r>
      <w:r w:rsidR="002A1D4B">
        <w:rPr>
          <w:rFonts w:ascii="Calibri" w:hAnsi="Calibri"/>
          <w:sz w:val="22"/>
        </w:rPr>
        <w:t xml:space="preserve">As stated by </w:t>
      </w:r>
      <w:proofErr w:type="spellStart"/>
      <w:r w:rsidR="002A1D4B">
        <w:rPr>
          <w:rFonts w:ascii="Calibri" w:hAnsi="Calibri"/>
          <w:sz w:val="22"/>
        </w:rPr>
        <w:t>Addey</w:t>
      </w:r>
      <w:proofErr w:type="spellEnd"/>
      <w:r w:rsidR="002A1D4B">
        <w:rPr>
          <w:rFonts w:ascii="Calibri" w:hAnsi="Calibri"/>
          <w:sz w:val="22"/>
        </w:rPr>
        <w:t>, t</w:t>
      </w:r>
      <w:r w:rsidRPr="00F62FA9">
        <w:rPr>
          <w:rFonts w:ascii="Calibri" w:hAnsi="Calibri"/>
          <w:sz w:val="22"/>
        </w:rPr>
        <w:t>he symbols invoke</w:t>
      </w:r>
      <w:r w:rsidR="00AE4661">
        <w:rPr>
          <w:rFonts w:ascii="Calibri" w:hAnsi="Calibri"/>
          <w:sz w:val="22"/>
        </w:rPr>
        <w:t>d</w:t>
      </w:r>
      <w:r w:rsidRPr="00F62FA9">
        <w:rPr>
          <w:rFonts w:ascii="Calibri" w:hAnsi="Calibri"/>
          <w:sz w:val="22"/>
        </w:rPr>
        <w:t xml:space="preserve"> ‘sympathetic connections between all grades of reality’</w:t>
      </w:r>
      <w:r w:rsidR="00AE4661">
        <w:rPr>
          <w:rFonts w:ascii="Calibri" w:hAnsi="Calibri"/>
          <w:sz w:val="22"/>
        </w:rPr>
        <w:t xml:space="preserve"> </w:t>
      </w:r>
      <w:r w:rsidRPr="00F62FA9">
        <w:rPr>
          <w:rFonts w:ascii="Calibri" w:hAnsi="Calibri"/>
          <w:sz w:val="22"/>
        </w:rPr>
        <w:t xml:space="preserve">and were essential in the awakening of the soul. </w:t>
      </w:r>
      <w:r w:rsidRPr="00F62FA9">
        <w:rPr>
          <w:rFonts w:ascii="Calibri" w:hAnsi="Calibri"/>
          <w:sz w:val="22"/>
          <w:vertAlign w:val="superscript"/>
        </w:rPr>
        <w:footnoteReference w:id="57"/>
      </w:r>
      <w:r w:rsidRPr="00F62FA9">
        <w:rPr>
          <w:rFonts w:ascii="Calibri" w:hAnsi="Calibri"/>
          <w:sz w:val="22"/>
        </w:rPr>
        <w:t xml:space="preserve"> Theurgy derives its power from divine agency, the symbolic aids were the God’s own tokens and the gods acted from their own goodness and their own desire to call up human souls.</w:t>
      </w:r>
      <w:r w:rsidRPr="00F62FA9">
        <w:rPr>
          <w:rFonts w:ascii="Calibri" w:hAnsi="Calibri"/>
          <w:sz w:val="22"/>
          <w:vertAlign w:val="superscript"/>
        </w:rPr>
        <w:footnoteReference w:id="58"/>
      </w:r>
      <w:r w:rsidRPr="00F62FA9">
        <w:rPr>
          <w:rFonts w:ascii="Calibri" w:hAnsi="Calibri"/>
          <w:sz w:val="22"/>
        </w:rPr>
        <w:t xml:space="preserve">  However, Plotinus did not agree with the platonic idea that the soul was embodied and therefore, he did not believe in ritual’s capacity to redeem it. Thus, according to Shaw, Plotinus rejected ritual entirely and </w:t>
      </w:r>
      <w:proofErr w:type="spellStart"/>
      <w:r w:rsidRPr="00F62FA9">
        <w:rPr>
          <w:rFonts w:ascii="Calibri" w:hAnsi="Calibri"/>
          <w:sz w:val="22"/>
        </w:rPr>
        <w:t>Porphryr</w:t>
      </w:r>
      <w:proofErr w:type="spellEnd"/>
      <w:r w:rsidRPr="00F62FA9">
        <w:rPr>
          <w:rFonts w:ascii="Calibri" w:hAnsi="Calibri"/>
          <w:sz w:val="22"/>
        </w:rPr>
        <w:t xml:space="preserve"> had a low estimation of it.</w:t>
      </w:r>
      <w:r w:rsidRPr="00F62FA9">
        <w:rPr>
          <w:rFonts w:ascii="Calibri" w:hAnsi="Calibri"/>
          <w:sz w:val="22"/>
          <w:vertAlign w:val="superscript"/>
        </w:rPr>
        <w:footnoteReference w:id="59"/>
      </w:r>
      <w:r w:rsidRPr="00F62FA9">
        <w:rPr>
          <w:rFonts w:ascii="Calibri" w:hAnsi="Calibri"/>
          <w:sz w:val="22"/>
        </w:rPr>
        <w:t xml:space="preserve"> </w:t>
      </w:r>
      <w:proofErr w:type="spellStart"/>
      <w:r w:rsidR="002A1D4B" w:rsidRPr="00F62FA9">
        <w:rPr>
          <w:rFonts w:ascii="Calibri" w:hAnsi="Calibri"/>
          <w:sz w:val="22"/>
        </w:rPr>
        <w:t>Porphryr</w:t>
      </w:r>
      <w:proofErr w:type="spellEnd"/>
      <w:r w:rsidRPr="00F62FA9">
        <w:rPr>
          <w:rFonts w:ascii="Calibri" w:hAnsi="Calibri"/>
          <w:sz w:val="22"/>
        </w:rPr>
        <w:t xml:space="preserve"> honoured </w:t>
      </w:r>
      <w:r w:rsidRPr="00F62FA9">
        <w:rPr>
          <w:rFonts w:ascii="Calibri" w:hAnsi="Calibri"/>
          <w:sz w:val="22"/>
        </w:rPr>
        <w:lastRenderedPageBreak/>
        <w:t xml:space="preserve">ritual for its capacity to purify, but not to </w:t>
      </w:r>
      <w:r w:rsidR="002A1D4B">
        <w:rPr>
          <w:rFonts w:ascii="Calibri" w:hAnsi="Calibri"/>
          <w:sz w:val="22"/>
        </w:rPr>
        <w:t>‘</w:t>
      </w:r>
      <w:r w:rsidRPr="00F62FA9">
        <w:rPr>
          <w:rFonts w:ascii="Calibri" w:hAnsi="Calibri"/>
          <w:sz w:val="22"/>
        </w:rPr>
        <w:t>set the soul free</w:t>
      </w:r>
      <w:r w:rsidR="002A1D4B">
        <w:rPr>
          <w:rFonts w:ascii="Calibri" w:hAnsi="Calibri"/>
          <w:sz w:val="22"/>
        </w:rPr>
        <w:t>’</w:t>
      </w:r>
      <w:r w:rsidRPr="00F62FA9">
        <w:rPr>
          <w:rFonts w:ascii="Calibri" w:hAnsi="Calibri"/>
          <w:sz w:val="22"/>
        </w:rPr>
        <w:t>.</w:t>
      </w:r>
      <w:r w:rsidRPr="00F62FA9">
        <w:rPr>
          <w:rFonts w:ascii="Calibri" w:hAnsi="Calibri"/>
          <w:sz w:val="22"/>
          <w:vertAlign w:val="superscript"/>
        </w:rPr>
        <w:footnoteReference w:id="60"/>
      </w:r>
      <w:r w:rsidRPr="00F62FA9">
        <w:rPr>
          <w:rFonts w:ascii="Calibri" w:hAnsi="Calibri"/>
          <w:sz w:val="22"/>
        </w:rPr>
        <w:t xml:space="preserve"> Dodd views this as an opposition within platonic philosophy between Iamblichus irrationality and Plotinian reason.  He describes on the mysteries as ‘</w:t>
      </w:r>
      <w:r w:rsidRPr="00F62FA9">
        <w:rPr>
          <w:rFonts w:ascii="Calibri" w:hAnsi="Calibri"/>
          <w:sz w:val="22"/>
          <w:szCs w:val="22"/>
        </w:rPr>
        <w:t>a manifesto of irrationalism, an assertion that the road to salvation is found not in reason but in ritual’.</w:t>
      </w:r>
      <w:r w:rsidRPr="00F62FA9">
        <w:rPr>
          <w:rFonts w:ascii="Calibri" w:hAnsi="Calibri"/>
          <w:sz w:val="22"/>
          <w:szCs w:val="22"/>
          <w:vertAlign w:val="superscript"/>
        </w:rPr>
        <w:footnoteReference w:id="61"/>
      </w:r>
      <w:r w:rsidRPr="00F62FA9">
        <w:rPr>
          <w:rFonts w:ascii="Calibri" w:hAnsi="Calibri"/>
          <w:sz w:val="22"/>
          <w:szCs w:val="22"/>
        </w:rPr>
        <w:t xml:space="preserve"> Scholars have attempted to draw parallels between the higher aims of union with the divine</w:t>
      </w:r>
      <w:r w:rsidRPr="00F62FA9">
        <w:rPr>
          <w:rFonts w:ascii="Calibri" w:hAnsi="Calibri" w:cs="Calibri"/>
          <w:color w:val="000000"/>
          <w:sz w:val="22"/>
          <w:szCs w:val="22"/>
        </w:rPr>
        <w:t xml:space="preserve"> and Plotinus Mysticism</w:t>
      </w:r>
      <w:r w:rsidR="002A1D4B">
        <w:rPr>
          <w:rFonts w:ascii="Calibri" w:hAnsi="Calibri" w:cs="Calibri"/>
          <w:color w:val="000000"/>
          <w:sz w:val="22"/>
          <w:szCs w:val="22"/>
        </w:rPr>
        <w:t>,</w:t>
      </w:r>
      <w:r w:rsidRPr="00F62FA9">
        <w:rPr>
          <w:rFonts w:ascii="Calibri" w:hAnsi="Calibri" w:cs="Calibri"/>
          <w:color w:val="000000"/>
          <w:sz w:val="22"/>
          <w:szCs w:val="22"/>
        </w:rPr>
        <w:t xml:space="preserve"> which was similarly portrayed as a union with god. Contrasting this with theurgy</w:t>
      </w:r>
      <w:r w:rsidR="00693A17">
        <w:rPr>
          <w:rFonts w:ascii="Calibri" w:hAnsi="Calibri" w:cs="Calibri"/>
          <w:color w:val="000000"/>
          <w:sz w:val="22"/>
          <w:szCs w:val="22"/>
        </w:rPr>
        <w:t>,</w:t>
      </w:r>
      <w:r w:rsidRPr="00F62FA9">
        <w:rPr>
          <w:rFonts w:ascii="Calibri" w:hAnsi="Calibri" w:cs="Calibri"/>
          <w:color w:val="000000"/>
          <w:sz w:val="22"/>
          <w:szCs w:val="22"/>
        </w:rPr>
        <w:t xml:space="preserve"> </w:t>
      </w:r>
      <w:proofErr w:type="spellStart"/>
      <w:r w:rsidRPr="00F62FA9">
        <w:rPr>
          <w:rFonts w:ascii="Calibri" w:hAnsi="Calibri" w:cs="Calibri"/>
          <w:color w:val="000000"/>
          <w:sz w:val="22"/>
          <w:szCs w:val="22"/>
        </w:rPr>
        <w:t>Dodds</w:t>
      </w:r>
      <w:proofErr w:type="spellEnd"/>
      <w:r w:rsidRPr="00F62FA9">
        <w:rPr>
          <w:rFonts w:ascii="Calibri" w:hAnsi="Calibri" w:cs="Calibri"/>
          <w:color w:val="000000"/>
          <w:sz w:val="22"/>
          <w:szCs w:val="22"/>
        </w:rPr>
        <w:t xml:space="preserve"> comments that </w:t>
      </w:r>
      <w:r w:rsidRPr="00F62FA9">
        <w:rPr>
          <w:rFonts w:ascii="AppleSystemUIFont" w:eastAsia="Calibri" w:hAnsi="AppleSystemUIFont" w:cs="AppleSystemUIFont"/>
          <w:sz w:val="22"/>
          <w:szCs w:val="22"/>
          <w:lang w:val="en-US"/>
        </w:rPr>
        <w:t xml:space="preserve">Plotinian ‘union </w:t>
      </w:r>
      <w:proofErr w:type="spellStart"/>
      <w:r w:rsidRPr="00F62FA9">
        <w:rPr>
          <w:rFonts w:ascii="AppleSystemUIFont" w:eastAsia="Calibri" w:hAnsi="AppleSystemUIFont" w:cs="AppleSystemUIFont"/>
          <w:sz w:val="22"/>
          <w:szCs w:val="22"/>
          <w:lang w:val="en-US"/>
        </w:rPr>
        <w:t>mystica</w:t>
      </w:r>
      <w:proofErr w:type="spellEnd"/>
      <w:r w:rsidRPr="00F62FA9">
        <w:rPr>
          <w:rFonts w:ascii="AppleSystemUIFont" w:eastAsia="Calibri" w:hAnsi="AppleSystemUIFont" w:cs="AppleSystemUIFont"/>
          <w:sz w:val="22"/>
          <w:szCs w:val="22"/>
          <w:lang w:val="en-US"/>
        </w:rPr>
        <w:t xml:space="preserve">’ was </w:t>
      </w:r>
      <w:r w:rsidR="00AE4661">
        <w:rPr>
          <w:rFonts w:ascii="AppleSystemUIFont" w:eastAsia="Calibri" w:hAnsi="AppleSystemUIFont" w:cs="AppleSystemUIFont"/>
          <w:sz w:val="22"/>
          <w:szCs w:val="22"/>
          <w:lang w:val="en-US"/>
        </w:rPr>
        <w:t xml:space="preserve">not </w:t>
      </w:r>
      <w:r w:rsidRPr="00F62FA9">
        <w:rPr>
          <w:rFonts w:ascii="AppleSystemUIFont" w:eastAsia="Calibri" w:hAnsi="AppleSystemUIFont" w:cs="AppleSystemUIFont"/>
          <w:sz w:val="22"/>
          <w:szCs w:val="22"/>
          <w:lang w:val="en-US"/>
        </w:rPr>
        <w:t xml:space="preserve">attained </w:t>
      </w:r>
      <w:r w:rsidR="00AE4661">
        <w:rPr>
          <w:rFonts w:ascii="AppleSystemUIFont" w:eastAsia="Calibri" w:hAnsi="AppleSystemUIFont" w:cs="AppleSystemUIFont"/>
          <w:sz w:val="22"/>
          <w:szCs w:val="22"/>
          <w:lang w:val="en-US"/>
        </w:rPr>
        <w:t>by</w:t>
      </w:r>
      <w:r w:rsidRPr="00F62FA9">
        <w:rPr>
          <w:rFonts w:ascii="AppleSystemUIFont" w:eastAsia="Calibri" w:hAnsi="AppleSystemUIFont" w:cs="AppleSystemUIFont"/>
          <w:sz w:val="22"/>
          <w:szCs w:val="22"/>
          <w:lang w:val="en-US"/>
        </w:rPr>
        <w:t xml:space="preserve"> </w:t>
      </w:r>
      <w:r w:rsidR="00AE4661">
        <w:rPr>
          <w:rFonts w:ascii="AppleSystemUIFont" w:eastAsia="Calibri" w:hAnsi="AppleSystemUIFont" w:cs="AppleSystemUIFont"/>
          <w:sz w:val="22"/>
          <w:szCs w:val="22"/>
          <w:lang w:val="en-US"/>
        </w:rPr>
        <w:t>‘</w:t>
      </w:r>
      <w:r w:rsidRPr="00F62FA9">
        <w:rPr>
          <w:rFonts w:ascii="AppleSystemUIFont" w:eastAsia="Calibri" w:hAnsi="AppleSystemUIFont" w:cs="AppleSystemUIFont"/>
          <w:sz w:val="22"/>
          <w:szCs w:val="22"/>
          <w:lang w:val="en-US"/>
        </w:rPr>
        <w:t>ritual</w:t>
      </w:r>
      <w:r w:rsidR="00AE4661">
        <w:rPr>
          <w:rFonts w:ascii="AppleSystemUIFont" w:eastAsia="Calibri" w:hAnsi="AppleSystemUIFont" w:cs="AppleSystemUIFont"/>
          <w:sz w:val="22"/>
          <w:szCs w:val="22"/>
          <w:lang w:val="en-US"/>
        </w:rPr>
        <w:t>’</w:t>
      </w:r>
      <w:r w:rsidRPr="00F62FA9">
        <w:rPr>
          <w:rFonts w:ascii="AppleSystemUIFont" w:eastAsia="Calibri" w:hAnsi="AppleSystemUIFont" w:cs="AppleSystemUIFont"/>
          <w:sz w:val="22"/>
          <w:szCs w:val="22"/>
          <w:lang w:val="en-US"/>
        </w:rPr>
        <w:t xml:space="preserve"> and has </w:t>
      </w:r>
      <w:r w:rsidR="00AE4661">
        <w:rPr>
          <w:rFonts w:ascii="AppleSystemUIFont" w:eastAsia="Calibri" w:hAnsi="AppleSystemUIFont" w:cs="AppleSystemUIFont"/>
          <w:sz w:val="22"/>
          <w:szCs w:val="22"/>
          <w:lang w:val="en-US"/>
        </w:rPr>
        <w:t>‘</w:t>
      </w:r>
      <w:r w:rsidRPr="00F62FA9">
        <w:rPr>
          <w:rFonts w:ascii="AppleSystemUIFont" w:eastAsia="Calibri" w:hAnsi="AppleSystemUIFont" w:cs="AppleSystemUIFont"/>
          <w:sz w:val="22"/>
          <w:szCs w:val="22"/>
          <w:lang w:val="en-US"/>
        </w:rPr>
        <w:t xml:space="preserve">nothing whatever to do with magic.’ </w:t>
      </w:r>
      <w:r w:rsidRPr="00F62FA9">
        <w:rPr>
          <w:rFonts w:ascii="AppleSystemUIFont" w:eastAsia="Calibri" w:hAnsi="AppleSystemUIFont" w:cs="AppleSystemUIFont"/>
          <w:sz w:val="22"/>
          <w:szCs w:val="22"/>
          <w:vertAlign w:val="superscript"/>
          <w:lang w:val="en-US"/>
        </w:rPr>
        <w:footnoteReference w:id="62"/>
      </w:r>
      <w:r w:rsidRPr="00F62FA9">
        <w:rPr>
          <w:rFonts w:ascii="Calibri" w:hAnsi="Calibri"/>
          <w:sz w:val="22"/>
          <w:szCs w:val="22"/>
        </w:rPr>
        <w:t xml:space="preserve"> However, </w:t>
      </w:r>
      <w:r w:rsidRPr="00F62FA9">
        <w:rPr>
          <w:rFonts w:ascii="AppleSystemUIFont" w:eastAsia="Calibri" w:hAnsi="AppleSystemUIFont" w:cs="AppleSystemUIFont"/>
          <w:sz w:val="22"/>
          <w:szCs w:val="22"/>
          <w:lang w:val="en-US"/>
        </w:rPr>
        <w:t>obvious parallels and attempts</w:t>
      </w:r>
      <w:r w:rsidRPr="00F62FA9">
        <w:rPr>
          <w:rFonts w:ascii="Calibri" w:hAnsi="Calibri"/>
          <w:sz w:val="22"/>
          <w:szCs w:val="22"/>
        </w:rPr>
        <w:t xml:space="preserve"> by scholars to reconcile them has led to divisions of theurgy into higher and lower, with suggestions that the lower is ritualistic and the higher purely contemplative.</w:t>
      </w:r>
      <w:r w:rsidRPr="00F62FA9">
        <w:rPr>
          <w:rFonts w:ascii="Calibri" w:hAnsi="Calibri"/>
          <w:sz w:val="22"/>
          <w:szCs w:val="22"/>
          <w:vertAlign w:val="superscript"/>
        </w:rPr>
        <w:footnoteReference w:id="63"/>
      </w:r>
      <w:r w:rsidRPr="00F62FA9">
        <w:rPr>
          <w:rFonts w:ascii="Calibri" w:hAnsi="Calibri"/>
          <w:sz w:val="22"/>
          <w:szCs w:val="22"/>
        </w:rPr>
        <w:t xml:space="preserve"> However, as </w:t>
      </w:r>
      <w:proofErr w:type="spellStart"/>
      <w:r w:rsidRPr="00F62FA9">
        <w:rPr>
          <w:rFonts w:ascii="Calibri" w:hAnsi="Calibri"/>
          <w:sz w:val="22"/>
          <w:szCs w:val="22"/>
        </w:rPr>
        <w:t>Addey</w:t>
      </w:r>
      <w:proofErr w:type="spellEnd"/>
      <w:r w:rsidRPr="00F62FA9">
        <w:rPr>
          <w:rFonts w:ascii="Calibri" w:hAnsi="Calibri"/>
          <w:sz w:val="22"/>
          <w:szCs w:val="22"/>
        </w:rPr>
        <w:t xml:space="preserve"> notes, whilst there may be stages of development, all theurgy required ritual that was rooted in divine causes.</w:t>
      </w:r>
      <w:r w:rsidRPr="00F62FA9">
        <w:rPr>
          <w:rFonts w:ascii="Calibri" w:hAnsi="Calibri"/>
          <w:sz w:val="22"/>
          <w:szCs w:val="22"/>
          <w:vertAlign w:val="superscript"/>
        </w:rPr>
        <w:footnoteReference w:id="64"/>
      </w:r>
      <w:r w:rsidRPr="00F62FA9">
        <w:rPr>
          <w:rFonts w:ascii="Calibri" w:hAnsi="Calibri"/>
          <w:sz w:val="22"/>
          <w:szCs w:val="22"/>
        </w:rPr>
        <w:t xml:space="preserve"> </w:t>
      </w:r>
      <w:r w:rsidRPr="00F62FA9">
        <w:rPr>
          <w:rFonts w:ascii="Calibri" w:hAnsi="Calibri"/>
          <w:sz w:val="22"/>
        </w:rPr>
        <w:t xml:space="preserve"> Theurgic ritual also relates the use of symbols to Plato’s theory of recollection and the notion of the Platonic forms.  Individuals have pre-</w:t>
      </w:r>
      <w:proofErr w:type="spellStart"/>
      <w:r w:rsidRPr="00F62FA9">
        <w:rPr>
          <w:rFonts w:ascii="Calibri" w:hAnsi="Calibri"/>
          <w:sz w:val="22"/>
        </w:rPr>
        <w:t>incarnatory</w:t>
      </w:r>
      <w:proofErr w:type="spellEnd"/>
      <w:r w:rsidRPr="00F62FA9">
        <w:rPr>
          <w:rFonts w:ascii="Calibri" w:hAnsi="Calibri"/>
          <w:sz w:val="22"/>
        </w:rPr>
        <w:t xml:space="preserve"> knowledge of the forms and the symbols act as a trigger for remembrance of the forms and their divine origin. </w:t>
      </w:r>
      <w:r w:rsidRPr="00F62FA9">
        <w:rPr>
          <w:rFonts w:ascii="Calibri" w:hAnsi="Calibri"/>
          <w:sz w:val="22"/>
          <w:vertAlign w:val="superscript"/>
        </w:rPr>
        <w:footnoteReference w:id="65"/>
      </w:r>
      <w:r w:rsidRPr="00F62FA9">
        <w:rPr>
          <w:rFonts w:ascii="Calibri" w:hAnsi="Calibri"/>
          <w:sz w:val="22"/>
        </w:rPr>
        <w:t xml:space="preserve"> Since recollection also related to the Plato’s theory of rebirth, the ultimate aim of theurgic union</w:t>
      </w:r>
      <w:r w:rsidR="000316EC">
        <w:rPr>
          <w:rFonts w:ascii="Calibri" w:hAnsi="Calibri"/>
          <w:sz w:val="22"/>
        </w:rPr>
        <w:t>,</w:t>
      </w:r>
      <w:r w:rsidRPr="00F62FA9">
        <w:rPr>
          <w:rFonts w:ascii="Calibri" w:hAnsi="Calibri"/>
          <w:sz w:val="22"/>
        </w:rPr>
        <w:t xml:space="preserve"> may not only be a lifelong, but a multi-lifelong commitment, each life</w:t>
      </w:r>
      <w:r w:rsidR="00693A17">
        <w:rPr>
          <w:rFonts w:ascii="Calibri" w:hAnsi="Calibri"/>
          <w:sz w:val="22"/>
        </w:rPr>
        <w:t xml:space="preserve"> proceeding from previous stage</w:t>
      </w:r>
      <w:r w:rsidRPr="00F62FA9">
        <w:rPr>
          <w:rFonts w:ascii="Calibri" w:hAnsi="Calibri"/>
          <w:sz w:val="22"/>
        </w:rPr>
        <w:t>.</w:t>
      </w:r>
      <w:r w:rsidRPr="00F62FA9">
        <w:rPr>
          <w:rFonts w:ascii="Calibri" w:hAnsi="Calibri"/>
          <w:sz w:val="22"/>
          <w:vertAlign w:val="superscript"/>
        </w:rPr>
        <w:footnoteReference w:id="66"/>
      </w:r>
      <w:r w:rsidRPr="00F62FA9">
        <w:rPr>
          <w:rFonts w:ascii="Calibri" w:hAnsi="Calibri"/>
          <w:sz w:val="22"/>
        </w:rPr>
        <w:t xml:space="preserve"> Philosophical justification for theurgic ritual is distinct from Plotinus mystic</w:t>
      </w:r>
      <w:r w:rsidR="00AE4661">
        <w:rPr>
          <w:rFonts w:ascii="Calibri" w:hAnsi="Calibri"/>
          <w:sz w:val="22"/>
        </w:rPr>
        <w:t>i</w:t>
      </w:r>
      <w:r w:rsidRPr="00F62FA9">
        <w:rPr>
          <w:rFonts w:ascii="Calibri" w:hAnsi="Calibri"/>
          <w:sz w:val="22"/>
        </w:rPr>
        <w:t xml:space="preserve">sm in that it required a concept of the platonic embodied soul and rebirth.  As noted by Liz Greene, </w:t>
      </w:r>
      <w:r w:rsidRPr="00F62FA9">
        <w:rPr>
          <w:rFonts w:ascii="Calibri" w:hAnsi="Calibri" w:cs="Calibri"/>
          <w:color w:val="000000"/>
          <w:sz w:val="22"/>
        </w:rPr>
        <w:t>the human soul is joined to the divine, and ‘it is through this shared substance that theurgy acquires it efficacy’.</w:t>
      </w:r>
      <w:r w:rsidRPr="00F62FA9">
        <w:rPr>
          <w:rFonts w:ascii="Calibri" w:hAnsi="Calibri" w:cs="Calibri"/>
          <w:color w:val="000000"/>
          <w:sz w:val="22"/>
          <w:vertAlign w:val="superscript"/>
        </w:rPr>
        <w:footnoteReference w:id="67"/>
      </w:r>
      <w:r w:rsidRPr="00F62FA9">
        <w:rPr>
          <w:rFonts w:ascii="Calibri" w:hAnsi="Calibri" w:cs="Calibri"/>
          <w:color w:val="000000"/>
          <w:sz w:val="22"/>
        </w:rPr>
        <w:t xml:space="preserve"> </w:t>
      </w:r>
      <w:r w:rsidRPr="00F62FA9">
        <w:rPr>
          <w:rFonts w:ascii="Calibri" w:hAnsi="Calibri"/>
          <w:sz w:val="22"/>
        </w:rPr>
        <w:t xml:space="preserve">Thus, </w:t>
      </w:r>
      <w:r w:rsidR="002D4E00">
        <w:rPr>
          <w:rFonts w:ascii="Calibri" w:hAnsi="Calibri"/>
          <w:sz w:val="22"/>
        </w:rPr>
        <w:t>t</w:t>
      </w:r>
      <w:r w:rsidR="002D4E00" w:rsidRPr="00F62FA9">
        <w:rPr>
          <w:rFonts w:ascii="Calibri" w:hAnsi="Calibri"/>
          <w:sz w:val="22"/>
        </w:rPr>
        <w:t>here were parallels to Plotinus mysticism</w:t>
      </w:r>
      <w:r w:rsidR="002D4E00">
        <w:rPr>
          <w:rFonts w:ascii="Calibri" w:hAnsi="Calibri"/>
          <w:sz w:val="22"/>
        </w:rPr>
        <w:t>,</w:t>
      </w:r>
      <w:r w:rsidR="002D4E00" w:rsidRPr="00F62FA9">
        <w:rPr>
          <w:rFonts w:ascii="Calibri" w:hAnsi="Calibri"/>
          <w:sz w:val="22"/>
        </w:rPr>
        <w:t xml:space="preserve"> but theurgy could only be explained by reference to platonic doctrines that he did not </w:t>
      </w:r>
      <w:r w:rsidR="002D4E00">
        <w:rPr>
          <w:rFonts w:ascii="Calibri" w:hAnsi="Calibri"/>
          <w:sz w:val="22"/>
        </w:rPr>
        <w:t>accept</w:t>
      </w:r>
      <w:r w:rsidR="002D4E00" w:rsidRPr="00F62FA9">
        <w:rPr>
          <w:rFonts w:ascii="Calibri" w:hAnsi="Calibri"/>
          <w:sz w:val="22"/>
        </w:rPr>
        <w:t>.</w:t>
      </w:r>
      <w:r w:rsidR="002D4E00" w:rsidRPr="00F62FA9" w:rsidDel="00921F07">
        <w:rPr>
          <w:rFonts w:ascii="Calibri" w:hAnsi="Calibri" w:cs="Calibri"/>
          <w:color w:val="000000"/>
          <w:sz w:val="22"/>
        </w:rPr>
        <w:t xml:space="preserve"> </w:t>
      </w:r>
      <w:r w:rsidR="002D4E00">
        <w:rPr>
          <w:rFonts w:ascii="Calibri" w:hAnsi="Calibri"/>
          <w:sz w:val="22"/>
        </w:rPr>
        <w:t>T</w:t>
      </w:r>
      <w:r w:rsidRPr="00F62FA9">
        <w:rPr>
          <w:rFonts w:ascii="Calibri" w:hAnsi="Calibri"/>
          <w:sz w:val="22"/>
        </w:rPr>
        <w:t xml:space="preserve">he key goal of </w:t>
      </w:r>
      <w:r w:rsidR="002D4E00">
        <w:rPr>
          <w:rFonts w:ascii="Calibri" w:hAnsi="Calibri"/>
          <w:sz w:val="22"/>
        </w:rPr>
        <w:t>t</w:t>
      </w:r>
      <w:r w:rsidRPr="00F62FA9">
        <w:rPr>
          <w:rFonts w:ascii="Calibri" w:hAnsi="Calibri"/>
          <w:sz w:val="22"/>
        </w:rPr>
        <w:t xml:space="preserve">heurgy was </w:t>
      </w:r>
      <w:r w:rsidR="00693A17">
        <w:rPr>
          <w:rFonts w:ascii="Calibri" w:hAnsi="Calibri"/>
          <w:sz w:val="22"/>
        </w:rPr>
        <w:t>salvation of the soul and, m</w:t>
      </w:r>
      <w:r w:rsidR="002D4E00">
        <w:rPr>
          <w:rFonts w:ascii="Calibri" w:hAnsi="Calibri"/>
          <w:sz w:val="22"/>
        </w:rPr>
        <w:t xml:space="preserve">agic also could </w:t>
      </w:r>
      <w:r w:rsidRPr="00F62FA9">
        <w:rPr>
          <w:rFonts w:ascii="Calibri" w:hAnsi="Calibri"/>
          <w:sz w:val="22"/>
        </w:rPr>
        <w:t xml:space="preserve">not share </w:t>
      </w:r>
      <w:r w:rsidR="002D4E00">
        <w:rPr>
          <w:rFonts w:ascii="Calibri" w:hAnsi="Calibri"/>
          <w:sz w:val="22"/>
        </w:rPr>
        <w:t xml:space="preserve">in </w:t>
      </w:r>
      <w:r w:rsidRPr="00F62FA9">
        <w:rPr>
          <w:rFonts w:ascii="Calibri" w:hAnsi="Calibri"/>
          <w:sz w:val="22"/>
        </w:rPr>
        <w:t>such a concept</w:t>
      </w:r>
      <w:r w:rsidR="00693A17">
        <w:rPr>
          <w:rFonts w:ascii="Calibri" w:hAnsi="Calibri"/>
          <w:sz w:val="22"/>
        </w:rPr>
        <w:t>,</w:t>
      </w:r>
      <w:r w:rsidRPr="00F62FA9">
        <w:rPr>
          <w:rFonts w:ascii="Calibri" w:hAnsi="Calibri"/>
          <w:sz w:val="22"/>
        </w:rPr>
        <w:t xml:space="preserve"> </w:t>
      </w:r>
      <w:r w:rsidR="002D4E00">
        <w:rPr>
          <w:rFonts w:ascii="Calibri" w:hAnsi="Calibri"/>
          <w:sz w:val="22"/>
        </w:rPr>
        <w:t>as it</w:t>
      </w:r>
      <w:r w:rsidR="002D4E00" w:rsidRPr="00F62FA9">
        <w:rPr>
          <w:rFonts w:ascii="Calibri" w:hAnsi="Calibri"/>
          <w:sz w:val="22"/>
        </w:rPr>
        <w:t xml:space="preserve"> </w:t>
      </w:r>
      <w:r w:rsidRPr="00F62FA9">
        <w:rPr>
          <w:rFonts w:ascii="Calibri" w:hAnsi="Calibri"/>
          <w:sz w:val="22"/>
        </w:rPr>
        <w:t>was not rooted in divine cause. Theurgy required ritual as it was the symbol which had the power to awaken the connections</w:t>
      </w:r>
      <w:r w:rsidR="002D4E00">
        <w:rPr>
          <w:rFonts w:ascii="Calibri" w:hAnsi="Calibri"/>
          <w:sz w:val="22"/>
        </w:rPr>
        <w:t xml:space="preserve"> and</w:t>
      </w:r>
      <w:r w:rsidR="00693A17">
        <w:rPr>
          <w:rFonts w:ascii="Calibri" w:hAnsi="Calibri"/>
          <w:sz w:val="22"/>
        </w:rPr>
        <w:t>,</w:t>
      </w:r>
      <w:r w:rsidR="002D4E00">
        <w:rPr>
          <w:rFonts w:ascii="Calibri" w:hAnsi="Calibri"/>
          <w:sz w:val="22"/>
        </w:rPr>
        <w:t xml:space="preserve"> whilst it was </w:t>
      </w:r>
      <w:r w:rsidR="002D4E00" w:rsidRPr="00F62FA9">
        <w:rPr>
          <w:rFonts w:ascii="Calibri" w:hAnsi="Calibri"/>
          <w:sz w:val="22"/>
        </w:rPr>
        <w:t>man’s aim to align with the divine</w:t>
      </w:r>
      <w:r w:rsidR="002D4E00">
        <w:rPr>
          <w:rFonts w:ascii="Calibri" w:hAnsi="Calibri"/>
          <w:sz w:val="22"/>
        </w:rPr>
        <w:t>, i</w:t>
      </w:r>
      <w:r w:rsidRPr="00F62FA9">
        <w:rPr>
          <w:rFonts w:ascii="Calibri" w:hAnsi="Calibri"/>
          <w:sz w:val="22"/>
        </w:rPr>
        <w:t>t was the god</w:t>
      </w:r>
      <w:r w:rsidR="00693A17">
        <w:rPr>
          <w:rFonts w:ascii="Calibri" w:hAnsi="Calibri"/>
          <w:sz w:val="22"/>
        </w:rPr>
        <w:t>’</w:t>
      </w:r>
      <w:r w:rsidRPr="00F62FA9">
        <w:rPr>
          <w:rFonts w:ascii="Calibri" w:hAnsi="Calibri"/>
          <w:sz w:val="22"/>
        </w:rPr>
        <w:t>s aim to establish the connection</w:t>
      </w:r>
      <w:r w:rsidR="002D4E00">
        <w:rPr>
          <w:rFonts w:ascii="Calibri" w:hAnsi="Calibri"/>
          <w:sz w:val="22"/>
        </w:rPr>
        <w:t>.</w:t>
      </w:r>
    </w:p>
    <w:p w14:paraId="0F31BF40" w14:textId="6A8A6DCB" w:rsidR="00F62FA9" w:rsidRPr="00F62FA9" w:rsidRDefault="00F62FA9" w:rsidP="00F62FA9">
      <w:pPr>
        <w:keepNext/>
        <w:keepLines/>
        <w:spacing w:before="240"/>
        <w:outlineLvl w:val="0"/>
        <w:rPr>
          <w:rFonts w:ascii="Calibri Light" w:hAnsi="Calibri Light"/>
          <w:color w:val="2F5496"/>
          <w:sz w:val="32"/>
          <w:szCs w:val="32"/>
        </w:rPr>
      </w:pPr>
      <w:r w:rsidRPr="00EA6B35">
        <w:rPr>
          <w:rFonts w:ascii="Calibri Light" w:hAnsi="Calibri Light"/>
          <w:color w:val="2F5496"/>
        </w:rPr>
        <w:t>Conclusion</w:t>
      </w:r>
    </w:p>
    <w:p w14:paraId="6B0781F7" w14:textId="7617713A" w:rsidR="00F62FA9" w:rsidRPr="004D2230" w:rsidRDefault="00F62FA9" w:rsidP="00F62FA9">
      <w:pPr>
        <w:rPr>
          <w:rFonts w:ascii="Calibri" w:hAnsi="Calibri"/>
          <w:sz w:val="22"/>
        </w:rPr>
      </w:pPr>
      <w:r w:rsidRPr="00F62FA9">
        <w:rPr>
          <w:rFonts w:ascii="Calibri" w:hAnsi="Calibri"/>
          <w:sz w:val="22"/>
        </w:rPr>
        <w:t>The connections between magic and theurgy go to the heart of debates around differences between magic and religion, sometimes these can be differentiated by different terms, practices and intents but all such attempts are flawed without recognizing the underlying worldview and scheme of causation. Magic and theurgy share a common worldview</w:t>
      </w:r>
      <w:r w:rsidR="00693A17">
        <w:rPr>
          <w:rFonts w:ascii="Calibri" w:hAnsi="Calibri"/>
          <w:sz w:val="22"/>
        </w:rPr>
        <w:t xml:space="preserve"> within a sympathetic cosmos</w:t>
      </w:r>
      <w:r w:rsidRPr="00F62FA9">
        <w:rPr>
          <w:rFonts w:ascii="Calibri" w:hAnsi="Calibri"/>
          <w:sz w:val="22"/>
        </w:rPr>
        <w:t>, the key distinction is whether the aims are related to divine causes</w:t>
      </w:r>
      <w:r w:rsidR="002D4E00">
        <w:rPr>
          <w:rFonts w:ascii="Calibri" w:hAnsi="Calibri"/>
          <w:sz w:val="22"/>
        </w:rPr>
        <w:t>,</w:t>
      </w:r>
      <w:r w:rsidRPr="00F62FA9">
        <w:rPr>
          <w:rFonts w:ascii="Calibri" w:hAnsi="Calibri"/>
          <w:sz w:val="22"/>
        </w:rPr>
        <w:t xml:space="preserve"> or are limited to volitional causes. Magic is a based </w:t>
      </w:r>
      <w:proofErr w:type="spellStart"/>
      <w:r w:rsidRPr="00F62FA9">
        <w:rPr>
          <w:rFonts w:ascii="Calibri" w:hAnsi="Calibri"/>
          <w:sz w:val="22"/>
        </w:rPr>
        <w:t>soley</w:t>
      </w:r>
      <w:proofErr w:type="spellEnd"/>
      <w:r w:rsidRPr="00F62FA9">
        <w:rPr>
          <w:rFonts w:ascii="Calibri" w:hAnsi="Calibri"/>
          <w:sz w:val="22"/>
        </w:rPr>
        <w:t xml:space="preserve"> in personal will or desire, it involves application of techniques with less attention to the moral integrity of the individual</w:t>
      </w:r>
      <w:r w:rsidR="002D4E00">
        <w:rPr>
          <w:rFonts w:ascii="Calibri" w:hAnsi="Calibri"/>
          <w:sz w:val="22"/>
        </w:rPr>
        <w:t>,</w:t>
      </w:r>
      <w:r w:rsidRPr="00F62FA9">
        <w:rPr>
          <w:rFonts w:ascii="Calibri" w:hAnsi="Calibri"/>
          <w:sz w:val="22"/>
        </w:rPr>
        <w:t xml:space="preserve"> or its connection with the whole. Its divination is not about divine possession, but prophecy through the deceased and learned craft.  The scholarly views that philosophy was opposed to magic on rational or superstitious grounds, does not make sense when one considers the underlying reasoning behind the worldview and scheme of multiple causation within which magic and theurgy were embedded. Philosophical critiques against magic, were likely based upon the logic of its claims and on moral grounds. Theurgy is rooted in platonic philosophy</w:t>
      </w:r>
      <w:r w:rsidR="002D4E00">
        <w:rPr>
          <w:rFonts w:ascii="Calibri" w:hAnsi="Calibri"/>
          <w:sz w:val="22"/>
        </w:rPr>
        <w:t>,</w:t>
      </w:r>
      <w:r w:rsidRPr="00F62FA9">
        <w:rPr>
          <w:rFonts w:ascii="Calibri" w:hAnsi="Calibri"/>
          <w:sz w:val="22"/>
        </w:rPr>
        <w:t xml:space="preserve"> from the idea of the cosmos as a living being, to the ideals of the ordered state </w:t>
      </w:r>
      <w:r w:rsidR="002D4E00">
        <w:rPr>
          <w:rFonts w:ascii="Calibri" w:hAnsi="Calibri"/>
          <w:sz w:val="22"/>
        </w:rPr>
        <w:t>under the</w:t>
      </w:r>
      <w:r w:rsidRPr="00F62FA9">
        <w:rPr>
          <w:rFonts w:ascii="Calibri" w:hAnsi="Calibri"/>
          <w:sz w:val="22"/>
        </w:rPr>
        <w:t xml:space="preserve"> guidance of gods and daemons, to the idea of rebirth and an embodied soul which seeks its salvation through </w:t>
      </w:r>
      <w:r w:rsidR="00693A17">
        <w:rPr>
          <w:rFonts w:ascii="Calibri" w:hAnsi="Calibri"/>
          <w:sz w:val="22"/>
        </w:rPr>
        <w:t>union</w:t>
      </w:r>
      <w:r w:rsidRPr="00F62FA9">
        <w:rPr>
          <w:rFonts w:ascii="Calibri" w:hAnsi="Calibri"/>
          <w:sz w:val="22"/>
        </w:rPr>
        <w:t xml:space="preserve"> with cosmic process. Theurgic divination rests up</w:t>
      </w:r>
      <w:r w:rsidR="00693A17">
        <w:rPr>
          <w:rFonts w:ascii="Calibri" w:hAnsi="Calibri"/>
          <w:sz w:val="22"/>
        </w:rPr>
        <w:t>on a system of causation where</w:t>
      </w:r>
      <w:r w:rsidRPr="00F62FA9">
        <w:rPr>
          <w:rFonts w:ascii="Calibri" w:hAnsi="Calibri"/>
          <w:sz w:val="22"/>
        </w:rPr>
        <w:t xml:space="preserve"> only inspired divination could deliver accurate foreknowledge</w:t>
      </w:r>
      <w:r w:rsidR="002D4E00">
        <w:rPr>
          <w:rFonts w:ascii="Calibri" w:hAnsi="Calibri"/>
          <w:sz w:val="22"/>
        </w:rPr>
        <w:t>,</w:t>
      </w:r>
      <w:r w:rsidRPr="00F62FA9">
        <w:rPr>
          <w:rFonts w:ascii="Calibri" w:hAnsi="Calibri"/>
          <w:sz w:val="22"/>
        </w:rPr>
        <w:t xml:space="preserve"> and where foreknowledge was only a by-product</w:t>
      </w:r>
      <w:r w:rsidR="002D4E00">
        <w:rPr>
          <w:rFonts w:ascii="Calibri" w:hAnsi="Calibri"/>
          <w:sz w:val="22"/>
        </w:rPr>
        <w:t>,</w:t>
      </w:r>
      <w:r w:rsidRPr="00F62FA9">
        <w:rPr>
          <w:rFonts w:ascii="Calibri" w:hAnsi="Calibri"/>
          <w:sz w:val="22"/>
        </w:rPr>
        <w:t xml:space="preserve"> not an end goal. The goal was divinization where the soul’s salvation was rooted in the God’s own desire to summon up souls.  </w:t>
      </w:r>
      <w:r w:rsidRPr="004D2230">
        <w:rPr>
          <w:rFonts w:ascii="Calibri" w:hAnsi="Calibri"/>
          <w:sz w:val="22"/>
        </w:rPr>
        <w:t xml:space="preserve">Magic was based in human volition only, but all aspects of theurgy </w:t>
      </w:r>
      <w:r w:rsidRPr="004D2230">
        <w:rPr>
          <w:rFonts w:ascii="Calibri" w:hAnsi="Calibri"/>
          <w:sz w:val="22"/>
        </w:rPr>
        <w:lastRenderedPageBreak/>
        <w:t xml:space="preserve">whether they related to sacrifice, purification, revelation or salvation was </w:t>
      </w:r>
      <w:r w:rsidR="004D2230">
        <w:rPr>
          <w:rFonts w:ascii="Calibri" w:hAnsi="Calibri"/>
          <w:sz w:val="22"/>
        </w:rPr>
        <w:t>a</w:t>
      </w:r>
      <w:r w:rsidRPr="004D2230">
        <w:rPr>
          <w:rFonts w:ascii="Calibri" w:hAnsi="Calibri"/>
          <w:sz w:val="22"/>
        </w:rPr>
        <w:t xml:space="preserve">ffected through the ontological power of symbol and </w:t>
      </w:r>
      <w:bookmarkStart w:id="6" w:name="_GoBack"/>
      <w:bookmarkEnd w:id="6"/>
      <w:r w:rsidRPr="004D2230">
        <w:rPr>
          <w:rFonts w:ascii="Calibri" w:hAnsi="Calibri"/>
          <w:sz w:val="22"/>
        </w:rPr>
        <w:t xml:space="preserve">divine causation and love. </w:t>
      </w:r>
    </w:p>
    <w:p w14:paraId="1A11BEEC" w14:textId="77777777" w:rsidR="00F62FA9" w:rsidRPr="004D2230" w:rsidRDefault="00F62FA9" w:rsidP="00F62FA9">
      <w:pPr>
        <w:rPr>
          <w:rFonts w:ascii="Calibri" w:hAnsi="Calibri"/>
          <w:sz w:val="22"/>
        </w:rPr>
      </w:pPr>
    </w:p>
    <w:p w14:paraId="35D61437" w14:textId="77777777" w:rsidR="00F62FA9" w:rsidRPr="00F62FA9" w:rsidRDefault="00F62FA9" w:rsidP="00F62FA9">
      <w:pPr>
        <w:rPr>
          <w:rFonts w:ascii="Calibri" w:hAnsi="Calibri"/>
          <w:sz w:val="22"/>
        </w:rPr>
      </w:pPr>
    </w:p>
    <w:p w14:paraId="70D24976" w14:textId="77777777" w:rsidR="00F62FA9" w:rsidRPr="00F62FA9" w:rsidRDefault="00F62FA9" w:rsidP="00F62FA9">
      <w:pPr>
        <w:rPr>
          <w:rFonts w:ascii="Calibri" w:hAnsi="Calibri"/>
          <w:sz w:val="22"/>
        </w:rPr>
      </w:pPr>
      <w:r w:rsidRPr="00F62FA9">
        <w:rPr>
          <w:rFonts w:ascii="Calibri" w:hAnsi="Calibri"/>
          <w:sz w:val="22"/>
        </w:rPr>
        <w:t>Bibliography:</w:t>
      </w:r>
    </w:p>
    <w:p w14:paraId="4E5918A5" w14:textId="77777777" w:rsidR="00F62FA9" w:rsidRPr="00F62FA9" w:rsidRDefault="00F62FA9" w:rsidP="00F62FA9">
      <w:pPr>
        <w:rPr>
          <w:rFonts w:ascii="Calibri" w:hAnsi="Calibri"/>
          <w:sz w:val="22"/>
        </w:rPr>
      </w:pPr>
    </w:p>
    <w:p w14:paraId="4B13579E" w14:textId="77777777" w:rsidR="00F62FA9" w:rsidRPr="00F62FA9" w:rsidRDefault="00F62FA9" w:rsidP="00F62FA9">
      <w:pPr>
        <w:ind w:left="720" w:hanging="720"/>
        <w:rPr>
          <w:rFonts w:ascii="Calibri" w:hAnsi="Calibri" w:cs="Calibri"/>
          <w:noProof/>
          <w:sz w:val="22"/>
        </w:rPr>
      </w:pPr>
      <w:r w:rsidRPr="00F62FA9">
        <w:rPr>
          <w:rFonts w:ascii="Calibri" w:hAnsi="Calibri" w:cs="Calibri"/>
          <w:sz w:val="22"/>
        </w:rPr>
        <w:fldChar w:fldCharType="begin"/>
      </w:r>
      <w:r w:rsidRPr="00F62FA9">
        <w:rPr>
          <w:rFonts w:ascii="Calibri" w:hAnsi="Calibri" w:cs="Calibri"/>
          <w:sz w:val="22"/>
        </w:rPr>
        <w:instrText xml:space="preserve"> ADDIN EN.REFLIST </w:instrText>
      </w:r>
      <w:r w:rsidRPr="00F62FA9">
        <w:rPr>
          <w:rFonts w:ascii="Calibri" w:hAnsi="Calibri" w:cs="Calibri"/>
          <w:sz w:val="22"/>
        </w:rPr>
        <w:fldChar w:fldCharType="separate"/>
      </w:r>
      <w:r w:rsidRPr="00F62FA9">
        <w:rPr>
          <w:rFonts w:ascii="Calibri" w:hAnsi="Calibri" w:cs="Calibri"/>
          <w:noProof/>
          <w:sz w:val="22"/>
        </w:rPr>
        <w:t xml:space="preserve">Addey, Crystal, </w:t>
      </w:r>
      <w:r w:rsidRPr="00F62FA9">
        <w:rPr>
          <w:rFonts w:ascii="Calibri" w:hAnsi="Calibri" w:cs="Calibri"/>
          <w:i/>
          <w:noProof/>
          <w:sz w:val="22"/>
        </w:rPr>
        <w:t>Divination and Theurgy in Neoplatonism : Oracles of the Gods</w:t>
      </w:r>
      <w:r w:rsidRPr="00F62FA9">
        <w:rPr>
          <w:rFonts w:ascii="Calibri" w:hAnsi="Calibri" w:cs="Calibri"/>
          <w:noProof/>
          <w:sz w:val="22"/>
        </w:rPr>
        <w:t xml:space="preserve">, </w:t>
      </w:r>
      <w:r w:rsidRPr="00F62FA9">
        <w:rPr>
          <w:rFonts w:ascii="Calibri" w:hAnsi="Calibri" w:cs="Calibri"/>
          <w:i/>
          <w:noProof/>
          <w:sz w:val="22"/>
        </w:rPr>
        <w:t>Ashgate Studies in Philosophy and Theology in Late Antiquity</w:t>
      </w:r>
      <w:r w:rsidRPr="00F62FA9">
        <w:rPr>
          <w:rFonts w:ascii="Calibri" w:hAnsi="Calibri" w:cs="Calibri"/>
          <w:noProof/>
          <w:sz w:val="22"/>
        </w:rPr>
        <w:t xml:space="preserve"> (Burlington, VT, USA: Ashgate, 2014), pp. xv, 335 pages.</w:t>
      </w:r>
    </w:p>
    <w:p w14:paraId="401534E5"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Betz, Hans Dieter, </w:t>
      </w:r>
      <w:r w:rsidRPr="00F62FA9">
        <w:rPr>
          <w:rFonts w:ascii="Calibri" w:hAnsi="Calibri" w:cs="Calibri"/>
          <w:i/>
          <w:noProof/>
          <w:sz w:val="22"/>
        </w:rPr>
        <w:t>The Greek Magical Papyri in Translation, Including the Demotic Spells</w:t>
      </w:r>
      <w:r w:rsidRPr="00F62FA9">
        <w:rPr>
          <w:rFonts w:ascii="Calibri" w:hAnsi="Calibri" w:cs="Calibri"/>
          <w:noProof/>
          <w:sz w:val="22"/>
        </w:rPr>
        <w:t>. 2nd edn (Chicago: University of Chicago Press, 1992), p. v. &lt;1 &gt;.</w:t>
      </w:r>
    </w:p>
    <w:p w14:paraId="089B0FA2"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Bremmer, Jan N., 'The Birth of the Term 'Magic'', </w:t>
      </w:r>
      <w:r w:rsidRPr="00F62FA9">
        <w:rPr>
          <w:rFonts w:ascii="Calibri" w:hAnsi="Calibri" w:cs="Calibri"/>
          <w:i/>
          <w:noProof/>
          <w:sz w:val="22"/>
        </w:rPr>
        <w:t>Zeitschrift für Papyrologie und Epigraphik,</w:t>
      </w:r>
      <w:r w:rsidRPr="00F62FA9">
        <w:rPr>
          <w:rFonts w:ascii="Calibri" w:hAnsi="Calibri" w:cs="Calibri"/>
          <w:noProof/>
          <w:sz w:val="22"/>
        </w:rPr>
        <w:t xml:space="preserve"> 126 (1999), 1-12.</w:t>
      </w:r>
    </w:p>
    <w:p w14:paraId="3FB3768B"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Collins, Derek, 'Nature, Cause, and Agency in Greek Magic', </w:t>
      </w:r>
      <w:r w:rsidRPr="00F62FA9">
        <w:rPr>
          <w:rFonts w:ascii="Calibri" w:hAnsi="Calibri" w:cs="Calibri"/>
          <w:i/>
          <w:noProof/>
          <w:sz w:val="22"/>
        </w:rPr>
        <w:t>Transactions of the American Philological Association (1974-),</w:t>
      </w:r>
      <w:r w:rsidRPr="00F62FA9">
        <w:rPr>
          <w:rFonts w:ascii="Calibri" w:hAnsi="Calibri" w:cs="Calibri"/>
          <w:noProof/>
          <w:sz w:val="22"/>
        </w:rPr>
        <w:t xml:space="preserve"> 133 (2003), 17-49.</w:t>
      </w:r>
    </w:p>
    <w:p w14:paraId="62D79147"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Dillon, John, 'Iamblichus’ Defence of Theurgy: Some Reflections', </w:t>
      </w:r>
      <w:r w:rsidRPr="00F62FA9">
        <w:rPr>
          <w:rFonts w:ascii="Calibri" w:hAnsi="Calibri" w:cs="Calibri"/>
          <w:i/>
          <w:noProof/>
          <w:sz w:val="22"/>
        </w:rPr>
        <w:t>The International Journal of the Platonic Tradition,</w:t>
      </w:r>
      <w:r w:rsidRPr="00F62FA9">
        <w:rPr>
          <w:rFonts w:ascii="Calibri" w:hAnsi="Calibri" w:cs="Calibri"/>
          <w:noProof/>
          <w:sz w:val="22"/>
        </w:rPr>
        <w:t xml:space="preserve"> 1 (2007), 30-41.</w:t>
      </w:r>
    </w:p>
    <w:p w14:paraId="02ED4862"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Dodds, E. R., 'Theurgy and Its Relationship to Neoplatonism', </w:t>
      </w:r>
      <w:r w:rsidRPr="00F62FA9">
        <w:rPr>
          <w:rFonts w:ascii="Calibri" w:hAnsi="Calibri" w:cs="Calibri"/>
          <w:i/>
          <w:noProof/>
          <w:sz w:val="22"/>
        </w:rPr>
        <w:t>The Journal of Roman Studies,</w:t>
      </w:r>
      <w:r w:rsidRPr="00F62FA9">
        <w:rPr>
          <w:rFonts w:ascii="Calibri" w:hAnsi="Calibri" w:cs="Calibri"/>
          <w:noProof/>
          <w:sz w:val="22"/>
        </w:rPr>
        <w:t xml:space="preserve"> 37 (1947), 55-69.</w:t>
      </w:r>
    </w:p>
    <w:p w14:paraId="63FE872E"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Evans-Pritchard, E. E., and Eva Gillies, </w:t>
      </w:r>
      <w:r w:rsidRPr="00F62FA9">
        <w:rPr>
          <w:rFonts w:ascii="Calibri" w:hAnsi="Calibri" w:cs="Calibri"/>
          <w:i/>
          <w:noProof/>
          <w:sz w:val="22"/>
        </w:rPr>
        <w:t>Witchcraft, Oracles, and Magic among the Azande</w:t>
      </w:r>
      <w:r w:rsidRPr="00F62FA9">
        <w:rPr>
          <w:rFonts w:ascii="Calibri" w:hAnsi="Calibri" w:cs="Calibri"/>
          <w:noProof/>
          <w:sz w:val="22"/>
        </w:rPr>
        <w:t>. Abridged with an introd. by Eva Gillies. edn (Oxford: Clarendon Press, 1976), pp. xxxiii, 265 p.</w:t>
      </w:r>
    </w:p>
    <w:p w14:paraId="3694D6AA"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Greene, Liz, </w:t>
      </w:r>
      <w:r w:rsidRPr="00F62FA9">
        <w:rPr>
          <w:rFonts w:ascii="Calibri" w:hAnsi="Calibri" w:cs="Calibri"/>
          <w:i/>
          <w:noProof/>
          <w:sz w:val="22"/>
        </w:rPr>
        <w:t>Jung's Studies in Astrology : Prophecy, Magic, and the Qualities of Time</w:t>
      </w:r>
      <w:r w:rsidRPr="00F62FA9">
        <w:rPr>
          <w:rFonts w:ascii="Calibri" w:hAnsi="Calibri" w:cs="Calibri"/>
          <w:noProof/>
          <w:sz w:val="22"/>
        </w:rPr>
        <w:t xml:space="preserve"> (New York: Routledge, 2018).</w:t>
      </w:r>
    </w:p>
    <w:p w14:paraId="06FC1845"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Iamblichus, </w:t>
      </w:r>
      <w:r w:rsidRPr="00F62FA9">
        <w:rPr>
          <w:rFonts w:ascii="Calibri" w:hAnsi="Calibri" w:cs="Calibri"/>
          <w:i/>
          <w:noProof/>
          <w:sz w:val="22"/>
        </w:rPr>
        <w:t>Iamblichus on the Mysteries</w:t>
      </w:r>
      <w:r w:rsidRPr="00F62FA9">
        <w:rPr>
          <w:rFonts w:ascii="Calibri" w:hAnsi="Calibri" w:cs="Calibri"/>
          <w:noProof/>
          <w:sz w:val="22"/>
        </w:rPr>
        <w:t>. trans. John M. Dillon Emma C. Clarke, and Jackson P. Hershbell (Atlanta: Society of Biblical Literature, 2003).</w:t>
      </w:r>
    </w:p>
    <w:p w14:paraId="103BC0BF"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Ogden, Daniel, </w:t>
      </w:r>
      <w:r w:rsidRPr="00F62FA9">
        <w:rPr>
          <w:rFonts w:ascii="Calibri" w:hAnsi="Calibri" w:cs="Calibri"/>
          <w:i/>
          <w:noProof/>
          <w:sz w:val="22"/>
        </w:rPr>
        <w:t>Magic, Witchcraft, and Ghosts in the Greek and Roman Worlds : A Sourcebook</w:t>
      </w:r>
      <w:r w:rsidRPr="00F62FA9">
        <w:rPr>
          <w:rFonts w:ascii="Calibri" w:hAnsi="Calibri" w:cs="Calibri"/>
          <w:noProof/>
          <w:sz w:val="22"/>
        </w:rPr>
        <w:t>. 2nd edn (Oxford ; New York: Oxford University Press, 2009), pp. xii, 400 p.</w:t>
      </w:r>
    </w:p>
    <w:p w14:paraId="5F5E2345"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Plato, 'Timaeus', in </w:t>
      </w:r>
      <w:r w:rsidRPr="00F62FA9">
        <w:rPr>
          <w:rFonts w:ascii="Calibri" w:hAnsi="Calibri" w:cs="Calibri"/>
          <w:i/>
          <w:noProof/>
          <w:sz w:val="22"/>
        </w:rPr>
        <w:t>LCL 234</w:t>
      </w:r>
      <w:r w:rsidRPr="00F62FA9">
        <w:rPr>
          <w:rFonts w:ascii="Calibri" w:hAnsi="Calibri" w:cs="Calibri"/>
          <w:noProof/>
          <w:sz w:val="22"/>
        </w:rPr>
        <w:t xml:space="preserve"> (&lt;&lt;</w:t>
      </w:r>
      <w:hyperlink r:id="rId8" w:history="1">
        <w:r w:rsidRPr="00F62FA9">
          <w:rPr>
            <w:rFonts w:ascii="Calibri" w:hAnsi="Calibri" w:cs="Calibri"/>
            <w:noProof/>
            <w:color w:val="0563C1"/>
            <w:sz w:val="22"/>
            <w:u w:val="single"/>
          </w:rPr>
          <w:t>https://www-loebclassics-com</w:t>
        </w:r>
      </w:hyperlink>
      <w:r w:rsidRPr="00F62FA9">
        <w:rPr>
          <w:rFonts w:ascii="Calibri" w:hAnsi="Calibri" w:cs="Calibri"/>
          <w:noProof/>
          <w:sz w:val="22"/>
        </w:rPr>
        <w:t>&gt;&gt;: LOEB Classical library).</w:t>
      </w:r>
    </w:p>
    <w:p w14:paraId="397BFDA3"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Shaw, Gregory, </w:t>
      </w:r>
      <w:r w:rsidRPr="00F62FA9">
        <w:rPr>
          <w:rFonts w:ascii="Calibri" w:hAnsi="Calibri" w:cs="Calibri"/>
          <w:i/>
          <w:noProof/>
          <w:sz w:val="22"/>
        </w:rPr>
        <w:t>Theurgy and the Soul : The Neoplatonism of Iamblichus</w:t>
      </w:r>
      <w:r w:rsidRPr="00F62FA9">
        <w:rPr>
          <w:rFonts w:ascii="Calibri" w:hAnsi="Calibri" w:cs="Calibri"/>
          <w:noProof/>
          <w:sz w:val="22"/>
        </w:rPr>
        <w:t xml:space="preserve"> (University Park, Pa.: Pennsylvania State University Press, 1995), pp. x, 268 p.</w:t>
      </w:r>
    </w:p>
    <w:p w14:paraId="64BE1B72" w14:textId="77777777" w:rsidR="00F62FA9" w:rsidRPr="00F62FA9" w:rsidRDefault="00F62FA9" w:rsidP="00F62FA9">
      <w:pPr>
        <w:ind w:left="720" w:hanging="720"/>
        <w:rPr>
          <w:rFonts w:ascii="Calibri" w:hAnsi="Calibri" w:cs="Calibri"/>
          <w:noProof/>
          <w:sz w:val="22"/>
        </w:rPr>
      </w:pPr>
      <w:r w:rsidRPr="00F62FA9">
        <w:rPr>
          <w:rFonts w:ascii="Calibri" w:hAnsi="Calibri" w:cs="Calibri"/>
          <w:noProof/>
          <w:sz w:val="22"/>
        </w:rPr>
        <w:t xml:space="preserve">Sheppard, Anne, 'Proclus' Attitude to Theurgy', </w:t>
      </w:r>
      <w:r w:rsidRPr="00F62FA9">
        <w:rPr>
          <w:rFonts w:ascii="Calibri" w:hAnsi="Calibri" w:cs="Calibri"/>
          <w:i/>
          <w:noProof/>
          <w:sz w:val="22"/>
        </w:rPr>
        <w:t>The Classical Quarterly,</w:t>
      </w:r>
      <w:r w:rsidRPr="00F62FA9">
        <w:rPr>
          <w:rFonts w:ascii="Calibri" w:hAnsi="Calibri" w:cs="Calibri"/>
          <w:noProof/>
          <w:sz w:val="22"/>
        </w:rPr>
        <w:t xml:space="preserve"> 32 (1982), 212-24.</w:t>
      </w:r>
    </w:p>
    <w:p w14:paraId="6C2FDE52" w14:textId="77777777" w:rsidR="00F62FA9" w:rsidRPr="00F62FA9" w:rsidRDefault="00F62FA9" w:rsidP="00F62FA9">
      <w:pPr>
        <w:rPr>
          <w:rFonts w:ascii="Calibri" w:hAnsi="Calibri"/>
          <w:sz w:val="22"/>
        </w:rPr>
      </w:pPr>
      <w:r w:rsidRPr="00F62FA9">
        <w:rPr>
          <w:rFonts w:ascii="Calibri" w:hAnsi="Calibri"/>
          <w:sz w:val="22"/>
        </w:rPr>
        <w:fldChar w:fldCharType="end"/>
      </w:r>
    </w:p>
    <w:p w14:paraId="7ADE0AD6" w14:textId="77777777" w:rsidR="00D86AC8" w:rsidRDefault="00D86AC8" w:rsidP="00D86AC8">
      <w:pPr>
        <w:rPr>
          <w:color w:val="000000"/>
        </w:rPr>
      </w:pPr>
    </w:p>
    <w:sectPr w:rsidR="00D86AC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AF0A8" w14:textId="77777777" w:rsidR="00C33BB0" w:rsidRDefault="00C33BB0" w:rsidP="00305F8B">
      <w:r>
        <w:separator/>
      </w:r>
    </w:p>
  </w:endnote>
  <w:endnote w:type="continuationSeparator" w:id="0">
    <w:p w14:paraId="1CE2E508" w14:textId="77777777" w:rsidR="00C33BB0" w:rsidRDefault="00C33BB0"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7B30C" w14:textId="77777777" w:rsidR="00C33BB0" w:rsidRDefault="00C33BB0" w:rsidP="00305F8B">
      <w:r>
        <w:separator/>
      </w:r>
    </w:p>
  </w:footnote>
  <w:footnote w:type="continuationSeparator" w:id="0">
    <w:p w14:paraId="424BFB2C" w14:textId="77777777" w:rsidR="00C33BB0" w:rsidRDefault="00C33BB0" w:rsidP="00305F8B">
      <w:r>
        <w:continuationSeparator/>
      </w:r>
    </w:p>
  </w:footnote>
  <w:footnote w:id="1">
    <w:p w14:paraId="0370DDF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&lt;EndNote&gt;&lt;Cite&gt;&lt;Author&gt;Shaw&lt;/Author&gt;&lt;Year&gt;1995&lt;/Year&gt;&lt;RecNum&gt;219&lt;/RecNum&gt;&lt;Pages&gt;221&lt;/Pages&gt;&lt;DisplayText&gt;Gregory Shaw, &lt;style face="italic"&gt;Theurgy and the Soul : The Neoplatonism of Iamblichus&lt;/style&gt;,  (University Park, Pa.: Pennsylvania State University Press, 1995), p. 221.&lt;/DisplayText&gt;&lt;record&gt;&lt;rec-number&gt;219&lt;/rec-number&gt;&lt;foreign-keys&gt;&lt;key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 xml:space="preserve">Gregory Shaw, </w:t>
      </w:r>
      <w:r>
        <w:rPr>
          <w:i/>
          <w:noProof/>
        </w:rPr>
        <w:t>Theurgy</w:t>
      </w:r>
      <w:r w:rsidRPr="00EB6FB4">
        <w:rPr>
          <w:i/>
          <w:noProof/>
        </w:rPr>
        <w:t xml:space="preserve"> and the Soul : The Neoplatonism of Iamblichus</w:t>
      </w:r>
      <w:r>
        <w:rPr>
          <w:noProof/>
        </w:rPr>
        <w:t>,  (University Park, Pa.: Pennsylvania State University Press, 1995), p. 221.</w:t>
      </w:r>
      <w:r>
        <w:fldChar w:fldCharType="end"/>
      </w:r>
    </w:p>
  </w:footnote>
  <w:footnote w:id="2">
    <w:p w14:paraId="1BFEF44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&lt;EndNote&gt;&lt;Cite&gt;&lt;Author&gt;Shaw&lt;/Author&gt;&lt;Year&gt;1995&lt;/Year&gt;&lt;RecNum&gt;219&lt;/RecNum&gt;&lt;Pages&gt;5&lt;/Pages&gt;&lt;DisplayText&gt;Shaw, p. 5.&lt;/DisplayText&gt;&lt;record&gt;&lt;rec-number&gt;219&lt;/rec-number&gt;&lt;foreign-keys&gt;&lt;key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5.</w:t>
      </w:r>
      <w:r>
        <w:fldChar w:fldCharType="end"/>
      </w:r>
    </w:p>
  </w:footnote>
  <w:footnote w:id="3">
    <w:p w14:paraId="1EED9166"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&lt;EndNote&gt;&lt;Cite&gt;&lt;Author&gt;Iamblichus&lt;/Author&gt;&lt;Year&gt;2003&lt;/Year&gt;&lt;RecNum&gt;228&lt;/RecNum&gt;&lt;Pages&gt;xvi&lt;/Pages&gt;&lt;DisplayText&gt;Iamblichus, &lt;style face="italic"&gt;Iamblichus on the Mysteries&lt;/style&gt;,  (Atlanta: Society of Biblical Literature, 2003), p. xvi.&lt;/DisplayText&gt;&lt;record&gt;&lt;rec-number&gt;228&lt;/rec-number&gt;&lt;foreign-keys&gt;&lt;key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 xml:space="preserve">Iamblichus, </w:t>
      </w:r>
      <w:r w:rsidRPr="00D3585E">
        <w:rPr>
          <w:i/>
          <w:noProof/>
        </w:rPr>
        <w:t>Iamblichus on the Mysteries</w:t>
      </w:r>
      <w:r>
        <w:rPr>
          <w:noProof/>
        </w:rPr>
        <w:t>,  (Atlanta: Society of Biblical Literature, 2003), p. xvi.</w:t>
      </w:r>
      <w:r>
        <w:fldChar w:fldCharType="end"/>
      </w:r>
    </w:p>
  </w:footnote>
  <w:footnote w:id="4">
    <w:p w14:paraId="1AEFAE7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&lt;EndNote&gt;&lt;Cite&gt;&lt;Author&gt;Shaw&lt;/Author&gt;&lt;Year&gt;1995&lt;/Year&gt;&lt;RecNum&gt;219&lt;/RecNum&gt;&lt;Pages&gt;15&lt;/Pages&gt;&lt;DisplayText&gt;Shaw, p. 15.&lt;/DisplayText&gt;&lt;record&gt;&lt;rec-number&gt;219&lt;/rec-number&gt;&lt;foreign-keys&gt;&lt;key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15.</w:t>
      </w:r>
      <w:r>
        <w:fldChar w:fldCharType="end"/>
      </w:r>
    </w:p>
  </w:footnote>
  <w:footnote w:id="5">
    <w:p w14:paraId="78054F8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&lt;EndNote&gt;&lt;Cite&gt;&lt;Author&gt;Shaw&lt;/Author&gt;&lt;Year&gt;1995&lt;/Year&gt;&lt;RecNum&gt;219&lt;/RecNum&gt;&lt;Pages&gt;8&lt;/Pages&gt;&lt;DisplayText&gt;Shaw, p. 8.&lt;/DisplayText&gt;&lt;record&gt;&lt;rec-number&gt;219&lt;/rec-number&gt;&lt;foreign-keys&gt;&lt;key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8.</w:t>
      </w:r>
      <w:r>
        <w:fldChar w:fldCharType="end"/>
      </w:r>
    </w:p>
  </w:footnote>
  <w:footnote w:id="6">
    <w:p w14:paraId="7EC95D6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&lt;EndNote&gt;&lt;Cite&gt;&lt;Author&gt;Dillon&lt;/Author&gt;&lt;Year&gt;2007&lt;/Year&gt;&lt;RecNum&gt;224&lt;/RecNum&gt;&lt;Pages&gt;30&lt;/Pages&gt;&lt;DisplayText&gt;John Dillon, &amp;apos;Iamblichus’ Defence of Theurgy: Some Reflections&amp;apos;, &lt;style face="italic"&gt;The International Journal of the Platonic Tradition, &lt;/style&gt;1 (2007), 30.&lt;/DisplayText&gt;&lt;record&gt;&lt;rec-number&gt;224&lt;/rec-number&gt;&lt;foreign-keys&gt;&lt;key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 xml:space="preserve">John Dillon, 'Iamblichus’ Defence of Theurgy: Some Reflections', </w:t>
      </w:r>
      <w:r w:rsidRPr="00D3585E">
        <w:rPr>
          <w:i/>
          <w:noProof/>
        </w:rPr>
        <w:t xml:space="preserve">The International Journal of the Platonic Tradition, </w:t>
      </w:r>
      <w:r>
        <w:rPr>
          <w:noProof/>
        </w:rPr>
        <w:t>1 (2007), 30.</w:t>
      </w:r>
      <w:r>
        <w:fldChar w:fldCharType="end"/>
      </w:r>
    </w:p>
  </w:footnote>
  <w:footnote w:id="7">
    <w:p w14:paraId="0E1278B8" w14:textId="77777777" w:rsidR="00F57006" w:rsidRDefault="00F57006" w:rsidP="00F62FA9">
      <w:pPr>
        <w:pStyle w:val="FootnoteText"/>
      </w:pPr>
      <w:r>
        <w:rPr>
          <w:rStyle w:val="FootnoteReference"/>
        </w:rPr>
        <w:footnoteRef/>
      </w:r>
      <w:r>
        <w:fldChar w:fldCharType="begin"/>
      </w:r>
      <w:r>
        <w:instrText xml:space="preserve"> ADDIN EN.CITE &lt;EndNote&gt;&lt;Cite&gt;&lt;Author&gt;Dillon&lt;/Author&gt;&lt;Year&gt;2007&lt;/Year&gt;&lt;RecNum&gt;224&lt;/RecNum&gt;&lt;Pages&gt;32&lt;/Pages&gt;&lt;DisplayText&gt;Dillon, p. 32.&lt;/DisplayText&gt;&lt;record&gt;&lt;rec-number&gt;224&lt;/rec-number&gt;&lt;foreign-keys&gt;&lt;key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Dillon, p. 32.</w:t>
      </w:r>
      <w:r>
        <w:fldChar w:fldCharType="end"/>
      </w:r>
      <w:r>
        <w:t xml:space="preserve"> </w:t>
      </w:r>
    </w:p>
  </w:footnote>
  <w:footnote w:id="8">
    <w:p w14:paraId="75ADD507"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&lt;EndNote&gt;&lt;Cite&gt;&lt;Author&gt;Sheppard&lt;/Author&gt;&lt;Year&gt;1982&lt;/Year&gt;&lt;RecNum&gt;210&lt;/RecNum&gt;&lt;Pages&gt;212&lt;/Pages&gt;&lt;DisplayText&gt;Anne Sheppard, &amp;apos;Proclus&amp;apos; Attitude to Theurgy&amp;apos;, &lt;style face="italic"&gt;The Classical Quarterly, &lt;/style&gt;32 (1982), 212.&lt;/DisplayText&gt;&lt;record&gt;&lt;rec-number&gt;210&lt;/rec-number&gt;&lt;foreign-keys&gt;&lt;key app="EN" db-id="s5pe520dttp5a0e09pvvr2xx2vvfr2xszett" timestamp="1557844595"&gt;210&lt;/key&gt;&lt;/foreign-keys&gt;&lt;ref-type name="Journal Article"&gt;17&lt;/ref-type&gt;&lt;contributors&gt;&lt;authors&gt;&lt;author&gt;Sheppard, Anne&lt;/author&gt;&lt;/authors&gt;&lt;/contributors&gt;&lt;titles&gt;&lt;title&gt;Proclus&amp;apos; Attitude to Theurgy&lt;/title&gt;&lt;secondary-title&gt;The Classical Quarterly&lt;/secondary-title&gt;&lt;/titles&gt;&lt;periodical&gt;&lt;full-title&gt;The Classical Quarterly&lt;/full-title&gt;&lt;/periodical&gt;&lt;pages&gt;212-224&lt;/pages&gt;&lt;volume&gt;32&lt;/volume&gt;&lt;number&gt;1&lt;/number&gt;&lt;dates&gt;&lt;year&gt;1982&lt;/year&gt;&lt;/dates&gt;&lt;publisher&gt;Cambridge University Press&lt;/publisher&gt;&lt;isbn&gt;00098388, 14716844&lt;/isbn&gt;&lt;urls&gt;&lt;related-urls&gt;&lt;url&gt;http://www.jstor.org.ezproxy.uwtsd.ac.uk/stable/638759&lt;/url&gt;&lt;/related-urls&gt;&lt;/urls&gt;&lt;custom1&gt;Full publication date: 1982&lt;/custom1&gt;&lt;remote-database-name&gt;JSTOR&lt;/remote-database-name&gt;&lt;/record&gt;&lt;/Cite&gt;&lt;/EndNote&gt;</w:instrText>
      </w:r>
      <w:r>
        <w:fldChar w:fldCharType="separate"/>
      </w:r>
      <w:r>
        <w:rPr>
          <w:noProof/>
        </w:rPr>
        <w:t xml:space="preserve">Anne Sheppard, 'Proclus' Attitude to Theurgy', </w:t>
      </w:r>
      <w:r w:rsidRPr="00D94666">
        <w:rPr>
          <w:i/>
          <w:noProof/>
        </w:rPr>
        <w:t xml:space="preserve">The Classical Quarterly, </w:t>
      </w:r>
      <w:r>
        <w:rPr>
          <w:noProof/>
        </w:rPr>
        <w:t>32 (1982), 212.</w:t>
      </w:r>
      <w:r>
        <w:fldChar w:fldCharType="end"/>
      </w:r>
    </w:p>
  </w:footnote>
  <w:footnote w:id="9">
    <w:p w14:paraId="28D2518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&lt;EndNote&gt;&lt;Cite&gt;&lt;Author&gt;Dodds&lt;/Author&gt;&lt;Year&gt;1947&lt;/Year&gt;&lt;RecNum&gt;211&lt;/RecNum&gt;&lt;Pages&gt;59&lt;/Pages&gt;&lt;DisplayText&gt;E. R. Dodds, &amp;apos;Theurgy and Its Relationship to Neoplatonism&amp;apos;, &lt;style face="italic"&gt;The Journal of Roman Studies, &lt;/style&gt;37 (1947), 59.&lt;/DisplayText&gt;&lt;record&gt;&lt;rec-number&gt;211&lt;/rec-number&gt;&lt;foreign-keys&gt;&lt;key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 xml:space="preserve">E. R. Dodds, 'Theurgy and Its Relationship to Neoplatonism', </w:t>
      </w:r>
      <w:r w:rsidRPr="00A4664C">
        <w:rPr>
          <w:i/>
          <w:noProof/>
        </w:rPr>
        <w:t xml:space="preserve">The Journal of Roman Studies, </w:t>
      </w:r>
      <w:r>
        <w:rPr>
          <w:noProof/>
        </w:rPr>
        <w:t>37 (1947), 59.</w:t>
      </w:r>
      <w:r>
        <w:fldChar w:fldCharType="end"/>
      </w:r>
    </w:p>
  </w:footnote>
  <w:footnote w:id="10">
    <w:p w14:paraId="278D5AF7"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&lt;EndNote&gt;&lt;Cite&gt;&lt;Author&gt;Ogden&lt;/Author&gt;&lt;Year&gt;2009&lt;/Year&gt;&lt;RecNum&gt;220&lt;/RecNum&gt;&lt;Pages&gt;4&lt;/Pages&gt;&lt;DisplayText&gt;Daniel Ogden, &lt;style face="italic"&gt;Magic, Witchcraft, and Ghosts in the Greek and Roman Worlds : A Sourcebook&lt;/style&gt;, 2nd edn (Oxford ; New York: Oxford University Press, 2009), p. 4.&lt;/DisplayText&gt;&lt;record&gt;&lt;rec-number&gt;220&lt;/rec-number&gt;&lt;foreign-keys&gt;&lt;key app="EN" db-id="s5pe520dttp5a0e09pvvr2xx2vvfr2xszett" timestamp="1562165771"&gt;220&lt;/key&gt;&lt;/foreign-keys&gt;&lt;ref-type name="Book"&gt;6&lt;/ref-type&gt;&lt;contributors&gt;&lt;authors&gt;&lt;author&gt;Ogden, Daniel&lt;/author&gt;&lt;/authors&gt;&lt;/contributors&gt;&lt;titles&gt;&lt;title&gt;Magic, witchcraft, and ghosts in the Greek and Roman worlds : a sourcebook&lt;/title&gt;&lt;/titles&gt;&lt;pages&gt;xii, 400 p.&lt;/pages&gt;&lt;edition&gt;2nd&lt;/edition&gt;&lt;keywords&gt;&lt;keyword&gt;Magic, Greek.&lt;/keyword&gt;&lt;keyword&gt;Magic, Roman.&lt;/keyword&gt;&lt;/keywords&gt;&lt;dates&gt;&lt;year&gt;2009&lt;/year&gt;&lt;/dates&gt;&lt;pub-location&gt;Oxford ; New York&lt;/pub-location&gt;&lt;publisher&gt;Oxford University Press&lt;/publisher&gt;&lt;isbn&gt;9780195385205 (pbk. alk. paper)&amp;#xD;0195385209 (pbk. alk. paper)&lt;/isbn&gt;&lt;accession-num&gt;15842779&lt;/accession-num&gt;&lt;call-num&gt;BF1591 .O335 2009&lt;/call-num&gt;&lt;urls&gt;&lt;related-urls&gt;&lt;url&gt;Table of contents only http://www.loc.gov/catdir/toc/fy0904/2009455467.html&lt;/url&gt;&lt;/related-urls&gt;&lt;/urls&gt;&lt;/record&gt;&lt;/Cite&gt;&lt;/EndNote&gt;</w:instrText>
      </w:r>
      <w:r>
        <w:fldChar w:fldCharType="separate"/>
      </w:r>
      <w:r>
        <w:rPr>
          <w:noProof/>
        </w:rPr>
        <w:t xml:space="preserve">Daniel Ogden, </w:t>
      </w:r>
      <w:r w:rsidRPr="000631C2">
        <w:rPr>
          <w:i/>
          <w:noProof/>
        </w:rPr>
        <w:t>Magic, Witchcraft, and Ghosts in the Greek and Roman Worlds : A Sourcebook</w:t>
      </w:r>
      <w:r>
        <w:rPr>
          <w:noProof/>
        </w:rPr>
        <w:t>, 2nd edn (Oxford ; New York: Oxford University Press, 2009), p. 4.</w:t>
      </w:r>
      <w:r>
        <w:fldChar w:fldCharType="end"/>
      </w:r>
      <w:r>
        <w:t xml:space="preserve">; </w:t>
      </w:r>
    </w:p>
  </w:footnote>
  <w:footnote w:id="11">
    <w:p w14:paraId="74E789CC"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&lt;EndNote&gt;&lt;Cite&gt;&lt;Author&gt;Bremmer&lt;/Author&gt;&lt;Year&gt;1999&lt;/Year&gt;&lt;RecNum&gt;229&lt;/RecNum&gt;&lt;Pages&gt;10-11&lt;/Pages&gt;&lt;DisplayText&gt;Jan N. Bremmer, &amp;apos;The Birth of the Term &amp;apos;Magic&amp;apos;&amp;apos;, &lt;style face="italic"&gt;Zeitschrift für Papyrologie und Epigraphik, &lt;/style&gt;126 (1999), 10-11.&lt;/DisplayText&gt;&lt;record&gt;&lt;rec-number&gt;229&lt;/rec-number&gt;&lt;foreign-keys&gt;&lt;key app="EN" db-id="s5pe520dttp5a0e09pvvr2xx2vvfr2xszett" timestamp="1564245000"&gt;229&lt;/key&gt;&lt;/foreign-keys&gt;&lt;ref-type name="Journal Article"&gt;17&lt;/ref-type&gt;&lt;contributors&gt;&lt;authors&gt;&lt;author&gt;Bremmer, Jan N.&lt;/author&gt;&lt;/authors&gt;&lt;/contributors&gt;&lt;titles&gt;&lt;title&gt;The Birth of the Term &amp;apos;Magic&amp;apos;&lt;/title&gt;&lt;secondary-title&gt;Zeitschrift für Papyrologie und Epigraphik&lt;/secondary-title&gt;&lt;/titles&gt;&lt;periodical&gt;&lt;full-title&gt;Zeitschrift für Papyrologie und Epigraphik&lt;/full-title&gt;&lt;/periodical&gt;&lt;pages&gt;1-12&lt;/pages&gt;&lt;volume&gt;126&lt;/volume&gt;&lt;dates&gt;&lt;year&gt;1999&lt;/year&gt;&lt;/dates&gt;&lt;publisher&gt;Dr. Rudolf Habelt GmbH, Bonn (Germany)&lt;/publisher&gt;&lt;isbn&gt;00845388&lt;/isbn&gt;&lt;urls&gt;&lt;related-urls&gt;&lt;url&gt;http://www.jstor.org/stable/20190410&lt;/url&gt;&lt;/related-urls&gt;&lt;/urls&gt;&lt;custom1&gt;Full publication date: 1999&lt;/custom1&gt;&lt;remote-database-name&gt;JSTOR&lt;/remote-database-name&gt;&lt;/record&gt;&lt;/Cite&gt;&lt;/EndNote&gt;</w:instrText>
      </w:r>
      <w:r>
        <w:fldChar w:fldCharType="separate"/>
      </w:r>
      <w:r>
        <w:rPr>
          <w:noProof/>
        </w:rPr>
        <w:t xml:space="preserve">Jan N. Bremmer, 'The Birth of the Term 'Magic'', </w:t>
      </w:r>
      <w:r w:rsidRPr="00CD531E">
        <w:rPr>
          <w:i/>
          <w:noProof/>
        </w:rPr>
        <w:t xml:space="preserve">Zeitschrift für Papyrologie und Epigraphik, </w:t>
      </w:r>
      <w:r>
        <w:rPr>
          <w:noProof/>
        </w:rPr>
        <w:t>126 (1999), 10-11.</w:t>
      </w:r>
      <w:r>
        <w:fldChar w:fldCharType="end"/>
      </w:r>
    </w:p>
  </w:footnote>
  <w:footnote w:id="12">
    <w:p w14:paraId="719E4FAB"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&lt;EndNote&gt;&lt;Cite&gt;&lt;Author&gt;Bremmer&lt;/Author&gt;&lt;Year&gt;1999&lt;/Year&gt;&lt;RecNum&gt;229&lt;/RecNum&gt;&lt;Pages&gt;2-3&lt;/Pages&gt;&lt;DisplayText&gt;Bremmer, pp. 2-3.&lt;/DisplayText&gt;&lt;record&gt;&lt;rec-number&gt;229&lt;/rec-number&gt;&lt;foreign-keys&gt;&lt;key app="EN" db-id="s5pe520dttp5a0e09pvvr2xx2vvfr2xszett" timestamp="1564245000"&gt;229&lt;/key&gt;&lt;/foreign-keys&gt;&lt;ref-type name="Journal Article"&gt;17&lt;/ref-type&gt;&lt;contributors&gt;&lt;authors&gt;&lt;author&gt;Bremmer, Jan N.&lt;/author&gt;&lt;/authors&gt;&lt;/contributors&gt;&lt;titles&gt;&lt;title&gt;The Birth of the Term &amp;apos;Magic&amp;apos;&lt;/title&gt;&lt;secondary-title&gt;Zeitschrift für Papyrologie und Epigraphik&lt;/secondary-title&gt;&lt;/titles&gt;&lt;periodical&gt;&lt;full-title&gt;Zeitschrift für Papyrologie und Epigraphik&lt;/full-title&gt;&lt;/periodical&gt;&lt;pages&gt;1-12&lt;/pages&gt;&lt;volume&gt;126&lt;/volume&gt;&lt;dates&gt;&lt;year&gt;1999&lt;/year&gt;&lt;/dates&gt;&lt;publisher&gt;Dr. Rudolf Habelt GmbH, Bonn (Germany)&lt;/publisher&gt;&lt;isbn&gt;00845388&lt;/isbn&gt;&lt;urls&gt;&lt;related-urls&gt;&lt;url&gt;http://www.jstor.org/stable/20190410&lt;/url&gt;&lt;/related-urls&gt;&lt;/urls&gt;&lt;custom1&gt;Full publication date: 1999&lt;/custom1&gt;&lt;remote-database-name&gt;JSTOR&lt;/remote-database-name&gt;&lt;/record&gt;&lt;/Cite&gt;&lt;/EndNote&gt;</w:instrText>
      </w:r>
      <w:r>
        <w:fldChar w:fldCharType="separate"/>
      </w:r>
      <w:r>
        <w:rPr>
          <w:noProof/>
        </w:rPr>
        <w:t>Bremmer, pp. 2-3.</w:t>
      </w:r>
      <w:r>
        <w:fldChar w:fldCharType="end"/>
      </w:r>
    </w:p>
  </w:footnote>
  <w:footnote w:id="13">
    <w:p w14:paraId="6163370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&lt;EndNote&gt;&lt;Cite&gt;&lt;Author&gt;Bremmer&lt;/Author&gt;&lt;Year&gt;1999&lt;/Year&gt;&lt;RecNum&gt;229&lt;/RecNum&gt;&lt;Pages&gt;3&lt;/Pages&gt;&lt;DisplayText&gt;Bremmer, p. 3.&lt;/DisplayText&gt;&lt;record&gt;&lt;rec-number&gt;229&lt;/rec-number&gt;&lt;foreign-keys&gt;&lt;key app="EN" db-id="s5pe520dttp5a0e09pvvr2xx2vvfr2xszett" timestamp="1564245000"&gt;229&lt;/key&gt;&lt;/foreign-keys&gt;&lt;ref-type name="Journal Article"&gt;17&lt;/ref-type&gt;&lt;contributors&gt;&lt;authors&gt;&lt;author&gt;Bremmer, Jan N.&lt;/author&gt;&lt;/authors&gt;&lt;/contributors&gt;&lt;titles&gt;&lt;title&gt;The Birth of the Term &amp;apos;Magic&amp;apos;&lt;/title&gt;&lt;secondary-title&gt;Zeitschrift für Papyrologie und Epigraphik&lt;/secondary-title&gt;&lt;/titles&gt;&lt;periodical&gt;&lt;full-title&gt;Zeitschrift für Papyrologie und Epigraphik&lt;/full-title&gt;&lt;/periodical&gt;&lt;pages&gt;1-12&lt;/pages&gt;&lt;volume&gt;126&lt;/volume&gt;&lt;dates&gt;&lt;year&gt;1999&lt;/year&gt;&lt;/dates&gt;&lt;publisher&gt;Dr. Rudolf Habelt GmbH, Bonn (Germany)&lt;/publisher&gt;&lt;isbn&gt;00845388&lt;/isbn&gt;&lt;urls&gt;&lt;related-urls&gt;&lt;url&gt;http://www.jstor.org/stable/20190410&lt;/url&gt;&lt;/related-urls&gt;&lt;/urls&gt;&lt;custom1&gt;Full publication date: 1999&lt;/custom1&gt;&lt;remote-database-name&gt;JSTOR&lt;/remote-database-name&gt;&lt;/record&gt;&lt;/Cite&gt;&lt;/EndNote&gt;</w:instrText>
      </w:r>
      <w:r>
        <w:fldChar w:fldCharType="separate"/>
      </w:r>
      <w:r>
        <w:rPr>
          <w:noProof/>
        </w:rPr>
        <w:t>Bremmer, p. 3.</w:t>
      </w:r>
      <w:r>
        <w:fldChar w:fldCharType="end"/>
      </w:r>
      <w:r>
        <w:t xml:space="preserve">; </w:t>
      </w:r>
      <w:r>
        <w:fldChar w:fldCharType="begin"/>
      </w:r>
      <w:r>
        <w:instrText xml:space="preserve"> ADDIN EN.CITE &lt;EndNote&gt;&lt;Cite&gt;&lt;Author&gt;Addey&lt;/Author&gt;&lt;Year&gt;2014&lt;/Year&gt;&lt;RecNum&gt;230&lt;/RecNum&gt;&lt;Pages&gt;33&lt;/Pages&gt;&lt;DisplayText&gt;Crystal Addey, &lt;style face="italic"&gt;Divination and Theurgy in Neoplatonism : Oracles of the Gods&lt;/style&gt;,  (Burlington, VT, USA: Ashgate, 2014), p. 33.&lt;/DisplayText&gt;&lt;record&gt;&lt;rec-number&gt;230&lt;/rec-number&gt;&lt;foreign-keys&gt;&lt;key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 xml:space="preserve">Crystal Addey, </w:t>
      </w:r>
      <w:r w:rsidRPr="00752B71">
        <w:rPr>
          <w:i/>
          <w:noProof/>
        </w:rPr>
        <w:t xml:space="preserve">Divination and </w:t>
      </w:r>
      <w:r>
        <w:rPr>
          <w:i/>
          <w:noProof/>
        </w:rPr>
        <w:t>Theurgy</w:t>
      </w:r>
      <w:r w:rsidRPr="00752B71">
        <w:rPr>
          <w:i/>
          <w:noProof/>
        </w:rPr>
        <w:t xml:space="preserve"> in Neoplatonism : Oracles of the Gods</w:t>
      </w:r>
      <w:r>
        <w:rPr>
          <w:noProof/>
        </w:rPr>
        <w:t>,  (Burlington, VT, USA: Ashgate, 2014), p. 33.</w:t>
      </w:r>
      <w:r>
        <w:fldChar w:fldCharType="end"/>
      </w:r>
    </w:p>
  </w:footnote>
  <w:footnote w:id="14">
    <w:p w14:paraId="3641D9C9"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&lt;EndNote&gt;&lt;Cite&gt;&lt;Author&gt;Bremmer&lt;/Author&gt;&lt;Year&gt;1999&lt;/Year&gt;&lt;RecNum&gt;229&lt;/RecNum&gt;&lt;Pages&gt;6&lt;/Pages&gt;&lt;DisplayText&gt;Bremmer, p. 6.&lt;/DisplayText&gt;&lt;record&gt;&lt;rec-number&gt;229&lt;/rec-number&gt;&lt;foreign-keys&gt;&lt;key app="EN" db-id="s5pe520dttp5a0e09pvvr2xx2vvfr2xszett" timestamp="1564245000"&gt;229&lt;/key&gt;&lt;/foreign-keys&gt;&lt;ref-type name="Journal Article"&gt;17&lt;/ref-type&gt;&lt;contributors&gt;&lt;authors&gt;&lt;author&gt;Bremmer, Jan N.&lt;/author&gt;&lt;/authors&gt;&lt;/contributors&gt;&lt;titles&gt;&lt;title&gt;The Birth of the Term &amp;apos;Magic&amp;apos;&lt;/title&gt;&lt;secondary-title&gt;Zeitschrift für Papyrologie und Epigraphik&lt;/secondary-title&gt;&lt;/titles&gt;&lt;periodical&gt;&lt;full-title&gt;Zeitschrift für Papyrologie und Epigraphik&lt;/full-title&gt;&lt;/periodical&gt;&lt;pages&gt;1-12&lt;/pages&gt;&lt;volume&gt;126&lt;/volume&gt;&lt;dates&gt;&lt;year&gt;1999&lt;/year&gt;&lt;/dates&gt;&lt;publisher&gt;Dr. Rudolf Habelt GmbH, Bonn (Germany)&lt;/publisher&gt;&lt;isbn&gt;00845388&lt;/isbn&gt;&lt;urls&gt;&lt;related-urls&gt;&lt;url&gt;http://www.jstor.org/stable/20190410&lt;/url&gt;&lt;/related-urls&gt;&lt;/urls&gt;&lt;custom1&gt;Full publication date: 1999&lt;/custom1&gt;&lt;remote-database-name&gt;JSTOR&lt;/remote-database-name&gt;&lt;/record&gt;&lt;/Cite&gt;&lt;/EndNote&gt;</w:instrText>
      </w:r>
      <w:r>
        <w:fldChar w:fldCharType="separate"/>
      </w:r>
      <w:r>
        <w:rPr>
          <w:noProof/>
        </w:rPr>
        <w:t>Bremmer, p. 6.</w:t>
      </w:r>
      <w:r>
        <w:fldChar w:fldCharType="end"/>
      </w:r>
    </w:p>
  </w:footnote>
  <w:footnote w:id="15">
    <w:p w14:paraId="174CC53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&lt;EndNote&gt;&lt;Cite&gt;&lt;Author&gt;Bremmer&lt;/Author&gt;&lt;Year&gt;1999&lt;/Year&gt;&lt;RecNum&gt;229&lt;/RecNum&gt;&lt;Pages&gt;9&lt;/Pages&gt;&lt;DisplayText&gt;Bremmer, p. 9.&lt;/DisplayText&gt;&lt;record&gt;&lt;rec-number&gt;229&lt;/rec-number&gt;&lt;foreign-keys&gt;&lt;key app="EN" db-id="s5pe520dttp5a0e09pvvr2xx2vvfr2xszett" timestamp="1564245000"&gt;229&lt;/key&gt;&lt;/foreign-keys&gt;&lt;ref-type name="Journal Article"&gt;17&lt;/ref-type&gt;&lt;contributors&gt;&lt;authors&gt;&lt;author&gt;Bremmer, Jan N.&lt;/author&gt;&lt;/authors&gt;&lt;/contributors&gt;&lt;titles&gt;&lt;title&gt;The Birth of the Term &amp;apos;Magic&amp;apos;&lt;/title&gt;&lt;secondary-title&gt;Zeitschrift für Papyrologie und Epigraphik&lt;/secondary-title&gt;&lt;/titles&gt;&lt;periodical&gt;&lt;full-title&gt;Zeitschrift für Papyrologie und Epigraphik&lt;/full-title&gt;&lt;/periodical&gt;&lt;pages&gt;1-12&lt;/pages&gt;&lt;volume&gt;126&lt;/volume&gt;&lt;dates&gt;&lt;year&gt;1999&lt;/year&gt;&lt;/dates&gt;&lt;publisher&gt;Dr. Rudolf Habelt GmbH, Bonn (Germany)&lt;/publisher&gt;&lt;isbn&gt;00845388&lt;/isbn&gt;&lt;urls&gt;&lt;related-urls&gt;&lt;url&gt;http://www.jstor.org/stable/20190410&lt;/url&gt;&lt;/related-urls&gt;&lt;/urls&gt;&lt;custom1&gt;Full publication date: 1999&lt;/custom1&gt;&lt;remote-database-name&gt;JSTOR&lt;/remote-database-name&gt;&lt;/record&gt;&lt;/Cite&gt;&lt;/EndNote&gt;</w:instrText>
      </w:r>
      <w:r>
        <w:fldChar w:fldCharType="separate"/>
      </w:r>
      <w:r>
        <w:rPr>
          <w:noProof/>
        </w:rPr>
        <w:t>Bremmer, p. 9.</w:t>
      </w:r>
      <w:r>
        <w:fldChar w:fldCharType="end"/>
      </w:r>
    </w:p>
  </w:footnote>
  <w:footnote w:id="16">
    <w:p w14:paraId="7737B177"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&lt;EndNote&gt;&lt;Cite&gt;&lt;Author&gt;Betz&lt;/Author&gt;&lt;Year&gt;1992&lt;/Year&gt;&lt;RecNum&gt;222&lt;/RecNum&gt;&lt;Suffix&gt; Back Cover&lt;/Suffix&gt;&lt;DisplayText&gt;Hans Dieter Betz, &lt;style face="italic"&gt;The Greek Magical Papyri in Translation, Including the Demotic Spells&lt;/style&gt;, 2nd edn (Chicago: University of Chicago Press, 1992). Back Cover&lt;/DisplayText&gt;&lt;record&gt;&lt;rec-number&gt;222&lt;/rec-number&gt;&lt;foreign-keys&gt;&lt;key app="EN" db-id="s5pe520dttp5a0e09pvvr2xx2vvfr2xszett" timestamp="1562165826"&gt;222&lt;/key&gt;&lt;/foreign-keys&gt;&lt;ref-type name="Book"&gt;6&lt;/ref-type&gt;&lt;contributors&gt;&lt;authors&gt;&lt;author&gt;Betz, Hans Dieter&lt;/author&gt;&lt;/authors&gt;&lt;/contributors&gt;&lt;titles&gt;&lt;title&gt;The Greek magical papyri in translation, including the Demotic spells&lt;/title&gt;&lt;/titles&gt;&lt;pages&gt;v. &amp;lt;1 &amp;gt;&lt;/pages&gt;&lt;edition&gt;2nd&lt;/edition&gt;&lt;keywords&gt;&lt;keyword&gt;Magic, Greek Early works to 1800.&lt;/keyword&gt;&lt;keyword&gt;Magic, Egyptian Early works to 1800.&lt;/keyword&gt;&lt;keyword&gt;Incantations Early works to 1800.&lt;/keyword&gt;&lt;keyword&gt;Charms Early works to 1800.&lt;/keyword&gt;&lt;/keywords&gt;&lt;dates&gt;&lt;year&gt;1992&lt;/year&gt;&lt;/dates&gt;&lt;pub-location&gt;Chicago&lt;/pub-location&gt;&lt;publisher&gt;University of Chicago Press&lt;/publisher&gt;&lt;isbn&gt;0226044467 (cloth v. 1 alk. paper)&lt;/isbn&gt;&lt;accession-num&gt;2976011&lt;/accession-num&gt;&lt;call-num&gt;BF1622.G8 G74 1992&lt;/call-num&gt;&lt;urls&gt;&lt;related-urls&gt;&lt;url&gt;Publisher description http://www.loc.gov/catdir/description/uchi053/92005617.html&lt;/url&gt;&lt;url&gt;Table of contents only http://www.loc.gov/catdir/enhancements/fy0608/92005617-t.html&lt;/url&gt;&lt;/related-urls&gt;&lt;/urls&gt;&lt;/record&gt;&lt;/Cite&gt;&lt;/EndNote&gt;</w:instrText>
      </w:r>
      <w:r>
        <w:fldChar w:fldCharType="separate"/>
      </w:r>
      <w:r>
        <w:rPr>
          <w:noProof/>
        </w:rPr>
        <w:t xml:space="preserve">Hans Dieter Betz, </w:t>
      </w:r>
      <w:r w:rsidRPr="00977E06">
        <w:rPr>
          <w:i/>
          <w:noProof/>
        </w:rPr>
        <w:t xml:space="preserve">The Greek </w:t>
      </w:r>
      <w:r>
        <w:rPr>
          <w:i/>
          <w:noProof/>
        </w:rPr>
        <w:t>Magic</w:t>
      </w:r>
      <w:r w:rsidRPr="00977E06">
        <w:rPr>
          <w:i/>
          <w:noProof/>
        </w:rPr>
        <w:t>al Papyri in Translation, Including the Demotic Spells</w:t>
      </w:r>
      <w:r>
        <w:rPr>
          <w:noProof/>
        </w:rPr>
        <w:t>, 2nd edn (Chicago: University of Chicago Press, 1992). Back Cover</w:t>
      </w:r>
      <w:r>
        <w:fldChar w:fldCharType="end"/>
      </w:r>
    </w:p>
  </w:footnote>
  <w:footnote w:id="17">
    <w:p w14:paraId="2EA0092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&lt;EndNote&gt;&lt;Cite&gt;&lt;Author&gt;Addey&lt;/Author&gt;&lt;Year&gt;2014&lt;/Year&gt;&lt;RecNum&gt;230&lt;/RecNum&gt;&lt;Pages&gt;37-38&lt;/Pages&gt;&lt;DisplayText&gt;Addey, pp. 37-38.&lt;/DisplayText&gt;&lt;record&gt;&lt;rec-number&gt;230&lt;/rec-number&gt;&lt;foreign-keys&gt;&lt;key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pp. 37-38.</w:t>
      </w:r>
      <w:r>
        <w:fldChar w:fldCharType="end"/>
      </w:r>
    </w:p>
  </w:footnote>
  <w:footnote w:id="18">
    <w:p w14:paraId="4C8D19B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&lt;EndNote&gt;&lt;Cite&gt;&lt;Author&gt;Addey&lt;/Author&gt;&lt;Year&gt;2014&lt;/Year&gt;&lt;RecNum&gt;230&lt;/RecNum&gt;&lt;Pages&gt;32&lt;/Pages&gt;&lt;DisplayText&gt;Addey, p. 32.&lt;/DisplayText&gt;&lt;record&gt;&lt;rec-number&gt;230&lt;/rec-number&gt;&lt;foreign-keys&gt;&lt;key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32.</w:t>
      </w:r>
      <w:r>
        <w:fldChar w:fldCharType="end"/>
      </w:r>
    </w:p>
  </w:footnote>
  <w:footnote w:id="19">
    <w:p w14:paraId="5C20E39D" w14:textId="77777777" w:rsidR="00F57006" w:rsidRDefault="00F57006" w:rsidP="00F62FA9">
      <w:pPr>
        <w:pStyle w:val="FootnoteText"/>
      </w:pPr>
      <w:r>
        <w:rPr>
          <w:rStyle w:val="FootnoteReference"/>
        </w:rPr>
        <w:footnoteRef/>
      </w:r>
      <w:r>
        <w:t xml:space="preserve"> Iamblichus On the Mysteries cited in </w:t>
      </w:r>
      <w:r>
        <w:fldChar w:fldCharType="begin"/>
      </w:r>
      <w:r>
        <w:instrText xml:space="preserve"> ADDIN EN.CITE &lt;EndNote&gt;&lt;Cite&gt;&lt;Author&gt;Dodds&lt;/Author&gt;&lt;Year&gt;1947&lt;/Year&gt;&lt;RecNum&gt;211&lt;/RecNum&gt;&lt;Pages&gt;59&lt;/Pages&gt;&lt;DisplayText&gt;Dodds, p. 59.&lt;/DisplayText&gt;&lt;record&gt;&lt;rec-number&gt;211&lt;/rec-number&gt;&lt;foreign-keys&gt;&lt;key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59.</w:t>
      </w:r>
      <w:r>
        <w:fldChar w:fldCharType="end"/>
      </w:r>
    </w:p>
  </w:footnote>
  <w:footnote w:id="20">
    <w:p w14:paraId="74C8DF37"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&lt;EndNote&gt;&lt;Cite&gt;&lt;Author&gt;Dillon&lt;/Author&gt;&lt;Year&gt;2007&lt;/Year&gt;&lt;RecNum&gt;224&lt;/RecNum&gt;&lt;Prefix&gt;Sir James Frazer`,  The Golden Bough (Vol. I)`, pp. 224-5)`, cited in &lt;/Prefix&gt;&lt;Pages&gt;32&lt;/Pages&gt;&lt;DisplayText&gt;Sir James Frazer,  The Golden Bough (Vol. I), pp. 224-5), cited in Dillon, p. 32.&lt;/DisplayText&gt;&lt;record&gt;&lt;rec-number&gt;224&lt;/rec-number&gt;&lt;foreign-keys&gt;&lt;key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Sir James Frazer,  The Golden Bough (Vol. I), pp. 224-5), cited in Dillon, p. 32.</w:t>
      </w:r>
      <w:r>
        <w:fldChar w:fldCharType="end"/>
      </w:r>
    </w:p>
  </w:footnote>
  <w:footnote w:id="21">
    <w:p w14:paraId="5928315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&lt;EndNote&gt;&lt;Cite&gt;&lt;Author&gt;Dillon&lt;/Author&gt;&lt;Year&gt;2007&lt;/Year&gt;&lt;RecNum&gt;224&lt;/RecNum&gt;&lt;Pages&gt;40&lt;/Pages&gt;&lt;DisplayText&gt;Dillon, p. 40.&lt;/DisplayText&gt;&lt;record&gt;&lt;rec-number&gt;224&lt;/rec-number&gt;&lt;foreign-keys&gt;&lt;key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Dillon, p. 40.</w:t>
      </w:r>
      <w:r>
        <w:fldChar w:fldCharType="end"/>
      </w:r>
    </w:p>
  </w:footnote>
  <w:footnote w:id="22">
    <w:p w14:paraId="75FAF508"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&lt;EndNote&gt;&lt;Cite&gt;&lt;Author&gt;Dillon&lt;/Author&gt;&lt;Year&gt;2007&lt;/Year&gt;&lt;RecNum&gt;224&lt;/RecNum&gt;&lt;Pages&gt;40&lt;/Pages&gt;&lt;DisplayText&gt;Dillon, p. 40.&lt;/DisplayText&gt;&lt;record&gt;&lt;rec-number&gt;224&lt;/rec-number&gt;&lt;foreign-keys&gt;&lt;key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Dillon, p. 40.</w:t>
      </w:r>
      <w:r>
        <w:fldChar w:fldCharType="end"/>
      </w:r>
    </w:p>
  </w:footnote>
  <w:footnote w:id="23">
    <w:p w14:paraId="379726D9"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&lt;EndNote&gt;&lt;Cite&gt;&lt;Author&gt;Collins&lt;/Author&gt;&lt;Year&gt;2003&lt;/Year&gt;&lt;RecNum&gt;202&lt;/RecNum&gt;&lt;Pages&gt;21-25&lt;/Pages&gt;&lt;DisplayText&gt;Derek Collins, &amp;apos;Nature, Cause, and Agency in Greek Magic&amp;apos;, &lt;style face="italic"&gt;Transactions of the American Philological Association (1974-), &lt;/style&gt;133 (2003), 21-25.&lt;/DisplayText&gt;&lt;record&gt;&lt;rec-number&gt;202&lt;/rec-number&gt;&lt;foreign-keys&gt;&lt;key app="EN" db-id="s5pe520dttp5a0e09pvvr2xx2vvfr2xszett" timestamp="1557585135"&gt;202&lt;/key&gt;&lt;/foreign-keys&gt;&lt;ref-type name="Journal Article"&gt;17&lt;/ref-type&gt;&lt;contributors&gt;&lt;authors&gt;&lt;author&gt;Collins, Derek&lt;/author&gt;&lt;/authors&gt;&lt;/contributors&gt;&lt;titles&gt;&lt;title&gt;Nature, Cause, and Agency in Greek Magic&lt;/title&gt;&lt;secondary-title&gt;Transactions of the American Philological Association (1974-)&lt;/secondary-title&gt;&lt;/titles&gt;&lt;periodical&gt;&lt;full-title&gt;Transactions of the American Philological Association (1974-)&lt;/full-title&gt;&lt;/periodical&gt;&lt;pages&gt;17-49&lt;/pages&gt;&lt;volume&gt;133&lt;/volume&gt;&lt;number&gt;1&lt;/number&gt;&lt;dates&gt;&lt;year&gt;2003&lt;/year&gt;&lt;/dates&gt;&lt;publisher&gt;[Johns Hopkins University Press, American Philological Association]&lt;/publisher&gt;&lt;isbn&gt;03605949, 15330699&lt;/isbn&gt;&lt;urls&gt;&lt;related-urls&gt;&lt;url&gt;http://www.jstor.org.ezproxy.uwtsd.ac.uk/stable/20054074&lt;/url&gt;&lt;/related-urls&gt;&lt;/urls&gt;&lt;custom1&gt;Full publication date: Spring, 2003&lt;/custom1&gt;&lt;remote-database-name&gt;JSTOR&lt;/remote-database-name&gt;&lt;/record&gt;&lt;/Cite&gt;&lt;/EndNote&gt;</w:instrText>
      </w:r>
      <w:r>
        <w:fldChar w:fldCharType="separate"/>
      </w:r>
      <w:r>
        <w:rPr>
          <w:noProof/>
        </w:rPr>
        <w:t xml:space="preserve">Derek Collins, 'Nature, Cause, and Agency in Greek Magic', </w:t>
      </w:r>
      <w:r w:rsidRPr="00BE1A39">
        <w:rPr>
          <w:i/>
          <w:noProof/>
        </w:rPr>
        <w:t xml:space="preserve">Transactions of the American Philological Association (1974-), </w:t>
      </w:r>
      <w:r>
        <w:rPr>
          <w:noProof/>
        </w:rPr>
        <w:t>133 (2003), 21-25.</w:t>
      </w:r>
      <w:r>
        <w:fldChar w:fldCharType="end"/>
      </w:r>
    </w:p>
  </w:footnote>
  <w:footnote w:id="24">
    <w:p w14:paraId="3CBA1EE3"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&lt;EndNote&gt;&lt;Cite&gt;&lt;Author&gt;Dodds&lt;/Author&gt;&lt;Year&gt;1947&lt;/Year&gt;&lt;RecNum&gt;211&lt;/RecNum&gt;&lt;Pages&gt;57&lt;/Pages&gt;&lt;DisplayText&gt;Dodds, p. 57.&lt;/DisplayText&gt;&lt;record&gt;&lt;rec-number&gt;211&lt;/rec-number&gt;&lt;foreign-keys&gt;&lt;key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57.</w:t>
      </w:r>
      <w:r>
        <w:fldChar w:fldCharType="end"/>
      </w:r>
    </w:p>
  </w:footnote>
  <w:footnote w:id="25">
    <w:p w14:paraId="4B3FABF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&lt;EndNote&gt;&lt;Cite&gt;&lt;Author&gt;Dodds&lt;/Author&gt;&lt;Year&gt;1947&lt;/Year&gt;&lt;RecNum&gt;211&lt;/RecNum&gt;&lt;Pages&gt;57&lt;/Pages&gt;&lt;DisplayText&gt;Dodds, p. 57.&lt;/DisplayText&gt;&lt;record&gt;&lt;rec-number&gt;211&lt;/rec-number&gt;&lt;foreign-keys&gt;&lt;key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57.</w:t>
      </w:r>
      <w:r>
        <w:fldChar w:fldCharType="end"/>
      </w:r>
    </w:p>
  </w:footnote>
  <w:footnote w:id="26">
    <w:p w14:paraId="64B48009"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&lt;EndNote&gt;&lt;Cite&gt;&lt;Author&gt;Sheppard&lt;/Author&gt;&lt;Year&gt;1982&lt;/Year&gt;&lt;RecNum&gt;210&lt;/RecNum&gt;&lt;Pages&gt;220&lt;/Pages&gt;&lt;DisplayText&gt;Sheppard, p. 220.&lt;/DisplayText&gt;&lt;record&gt;&lt;rec-number&gt;210&lt;/rec-number&gt;&lt;foreign-keys&gt;&lt;key app="EN" db-id="s5pe520dttp5a0e09pvvr2xx2vvfr2xszett" timestamp="1557844595"&gt;210&lt;/key&gt;&lt;/foreign-keys&gt;&lt;ref-type name="Journal Article"&gt;17&lt;/ref-type&gt;&lt;contributors&gt;&lt;authors&gt;&lt;author&gt;Sheppard, Anne&lt;/author&gt;&lt;/authors&gt;&lt;/contributors&gt;&lt;titles&gt;&lt;title&gt;Proclus&amp;apos; Attitude to Theurgy&lt;/title&gt;&lt;secondary-title&gt;The Classical Quarterly&lt;/secondary-title&gt;&lt;/titles&gt;&lt;periodical&gt;&lt;full-title&gt;The Classical Quarterly&lt;/full-title&gt;&lt;/periodical&gt;&lt;pages&gt;212-224&lt;/pages&gt;&lt;volume&gt;32&lt;/volume&gt;&lt;number&gt;1&lt;/number&gt;&lt;dates&gt;&lt;year&gt;1982&lt;/year&gt;&lt;/dates&gt;&lt;publisher&gt;Cambridge University Press&lt;/publisher&gt;&lt;isbn&gt;00098388, 14716844&lt;/isbn&gt;&lt;urls&gt;&lt;related-urls&gt;&lt;url&gt;http://www.jstor.org.ezproxy.uwtsd.ac.uk/stable/638759&lt;/url&gt;&lt;/related-urls&gt;&lt;/urls&gt;&lt;custom1&gt;Full publication date: 1982&lt;/custom1&gt;&lt;remote-database-name&gt;JSTOR&lt;/remote-database-name&gt;&lt;/record&gt;&lt;/Cite&gt;&lt;/EndNote&gt;</w:instrText>
      </w:r>
      <w:r>
        <w:fldChar w:fldCharType="separate"/>
      </w:r>
      <w:r>
        <w:rPr>
          <w:noProof/>
        </w:rPr>
        <w:t>Sheppard, p. 220.</w:t>
      </w:r>
      <w:r>
        <w:fldChar w:fldCharType="end"/>
      </w:r>
      <w:r>
        <w:t xml:space="preserve">; </w:t>
      </w:r>
      <w:r>
        <w:fldChar w:fldCharType="begin"/>
      </w:r>
      <w:r>
        <w:instrText xml:space="preserve"> ADDIN EN.CITE &lt;EndNote&gt;&lt;Cite&gt;&lt;Author&gt;Iamblichus&lt;/Author&gt;&lt;Year&gt;2003&lt;/Year&gt;&lt;RecNum&gt;228&lt;/RecNum&gt;&lt;Pages&gt;239&lt;/Pages&gt;&lt;DisplayText&gt;Iamblichus, p. 239.&lt;/DisplayText&gt;&lt;record&gt;&lt;rec-number&gt;228&lt;/rec-number&gt;&lt;foreign-keys&gt;&lt;key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239.</w:t>
      </w:r>
      <w:r>
        <w:fldChar w:fldCharType="end"/>
      </w:r>
    </w:p>
  </w:footnote>
  <w:footnote w:id="27">
    <w:p w14:paraId="7BA0D5A6"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&lt;EndNote&gt;&lt;Cite&gt;&lt;Author&gt;Plato&lt;/Author&gt;&lt;RecNum&gt;162&lt;/RecNum&gt;&lt;Pages&gt;204-205&lt;/Pages&gt;&lt;DisplayText&gt;Plato, &amp;apos;Timaeus&amp;apos;, in &lt;style face="italic"&gt;LCL 234, &lt;/style&gt;(&amp;lt;&amp;lt;https://www-loebclassics-com&amp;gt;&amp;gt;: LOEB Classical library),  pp. 204-05).&lt;/DisplayText&gt;&lt;record&gt;&lt;rec-number&gt;162&lt;/rec-number&gt;&lt;foreign-keys&gt;&lt;key app="EN" db-id="s5pe520dttp5a0e09pvvr2xx2vvfr2xszett" timestamp="1543278668"&gt;162&lt;/key&gt;&lt;/foreign-keys&gt;&lt;ref-type name="Classical Work"&gt;49&lt;/ref-type&gt;&lt;contributors&gt;&lt;authors&gt;&lt;author&gt;Plato&lt;/author&gt;&lt;/authors&gt;&lt;subsidiary-authors&gt;&lt;author&gt;R. G. Bury&lt;/author&gt;&lt;/subsidiary-authors&gt;&lt;/contributors&gt;&lt;titles&gt;&lt;title&gt;Timaeus&lt;/title&gt;&lt;secondary-title&gt;LCL 234&lt;/secondary-title&gt;&lt;/titles&gt;&lt;dates&gt;&lt;/dates&gt;&lt;pub-location&gt;&amp;lt;&amp;lt;https://www-loebclassics-com&amp;gt;&amp;gt;&lt;/pub-location&gt;&lt;publisher&gt;LOEB Classical library&lt;/publisher&gt;&lt;urls&gt;&lt;/urls&gt;&lt;/record&gt;&lt;/Cite&gt;&lt;/EndNote&gt;</w:instrText>
      </w:r>
      <w:r>
        <w:fldChar w:fldCharType="separate"/>
      </w:r>
      <w:r>
        <w:rPr>
          <w:noProof/>
        </w:rPr>
        <w:t xml:space="preserve">Plato, 'Timaeus', in </w:t>
      </w:r>
      <w:r w:rsidRPr="00094E6C">
        <w:rPr>
          <w:i/>
          <w:noProof/>
        </w:rPr>
        <w:t xml:space="preserve">LCL 234, </w:t>
      </w:r>
      <w:r>
        <w:rPr>
          <w:noProof/>
        </w:rPr>
        <w:t>(&lt;&lt;https://www-loebclassics-com&gt;&gt;: LOEB Classical library),  pp. 204-05).</w:t>
      </w:r>
      <w:r>
        <w:fldChar w:fldCharType="end"/>
      </w:r>
    </w:p>
  </w:footnote>
  <w:footnote w:id="28">
    <w:p w14:paraId="64312F39"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&lt;EndNote&gt;&lt;Cite&gt;&lt;Author&gt;Addey&lt;/Author&gt;&lt;Year&gt;2014&lt;/Year&gt;&lt;RecNum&gt;230&lt;/RecNum&gt;&lt;Pages&gt;32&lt;/Pages&gt;&lt;DisplayText&gt;Addey, p. 32.&lt;/DisplayText&gt;&lt;record&gt;&lt;rec-number&gt;230&lt;/rec-number&gt;&lt;foreign-keys&gt;&lt;key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32.</w:t>
      </w:r>
      <w:r>
        <w:fldChar w:fldCharType="end"/>
      </w:r>
    </w:p>
  </w:footnote>
  <w:footnote w:id="29">
    <w:p w14:paraId="4DED8987"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&lt;EndNote&gt;&lt;Cite&gt;&lt;Author&gt;Collins&lt;/Author&gt;&lt;Year&gt;2003&lt;/Year&gt;&lt;RecNum&gt;202&lt;/RecNum&gt;&lt;Pages&gt;17-19&lt;/Pages&gt;&lt;DisplayText&gt;Collins, pp. 17-19.&lt;/DisplayText&gt;&lt;record&gt;&lt;rec-number&gt;202&lt;/rec-number&gt;&lt;foreign-keys&gt;&lt;key app="EN" db-id="s5pe520dttp5a0e09pvvr2xx2vvfr2xszett" timestamp="1557585135"&gt;202&lt;/key&gt;&lt;/foreign-keys&gt;&lt;ref-type name="Journal Article"&gt;17&lt;/ref-type&gt;&lt;contributors&gt;&lt;authors&gt;&lt;author&gt;Collins, Derek&lt;/author&gt;&lt;/authors&gt;&lt;/contributors&gt;&lt;titles&gt;&lt;title&gt;Nature, Cause, and Agency in Greek Magic&lt;/title&gt;&lt;secondary-title&gt;Transactions of the American Philological Association (1974-)&lt;/secondary-title&gt;&lt;/titles&gt;&lt;periodical&gt;&lt;full-title&gt;Transactions of the American Philological Association (1974-)&lt;/full-title&gt;&lt;/periodical&gt;&lt;pages&gt;17-49&lt;/pages&gt;&lt;volume&gt;133&lt;/volume&gt;&lt;number&gt;1&lt;/number&gt;&lt;dates&gt;&lt;year&gt;2003&lt;/year&gt;&lt;/dates&gt;&lt;publisher&gt;[Johns Hopkins University Press, American Philological Association]&lt;/publisher&gt;&lt;isbn&gt;03605949, 15330699&lt;/isbn&gt;&lt;urls&gt;&lt;related-urls&gt;&lt;url&gt;http://www.jstor.org.ezproxy.uwtsd.ac.uk/stable/20054074&lt;/url&gt;&lt;/related-urls&gt;&lt;/urls&gt;&lt;custom1&gt;Full publication date: Spring, 2003&lt;/custom1&gt;&lt;remote-database-name&gt;JSTOR&lt;/remote-database-name&gt;&lt;/record&gt;&lt;/Cite&gt;&lt;/EndNote&gt;</w:instrText>
      </w:r>
      <w:r>
        <w:fldChar w:fldCharType="separate"/>
      </w:r>
      <w:r>
        <w:rPr>
          <w:noProof/>
        </w:rPr>
        <w:t>Collins, pp. 17-19.</w:t>
      </w:r>
      <w:r>
        <w:fldChar w:fldCharType="end"/>
      </w:r>
    </w:p>
  </w:footnote>
  <w:footnote w:id="30">
    <w:p w14:paraId="2CC1E87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&lt;EndNote&gt;&lt;Cite&gt;&lt;Author&gt;Collins&lt;/Author&gt;&lt;Year&gt;2003&lt;/Year&gt;&lt;RecNum&gt;202&lt;/RecNum&gt;&lt;Pages&gt;34&lt;/Pages&gt;&lt;DisplayText&gt;Collins, p. 34.&lt;/DisplayText&gt;&lt;record&gt;&lt;rec-number&gt;202&lt;/rec-number&gt;&lt;foreign-keys&gt;&lt;key app="EN" db-id="s5pe520dttp5a0e09pvvr2xx2vvfr2xszett" timestamp="1557585135"&gt;202&lt;/key&gt;&lt;/foreign-keys&gt;&lt;ref-type name="Journal Article"&gt;17&lt;/ref-type&gt;&lt;contributors&gt;&lt;authors&gt;&lt;author&gt;Collins, Derek&lt;/author&gt;&lt;/authors&gt;&lt;/contributors&gt;&lt;titles&gt;&lt;title&gt;Nature, Cause, and Agency in Greek Magic&lt;/title&gt;&lt;secondary-title&gt;Transactions of the American Philological Association (1974-)&lt;/secondary-title&gt;&lt;/titles&gt;&lt;periodical&gt;&lt;full-title&gt;Transactions of the American Philological Association (1974-)&lt;/full-title&gt;&lt;/periodical&gt;&lt;pages&gt;17-49&lt;/pages&gt;&lt;volume&gt;133&lt;/volume&gt;&lt;number&gt;1&lt;/number&gt;&lt;dates&gt;&lt;year&gt;2003&lt;/year&gt;&lt;/dates&gt;&lt;publisher&gt;[Johns Hopkins University Press, American Philological Association]&lt;/publisher&gt;&lt;isbn&gt;03605949, 15330699&lt;/isbn&gt;&lt;urls&gt;&lt;related-urls&gt;&lt;url&gt;http://www.jstor.org.ezproxy.uwtsd.ac.uk/stable/20054074&lt;/url&gt;&lt;/related-urls&gt;&lt;/urls&gt;&lt;custom1&gt;Full publication date: Spring, 2003&lt;/custom1&gt;&lt;remote-database-name&gt;JSTOR&lt;/remote-database-name&gt;&lt;/record&gt;&lt;/Cite&gt;&lt;/EndNote&gt;</w:instrText>
      </w:r>
      <w:r>
        <w:fldChar w:fldCharType="separate"/>
      </w:r>
      <w:r>
        <w:rPr>
          <w:noProof/>
        </w:rPr>
        <w:t>Collins, p. 34.</w:t>
      </w:r>
      <w:r>
        <w:fldChar w:fldCharType="end"/>
      </w:r>
    </w:p>
  </w:footnote>
  <w:footnote w:id="31">
    <w:p w14:paraId="26010B8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&lt;EndNote&gt;&lt;Cite&gt;&lt;Author&gt;Collins&lt;/Author&gt;&lt;Year&gt;2003&lt;/Year&gt;&lt;RecNum&gt;202&lt;/RecNum&gt;&lt;Pages&gt;30&lt;/Pages&gt;&lt;DisplayText&gt;Collins, p. 30.&lt;/DisplayText&gt;&lt;record&gt;&lt;rec-number&gt;202&lt;/rec-number&gt;&lt;foreign-keys&gt;&lt;key app="EN" db-id="s5pe520dttp5a0e09pvvr2xx2vvfr2xszett" timestamp="1557585135"&gt;202&lt;/key&gt;&lt;/foreign-keys&gt;&lt;ref-type name="Journal Article"&gt;17&lt;/ref-type&gt;&lt;contributors&gt;&lt;authors&gt;&lt;author&gt;Collins, Derek&lt;/author&gt;&lt;/authors&gt;&lt;/contributors&gt;&lt;titles&gt;&lt;title&gt;Nature, Cause, and Agency in Greek Magic&lt;/title&gt;&lt;secondary-title&gt;Transactions of the American Philological Association (1974-)&lt;/secondary-title&gt;&lt;/titles&gt;&lt;periodical&gt;&lt;full-title&gt;Transactions of the American Philological Association (1974-)&lt;/full-title&gt;&lt;/periodical&gt;&lt;pages&gt;17-49&lt;/pages&gt;&lt;volume&gt;133&lt;/volume&gt;&lt;number&gt;1&lt;/number&gt;&lt;dates&gt;&lt;year&gt;2003&lt;/year&gt;&lt;/dates&gt;&lt;publisher&gt;[Johns Hopkins University Press, American Philological Association]&lt;/publisher&gt;&lt;isbn&gt;03605949, 15330699&lt;/isbn&gt;&lt;urls&gt;&lt;related-urls&gt;&lt;url&gt;http://www.jstor.org.ezproxy.uwtsd.ac.uk/stable/20054074&lt;/url&gt;&lt;/related-urls&gt;&lt;/urls&gt;&lt;custom1&gt;Full publication date: Spring, 2003&lt;/custom1&gt;&lt;remote-database-name&gt;JSTOR&lt;/remote-database-name&gt;&lt;/record&gt;&lt;/Cite&gt;&lt;/EndNote&gt;</w:instrText>
      </w:r>
      <w:r>
        <w:fldChar w:fldCharType="separate"/>
      </w:r>
      <w:r>
        <w:rPr>
          <w:noProof/>
        </w:rPr>
        <w:t>Collins, p. 30.</w:t>
      </w:r>
      <w:r>
        <w:fldChar w:fldCharType="end"/>
      </w:r>
    </w:p>
  </w:footnote>
  <w:footnote w:id="32">
    <w:p w14:paraId="1125220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&lt;EndNote&gt;&lt;Cite&gt;&lt;Author&gt;Evans-Pritchard&lt;/Author&gt;&lt;Year&gt;1976&lt;/Year&gt;&lt;RecNum&gt;234&lt;/RecNum&gt;&lt;DisplayText&gt;E. E. Evans-Pritchard and Eva Gillies, &lt;style face="italic"&gt;Witchcraft, Oracles, and Magic among the Azande&lt;/style&gt;, Abridged with an introd. by Eva Gillies. edn (Oxford: Clarendon Press, 1976).&lt;/DisplayText&gt;&lt;record&gt;&lt;rec-number&gt;234&lt;/rec-number&gt;&lt;foreign-keys&gt;&lt;key app="EN" db-id="s5pe520dttp5a0e09pvvr2xx2vvfr2xszett" timestamp="1564422402"&gt;234&lt;/key&gt;&lt;/foreign-keys&gt;&lt;ref-type name="Book"&gt;6&lt;/ref-type&gt;&lt;contributors&gt;&lt;authors&gt;&lt;author&gt;Evans-Pritchard, E. E.&lt;/author&gt;&lt;author&gt;Gillies, Eva&lt;/author&gt;&lt;/authors&gt;&lt;/contributors&gt;&lt;titles&gt;&lt;title&gt;Witchcraft, oracles, and magic among the Azande&lt;/title&gt;&lt;/titles&gt;&lt;pages&gt;xxxiii, 265 p.&lt;/pages&gt;&lt;edition&gt;Abridged with an introd. by Eva Gillies.&lt;/edition&gt;&lt;keywords&gt;&lt;keyword&gt;Zande (African people)&lt;/keyword&gt;&lt;keyword&gt;Witchcraft Africa, Central.&lt;/keyword&gt;&lt;keyword&gt;Magic Africa, Central.&lt;/keyword&gt;&lt;/keywords&gt;&lt;dates&gt;&lt;year&gt;1976&lt;/year&gt;&lt;/dates&gt;&lt;pub-location&gt;Oxford&lt;/pub-location&gt;&lt;publisher&gt;Clarendon Press&lt;/publisher&gt;&lt;isbn&gt;0198740298&lt;/isbn&gt;&lt;accession-num&gt;3185183&lt;/accession-num&gt;&lt;call-num&gt;DT155.2.A93 E92 1976&lt;/call-num&gt;&lt;urls&gt;&lt;/urls&gt;&lt;/record&gt;&lt;/Cite&gt;&lt;/EndNote&gt;</w:instrText>
      </w:r>
      <w:r>
        <w:fldChar w:fldCharType="separate"/>
      </w:r>
      <w:r>
        <w:rPr>
          <w:noProof/>
        </w:rPr>
        <w:t xml:space="preserve">E. E. Evans-Pritchard and Eva Gillies, </w:t>
      </w:r>
      <w:r w:rsidRPr="00884EC6">
        <w:rPr>
          <w:i/>
          <w:noProof/>
        </w:rPr>
        <w:t>Witchcraft, Oracles, and Magic among the Azande</w:t>
      </w:r>
      <w:r>
        <w:rPr>
          <w:noProof/>
        </w:rPr>
        <w:t>, Abridged with an introd. by Eva Gillies. edn (Oxford: Clarendon Press, 1976).</w:t>
      </w:r>
      <w:r>
        <w:fldChar w:fldCharType="end"/>
      </w:r>
    </w:p>
  </w:footnote>
  <w:footnote w:id="33">
    <w:p w14:paraId="5896248D"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&lt;EndNote&gt;&lt;Cite&gt;&lt;Author&gt;Iamblichus&lt;/Author&gt;&lt;Year&gt;2003&lt;/Year&gt;&lt;RecNum&gt;228&lt;/RecNum&gt;&lt;Pages&gt;241&lt;/Pages&gt;&lt;DisplayText&gt;Iamblichus, p. 241.&lt;/DisplayText&gt;&lt;record&gt;&lt;rec-number&gt;228&lt;/rec-number&gt;&lt;foreign-keys&gt;&lt;key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241.</w:t>
      </w:r>
      <w:r>
        <w:fldChar w:fldCharType="end"/>
      </w:r>
    </w:p>
  </w:footnote>
  <w:footnote w:id="34">
    <w:p w14:paraId="13052B2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&lt;EndNote&gt;&lt;Cite&gt;&lt;Author&gt;Iamblichus&lt;/Author&gt;&lt;Year&gt;2003&lt;/Year&gt;&lt;RecNum&gt;228&lt;/RecNum&gt;&lt;Pages&gt;241&lt;/Pages&gt;&lt;DisplayText&gt;Iamblichus, p. 241.&lt;/DisplayText&gt;&lt;record&gt;&lt;rec-number&gt;228&lt;/rec-number&gt;&lt;foreign-keys&gt;&lt;key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241.</w:t>
      </w:r>
      <w:r>
        <w:fldChar w:fldCharType="end"/>
      </w:r>
    </w:p>
  </w:footnote>
  <w:footnote w:id="35">
    <w:p w14:paraId="485599FD"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&lt;EndNote&gt;&lt;Cite&gt;&lt;Author&gt;Iamblichus&lt;/Author&gt;&lt;Year&gt;2003&lt;/Year&gt;&lt;RecNum&gt;228&lt;/RecNum&gt;&lt;Pages&gt;245&lt;/Pages&gt;&lt;DisplayText&gt;Iamblichus, p. 245.&lt;/DisplayText&gt;&lt;record&gt;&lt;rec-number&gt;228&lt;/rec-number&gt;&lt;foreign-keys&gt;&lt;key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245.</w:t>
      </w:r>
      <w:r>
        <w:fldChar w:fldCharType="end"/>
      </w:r>
    </w:p>
  </w:footnote>
  <w:footnote w:id="36">
    <w:p w14:paraId="17014D7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&lt;EndNote&gt;&lt;Cite&gt;&lt;Author&gt;Addey&lt;/Author&gt;&lt;Year&gt;2014&lt;/Year&gt;&lt;RecNum&gt;230&lt;/RecNum&gt;&lt;Pages&gt;28-29&lt;/Pages&gt;&lt;DisplayText&gt;Addey, pp. 28-29.&lt;/DisplayText&gt;&lt;record&gt;&lt;rec-number&gt;230&lt;/rec-number&gt;&lt;foreign-keys&gt;&lt;key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pp. 28-29.</w:t>
      </w:r>
      <w:r>
        <w:fldChar w:fldCharType="end"/>
      </w:r>
    </w:p>
  </w:footnote>
  <w:footnote w:id="37">
    <w:p w14:paraId="280482F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&lt;EndNote&gt;&lt;Cite&gt;&lt;Author&gt;Ogden&lt;/Author&gt;&lt;Year&gt;2009&lt;/Year&gt;&lt;RecNum&gt;220&lt;/RecNum&gt;&lt;Pages&gt;5&lt;/Pages&gt;&lt;DisplayText&gt;Ogden, p. 5.&lt;/DisplayText&gt;&lt;record&gt;&lt;rec-number&gt;220&lt;/rec-number&gt;&lt;foreign-keys&gt;&lt;key app="EN" db-id="s5pe520dttp5a0e09pvvr2xx2vvfr2xszett" timestamp="1562165771"&gt;220&lt;/key&gt;&lt;/foreign-keys&gt;&lt;ref-type name="Book"&gt;6&lt;/ref-type&gt;&lt;contributors&gt;&lt;authors&gt;&lt;author&gt;Ogden, Daniel&lt;/author&gt;&lt;/authors&gt;&lt;/contributors&gt;&lt;titles&gt;&lt;title&gt;Magic, witchcraft, and ghosts in the Greek and Roman worlds : a sourcebook&lt;/title&gt;&lt;/titles&gt;&lt;pages&gt;xii, 400 p.&lt;/pages&gt;&lt;edition&gt;2nd&lt;/edition&gt;&lt;keywords&gt;&lt;keyword&gt;Magic, Greek.&lt;/keyword&gt;&lt;keyword&gt;Magic, Roman.&lt;/keyword&gt;&lt;/keywords&gt;&lt;dates&gt;&lt;year&gt;2009&lt;/year&gt;&lt;/dates&gt;&lt;pub-location&gt;Oxford ; New York&lt;/pub-location&gt;&lt;publisher&gt;Oxford University Press&lt;/publisher&gt;&lt;isbn&gt;9780195385205 (pbk. alk. paper)&amp;#xD;0195385209 (pbk. alk. paper)&lt;/isbn&gt;&lt;accession-num&gt;15842779&lt;/accession-num&gt;&lt;call-num&gt;BF1591 .O335 2009&lt;/call-num&gt;&lt;urls&gt;&lt;related-urls&gt;&lt;url&gt;Table of contents only http://www.loc.gov/catdir/toc/fy0904/2009455467.html&lt;/url&gt;&lt;/related-urls&gt;&lt;/urls&gt;&lt;/record&gt;&lt;/Cite&gt;&lt;/EndNote&gt;</w:instrText>
      </w:r>
      <w:r>
        <w:fldChar w:fldCharType="separate"/>
      </w:r>
      <w:r>
        <w:rPr>
          <w:noProof/>
        </w:rPr>
        <w:t>Ogden, p. 5.</w:t>
      </w:r>
      <w:r>
        <w:fldChar w:fldCharType="end"/>
      </w:r>
    </w:p>
  </w:footnote>
  <w:footnote w:id="38">
    <w:p w14:paraId="50208622"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&lt;EndNote&gt;&lt;Cite&gt;&lt;Author&gt;Ogden&lt;/Author&gt;&lt;Year&gt;2009&lt;/Year&gt;&lt;RecNum&gt;220&lt;/RecNum&gt;&lt;Pages&gt;192&lt;/Pages&gt;&lt;DisplayText&gt;Ogden, p. 192.&lt;/DisplayText&gt;&lt;record&gt;&lt;rec-number&gt;220&lt;/rec-number&gt;&lt;foreign-keys&gt;&lt;key app="EN" db-id="s5pe520dttp5a0e09pvvr2xx2vvfr2xszett" timestamp="1562165771"&gt;220&lt;/key&gt;&lt;/foreign-keys&gt;&lt;ref-type name="Book"&gt;6&lt;/ref-type&gt;&lt;contributors&gt;&lt;authors&gt;&lt;author&gt;Ogden, Daniel&lt;/author&gt;&lt;/authors&gt;&lt;/contributors&gt;&lt;titles&gt;&lt;title&gt;Magic, witchcraft, and ghosts in the Greek and Roman worlds : a sourcebook&lt;/title&gt;&lt;/titles&gt;&lt;pages&gt;xii, 400 p.&lt;/pages&gt;&lt;edition&gt;2nd&lt;/edition&gt;&lt;keywords&gt;&lt;keyword&gt;Magic, Greek.&lt;/keyword&gt;&lt;keyword&gt;Magic, Roman.&lt;/keyword&gt;&lt;/keywords&gt;&lt;dates&gt;&lt;year&gt;2009&lt;/year&gt;&lt;/dates&gt;&lt;pub-location&gt;Oxford ; New York&lt;/pub-location&gt;&lt;publisher&gt;Oxford University Press&lt;/publisher&gt;&lt;isbn&gt;9780195385205 (pbk. alk. paper)&amp;#xD;0195385209 (pbk. alk. paper)&lt;/isbn&gt;&lt;accession-num&gt;15842779&lt;/accession-num&gt;&lt;call-num&gt;BF1591 .O335 2009&lt;/call-num&gt;&lt;urls&gt;&lt;related-urls&gt;&lt;url&gt;Table of contents only http://www.loc.gov/catdir/toc/fy0904/2009455467.html&lt;/url&gt;&lt;/related-urls&gt;&lt;/urls&gt;&lt;/record&gt;&lt;/Cite&gt;&lt;/EndNote&gt;</w:instrText>
      </w:r>
      <w:r>
        <w:fldChar w:fldCharType="separate"/>
      </w:r>
      <w:r>
        <w:rPr>
          <w:noProof/>
        </w:rPr>
        <w:t>Ogden, p. 192.</w:t>
      </w:r>
      <w:r>
        <w:fldChar w:fldCharType="end"/>
      </w:r>
    </w:p>
  </w:footnote>
  <w:footnote w:id="39">
    <w:p w14:paraId="0AC6A8BC"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&lt;EndNote&gt;&lt;Cite&gt;&lt;Author&gt;Shaw&lt;/Author&gt;&lt;Year&gt;1995&lt;/Year&gt;&lt;RecNum&gt;219&lt;/RecNum&gt;&lt;Pages&gt;261&lt;/Pages&gt;&lt;DisplayText&gt;Shaw, p. 261.&lt;/DisplayText&gt;&lt;record&gt;&lt;rec-number&gt;219&lt;/rec-number&gt;&lt;foreign-keys&gt;&lt;key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261.</w:t>
      </w:r>
      <w:r>
        <w:fldChar w:fldCharType="end"/>
      </w:r>
    </w:p>
  </w:footnote>
  <w:footnote w:id="40">
    <w:p w14:paraId="0243FABC"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&lt;EndNote&gt;&lt;Cite&gt;&lt;Author&gt;Addey&lt;/Author&gt;&lt;Year&gt;2014&lt;/Year&gt;&lt;RecNum&gt;230&lt;/RecNum&gt;&lt;Prefix&gt;Porphyry`, Abst. 2.38.3`, 202e`, cited in &lt;/Prefix&gt;&lt;Pages&gt;141&lt;/Pages&gt;&lt;DisplayText&gt;Porphyry, Abst. 2.38.3, 202e, cited in Addey, p. 141.&lt;/DisplayText&gt;&lt;record&gt;&lt;rec-number&gt;230&lt;/rec-number&gt;&lt;foreign-keys&gt;&lt;key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Porphyry, Abst. 2.38.3, 202e, cited in Addey, p. 141.</w:t>
      </w:r>
      <w:r>
        <w:fldChar w:fldCharType="end"/>
      </w:r>
    </w:p>
  </w:footnote>
  <w:footnote w:id="41">
    <w:p w14:paraId="04F6A7E3"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&lt;EndNote&gt;&lt;Cite&gt;&lt;Author&gt;Addey&lt;/Author&gt;&lt;Year&gt;2014&lt;/Year&gt;&lt;RecNum&gt;230&lt;/RecNum&gt;&lt;Pages&gt;6`; p. 168&lt;/Pages&gt;&lt;DisplayText&gt;Addey, p. 6; p. 168.&lt;/DisplayText&gt;&lt;record&gt;&lt;rec-number&gt;230&lt;/rec-number&gt;&lt;foreign-keys&gt;&lt;key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6; p. 168.</w:t>
      </w:r>
      <w:r>
        <w:fldChar w:fldCharType="end"/>
      </w:r>
    </w:p>
  </w:footnote>
  <w:footnote w:id="42">
    <w:p w14:paraId="05935BAE"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&lt;EndNote&gt;&lt;Cite&gt;&lt;Author&gt;Shaw&lt;/Author&gt;&lt;Year&gt;1995&lt;/Year&gt;&lt;RecNum&gt;219&lt;/RecNum&gt;&lt;Prefix&gt;Laws 713cd`; trans. A.E. Taylor cited in &lt;/Prefix&gt;&lt;Pages&gt;9&lt;/Pages&gt;&lt;DisplayText&gt;Laws 713cd; trans. A.E. Taylor cited in Shaw, p. 9.&lt;/DisplayText&gt;&lt;record&gt;&lt;rec-number&gt;219&lt;/rec-number&gt;&lt;foreign-keys&gt;&lt;key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Laws 713cd; trans. A.E. Taylor cited in Shaw, p. 9.</w:t>
      </w:r>
      <w:r>
        <w:fldChar w:fldCharType="end"/>
      </w:r>
    </w:p>
  </w:footnote>
  <w:footnote w:id="43">
    <w:p w14:paraId="0130CCC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&lt;EndNote&gt;&lt;Cite&gt;&lt;Author&gt;Shaw&lt;/Author&gt;&lt;Year&gt;1995&lt;/Year&gt;&lt;RecNum&gt;219&lt;/RecNum&gt;&lt;Pages&gt;10-11&lt;/Pages&gt;&lt;DisplayText&gt;Shaw, pp. 10-11.&lt;/DisplayText&gt;&lt;record&gt;&lt;rec-number&gt;219&lt;/rec-number&gt;&lt;foreign-keys&gt;&lt;key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pp. 10-11.</w:t>
      </w:r>
      <w:r>
        <w:fldChar w:fldCharType="end"/>
      </w:r>
    </w:p>
  </w:footnote>
  <w:footnote w:id="44">
    <w:p w14:paraId="482C260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&lt;EndNote&gt;&lt;Cite&gt;&lt;Author&gt;Shaw&lt;/Author&gt;&lt;Year&gt;1995&lt;/Year&gt;&lt;RecNum&gt;219&lt;/RecNum&gt;&lt;Pages&gt;4&lt;/Pages&gt;&lt;DisplayText&gt;Shaw, p. 4.&lt;/DisplayText&gt;&lt;record&gt;&lt;rec-number&gt;219&lt;/rec-number&gt;&lt;foreign-keys&gt;&lt;key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4.</w:t>
      </w:r>
      <w:r>
        <w:fldChar w:fldCharType="end"/>
      </w:r>
    </w:p>
  </w:footnote>
  <w:footnote w:id="45">
    <w:p w14:paraId="60BB3DD6"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&lt;EndNote&gt;&lt;Cite&gt;&lt;Author&gt;Dodds&lt;/Author&gt;&lt;Year&gt;1947&lt;/Year&gt;&lt;RecNum&gt;211&lt;/RecNum&gt;&lt;Pages&gt;57&lt;/Pages&gt;&lt;DisplayText&gt;Dodds, p. 57.&lt;/DisplayText&gt;&lt;record&gt;&lt;rec-number&gt;211&lt;/rec-number&gt;&lt;foreign-keys&gt;&lt;key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57.</w:t>
      </w:r>
      <w:r>
        <w:fldChar w:fldCharType="end"/>
      </w:r>
    </w:p>
  </w:footnote>
  <w:footnote w:id="46">
    <w:p w14:paraId="0A402166"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&lt;EndNote&gt;&lt;Cite&gt;&lt;Author&gt;Sheppard&lt;/Author&gt;&lt;Year&gt;1982&lt;/Year&gt;&lt;RecNum&gt;210&lt;/RecNum&gt;&lt;Prefix&gt;Theological Platonism p. 63`, cited in &lt;/Prefix&gt;&lt;Pages&gt;219&lt;/Pages&gt;&lt;DisplayText&gt;Theological Platonism p. 63, cited in Sheppard, p. 219.&lt;/DisplayText&gt;&lt;record&gt;&lt;rec-number&gt;210&lt;/rec-number&gt;&lt;foreign-keys&gt;&lt;key app="EN" db-id="s5pe520dttp5a0e09pvvr2xx2vvfr2xszett" timestamp="1557844595"&gt;210&lt;/key&gt;&lt;/foreign-keys&gt;&lt;ref-type name="Journal Article"&gt;17&lt;/ref-type&gt;&lt;contributors&gt;&lt;authors&gt;&lt;author&gt;Sheppard, Anne&lt;/author&gt;&lt;/authors&gt;&lt;/contributors&gt;&lt;titles&gt;&lt;title&gt;Proclus&amp;apos; Attitude to Theurgy&lt;/title&gt;&lt;secondary-title&gt;The Classical Quarterly&lt;/secondary-title&gt;&lt;/titles&gt;&lt;periodical&gt;&lt;full-title&gt;The Classical Quarterly&lt;/full-title&gt;&lt;/periodical&gt;&lt;pages&gt;212-224&lt;/pages&gt;&lt;volume&gt;32&lt;/volume&gt;&lt;number&gt;1&lt;/number&gt;&lt;dates&gt;&lt;year&gt;1982&lt;/year&gt;&lt;/dates&gt;&lt;publisher&gt;Cambridge University Press&lt;/publisher&gt;&lt;isbn&gt;00098388, 14716844&lt;/isbn&gt;&lt;urls&gt;&lt;related-urls&gt;&lt;url&gt;http://www.jstor.org.ezproxy.uwtsd.ac.uk/stable/638759&lt;/url&gt;&lt;/related-urls&gt;&lt;/urls&gt;&lt;custom1&gt;Full publication date: 1982&lt;/custom1&gt;&lt;remote-database-name&gt;JSTOR&lt;/remote-database-name&gt;&lt;/record&gt;&lt;/Cite&gt;&lt;/EndNote&gt;</w:instrText>
      </w:r>
      <w:r>
        <w:fldChar w:fldCharType="separate"/>
      </w:r>
      <w:r>
        <w:rPr>
          <w:noProof/>
        </w:rPr>
        <w:t>Theological Platonism p. 63, cited in Sheppard, p. 219.</w:t>
      </w:r>
      <w:r>
        <w:fldChar w:fldCharType="end"/>
      </w:r>
    </w:p>
  </w:footnote>
  <w:footnote w:id="47">
    <w:p w14:paraId="594DF3A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&lt;EndNote&gt;&lt;Cite&gt;&lt;Author&gt;Addey&lt;/Author&gt;&lt;Year&gt;2014&lt;/Year&gt;&lt;RecNum&gt;230&lt;/RecNum&gt;&lt;Prefix&gt;Plato`, Phaedrus. 244a8-b3`, trs.Fowler (1914`;repr.1982) cited in &lt;/Prefix&gt;&lt;Pages&gt;216&lt;/Pages&gt;&lt;DisplayText&gt;Plato, Phaedrus. 244a8-b3, trs.Fowler (1914;repr.1982) cited in Addey, p. 216.&lt;/DisplayText&gt;&lt;record&gt;&lt;rec-number&gt;230&lt;/rec-number&gt;&lt;foreign-keys&gt;&lt;key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Plato, Phaedrus. 244a8-b3, trs.Fowler (1914;repr.1982) cited in Addey, p. 216.</w:t>
      </w:r>
      <w:r>
        <w:fldChar w:fldCharType="end"/>
      </w:r>
      <w:r w:rsidRPr="005B1A64">
        <w:rPr>
          <w:highlight w:val="yellow"/>
        </w:rPr>
        <w:t xml:space="preserve"> </w:t>
      </w:r>
    </w:p>
  </w:footnote>
  <w:footnote w:id="48">
    <w:p w14:paraId="1E8A722B"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&lt;EndNote&gt;&lt;Cite&gt;&lt;Author&gt;Iamblichus&lt;/Author&gt;&lt;Year&gt;2003&lt;/Year&gt;&lt;RecNum&gt;228&lt;/RecNum&gt;&lt;Pages&gt;119&lt;/Pages&gt;&lt;DisplayText&gt;Iamblichus, p. 119.&lt;/DisplayText&gt;&lt;record&gt;&lt;rec-number&gt;228&lt;/rec-number&gt;&lt;foreign-keys&gt;&lt;key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119.</w:t>
      </w:r>
      <w:r>
        <w:fldChar w:fldCharType="end"/>
      </w:r>
    </w:p>
  </w:footnote>
  <w:footnote w:id="49">
    <w:p w14:paraId="544DD3AD" w14:textId="77777777" w:rsidR="00AE4661" w:rsidRDefault="00AE4661" w:rsidP="00AE4661">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&lt;EndNote&gt;&lt;Cite&gt;&lt;Author&gt;Iamblichus&lt;/Author&gt;&lt;Year&gt;2003&lt;/Year&gt;&lt;RecNum&gt;228&lt;/RecNum&gt;&lt;Pages&gt;119&lt;/Pages&gt;&lt;DisplayText&gt;Iamblichus, p. 119.&lt;/DisplayText&gt;&lt;record&gt;&lt;rec-number&gt;228&lt;/rec-number&gt;&lt;foreign-keys&gt;&lt;key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119.</w:t>
      </w:r>
      <w:r>
        <w:fldChar w:fldCharType="end"/>
      </w:r>
    </w:p>
  </w:footnote>
  <w:footnote w:id="50">
    <w:p w14:paraId="18611FF3"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&lt;EndNote&gt;&lt;Cite&gt;&lt;Author&gt;Iamblichus&lt;/Author&gt;&lt;Year&gt;2003&lt;/Year&gt;&lt;RecNum&gt;228&lt;/RecNum&gt;&lt;Pages&gt;129-131&lt;/Pages&gt;&lt;DisplayText&gt;Iamblichus, pp. 129-31.&lt;/DisplayText&gt;&lt;record&gt;&lt;rec-number&gt;228&lt;/rec-number&gt;&lt;foreign-keys&gt;&lt;key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pp. 129-31.</w:t>
      </w:r>
      <w:r>
        <w:fldChar w:fldCharType="end"/>
      </w:r>
    </w:p>
  </w:footnote>
  <w:footnote w:id="51">
    <w:p w14:paraId="61137535"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&lt;EndNote&gt;&lt;Cite&gt;&lt;Author&gt;Dodds&lt;/Author&gt;&lt;Year&gt;1947&lt;/Year&gt;&lt;RecNum&gt;211&lt;/RecNum&gt;&lt;Pages&gt;58&lt;/Pages&gt;&lt;DisplayText&gt;Dodds, p. 58.&lt;/DisplayText&gt;&lt;record&gt;&lt;rec-number&gt;211&lt;/rec-number&gt;&lt;foreign-keys&gt;&lt;key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58.</w:t>
      </w:r>
      <w:r>
        <w:fldChar w:fldCharType="end"/>
      </w:r>
      <w:r>
        <w:t xml:space="preserve">; </w:t>
      </w:r>
      <w:r>
        <w:fldChar w:fldCharType="begin"/>
      </w:r>
      <w:r>
        <w:instrText xml:space="preserve"> ADDIN EN.CITE &lt;EndNote&gt;&lt;Cite&gt;&lt;Author&gt;Sheppard&lt;/Author&gt;&lt;Year&gt;1982&lt;/Year&gt;&lt;RecNum&gt;210&lt;/RecNum&gt;&lt;Pages&gt;212&lt;/Pages&gt;&lt;DisplayText&gt;Sheppard, p. 212.&lt;/DisplayText&gt;&lt;record&gt;&lt;rec-number&gt;210&lt;/rec-number&gt;&lt;foreign-keys&gt;&lt;key app="EN" db-id="s5pe520dttp5a0e09pvvr2xx2vvfr2xszett" timestamp="1557844595"&gt;210&lt;/key&gt;&lt;/foreign-keys&gt;&lt;ref-type name="Journal Article"&gt;17&lt;/ref-type&gt;&lt;contributors&gt;&lt;authors&gt;&lt;author&gt;Sheppard, Anne&lt;/author&gt;&lt;/authors&gt;&lt;/contributors&gt;&lt;titles&gt;&lt;title&gt;Proclus&amp;apos; Attitude to Theurgy&lt;/title&gt;&lt;secondary-title&gt;The Classical Quarterly&lt;/secondary-title&gt;&lt;/titles&gt;&lt;periodical&gt;&lt;full-title&gt;The Classical Quarterly&lt;/full-title&gt;&lt;/periodical&gt;&lt;pages&gt;212-224&lt;/pages&gt;&lt;volume&gt;32&lt;/volume&gt;&lt;number&gt;1&lt;/number&gt;&lt;dates&gt;&lt;year&gt;1982&lt;/year&gt;&lt;/dates&gt;&lt;publisher&gt;Cambridge University Press&lt;/publisher&gt;&lt;isbn&gt;00098388, 14716844&lt;/isbn&gt;&lt;urls&gt;&lt;related-urls&gt;&lt;url&gt;http://www.jstor.org.ezproxy.uwtsd.ac.uk/stable/638759&lt;/url&gt;&lt;/related-urls&gt;&lt;/urls&gt;&lt;custom1&gt;Full publication date: 1982&lt;/custom1&gt;&lt;remote-database-name&gt;JSTOR&lt;/remote-database-name&gt;&lt;/record&gt;&lt;/Cite&gt;&lt;/EndNote&gt;</w:instrText>
      </w:r>
      <w:r>
        <w:fldChar w:fldCharType="separate"/>
      </w:r>
      <w:r>
        <w:rPr>
          <w:noProof/>
        </w:rPr>
        <w:t>Sheppard, p. 212.</w:t>
      </w:r>
      <w:r>
        <w:fldChar w:fldCharType="end"/>
      </w:r>
    </w:p>
  </w:footnote>
  <w:footnote w:id="52">
    <w:p w14:paraId="42845A7B"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&lt;EndNote&gt;&lt;Cite&gt;&lt;Author&gt;Iamblichus&lt;/Author&gt;&lt;Year&gt;2003&lt;/Year&gt;&lt;RecNum&gt;228&lt;/RecNum&gt;&lt;Pages&gt;p.141&lt;/Pages&gt;&lt;DisplayText&gt;Iamblichus, p. p.141.&lt;/DisplayText&gt;&lt;record&gt;&lt;rec-number&gt;228&lt;/rec-number&gt;&lt;foreign-keys&gt;&lt;key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p.141.</w:t>
      </w:r>
      <w:r>
        <w:fldChar w:fldCharType="end"/>
      </w:r>
    </w:p>
  </w:footnote>
  <w:footnote w:id="53">
    <w:p w14:paraId="6A8FED8F"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&lt;EndNote&gt;&lt;Cite&gt;&lt;Author&gt;Iamblichus&lt;/Author&gt;&lt;Year&gt;2003&lt;/Year&gt;&lt;RecNum&gt;228&lt;/RecNum&gt;&lt;Pages&gt;153&lt;/Pages&gt;&lt;DisplayText&gt;Iamblichus, p. 153.&lt;/DisplayText&gt;&lt;record&gt;&lt;rec-number&gt;228&lt;/rec-number&gt;&lt;foreign-keys&gt;&lt;key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153.</w:t>
      </w:r>
      <w:r>
        <w:fldChar w:fldCharType="end"/>
      </w:r>
    </w:p>
  </w:footnote>
  <w:footnote w:id="54">
    <w:p w14:paraId="2E996EB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&lt;EndNote&gt;&lt;Cite&gt;&lt;Author&gt;Addey&lt;/Author&gt;&lt;Year&gt;2014&lt;/Year&gt;&lt;RecNum&gt;230&lt;/RecNum&gt;&lt;Pages&gt;26-27&lt;/Pages&gt;&lt;DisplayText&gt;Addey, pp. 26-27.&lt;/DisplayText&gt;&lt;record&gt;&lt;rec-number&gt;230&lt;/rec-number&gt;&lt;foreign-keys&gt;&lt;key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pp. 26-27.</w:t>
      </w:r>
      <w:r>
        <w:fldChar w:fldCharType="end"/>
      </w:r>
    </w:p>
  </w:footnote>
  <w:footnote w:id="55">
    <w:p w14:paraId="4F399F0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&lt;EndNote&gt;&lt;Cite&gt;&lt;Author&gt;Shaw&lt;/Author&gt;&lt;Year&gt;1995&lt;/Year&gt;&lt;RecNum&gt;219&lt;/RecNum&gt;&lt;Pages&gt;260&lt;/Pages&gt;&lt;DisplayText&gt;Shaw, p. 260.&lt;/DisplayText&gt;&lt;record&gt;&lt;rec-number&gt;219&lt;/rec-number&gt;&lt;foreign-keys&gt;&lt;key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260.</w:t>
      </w:r>
      <w:r>
        <w:fldChar w:fldCharType="end"/>
      </w:r>
    </w:p>
  </w:footnote>
  <w:footnote w:id="56">
    <w:p w14:paraId="70959D23"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&lt;EndNote&gt;&lt;Cite&gt;&lt;Author&gt;Shaw&lt;/Author&gt;&lt;Year&gt;1995&lt;/Year&gt;&lt;RecNum&gt;219&lt;/RecNum&gt;&lt;Pages&gt;19&lt;/Pages&gt;&lt;DisplayText&gt;Shaw, p. 19.&lt;/DisplayText&gt;&lt;record&gt;&lt;rec-number&gt;219&lt;/rec-number&gt;&lt;foreign-keys&gt;&lt;key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19.</w:t>
      </w:r>
      <w:r>
        <w:fldChar w:fldCharType="end"/>
      </w:r>
    </w:p>
  </w:footnote>
  <w:footnote w:id="57">
    <w:p w14:paraId="36BA3543"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&lt;EndNote&gt;&lt;Cite&gt;&lt;Author&gt;Addey&lt;/Author&gt;&lt;Year&gt;2014&lt;/Year&gt;&lt;RecNum&gt;230&lt;/RecNum&gt;&lt;Pages&gt;30&lt;/Pages&gt;&lt;DisplayText&gt;Addey, p. 30.&lt;/DisplayText&gt;&lt;record&gt;&lt;rec-number&gt;230&lt;/rec-number&gt;&lt;foreign-keys&gt;&lt;key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30.</w:t>
      </w:r>
      <w:r>
        <w:fldChar w:fldCharType="end"/>
      </w:r>
    </w:p>
  </w:footnote>
  <w:footnote w:id="58">
    <w:p w14:paraId="520D445A" w14:textId="77777777" w:rsidR="00F57006" w:rsidRDefault="00F57006" w:rsidP="00F62FA9">
      <w:pPr>
        <w:pStyle w:val="FootnoteText"/>
      </w:pPr>
      <w:r>
        <w:rPr>
          <w:rStyle w:val="FootnoteReference"/>
        </w:rPr>
        <w:footnoteRef/>
      </w:r>
      <w:r>
        <w:fldChar w:fldCharType="begin"/>
      </w:r>
      <w:r>
        <w:instrText xml:space="preserve"> ADDIN EN.CITE &lt;EndNote&gt;&lt;Cite&gt;&lt;Author&gt;Dillon&lt;/Author&gt;&lt;Year&gt;2007&lt;/Year&gt;&lt;RecNum&gt;224&lt;/RecNum&gt;&lt;Pages&gt;42&lt;/Pages&gt;&lt;DisplayText&gt;Dillon, p. 42.&lt;/DisplayText&gt;&lt;record&gt;&lt;rec-number&gt;224&lt;/rec-number&gt;&lt;foreign-keys&gt;&lt;key app="EN" db-id="s5pe520dttp5a0e09pvvr2xx2vvfr2xszett" timestamp="1564235321"&gt;224&lt;/key&gt;&lt;/foreign-keys&gt;&lt;ref-type name="Journal Article"&gt;17&lt;/ref-type&gt;&lt;contributors&gt;&lt;authors&gt;&lt;author&gt;John Dillon&lt;/author&gt;&lt;/authors&gt;&lt;/contributors&gt;&lt;titles&gt;&lt;title&gt;Iamblichus’ Defence of Theurgy: Some Reflections&lt;/title&gt;&lt;secondary-title&gt;The International Journal of the Platonic Tradition&lt;/secondary-title&gt;&lt;/titles&gt;&lt;periodical&gt;&lt;full-title&gt;The International Journal of the Platonic Tradition&lt;/full-title&gt;&lt;/periodical&gt;&lt;pages&gt;30-41&lt;/pages&gt;&lt;volume&gt;1&lt;/volume&gt;&lt;number&gt;1&lt;/number&gt;&lt;dates&gt;&lt;year&gt;2007&lt;/year&gt;&lt;/dates&gt;&lt;urls&gt;&lt;/urls&gt;&lt;/record&gt;&lt;/Cite&gt;&lt;/EndNote&gt;</w:instrText>
      </w:r>
      <w:r>
        <w:fldChar w:fldCharType="separate"/>
      </w:r>
      <w:r>
        <w:rPr>
          <w:noProof/>
        </w:rPr>
        <w:t>Dillon, p. 42.</w:t>
      </w:r>
      <w:r>
        <w:fldChar w:fldCharType="end"/>
      </w:r>
      <w:r>
        <w:t>;</w:t>
      </w:r>
      <w:r>
        <w:fldChar w:fldCharType="begin"/>
      </w:r>
      <w:r>
        <w:instrText xml:space="preserve"> ADDIN EN.CITE &lt;EndNote&gt;&lt;Cite&gt;&lt;Author&gt;Iamblichus&lt;/Author&gt;&lt;Year&gt;2003&lt;/Year&gt;&lt;RecNum&gt;228&lt;/RecNum&gt;&lt;Pages&gt;51&lt;/Pages&gt;&lt;DisplayText&gt;Iamblichus, p. 51.&lt;/DisplayText&gt;&lt;record&gt;&lt;rec-number&gt;228&lt;/rec-number&gt;&lt;foreign-keys&gt;&lt;key app="EN" db-id="s5pe520dttp5a0e09pvvr2xx2vvfr2xszett" timestamp="1564236016"&gt;228&lt;/key&gt;&lt;/foreign-keys&gt;&lt;ref-type name="Book"&gt;6&lt;/ref-type&gt;&lt;contributors&gt;&lt;authors&gt;&lt;author&gt;Iamblichus&lt;/author&gt;&lt;/authors&gt;&lt;subsidiary-authors&gt;&lt;author&gt;Emma C. Clarke, John M. Dillon, and Jackson P. Hershbell&lt;/author&gt;&lt;/subsidiary-authors&gt;&lt;/contributors&gt;&lt;titles&gt;&lt;title&gt;Iamblichus On the Mysteries&lt;/title&gt;&lt;/titles&gt;&lt;dates&gt;&lt;year&gt;2003&lt;/year&gt;&lt;/dates&gt;&lt;pub-location&gt;Atlanta&lt;/pub-location&gt;&lt;publisher&gt;Society of Biblical Literature&lt;/publisher&gt;&lt;urls&gt;&lt;/urls&gt;&lt;/record&gt;&lt;/Cite&gt;&lt;/EndNote&gt;</w:instrText>
      </w:r>
      <w:r>
        <w:fldChar w:fldCharType="separate"/>
      </w:r>
      <w:r>
        <w:rPr>
          <w:noProof/>
        </w:rPr>
        <w:t>Iamblichus, p. 51.</w:t>
      </w:r>
      <w:r>
        <w:fldChar w:fldCharType="end"/>
      </w:r>
    </w:p>
  </w:footnote>
  <w:footnote w:id="59">
    <w:p w14:paraId="62040C7B"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&lt;EndNote&gt;&lt;Cite&gt;&lt;Author&gt;Shaw&lt;/Author&gt;&lt;Year&gt;1995&lt;/Year&gt;&lt;RecNum&gt;219&lt;/RecNum&gt;&lt;Pages&gt;13&lt;/Pages&gt;&lt;DisplayText&gt;Shaw, p. 13.&lt;/DisplayText&gt;&lt;record&gt;&lt;rec-number&gt;219&lt;/rec-number&gt;&lt;foreign-keys&gt;&lt;key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13.</w:t>
      </w:r>
      <w:r>
        <w:fldChar w:fldCharType="end"/>
      </w:r>
    </w:p>
  </w:footnote>
  <w:footnote w:id="60">
    <w:p w14:paraId="505FB81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&lt;EndNote&gt;&lt;Cite&gt;&lt;Author&gt;Shaw&lt;/Author&gt;&lt;Year&gt;1995&lt;/Year&gt;&lt;RecNum&gt;219&lt;/RecNum&gt;&lt;Pages&gt;16&lt;/Pages&gt;&lt;DisplayText&gt;Shaw, p. 16.&lt;/DisplayText&gt;&lt;record&gt;&lt;rec-number&gt;219&lt;/rec-number&gt;&lt;foreign-keys&gt;&lt;key app="EN" db-id="s5pe520dttp5a0e09pvvr2xx2vvfr2xszett" timestamp="1562165691"&gt;219&lt;/key&gt;&lt;/foreign-keys&gt;&lt;ref-type name="Book"&gt;6&lt;/ref-type&gt;&lt;contributors&gt;&lt;authors&gt;&lt;author&gt;Shaw, Gregory&lt;/author&gt;&lt;/authors&gt;&lt;/contributors&gt;&lt;titles&gt;&lt;title&gt;Theurgy and the soul : the Neoplatonism of Iamblichus&lt;/title&gt;&lt;/titles&gt;&lt;pages&gt;x, 268 p.&lt;/pages&gt;&lt;keywords&gt;&lt;keyword&gt;Iamblichus, approximately 250-approximately 330.&lt;/keyword&gt;&lt;keyword&gt;Neoplatonism.&lt;/keyword&gt;&lt;/keywords&gt;&lt;dates&gt;&lt;year&gt;1995&lt;/year&gt;&lt;/dates&gt;&lt;pub-location&gt;University Park, Pa.&lt;/pub-location&gt;&lt;publisher&gt;Pennsylvania State University Press&lt;/publisher&gt;&lt;isbn&gt;0271014377 (alk. paper)&lt;/isbn&gt;&lt;accession-num&gt;3488265&lt;/accession-num&gt;&lt;call-num&gt;B669.Z7 S48 1995&lt;/call-num&gt;&lt;urls&gt;&lt;/urls&gt;&lt;/record&gt;&lt;/Cite&gt;&lt;/EndNote&gt;</w:instrText>
      </w:r>
      <w:r>
        <w:fldChar w:fldCharType="separate"/>
      </w:r>
      <w:r>
        <w:rPr>
          <w:noProof/>
        </w:rPr>
        <w:t>Shaw, p. 16.</w:t>
      </w:r>
      <w:r>
        <w:fldChar w:fldCharType="end"/>
      </w:r>
    </w:p>
  </w:footnote>
  <w:footnote w:id="61">
    <w:p w14:paraId="0325B89A"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&lt;EndNote&gt;&lt;Cite&gt;&lt;Author&gt;Dodds&lt;/Author&gt;&lt;Year&gt;1947&lt;/Year&gt;&lt;RecNum&gt;211&lt;/RecNum&gt;&lt;Pages&gt;p.59&lt;/Pages&gt;&lt;DisplayText&gt;Dodds, p. p.59.&lt;/DisplayText&gt;&lt;record&gt;&lt;rec-number&gt;211&lt;/rec-number&gt;&lt;foreign-keys&gt;&lt;key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p.59.</w:t>
      </w:r>
      <w:r>
        <w:fldChar w:fldCharType="end"/>
      </w:r>
    </w:p>
  </w:footnote>
  <w:footnote w:id="62">
    <w:p w14:paraId="59279D8C"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&lt;EndNote&gt;&lt;Cite&gt;&lt;Author&gt;Dodds&lt;/Author&gt;&lt;Year&gt;1947&lt;/Year&gt;&lt;RecNum&gt;211&lt;/RecNum&gt;&lt;Pages&gt;58&lt;/Pages&gt;&lt;DisplayText&gt;Dodds, p. 58.&lt;/DisplayText&gt;&lt;record&gt;&lt;rec-number&gt;211&lt;/rec-number&gt;&lt;foreign-keys&gt;&lt;key app="EN" db-id="s5pe520dttp5a0e09pvvr2xx2vvfr2xszett" timestamp="1557844988"&gt;211&lt;/key&gt;&lt;/foreign-keys&gt;&lt;ref-type name="Journal Article"&gt;17&lt;/ref-type&gt;&lt;contributors&gt;&lt;authors&gt;&lt;author&gt;Dodds, E. R.&lt;/author&gt;&lt;/authors&gt;&lt;/contributors&gt;&lt;titles&gt;&lt;title&gt;Theurgy and Its Relationship to Neoplatonism&lt;/title&gt;&lt;secondary-title&gt;The Journal of Roman Studies&lt;/secondary-title&gt;&lt;/titles&gt;&lt;periodical&gt;&lt;full-title&gt;The Journal of Roman Studies&lt;/full-title&gt;&lt;/periodical&gt;&lt;pages&gt;55-69&lt;/pages&gt;&lt;volume&gt;37&lt;/volume&gt;&lt;dates&gt;&lt;year&gt;1947&lt;/year&gt;&lt;/dates&gt;&lt;publisher&gt;[Society for the Promotion of Roman Studies, Cambridge University Press]&lt;/publisher&gt;&lt;isbn&gt;00754358&lt;/isbn&gt;&lt;urls&gt;&lt;related-urls&gt;&lt;url&gt;http://www.jstor.org.ezproxy.uwtsd.ac.uk/stable/298455&lt;/url&gt;&lt;/related-urls&gt;&lt;/urls&gt;&lt;custom1&gt;Full publication date: 1947&lt;/custom1&gt;&lt;electronic-resource-num&gt;10.2307/298455&lt;/electronic-resource-num&gt;&lt;remote-database-name&gt;JSTOR&lt;/remote-database-name&gt;&lt;/record&gt;&lt;/Cite&gt;&lt;/EndNote&gt;</w:instrText>
      </w:r>
      <w:r>
        <w:fldChar w:fldCharType="separate"/>
      </w:r>
      <w:r>
        <w:rPr>
          <w:noProof/>
        </w:rPr>
        <w:t>Dodds, p. 58.</w:t>
      </w:r>
      <w:r>
        <w:fldChar w:fldCharType="end"/>
      </w:r>
    </w:p>
  </w:footnote>
  <w:footnote w:id="63">
    <w:p w14:paraId="5FD3E72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&lt;EndNote&gt;&lt;Cite&gt;&lt;Author&gt;Sheppard&lt;/Author&gt;&lt;Year&gt;1982&lt;/Year&gt;&lt;RecNum&gt;210&lt;/RecNum&gt;&lt;Pages&gt;217&lt;/Pages&gt;&lt;DisplayText&gt;Sheppard, p. 217.&lt;/DisplayText&gt;&lt;record&gt;&lt;rec-number&gt;210&lt;/rec-number&gt;&lt;foreign-keys&gt;&lt;key app="EN" db-id="s5pe520dttp5a0e09pvvr2xx2vvfr2xszett" timestamp="1557844595"&gt;210&lt;/key&gt;&lt;/foreign-keys&gt;&lt;ref-type name="Journal Article"&gt;17&lt;/ref-type&gt;&lt;contributors&gt;&lt;authors&gt;&lt;author&gt;Sheppard, Anne&lt;/author&gt;&lt;/authors&gt;&lt;/contributors&gt;&lt;titles&gt;&lt;title&gt;Proclus&amp;apos; Attitude to Theurgy&lt;/title&gt;&lt;secondary-title&gt;The Classical Quarterly&lt;/secondary-title&gt;&lt;/titles&gt;&lt;periodical&gt;&lt;full-title&gt;The Classical Quarterly&lt;/full-title&gt;&lt;/periodical&gt;&lt;pages&gt;212-224&lt;/pages&gt;&lt;volume&gt;32&lt;/volume&gt;&lt;number&gt;1&lt;/number&gt;&lt;dates&gt;&lt;year&gt;1982&lt;/year&gt;&lt;/dates&gt;&lt;publisher&gt;Cambridge University Press&lt;/publisher&gt;&lt;isbn&gt;00098388, 14716844&lt;/isbn&gt;&lt;urls&gt;&lt;related-urls&gt;&lt;url&gt;http://www.jstor.org.ezproxy.uwtsd.ac.uk/stable/638759&lt;/url&gt;&lt;/related-urls&gt;&lt;/urls&gt;&lt;custom1&gt;Full publication date: 1982&lt;/custom1&gt;&lt;remote-database-name&gt;JSTOR&lt;/remote-database-name&gt;&lt;/record&gt;&lt;/Cite&gt;&lt;/EndNote&gt;</w:instrText>
      </w:r>
      <w:r>
        <w:fldChar w:fldCharType="separate"/>
      </w:r>
      <w:r>
        <w:rPr>
          <w:noProof/>
        </w:rPr>
        <w:t>Sheppard, p. 217.</w:t>
      </w:r>
      <w:r>
        <w:fldChar w:fldCharType="end"/>
      </w:r>
    </w:p>
  </w:footnote>
  <w:footnote w:id="64">
    <w:p w14:paraId="5F573468"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&lt;EndNote&gt;&lt;Cite&gt;&lt;Author&gt;Addey&lt;/Author&gt;&lt;Year&gt;2014&lt;/Year&gt;&lt;RecNum&gt;230&lt;/RecNum&gt;&lt;Pages&gt;40&lt;/Pages&gt;&lt;DisplayText&gt;Addey, p. 40.&lt;/DisplayText&gt;&lt;record&gt;&lt;rec-number&gt;230&lt;/rec-number&gt;&lt;foreign-keys&gt;&lt;key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40.</w:t>
      </w:r>
      <w:r>
        <w:fldChar w:fldCharType="end"/>
      </w:r>
    </w:p>
  </w:footnote>
  <w:footnote w:id="65">
    <w:p w14:paraId="2F825BF0"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&lt;EndNote&gt;&lt;Cite&gt;&lt;Author&gt;Addey&lt;/Author&gt;&lt;Year&gt;2014&lt;/Year&gt;&lt;RecNum&gt;230&lt;/RecNum&gt;&lt;Pages&gt;30&lt;/Pages&gt;&lt;DisplayText&gt;Addey, p. 30.&lt;/DisplayText&gt;&lt;record&gt;&lt;rec-number&gt;230&lt;/rec-number&gt;&lt;foreign-keys&gt;&lt;key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30.</w:t>
      </w:r>
      <w:r>
        <w:fldChar w:fldCharType="end"/>
      </w:r>
    </w:p>
  </w:footnote>
  <w:footnote w:id="66">
    <w:p w14:paraId="370DDE1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&lt;EndNote&gt;&lt;Cite&gt;&lt;Author&gt;Addey&lt;/Author&gt;&lt;Year&gt;2014&lt;/Year&gt;&lt;RecNum&gt;230&lt;/RecNum&gt;&lt;Pages&gt;39&lt;/Pages&gt;&lt;DisplayText&gt;Addey, p. 39.&lt;/DisplayText&gt;&lt;record&gt;&lt;rec-number&gt;230&lt;/rec-number&gt;&lt;foreign-keys&gt;&lt;key app="EN" db-id="s5pe520dttp5a0e09pvvr2xx2vvfr2xszett" timestamp="1564245365"&gt;230&lt;/key&gt;&lt;/foreign-keys&gt;&lt;ref-type name="Book"&gt;6&lt;/ref-type&gt;&lt;contributors&gt;&lt;authors&gt;&lt;author&gt;Addey, Crystal&lt;/author&gt;&lt;/authors&gt;&lt;/contributors&gt;&lt;titles&gt;&lt;title&gt;Divination and theurgy in neoplatonism : oracles of the gods&lt;/title&gt;&lt;secondary-title&gt;Ashgate studies in philosophy and theology in late antiquity&lt;/secondary-title&gt;&lt;/titles&gt;&lt;pages&gt;xv, 335 pages&lt;/pages&gt;&lt;keywords&gt;&lt;keyword&gt;Neoplatonism.&lt;/keyword&gt;&lt;keyword&gt;Theurgy.&lt;/keyword&gt;&lt;keyword&gt;Oracles.&lt;/keyword&gt;&lt;keyword&gt;Mysteries, Religious.&lt;/keyword&gt;&lt;keyword&gt;Iamblichus, approximately 250-approximately 330. De mysteriis.&lt;/keyword&gt;&lt;keyword&gt;Porphyry, approximately 234-approximately 305. Pros Anebō.&lt;/keyword&gt;&lt;keyword&gt;Divination.&lt;/keyword&gt;&lt;/keywords&gt;&lt;dates&gt;&lt;year&gt;2014&lt;/year&gt;&lt;/dates&gt;&lt;pub-location&gt;Burlington, VT, USA&lt;/pub-location&gt;&lt;publisher&gt;Ashgate&lt;/publisher&gt;&lt;isbn&gt;9781409451525 (hardcover)&lt;/isbn&gt;&lt;accession-num&gt;18193249&lt;/accession-num&gt;&lt;call-num&gt;B645 .A33 2014&lt;/call-num&gt;&lt;urls&gt;&lt;/urls&gt;&lt;/record&gt;&lt;/Cite&gt;&lt;/EndNote&gt;</w:instrText>
      </w:r>
      <w:r>
        <w:fldChar w:fldCharType="separate"/>
      </w:r>
      <w:r>
        <w:rPr>
          <w:noProof/>
        </w:rPr>
        <w:t>Addey, p. 39.</w:t>
      </w:r>
      <w:r>
        <w:fldChar w:fldCharType="end"/>
      </w:r>
    </w:p>
  </w:footnote>
  <w:footnote w:id="67">
    <w:p w14:paraId="2A0D8194" w14:textId="77777777" w:rsidR="00F57006" w:rsidRDefault="00F57006" w:rsidP="00F62FA9">
      <w:pPr>
        <w:pStyle w:val="FootnoteText"/>
      </w:pPr>
      <w:r>
        <w:rPr>
          <w:rStyle w:val="FootnoteReference"/>
        </w:rPr>
        <w:footnoteRef/>
      </w:r>
      <w:r>
        <w:t xml:space="preserve"> </w:t>
      </w:r>
      <w:r>
        <w:fldChar w:fldCharType="begin"/>
      </w:r>
      <w:r>
        <w:instrText xml:space="preserve"> ADDIN EN.CITE &lt;EndNote&gt;&lt;Cite&gt;&lt;Author&gt;Greene&lt;/Author&gt;&lt;Year&gt;2018&lt;/Year&gt;&lt;RecNum&gt;171&lt;/RecNum&gt;&lt;Pages&gt;81&lt;/Pages&gt;&lt;DisplayText&gt;Greene, p. 81.&lt;/DisplayText&gt;&lt;record&gt;&lt;rec-number&gt;171&lt;/rec-number&gt;&lt;foreign-keys&gt;&lt;key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1875-1961.&lt;/keyword&gt;&lt;keyword&gt;Occultism.&lt;/keyword&gt;&lt;/keywords&gt;&lt;dates&gt;&lt;year&gt;2018&lt;/year&gt;&lt;/dates&gt;&lt;pub-location&gt;New York&lt;/pub-location&gt;&lt;publisher&gt;Routledge&lt;/publisher&gt;&lt;isbn&gt;9781138289116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Greene, p. 81.</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C5524" w14:textId="77777777" w:rsidR="00F57006" w:rsidRDefault="00F57006">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Pr>
        <w:noProof/>
      </w:rPr>
      <w:t>1</w:t>
    </w:r>
    <w:r w:rsidRPr="00305F8B">
      <w:fldChar w:fldCharType="end"/>
    </w:r>
    <w:r w:rsidRPr="00305F8B">
      <w:t xml:space="preserve"> of </w:t>
    </w:r>
    <w:fldSimple w:instr=" NUMPAGES  \* Arabic  \* MERGEFORMAT ">
      <w:r>
        <w:rPr>
          <w:noProof/>
        </w:rPr>
        <w:t>6</w:t>
      </w:r>
    </w:fldSimple>
  </w:p>
  <w:p w14:paraId="099B108F" w14:textId="77777777" w:rsidR="00F57006" w:rsidRDefault="00F570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pe520dttp5a0e09pvvr2xx2vvfr2xszett&quot;&gt;My EndNote Library&lt;record-ids&gt;&lt;item&gt;219&lt;/item&gt;&lt;/record-ids&gt;&lt;/item&gt;&lt;/Libraries&gt;"/>
  </w:docVars>
  <w:rsids>
    <w:rsidRoot w:val="00305F8B"/>
    <w:rsid w:val="000115BF"/>
    <w:rsid w:val="00023993"/>
    <w:rsid w:val="000316EC"/>
    <w:rsid w:val="0003408F"/>
    <w:rsid w:val="000525D0"/>
    <w:rsid w:val="00071914"/>
    <w:rsid w:val="00073BBA"/>
    <w:rsid w:val="00080396"/>
    <w:rsid w:val="00080EE2"/>
    <w:rsid w:val="000B681D"/>
    <w:rsid w:val="000D18FA"/>
    <w:rsid w:val="000E5422"/>
    <w:rsid w:val="000E7432"/>
    <w:rsid w:val="000F367A"/>
    <w:rsid w:val="000F3899"/>
    <w:rsid w:val="000F5FA8"/>
    <w:rsid w:val="00104770"/>
    <w:rsid w:val="0012750E"/>
    <w:rsid w:val="00152DDF"/>
    <w:rsid w:val="001949C4"/>
    <w:rsid w:val="001A603E"/>
    <w:rsid w:val="001B1BD3"/>
    <w:rsid w:val="001C6B0A"/>
    <w:rsid w:val="001D14FA"/>
    <w:rsid w:val="001D4A40"/>
    <w:rsid w:val="001D4B8F"/>
    <w:rsid w:val="001D516D"/>
    <w:rsid w:val="001D5327"/>
    <w:rsid w:val="001E2829"/>
    <w:rsid w:val="001E5B5F"/>
    <w:rsid w:val="001F6992"/>
    <w:rsid w:val="0021028E"/>
    <w:rsid w:val="00217884"/>
    <w:rsid w:val="002350D7"/>
    <w:rsid w:val="002356ED"/>
    <w:rsid w:val="00240E36"/>
    <w:rsid w:val="00245919"/>
    <w:rsid w:val="00251187"/>
    <w:rsid w:val="00261CF9"/>
    <w:rsid w:val="0026600C"/>
    <w:rsid w:val="00267CB1"/>
    <w:rsid w:val="00270F68"/>
    <w:rsid w:val="00271881"/>
    <w:rsid w:val="002724F5"/>
    <w:rsid w:val="00275F30"/>
    <w:rsid w:val="00281300"/>
    <w:rsid w:val="002A1D4B"/>
    <w:rsid w:val="002A34DE"/>
    <w:rsid w:val="002A54EC"/>
    <w:rsid w:val="002A76DA"/>
    <w:rsid w:val="002B14CA"/>
    <w:rsid w:val="002C2B5A"/>
    <w:rsid w:val="002C5901"/>
    <w:rsid w:val="002D4E00"/>
    <w:rsid w:val="002E65EA"/>
    <w:rsid w:val="002E7625"/>
    <w:rsid w:val="00305F8B"/>
    <w:rsid w:val="003353B0"/>
    <w:rsid w:val="003371AF"/>
    <w:rsid w:val="00342791"/>
    <w:rsid w:val="00342FA7"/>
    <w:rsid w:val="003605EC"/>
    <w:rsid w:val="003718FA"/>
    <w:rsid w:val="003E7BB3"/>
    <w:rsid w:val="003F30EF"/>
    <w:rsid w:val="003F7BFE"/>
    <w:rsid w:val="00416904"/>
    <w:rsid w:val="00430AB2"/>
    <w:rsid w:val="00456F42"/>
    <w:rsid w:val="00467032"/>
    <w:rsid w:val="00473AFE"/>
    <w:rsid w:val="0047474F"/>
    <w:rsid w:val="00474F8A"/>
    <w:rsid w:val="004A175E"/>
    <w:rsid w:val="004D09AC"/>
    <w:rsid w:val="004D17BB"/>
    <w:rsid w:val="004D2230"/>
    <w:rsid w:val="004D3493"/>
    <w:rsid w:val="004D5A1A"/>
    <w:rsid w:val="004E549C"/>
    <w:rsid w:val="004E6894"/>
    <w:rsid w:val="004F0B67"/>
    <w:rsid w:val="00510080"/>
    <w:rsid w:val="00540E1B"/>
    <w:rsid w:val="005512C3"/>
    <w:rsid w:val="00556AA9"/>
    <w:rsid w:val="00562127"/>
    <w:rsid w:val="0056412F"/>
    <w:rsid w:val="00573C2A"/>
    <w:rsid w:val="00591189"/>
    <w:rsid w:val="005A6736"/>
    <w:rsid w:val="005A7AEB"/>
    <w:rsid w:val="005B0E2C"/>
    <w:rsid w:val="005C269B"/>
    <w:rsid w:val="005D1978"/>
    <w:rsid w:val="005F0269"/>
    <w:rsid w:val="005F76B5"/>
    <w:rsid w:val="00605215"/>
    <w:rsid w:val="00652E34"/>
    <w:rsid w:val="00655D3F"/>
    <w:rsid w:val="00660386"/>
    <w:rsid w:val="00667E90"/>
    <w:rsid w:val="00691B81"/>
    <w:rsid w:val="0069243B"/>
    <w:rsid w:val="00692A17"/>
    <w:rsid w:val="00693A17"/>
    <w:rsid w:val="00697D2A"/>
    <w:rsid w:val="006B672C"/>
    <w:rsid w:val="006C04F1"/>
    <w:rsid w:val="006E50AD"/>
    <w:rsid w:val="006E69C2"/>
    <w:rsid w:val="007102E0"/>
    <w:rsid w:val="00745A0D"/>
    <w:rsid w:val="00747C00"/>
    <w:rsid w:val="007538C2"/>
    <w:rsid w:val="007634A6"/>
    <w:rsid w:val="00767A98"/>
    <w:rsid w:val="007763CD"/>
    <w:rsid w:val="00792D4D"/>
    <w:rsid w:val="007B3068"/>
    <w:rsid w:val="007C7004"/>
    <w:rsid w:val="007E38C9"/>
    <w:rsid w:val="00810E9E"/>
    <w:rsid w:val="00813267"/>
    <w:rsid w:val="008221D6"/>
    <w:rsid w:val="00843F21"/>
    <w:rsid w:val="00854618"/>
    <w:rsid w:val="00861CD5"/>
    <w:rsid w:val="00863581"/>
    <w:rsid w:val="008751D9"/>
    <w:rsid w:val="00875821"/>
    <w:rsid w:val="00881AD8"/>
    <w:rsid w:val="0088512F"/>
    <w:rsid w:val="00894052"/>
    <w:rsid w:val="00895419"/>
    <w:rsid w:val="008B36CF"/>
    <w:rsid w:val="008C0814"/>
    <w:rsid w:val="008E18D7"/>
    <w:rsid w:val="008E62D8"/>
    <w:rsid w:val="008F378C"/>
    <w:rsid w:val="00906673"/>
    <w:rsid w:val="00907B0E"/>
    <w:rsid w:val="00914CD6"/>
    <w:rsid w:val="009231DB"/>
    <w:rsid w:val="0093409F"/>
    <w:rsid w:val="00957865"/>
    <w:rsid w:val="009677A4"/>
    <w:rsid w:val="0097007A"/>
    <w:rsid w:val="00980753"/>
    <w:rsid w:val="009B048F"/>
    <w:rsid w:val="009B7EDC"/>
    <w:rsid w:val="009C5948"/>
    <w:rsid w:val="009C5A01"/>
    <w:rsid w:val="009D2811"/>
    <w:rsid w:val="009D289F"/>
    <w:rsid w:val="009F4ED5"/>
    <w:rsid w:val="00A00727"/>
    <w:rsid w:val="00A01596"/>
    <w:rsid w:val="00A14086"/>
    <w:rsid w:val="00A169BA"/>
    <w:rsid w:val="00A242C2"/>
    <w:rsid w:val="00A33810"/>
    <w:rsid w:val="00A4504A"/>
    <w:rsid w:val="00A66A53"/>
    <w:rsid w:val="00A704E4"/>
    <w:rsid w:val="00A8306E"/>
    <w:rsid w:val="00A83DC5"/>
    <w:rsid w:val="00A904AE"/>
    <w:rsid w:val="00AB7126"/>
    <w:rsid w:val="00AC29B8"/>
    <w:rsid w:val="00AD0006"/>
    <w:rsid w:val="00AE19B3"/>
    <w:rsid w:val="00AE30D9"/>
    <w:rsid w:val="00AE4661"/>
    <w:rsid w:val="00AF5EBA"/>
    <w:rsid w:val="00B027B3"/>
    <w:rsid w:val="00B05F64"/>
    <w:rsid w:val="00B16B87"/>
    <w:rsid w:val="00B2290E"/>
    <w:rsid w:val="00B35A3B"/>
    <w:rsid w:val="00B4708F"/>
    <w:rsid w:val="00B5310E"/>
    <w:rsid w:val="00B570E5"/>
    <w:rsid w:val="00B7526E"/>
    <w:rsid w:val="00B82B73"/>
    <w:rsid w:val="00B9687B"/>
    <w:rsid w:val="00BD12D0"/>
    <w:rsid w:val="00BE230E"/>
    <w:rsid w:val="00BE6F77"/>
    <w:rsid w:val="00BF46CA"/>
    <w:rsid w:val="00BF7F48"/>
    <w:rsid w:val="00C138C5"/>
    <w:rsid w:val="00C33BB0"/>
    <w:rsid w:val="00C71417"/>
    <w:rsid w:val="00C80A3D"/>
    <w:rsid w:val="00C81DC5"/>
    <w:rsid w:val="00C82C15"/>
    <w:rsid w:val="00C84A06"/>
    <w:rsid w:val="00C94B3B"/>
    <w:rsid w:val="00CA5B13"/>
    <w:rsid w:val="00CB13DD"/>
    <w:rsid w:val="00CC3C27"/>
    <w:rsid w:val="00CE4D88"/>
    <w:rsid w:val="00D04F3A"/>
    <w:rsid w:val="00D270DE"/>
    <w:rsid w:val="00D36DA9"/>
    <w:rsid w:val="00D42F4E"/>
    <w:rsid w:val="00D45273"/>
    <w:rsid w:val="00D60BF8"/>
    <w:rsid w:val="00D86AC8"/>
    <w:rsid w:val="00DA265B"/>
    <w:rsid w:val="00DA635F"/>
    <w:rsid w:val="00DA6C5F"/>
    <w:rsid w:val="00DB66FF"/>
    <w:rsid w:val="00DD13B2"/>
    <w:rsid w:val="00DE279C"/>
    <w:rsid w:val="00DF3E66"/>
    <w:rsid w:val="00DF589A"/>
    <w:rsid w:val="00E25FBD"/>
    <w:rsid w:val="00E371B2"/>
    <w:rsid w:val="00E46D66"/>
    <w:rsid w:val="00E61098"/>
    <w:rsid w:val="00E835CB"/>
    <w:rsid w:val="00EA6B35"/>
    <w:rsid w:val="00EA6C0A"/>
    <w:rsid w:val="00EB1044"/>
    <w:rsid w:val="00EB2245"/>
    <w:rsid w:val="00EB3294"/>
    <w:rsid w:val="00EC2C5D"/>
    <w:rsid w:val="00EC3F38"/>
    <w:rsid w:val="00ED1BBB"/>
    <w:rsid w:val="00EE02DF"/>
    <w:rsid w:val="00EE6D9D"/>
    <w:rsid w:val="00EE7492"/>
    <w:rsid w:val="00EF2267"/>
    <w:rsid w:val="00F12ADD"/>
    <w:rsid w:val="00F37EC3"/>
    <w:rsid w:val="00F41E0B"/>
    <w:rsid w:val="00F428D8"/>
    <w:rsid w:val="00F460BC"/>
    <w:rsid w:val="00F53EEC"/>
    <w:rsid w:val="00F57006"/>
    <w:rsid w:val="00F62FA9"/>
    <w:rsid w:val="00F83F4E"/>
    <w:rsid w:val="00F92283"/>
    <w:rsid w:val="00F975C2"/>
    <w:rsid w:val="00FA6940"/>
    <w:rsid w:val="00FB3137"/>
    <w:rsid w:val="00FB45C6"/>
    <w:rsid w:val="00FE0FC4"/>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B9DF0"/>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04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67E9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E54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unhideWhenUsed/>
    <w:qFormat/>
    <w:rsid w:val="00DF3E66"/>
    <w:pPr>
      <w:keepNext/>
      <w:keepLines/>
      <w:spacing w:before="40"/>
      <w:outlineLvl w:val="3"/>
    </w:pPr>
    <w:rPr>
      <w:rFonts w:asciiTheme="majorHAnsi" w:eastAsiaTheme="majorEastAsia" w:hAnsiTheme="majorHAnsi" w:cstheme="majorBidi"/>
      <w:i/>
      <w:iCs/>
      <w:color w:val="365F91" w:themeColor="accent1" w:themeShade="BF"/>
      <w:sz w:val="22"/>
    </w:rPr>
  </w:style>
  <w:style w:type="paragraph" w:styleId="Heading5">
    <w:name w:val="heading 5"/>
    <w:basedOn w:val="Normal"/>
    <w:next w:val="Normal"/>
    <w:link w:val="Heading5Char"/>
    <w:uiPriority w:val="9"/>
    <w:unhideWhenUsed/>
    <w:qFormat/>
    <w:rsid w:val="003F7BFE"/>
    <w:pPr>
      <w:keepNext/>
      <w:keepLines/>
      <w:spacing w:before="40"/>
      <w:outlineLvl w:val="4"/>
    </w:pPr>
    <w:rPr>
      <w:rFonts w:asciiTheme="majorHAnsi" w:eastAsiaTheme="majorEastAsia" w:hAnsiTheme="majorHAnsi" w:cstheme="majorBidi"/>
      <w:color w:val="365F91"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uiPriority w:val="99"/>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semiHidden/>
    <w:unhideWhenUsed/>
    <w:rsid w:val="0026600C"/>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6600C"/>
    <w:rPr>
      <w:sz w:val="20"/>
      <w:szCs w:val="20"/>
    </w:rPr>
  </w:style>
  <w:style w:type="character" w:styleId="FootnoteReference">
    <w:name w:val="footnote reference"/>
    <w:basedOn w:val="DefaultParagraphFont"/>
    <w:uiPriority w:val="99"/>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667E90"/>
    <w:rPr>
      <w:rFonts w:asciiTheme="majorHAnsi" w:eastAsiaTheme="majorEastAsia" w:hAnsiTheme="majorHAnsi" w:cstheme="majorBidi"/>
      <w:color w:val="365F91" w:themeColor="accent1" w:themeShade="BF"/>
      <w:sz w:val="32"/>
      <w:szCs w:val="32"/>
    </w:rPr>
  </w:style>
  <w:style w:type="paragraph" w:customStyle="1" w:styleId="EndNoteBibliographyTitle">
    <w:name w:val="EndNote Bibliography Title"/>
    <w:basedOn w:val="Normal"/>
    <w:link w:val="EndNoteBibliographyTitleChar"/>
    <w:rsid w:val="00DA265B"/>
    <w:pPr>
      <w:jc w:val="center"/>
    </w:pPr>
    <w:rPr>
      <w:rFonts w:ascii="Georgia" w:hAnsi="Georgia"/>
      <w:sz w:val="20"/>
    </w:rPr>
  </w:style>
  <w:style w:type="character" w:customStyle="1" w:styleId="EndNoteBibliographyTitleChar">
    <w:name w:val="EndNote Bibliography Title Char"/>
    <w:basedOn w:val="FootnoteTextChar"/>
    <w:link w:val="EndNoteBibliographyTitle"/>
    <w:rsid w:val="00DA265B"/>
    <w:rPr>
      <w:rFonts w:ascii="Georgia" w:eastAsia="Times New Roman" w:hAnsi="Georgia" w:cs="Times New Roman"/>
      <w:sz w:val="20"/>
      <w:szCs w:val="24"/>
    </w:rPr>
  </w:style>
  <w:style w:type="paragraph" w:customStyle="1" w:styleId="EndNoteBibliography">
    <w:name w:val="EndNote Bibliography"/>
    <w:basedOn w:val="Normal"/>
    <w:link w:val="EndNoteBibliographyChar"/>
    <w:rsid w:val="00DA265B"/>
    <w:rPr>
      <w:rFonts w:ascii="Georgia" w:hAnsi="Georgia"/>
      <w:sz w:val="20"/>
    </w:rPr>
  </w:style>
  <w:style w:type="character" w:customStyle="1" w:styleId="EndNoteBibliographyChar">
    <w:name w:val="EndNote Bibliography Char"/>
    <w:basedOn w:val="FootnoteTextChar"/>
    <w:link w:val="EndNoteBibliography"/>
    <w:rsid w:val="00DA265B"/>
    <w:rPr>
      <w:rFonts w:ascii="Georgia" w:eastAsia="Times New Roman" w:hAnsi="Georgia" w:cs="Times New Roman"/>
      <w:sz w:val="20"/>
      <w:szCs w:val="24"/>
    </w:rPr>
  </w:style>
  <w:style w:type="character" w:styleId="UnresolvedMention">
    <w:name w:val="Unresolved Mention"/>
    <w:basedOn w:val="DefaultParagraphFont"/>
    <w:uiPriority w:val="99"/>
    <w:semiHidden/>
    <w:unhideWhenUsed/>
    <w:rsid w:val="00DA265B"/>
    <w:rPr>
      <w:color w:val="605E5C"/>
      <w:shd w:val="clear" w:color="auto" w:fill="E1DFDD"/>
    </w:rPr>
  </w:style>
  <w:style w:type="character" w:customStyle="1" w:styleId="apple-converted-space">
    <w:name w:val="apple-converted-space"/>
    <w:basedOn w:val="DefaultParagraphFont"/>
    <w:rsid w:val="00B2290E"/>
  </w:style>
  <w:style w:type="character" w:customStyle="1" w:styleId="hi">
    <w:name w:val="hi"/>
    <w:basedOn w:val="DefaultParagraphFont"/>
    <w:rsid w:val="00B2290E"/>
  </w:style>
  <w:style w:type="character" w:customStyle="1" w:styleId="Heading2Char">
    <w:name w:val="Heading 2 Char"/>
    <w:basedOn w:val="DefaultParagraphFont"/>
    <w:link w:val="Heading2"/>
    <w:uiPriority w:val="9"/>
    <w:rsid w:val="004E549C"/>
    <w:rPr>
      <w:rFonts w:asciiTheme="majorHAnsi" w:eastAsiaTheme="majorEastAsia" w:hAnsiTheme="majorHAnsi" w:cstheme="majorBidi"/>
      <w:color w:val="365F91" w:themeColor="accent1" w:themeShade="BF"/>
      <w:sz w:val="26"/>
      <w:szCs w:val="26"/>
      <w:lang w:eastAsia="zh-CN"/>
    </w:rPr>
  </w:style>
  <w:style w:type="character" w:customStyle="1" w:styleId="Heading4Char">
    <w:name w:val="Heading 4 Char"/>
    <w:basedOn w:val="DefaultParagraphFont"/>
    <w:link w:val="Heading4"/>
    <w:uiPriority w:val="9"/>
    <w:rsid w:val="00DF3E66"/>
    <w:rPr>
      <w:rFonts w:asciiTheme="majorHAnsi" w:eastAsiaTheme="majorEastAsia" w:hAnsiTheme="majorHAnsi" w:cstheme="majorBidi"/>
      <w:i/>
      <w:iCs/>
      <w:color w:val="365F91" w:themeColor="accent1" w:themeShade="BF"/>
      <w:szCs w:val="24"/>
    </w:rPr>
  </w:style>
  <w:style w:type="paragraph" w:styleId="Title">
    <w:name w:val="Title"/>
    <w:basedOn w:val="Normal"/>
    <w:next w:val="Normal"/>
    <w:link w:val="TitleChar"/>
    <w:uiPriority w:val="10"/>
    <w:qFormat/>
    <w:rsid w:val="00C84A06"/>
    <w:pPr>
      <w:contextualSpacing/>
    </w:pPr>
    <w:rPr>
      <w:rFonts w:asciiTheme="majorHAnsi" w:eastAsiaTheme="majorEastAsia" w:hAnsiTheme="majorHAnsi" w:cstheme="majorBidi"/>
      <w:spacing w:val="-10"/>
      <w:kern w:val="28"/>
      <w:sz w:val="36"/>
      <w:szCs w:val="56"/>
    </w:rPr>
  </w:style>
  <w:style w:type="character" w:customStyle="1" w:styleId="TitleChar">
    <w:name w:val="Title Char"/>
    <w:basedOn w:val="DefaultParagraphFont"/>
    <w:link w:val="Title"/>
    <w:uiPriority w:val="10"/>
    <w:rsid w:val="00C84A06"/>
    <w:rPr>
      <w:rFonts w:asciiTheme="majorHAnsi" w:eastAsiaTheme="majorEastAsia" w:hAnsiTheme="majorHAnsi" w:cstheme="majorBidi"/>
      <w:spacing w:val="-10"/>
      <w:kern w:val="28"/>
      <w:sz w:val="36"/>
      <w:szCs w:val="56"/>
    </w:rPr>
  </w:style>
  <w:style w:type="paragraph" w:customStyle="1" w:styleId="Default">
    <w:name w:val="Default"/>
    <w:rsid w:val="0097007A"/>
    <w:pPr>
      <w:autoSpaceDE w:val="0"/>
      <w:autoSpaceDN w:val="0"/>
      <w:adjustRightInd w:val="0"/>
      <w:spacing w:after="0" w:line="240" w:lineRule="auto"/>
    </w:pPr>
    <w:rPr>
      <w:rFonts w:ascii="Calibri" w:hAnsi="Calibri" w:cs="Calibri"/>
      <w:color w:val="000000"/>
      <w:sz w:val="24"/>
      <w:szCs w:val="24"/>
      <w:lang w:val="en-US"/>
    </w:rPr>
  </w:style>
  <w:style w:type="character" w:customStyle="1" w:styleId="Heading5Char">
    <w:name w:val="Heading 5 Char"/>
    <w:basedOn w:val="DefaultParagraphFont"/>
    <w:link w:val="Heading5"/>
    <w:uiPriority w:val="9"/>
    <w:rsid w:val="003F7BFE"/>
    <w:rPr>
      <w:rFonts w:asciiTheme="majorHAnsi" w:eastAsiaTheme="majorEastAsia" w:hAnsiTheme="majorHAnsi" w:cstheme="majorBidi"/>
      <w:color w:val="365F91" w:themeColor="accent1" w:themeShade="BF"/>
      <w:szCs w:val="24"/>
    </w:rPr>
  </w:style>
  <w:style w:type="paragraph" w:styleId="Subtitle">
    <w:name w:val="Subtitle"/>
    <w:basedOn w:val="Normal"/>
    <w:next w:val="Normal"/>
    <w:link w:val="SubtitleChar"/>
    <w:uiPriority w:val="11"/>
    <w:qFormat/>
    <w:rsid w:val="003F7BF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F7BFE"/>
    <w:rPr>
      <w:rFonts w:eastAsiaTheme="minorEastAsia"/>
      <w:color w:val="5A5A5A" w:themeColor="text1" w:themeTint="A5"/>
      <w:spacing w:val="15"/>
    </w:rPr>
  </w:style>
  <w:style w:type="paragraph" w:customStyle="1" w:styleId="fixed">
    <w:name w:val="fixed"/>
    <w:uiPriority w:val="99"/>
    <w:rsid w:val="00C80A3D"/>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eastAsia="en-GB"/>
    </w:rPr>
  </w:style>
  <w:style w:type="character" w:customStyle="1" w:styleId="nw">
    <w:name w:val="nw"/>
    <w:basedOn w:val="DefaultParagraphFont"/>
    <w:rsid w:val="009B048F"/>
  </w:style>
  <w:style w:type="character" w:styleId="Emphasis">
    <w:name w:val="Emphasis"/>
    <w:basedOn w:val="DefaultParagraphFont"/>
    <w:uiPriority w:val="20"/>
    <w:qFormat/>
    <w:rsid w:val="009B04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5621">
      <w:bodyDiv w:val="1"/>
      <w:marLeft w:val="0"/>
      <w:marRight w:val="0"/>
      <w:marTop w:val="0"/>
      <w:marBottom w:val="0"/>
      <w:divBdr>
        <w:top w:val="none" w:sz="0" w:space="0" w:color="auto"/>
        <w:left w:val="none" w:sz="0" w:space="0" w:color="auto"/>
        <w:bottom w:val="none" w:sz="0" w:space="0" w:color="auto"/>
        <w:right w:val="none" w:sz="0" w:space="0" w:color="auto"/>
      </w:divBdr>
    </w:div>
    <w:div w:id="23287243">
      <w:bodyDiv w:val="1"/>
      <w:marLeft w:val="0"/>
      <w:marRight w:val="0"/>
      <w:marTop w:val="0"/>
      <w:marBottom w:val="0"/>
      <w:divBdr>
        <w:top w:val="none" w:sz="0" w:space="0" w:color="auto"/>
        <w:left w:val="none" w:sz="0" w:space="0" w:color="auto"/>
        <w:bottom w:val="none" w:sz="0" w:space="0" w:color="auto"/>
        <w:right w:val="none" w:sz="0" w:space="0" w:color="auto"/>
      </w:divBdr>
    </w:div>
    <w:div w:id="30150363">
      <w:bodyDiv w:val="1"/>
      <w:marLeft w:val="0"/>
      <w:marRight w:val="0"/>
      <w:marTop w:val="0"/>
      <w:marBottom w:val="0"/>
      <w:divBdr>
        <w:top w:val="none" w:sz="0" w:space="0" w:color="auto"/>
        <w:left w:val="none" w:sz="0" w:space="0" w:color="auto"/>
        <w:bottom w:val="none" w:sz="0" w:space="0" w:color="auto"/>
        <w:right w:val="none" w:sz="0" w:space="0" w:color="auto"/>
      </w:divBdr>
      <w:divsChild>
        <w:div w:id="1414475819">
          <w:marLeft w:val="0"/>
          <w:marRight w:val="0"/>
          <w:marTop w:val="0"/>
          <w:marBottom w:val="0"/>
          <w:divBdr>
            <w:top w:val="none" w:sz="0" w:space="0" w:color="auto"/>
            <w:left w:val="none" w:sz="0" w:space="0" w:color="auto"/>
            <w:bottom w:val="none" w:sz="0" w:space="0" w:color="auto"/>
            <w:right w:val="none" w:sz="0" w:space="0" w:color="auto"/>
          </w:divBdr>
          <w:divsChild>
            <w:div w:id="1350185102">
              <w:marLeft w:val="0"/>
              <w:marRight w:val="0"/>
              <w:marTop w:val="0"/>
              <w:marBottom w:val="0"/>
              <w:divBdr>
                <w:top w:val="none" w:sz="0" w:space="0" w:color="auto"/>
                <w:left w:val="none" w:sz="0" w:space="0" w:color="auto"/>
                <w:bottom w:val="none" w:sz="0" w:space="0" w:color="auto"/>
                <w:right w:val="none" w:sz="0" w:space="0" w:color="auto"/>
              </w:divBdr>
              <w:divsChild>
                <w:div w:id="10955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9609">
      <w:bodyDiv w:val="1"/>
      <w:marLeft w:val="0"/>
      <w:marRight w:val="0"/>
      <w:marTop w:val="0"/>
      <w:marBottom w:val="0"/>
      <w:divBdr>
        <w:top w:val="none" w:sz="0" w:space="0" w:color="auto"/>
        <w:left w:val="none" w:sz="0" w:space="0" w:color="auto"/>
        <w:bottom w:val="none" w:sz="0" w:space="0" w:color="auto"/>
        <w:right w:val="none" w:sz="0" w:space="0" w:color="auto"/>
      </w:divBdr>
    </w:div>
    <w:div w:id="276838535">
      <w:bodyDiv w:val="1"/>
      <w:marLeft w:val="0"/>
      <w:marRight w:val="0"/>
      <w:marTop w:val="0"/>
      <w:marBottom w:val="0"/>
      <w:divBdr>
        <w:top w:val="none" w:sz="0" w:space="0" w:color="auto"/>
        <w:left w:val="none" w:sz="0" w:space="0" w:color="auto"/>
        <w:bottom w:val="none" w:sz="0" w:space="0" w:color="auto"/>
        <w:right w:val="none" w:sz="0" w:space="0" w:color="auto"/>
      </w:divBdr>
    </w:div>
    <w:div w:id="376852412">
      <w:bodyDiv w:val="1"/>
      <w:marLeft w:val="0"/>
      <w:marRight w:val="0"/>
      <w:marTop w:val="0"/>
      <w:marBottom w:val="0"/>
      <w:divBdr>
        <w:top w:val="none" w:sz="0" w:space="0" w:color="auto"/>
        <w:left w:val="none" w:sz="0" w:space="0" w:color="auto"/>
        <w:bottom w:val="none" w:sz="0" w:space="0" w:color="auto"/>
        <w:right w:val="none" w:sz="0" w:space="0" w:color="auto"/>
      </w:divBdr>
    </w:div>
    <w:div w:id="788936903">
      <w:bodyDiv w:val="1"/>
      <w:marLeft w:val="0"/>
      <w:marRight w:val="0"/>
      <w:marTop w:val="0"/>
      <w:marBottom w:val="0"/>
      <w:divBdr>
        <w:top w:val="none" w:sz="0" w:space="0" w:color="auto"/>
        <w:left w:val="none" w:sz="0" w:space="0" w:color="auto"/>
        <w:bottom w:val="none" w:sz="0" w:space="0" w:color="auto"/>
        <w:right w:val="none" w:sz="0" w:space="0" w:color="auto"/>
      </w:divBdr>
    </w:div>
    <w:div w:id="921446636">
      <w:bodyDiv w:val="1"/>
      <w:marLeft w:val="0"/>
      <w:marRight w:val="0"/>
      <w:marTop w:val="0"/>
      <w:marBottom w:val="0"/>
      <w:divBdr>
        <w:top w:val="none" w:sz="0" w:space="0" w:color="auto"/>
        <w:left w:val="none" w:sz="0" w:space="0" w:color="auto"/>
        <w:bottom w:val="none" w:sz="0" w:space="0" w:color="auto"/>
        <w:right w:val="none" w:sz="0" w:space="0" w:color="auto"/>
      </w:divBdr>
    </w:div>
    <w:div w:id="1041636809">
      <w:bodyDiv w:val="1"/>
      <w:marLeft w:val="0"/>
      <w:marRight w:val="0"/>
      <w:marTop w:val="0"/>
      <w:marBottom w:val="0"/>
      <w:divBdr>
        <w:top w:val="none" w:sz="0" w:space="0" w:color="auto"/>
        <w:left w:val="none" w:sz="0" w:space="0" w:color="auto"/>
        <w:bottom w:val="none" w:sz="0" w:space="0" w:color="auto"/>
        <w:right w:val="none" w:sz="0" w:space="0" w:color="auto"/>
      </w:divBdr>
    </w:div>
    <w:div w:id="1104227276">
      <w:bodyDiv w:val="1"/>
      <w:marLeft w:val="0"/>
      <w:marRight w:val="0"/>
      <w:marTop w:val="0"/>
      <w:marBottom w:val="0"/>
      <w:divBdr>
        <w:top w:val="none" w:sz="0" w:space="0" w:color="auto"/>
        <w:left w:val="none" w:sz="0" w:space="0" w:color="auto"/>
        <w:bottom w:val="none" w:sz="0" w:space="0" w:color="auto"/>
        <w:right w:val="none" w:sz="0" w:space="0" w:color="auto"/>
      </w:divBdr>
    </w:div>
    <w:div w:id="1254313395">
      <w:bodyDiv w:val="1"/>
      <w:marLeft w:val="0"/>
      <w:marRight w:val="0"/>
      <w:marTop w:val="0"/>
      <w:marBottom w:val="0"/>
      <w:divBdr>
        <w:top w:val="none" w:sz="0" w:space="0" w:color="auto"/>
        <w:left w:val="none" w:sz="0" w:space="0" w:color="auto"/>
        <w:bottom w:val="none" w:sz="0" w:space="0" w:color="auto"/>
        <w:right w:val="none" w:sz="0" w:space="0" w:color="auto"/>
      </w:divBdr>
    </w:div>
    <w:div w:id="1377655391">
      <w:bodyDiv w:val="1"/>
      <w:marLeft w:val="0"/>
      <w:marRight w:val="0"/>
      <w:marTop w:val="0"/>
      <w:marBottom w:val="0"/>
      <w:divBdr>
        <w:top w:val="none" w:sz="0" w:space="0" w:color="auto"/>
        <w:left w:val="none" w:sz="0" w:space="0" w:color="auto"/>
        <w:bottom w:val="none" w:sz="0" w:space="0" w:color="auto"/>
        <w:right w:val="none" w:sz="0" w:space="0" w:color="auto"/>
      </w:divBdr>
      <w:divsChild>
        <w:div w:id="2039039720">
          <w:marLeft w:val="0"/>
          <w:marRight w:val="0"/>
          <w:marTop w:val="0"/>
          <w:marBottom w:val="0"/>
          <w:divBdr>
            <w:top w:val="none" w:sz="0" w:space="0" w:color="auto"/>
            <w:left w:val="none" w:sz="0" w:space="0" w:color="auto"/>
            <w:bottom w:val="none" w:sz="0" w:space="0" w:color="auto"/>
            <w:right w:val="none" w:sz="0" w:space="0" w:color="auto"/>
          </w:divBdr>
          <w:divsChild>
            <w:div w:id="1232229835">
              <w:marLeft w:val="0"/>
              <w:marRight w:val="0"/>
              <w:marTop w:val="0"/>
              <w:marBottom w:val="0"/>
              <w:divBdr>
                <w:top w:val="none" w:sz="0" w:space="0" w:color="auto"/>
                <w:left w:val="none" w:sz="0" w:space="0" w:color="auto"/>
                <w:bottom w:val="none" w:sz="0" w:space="0" w:color="auto"/>
                <w:right w:val="none" w:sz="0" w:space="0" w:color="auto"/>
              </w:divBdr>
              <w:divsChild>
                <w:div w:id="16103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8015">
      <w:bodyDiv w:val="1"/>
      <w:marLeft w:val="0"/>
      <w:marRight w:val="0"/>
      <w:marTop w:val="0"/>
      <w:marBottom w:val="0"/>
      <w:divBdr>
        <w:top w:val="none" w:sz="0" w:space="0" w:color="auto"/>
        <w:left w:val="none" w:sz="0" w:space="0" w:color="auto"/>
        <w:bottom w:val="none" w:sz="0" w:space="0" w:color="auto"/>
        <w:right w:val="none" w:sz="0" w:space="0" w:color="auto"/>
      </w:divBdr>
    </w:div>
    <w:div w:id="1513452062">
      <w:bodyDiv w:val="1"/>
      <w:marLeft w:val="0"/>
      <w:marRight w:val="0"/>
      <w:marTop w:val="0"/>
      <w:marBottom w:val="0"/>
      <w:divBdr>
        <w:top w:val="none" w:sz="0" w:space="0" w:color="auto"/>
        <w:left w:val="none" w:sz="0" w:space="0" w:color="auto"/>
        <w:bottom w:val="none" w:sz="0" w:space="0" w:color="auto"/>
        <w:right w:val="none" w:sz="0" w:space="0" w:color="auto"/>
      </w:divBdr>
    </w:div>
    <w:div w:id="1558860326">
      <w:bodyDiv w:val="1"/>
      <w:marLeft w:val="0"/>
      <w:marRight w:val="0"/>
      <w:marTop w:val="0"/>
      <w:marBottom w:val="0"/>
      <w:divBdr>
        <w:top w:val="none" w:sz="0" w:space="0" w:color="auto"/>
        <w:left w:val="none" w:sz="0" w:space="0" w:color="auto"/>
        <w:bottom w:val="none" w:sz="0" w:space="0" w:color="auto"/>
        <w:right w:val="none" w:sz="0" w:space="0" w:color="auto"/>
      </w:divBdr>
    </w:div>
    <w:div w:id="1745950775">
      <w:bodyDiv w:val="1"/>
      <w:marLeft w:val="0"/>
      <w:marRight w:val="0"/>
      <w:marTop w:val="0"/>
      <w:marBottom w:val="0"/>
      <w:divBdr>
        <w:top w:val="none" w:sz="0" w:space="0" w:color="auto"/>
        <w:left w:val="none" w:sz="0" w:space="0" w:color="auto"/>
        <w:bottom w:val="none" w:sz="0" w:space="0" w:color="auto"/>
        <w:right w:val="none" w:sz="0" w:space="0" w:color="auto"/>
      </w:divBdr>
    </w:div>
    <w:div w:id="1915818133">
      <w:bodyDiv w:val="1"/>
      <w:marLeft w:val="0"/>
      <w:marRight w:val="0"/>
      <w:marTop w:val="0"/>
      <w:marBottom w:val="0"/>
      <w:divBdr>
        <w:top w:val="none" w:sz="0" w:space="0" w:color="auto"/>
        <w:left w:val="none" w:sz="0" w:space="0" w:color="auto"/>
        <w:bottom w:val="none" w:sz="0" w:space="0" w:color="auto"/>
        <w:right w:val="none" w:sz="0" w:space="0" w:color="auto"/>
      </w:divBdr>
    </w:div>
    <w:div w:id="1924798505">
      <w:bodyDiv w:val="1"/>
      <w:marLeft w:val="0"/>
      <w:marRight w:val="0"/>
      <w:marTop w:val="0"/>
      <w:marBottom w:val="0"/>
      <w:divBdr>
        <w:top w:val="none" w:sz="0" w:space="0" w:color="auto"/>
        <w:left w:val="none" w:sz="0" w:space="0" w:color="auto"/>
        <w:bottom w:val="none" w:sz="0" w:space="0" w:color="auto"/>
        <w:right w:val="none" w:sz="0" w:space="0" w:color="auto"/>
      </w:divBdr>
    </w:div>
    <w:div w:id="211197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23B50-59DD-BA43-BE79-25B3C7CA1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3527</Words>
  <Characters>20108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6</cp:revision>
  <cp:lastPrinted>2019-06-17T17:38:00Z</cp:lastPrinted>
  <dcterms:created xsi:type="dcterms:W3CDTF">2019-07-29T21:59:00Z</dcterms:created>
  <dcterms:modified xsi:type="dcterms:W3CDTF">2019-07-29T22:28:00Z</dcterms:modified>
</cp:coreProperties>
</file>