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0571A" w14:textId="0EBA5232" w:rsidR="00061B28" w:rsidRDefault="00061B28">
      <w:pPr>
        <w:pStyle w:val="NoSpacing"/>
        <w:rPr>
          <w:rFonts w:eastAsiaTheme="minorHAnsi"/>
          <w:kern w:val="2"/>
          <w:sz w:val="24"/>
          <w:szCs w:val="24"/>
          <w:lang w:val="en-GB"/>
          <w14:ligatures w14:val="standardContextual"/>
        </w:rPr>
      </w:pPr>
      <w:r>
        <w:rPr>
          <w:rFonts w:eastAsiaTheme="minorHAnsi"/>
          <w:kern w:val="2"/>
          <w:sz w:val="24"/>
          <w:szCs w:val="24"/>
          <w:lang w:val="en-GB"/>
          <w14:ligatures w14:val="standardContextual"/>
        </w:rPr>
        <w:t xml:space="preserve"> </w:t>
      </w:r>
    </w:p>
    <w:sdt>
      <w:sdtPr>
        <w:rPr>
          <w:rFonts w:eastAsiaTheme="minorHAnsi"/>
          <w:kern w:val="2"/>
          <w:sz w:val="24"/>
          <w:szCs w:val="24"/>
          <w:lang w:val="en-GB"/>
          <w14:ligatures w14:val="standardContextual"/>
        </w:rPr>
        <w:id w:val="-171579184"/>
        <w:docPartObj>
          <w:docPartGallery w:val="Cover Pages"/>
          <w:docPartUnique/>
        </w:docPartObj>
      </w:sdtPr>
      <w:sdtEndPr>
        <w:rPr>
          <w:b/>
          <w:bCs/>
        </w:rPr>
      </w:sdtEndPr>
      <w:sdtContent>
        <w:p w14:paraId="3398AD0D" w14:textId="7F82C72F" w:rsidR="00CB248C" w:rsidRDefault="00CB248C">
          <w:pPr>
            <w:pStyle w:val="NoSpacing"/>
          </w:pPr>
          <w:r>
            <w:rPr>
              <w:noProof/>
            </w:rPr>
            <mc:AlternateContent>
              <mc:Choice Requires="wpg">
                <w:drawing>
                  <wp:anchor distT="0" distB="0" distL="114300" distR="114300" simplePos="0" relativeHeight="251659264" behindDoc="1" locked="0" layoutInCell="1" allowOverlap="1" wp14:anchorId="0333A9E9" wp14:editId="700A0F7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652F6E" w14:textId="408F5CCE" w:rsidR="00CB248C" w:rsidRDefault="00EF7B02" w:rsidP="00EF7B02">
                                  <w:pPr>
                                    <w:pStyle w:val="NoSpacing"/>
                                    <w:jc w:val="center"/>
                                    <w:rPr>
                                      <w:color w:val="FFFFFF" w:themeColor="background1"/>
                                      <w:sz w:val="28"/>
                                      <w:szCs w:val="28"/>
                                    </w:rPr>
                                  </w:pPr>
                                  <w:r>
                                    <w:rPr>
                                      <w:color w:val="FFFFFF" w:themeColor="background1"/>
                                      <w:sz w:val="28"/>
                                      <w:szCs w:val="28"/>
                                    </w:rPr>
                                    <w:t>11/15/2025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33A9E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08652F6E" w14:textId="408F5CCE" w:rsidR="00CB248C" w:rsidRDefault="00EF7B02" w:rsidP="00EF7B02">
                            <w:pPr>
                              <w:pStyle w:val="NoSpacing"/>
                              <w:jc w:val="center"/>
                              <w:rPr>
                                <w:color w:val="FFFFFF" w:themeColor="background1"/>
                                <w:sz w:val="28"/>
                                <w:szCs w:val="28"/>
                              </w:rPr>
                            </w:pPr>
                            <w:r>
                              <w:rPr>
                                <w:color w:val="FFFFFF" w:themeColor="background1"/>
                                <w:sz w:val="28"/>
                                <w:szCs w:val="28"/>
                              </w:rPr>
                              <w:t>11/15/2025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ECF176E" w14:textId="2C7E7303" w:rsidR="00CB248C" w:rsidRDefault="00DD5D8B" w:rsidP="00CB248C">
          <w:pPr>
            <w:rPr>
              <w:b/>
              <w:bCs/>
            </w:rPr>
          </w:pPr>
          <w:r>
            <w:rPr>
              <w:noProof/>
            </w:rPr>
            <mc:AlternateContent>
              <mc:Choice Requires="wps">
                <w:drawing>
                  <wp:anchor distT="0" distB="0" distL="114300" distR="114300" simplePos="0" relativeHeight="251661312" behindDoc="0" locked="0" layoutInCell="1" allowOverlap="1" wp14:anchorId="4D00D899" wp14:editId="7EFA41BE">
                    <wp:simplePos x="0" y="0"/>
                    <wp:positionH relativeFrom="page">
                      <wp:posOffset>2110740</wp:posOffset>
                    </wp:positionH>
                    <wp:positionV relativeFrom="page">
                      <wp:posOffset>4472940</wp:posOffset>
                    </wp:positionV>
                    <wp:extent cx="5120640" cy="2887235"/>
                    <wp:effectExtent l="0" t="0" r="3810" b="8890"/>
                    <wp:wrapNone/>
                    <wp:docPr id="32" name="Text Box 28"/>
                    <wp:cNvGraphicFramePr/>
                    <a:graphic xmlns:a="http://schemas.openxmlformats.org/drawingml/2006/main">
                      <a:graphicData uri="http://schemas.microsoft.com/office/word/2010/wordprocessingShape">
                        <wps:wsp>
                          <wps:cNvSpPr txBox="1"/>
                          <wps:spPr>
                            <a:xfrm>
                              <a:off x="0" y="0"/>
                              <a:ext cx="5120640" cy="2887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070250" w14:textId="7599DD4E" w:rsidR="00DD5D8B" w:rsidRPr="00BC2BC2" w:rsidRDefault="00DD5D8B" w:rsidP="00DD5D8B">
                                <w:pPr>
                                  <w:pStyle w:val="NoSpacing"/>
                                  <w:spacing w:line="360" w:lineRule="auto"/>
                                  <w:ind w:left="720"/>
                                  <w:rPr>
                                    <w:rFonts w:ascii="Times New Roman" w:hAnsi="Times New Roman" w:cs="Times New Roman"/>
                                    <w:b/>
                                    <w:bCs/>
                                    <w:color w:val="102F4C"/>
                                    <w:sz w:val="32"/>
                                    <w:szCs w:val="32"/>
                                    <w:lang w:val="en-GB"/>
                                  </w:rPr>
                                </w:pPr>
                                <w:r w:rsidRPr="00BC2BC2">
                                  <w:rPr>
                                    <w:rFonts w:ascii="Times New Roman" w:hAnsi="Times New Roman" w:cs="Times New Roman"/>
                                    <w:b/>
                                    <w:bCs/>
                                    <w:color w:val="102F4C"/>
                                    <w:sz w:val="32"/>
                                    <w:szCs w:val="32"/>
                                    <w:lang w:val="en-GB"/>
                                  </w:rPr>
                                  <w:t>Module code</w:t>
                                </w:r>
                                <w:r w:rsidRPr="00BC2BC2">
                                  <w:rPr>
                                    <w:rFonts w:ascii="Times New Roman" w:hAnsi="Times New Roman" w:cs="Times New Roman"/>
                                    <w:color w:val="102F4C"/>
                                    <w:sz w:val="32"/>
                                    <w:szCs w:val="32"/>
                                    <w:lang w:val="en-GB"/>
                                  </w:rPr>
                                  <w:t xml:space="preserve"> - LCBB4013</w:t>
                                </w:r>
                              </w:p>
                              <w:p w14:paraId="6CF071F4" w14:textId="77D4AB9C" w:rsidR="00DD5D8B" w:rsidRPr="00BC2BC2" w:rsidRDefault="00DD5D8B" w:rsidP="00DD5D8B">
                                <w:pPr>
                                  <w:pStyle w:val="NoSpacing"/>
                                  <w:spacing w:line="360" w:lineRule="auto"/>
                                  <w:ind w:left="720"/>
                                  <w:rPr>
                                    <w:rFonts w:ascii="Times New Roman" w:hAnsi="Times New Roman" w:cs="Times New Roman"/>
                                    <w:color w:val="102F4C"/>
                                    <w:sz w:val="32"/>
                                    <w:szCs w:val="32"/>
                                    <w:lang w:val="en-GB"/>
                                  </w:rPr>
                                </w:pPr>
                                <w:r w:rsidRPr="00BC2BC2">
                                  <w:rPr>
                                    <w:rFonts w:ascii="Times New Roman" w:hAnsi="Times New Roman" w:cs="Times New Roman"/>
                                    <w:b/>
                                    <w:bCs/>
                                    <w:color w:val="102F4C"/>
                                    <w:sz w:val="32"/>
                                    <w:szCs w:val="32"/>
                                    <w:lang w:val="en-GB"/>
                                  </w:rPr>
                                  <w:t>Module Name</w:t>
                                </w:r>
                                <w:r w:rsidRPr="00BC2BC2">
                                  <w:rPr>
                                    <w:rFonts w:ascii="Times New Roman" w:hAnsi="Times New Roman" w:cs="Times New Roman"/>
                                    <w:color w:val="102F4C"/>
                                    <w:sz w:val="32"/>
                                    <w:szCs w:val="32"/>
                                    <w:lang w:val="en-GB"/>
                                  </w:rPr>
                                  <w:t xml:space="preserve"> - Stakeholder Engagement </w:t>
                                </w:r>
                              </w:p>
                              <w:p w14:paraId="5F509500" w14:textId="77777777" w:rsidR="00DD5D8B" w:rsidRPr="00BC2BC2" w:rsidRDefault="00DD5D8B" w:rsidP="00DD5D8B">
                                <w:pPr>
                                  <w:pStyle w:val="NoSpacing"/>
                                  <w:spacing w:line="360" w:lineRule="auto"/>
                                  <w:ind w:left="720"/>
                                  <w:rPr>
                                    <w:rFonts w:ascii="Times New Roman" w:hAnsi="Times New Roman" w:cs="Times New Roman"/>
                                    <w:color w:val="102F4C"/>
                                    <w:sz w:val="32"/>
                                    <w:szCs w:val="32"/>
                                    <w:lang w:val="en-GB"/>
                                  </w:rPr>
                                </w:pPr>
                                <w:r w:rsidRPr="00BC2BC2">
                                  <w:rPr>
                                    <w:rFonts w:ascii="Times New Roman" w:hAnsi="Times New Roman" w:cs="Times New Roman"/>
                                    <w:b/>
                                    <w:bCs/>
                                    <w:color w:val="102F4C"/>
                                    <w:sz w:val="32"/>
                                    <w:szCs w:val="32"/>
                                    <w:lang w:val="en-GB"/>
                                  </w:rPr>
                                  <w:t>Lecturer’s Name</w:t>
                                </w:r>
                                <w:r w:rsidRPr="00BC2BC2">
                                  <w:rPr>
                                    <w:rFonts w:ascii="Times New Roman" w:hAnsi="Times New Roman" w:cs="Times New Roman"/>
                                    <w:color w:val="102F4C"/>
                                    <w:sz w:val="32"/>
                                    <w:szCs w:val="32"/>
                                    <w:lang w:val="en-GB"/>
                                  </w:rPr>
                                  <w:t xml:space="preserve"> - Ivan Rodriguez Hernandez</w:t>
                                </w:r>
                              </w:p>
                              <w:p w14:paraId="3171087A" w14:textId="4C165E77" w:rsidR="00DD5D8B" w:rsidRPr="00BC2BC2" w:rsidRDefault="00DD5D8B" w:rsidP="00DD5D8B">
                                <w:pPr>
                                  <w:pStyle w:val="NoSpacing"/>
                                  <w:spacing w:line="360" w:lineRule="auto"/>
                                  <w:ind w:left="720"/>
                                  <w:rPr>
                                    <w:rFonts w:ascii="Times New Roman" w:hAnsi="Times New Roman" w:cs="Times New Roman"/>
                                    <w:color w:val="102F4C"/>
                                    <w:sz w:val="32"/>
                                    <w:szCs w:val="32"/>
                                    <w:lang w:val="en-GB"/>
                                  </w:rPr>
                                </w:pPr>
                                <w:r w:rsidRPr="00BC2BC2">
                                  <w:rPr>
                                    <w:rFonts w:ascii="Times New Roman" w:hAnsi="Times New Roman" w:cs="Times New Roman"/>
                                    <w:b/>
                                    <w:bCs/>
                                    <w:color w:val="102F4C"/>
                                    <w:sz w:val="32"/>
                                    <w:szCs w:val="32"/>
                                    <w:lang w:val="en-GB"/>
                                  </w:rPr>
                                  <w:t>Student Name</w:t>
                                </w:r>
                                <w:r w:rsidRPr="00BC2BC2">
                                  <w:rPr>
                                    <w:rFonts w:ascii="Times New Roman" w:hAnsi="Times New Roman" w:cs="Times New Roman"/>
                                    <w:color w:val="102F4C"/>
                                    <w:sz w:val="32"/>
                                    <w:szCs w:val="32"/>
                                    <w:lang w:val="en-GB"/>
                                  </w:rPr>
                                  <w:t xml:space="preserve"> - </w:t>
                                </w:r>
                                <w:r w:rsidRPr="00BC2BC2">
                                  <w:rPr>
                                    <w:rFonts w:ascii="Times New Roman" w:hAnsi="Times New Roman" w:cs="Times New Roman"/>
                                    <w:color w:val="102F4C"/>
                                    <w:sz w:val="32"/>
                                    <w:szCs w:val="32"/>
                                  </w:rPr>
                                  <w:t>Marian</w:t>
                                </w:r>
                                <w:r w:rsidRPr="00B277E9">
                                  <w:rPr>
                                    <w:rFonts w:ascii="Times New Roman" w:hAnsi="Times New Roman" w:cs="Times New Roman"/>
                                    <w:color w:val="102F4C"/>
                                    <w:sz w:val="32"/>
                                    <w:szCs w:val="32"/>
                                  </w:rPr>
                                  <w:t xml:space="preserve"> </w:t>
                                </w:r>
                                <w:r w:rsidR="00BC2BC2" w:rsidRPr="00B277E9">
                                  <w:rPr>
                                    <w:rFonts w:ascii="Times New Roman" w:hAnsi="Times New Roman" w:cs="Times New Roman"/>
                                    <w:color w:val="102F4C"/>
                                    <w:sz w:val="32"/>
                                    <w:szCs w:val="32"/>
                                  </w:rPr>
                                  <w:t>Emil Budica</w:t>
                                </w:r>
                              </w:p>
                              <w:p w14:paraId="585F043D" w14:textId="1D871156" w:rsidR="00DD5D8B" w:rsidRPr="00BC2BC2" w:rsidRDefault="00DD5D8B" w:rsidP="00DD5D8B">
                                <w:pPr>
                                  <w:pStyle w:val="NoSpacing"/>
                                  <w:spacing w:line="360" w:lineRule="auto"/>
                                  <w:ind w:left="720"/>
                                  <w:rPr>
                                    <w:rFonts w:ascii="Times New Roman" w:hAnsi="Times New Roman" w:cs="Times New Roman"/>
                                    <w:color w:val="102F4C"/>
                                    <w:sz w:val="32"/>
                                    <w:szCs w:val="32"/>
                                  </w:rPr>
                                </w:pPr>
                                <w:r w:rsidRPr="00BC2BC2">
                                  <w:rPr>
                                    <w:rFonts w:ascii="Times New Roman" w:hAnsi="Times New Roman" w:cs="Times New Roman"/>
                                    <w:b/>
                                    <w:bCs/>
                                    <w:color w:val="102F4C"/>
                                    <w:sz w:val="32"/>
                                    <w:szCs w:val="32"/>
                                    <w:lang w:val="en-GB"/>
                                  </w:rPr>
                                  <w:t>Student Number</w:t>
                                </w:r>
                                <w:r w:rsidRPr="00BC2BC2">
                                  <w:rPr>
                                    <w:rFonts w:ascii="Times New Roman" w:hAnsi="Times New Roman" w:cs="Times New Roman"/>
                                    <w:color w:val="102F4C"/>
                                    <w:sz w:val="32"/>
                                    <w:szCs w:val="32"/>
                                    <w:lang w:val="en-GB"/>
                                  </w:rPr>
                                  <w:t xml:space="preserve"> - </w:t>
                                </w:r>
                                <w:r w:rsidR="00B277E9">
                                  <w:rPr>
                                    <w:rFonts w:ascii="Times New Roman" w:hAnsi="Times New Roman" w:cs="Times New Roman"/>
                                    <w:color w:val="102F4C"/>
                                    <w:sz w:val="32"/>
                                    <w:szCs w:val="32"/>
                                    <w:lang w:val="en-GB"/>
                                  </w:rPr>
                                  <w:t>2312379</w:t>
                                </w:r>
                                <w:r w:rsidRPr="00BC2BC2">
                                  <w:rPr>
                                    <w:rFonts w:ascii="Times New Roman" w:hAnsi="Times New Roman" w:cs="Times New Roman"/>
                                    <w:color w:val="102F4C"/>
                                    <w:sz w:val="32"/>
                                    <w:szCs w:val="32"/>
                                  </w:rPr>
                                  <w:t xml:space="preserve"> </w:t>
                                </w:r>
                              </w:p>
                              <w:p w14:paraId="503282C8" w14:textId="66C4D4EE" w:rsidR="00DD5D8B" w:rsidRPr="00BC2BC2" w:rsidRDefault="00DD5D8B" w:rsidP="00DD5D8B">
                                <w:pPr>
                                  <w:pStyle w:val="NoSpacing"/>
                                  <w:spacing w:line="360" w:lineRule="auto"/>
                                  <w:ind w:left="720"/>
                                  <w:rPr>
                                    <w:rFonts w:ascii="Times New Roman" w:hAnsi="Times New Roman" w:cs="Times New Roman"/>
                                    <w:color w:val="102F4C"/>
                                    <w:sz w:val="32"/>
                                    <w:szCs w:val="32"/>
                                    <w:lang w:val="en-GB"/>
                                  </w:rPr>
                                </w:pPr>
                                <w:r w:rsidRPr="00BC2BC2">
                                  <w:rPr>
                                    <w:rFonts w:ascii="Times New Roman" w:hAnsi="Times New Roman" w:cs="Times New Roman"/>
                                    <w:b/>
                                    <w:color w:val="102F4C"/>
                                    <w:sz w:val="32"/>
                                    <w:szCs w:val="32"/>
                                    <w:lang w:val="en-GB"/>
                                  </w:rPr>
                                  <w:t xml:space="preserve">Submission deadline </w:t>
                                </w:r>
                                <w:r w:rsidRPr="00BC2BC2">
                                  <w:rPr>
                                    <w:rFonts w:ascii="Times New Roman" w:hAnsi="Times New Roman" w:cs="Times New Roman"/>
                                    <w:bCs/>
                                    <w:color w:val="102F4C"/>
                                    <w:sz w:val="32"/>
                                    <w:szCs w:val="32"/>
                                    <w:lang w:val="en-GB"/>
                                  </w:rPr>
                                  <w:t>- 21</w:t>
                                </w:r>
                                <w:r w:rsidRPr="00BC2BC2">
                                  <w:rPr>
                                    <w:rFonts w:ascii="Times New Roman" w:hAnsi="Times New Roman" w:cs="Times New Roman"/>
                                    <w:bCs/>
                                    <w:color w:val="102F4C"/>
                                    <w:sz w:val="32"/>
                                    <w:szCs w:val="32"/>
                                    <w:vertAlign w:val="superscript"/>
                                    <w:lang w:val="en-GB"/>
                                  </w:rPr>
                                  <w:t>st</w:t>
                                </w:r>
                                <w:r w:rsidRPr="00BC2BC2">
                                  <w:rPr>
                                    <w:rFonts w:ascii="Times New Roman" w:hAnsi="Times New Roman" w:cs="Times New Roman"/>
                                    <w:bCs/>
                                    <w:color w:val="102F4C"/>
                                    <w:sz w:val="32"/>
                                    <w:szCs w:val="32"/>
                                    <w:lang w:val="en-GB"/>
                                  </w:rPr>
                                  <w:t xml:space="preserve"> November 2025   </w:t>
                                </w:r>
                              </w:p>
                              <w:p w14:paraId="7AAE8508" w14:textId="40E41504" w:rsidR="00CB248C" w:rsidRPr="00EF7B02" w:rsidRDefault="00CB248C">
                                <w:pPr>
                                  <w:pStyle w:val="NoSpacing"/>
                                  <w:rPr>
                                    <w:color w:val="156082"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D00D899" id="_x0000_t202" coordsize="21600,21600" o:spt="202" path="m,l,21600r21600,l21600,xe">
                    <v:stroke joinstyle="miter"/>
                    <v:path gradientshapeok="t" o:connecttype="rect"/>
                  </v:shapetype>
                  <v:shape id="Text Box 28" o:spid="_x0000_s1055" type="#_x0000_t202" style="position:absolute;margin-left:166.2pt;margin-top:352.2pt;width:403.2pt;height:227.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esCYQIAADUFAAAOAAAAZHJzL2Uyb0RvYy54bWysVN9v0zAQfkfif7D8TpN2dFTR0qlsGkKa&#10;tokO7dl17DXC8Zmz26T89ZydpJ0GL0O8OBffd9/99sVl1xi2V+hrsCWfTnLOlJVQ1fa55N8fbz4s&#10;OPNB2EoYsKrkB+X55fL9u4vWFWoGWzCVQkYk1hetK/k2BFdkmZdb1Qg/AacsKTVgIwL94nNWoWiJ&#10;vTHZLM/PsxawcghSeU+3172SLxO/1kqGe629CsyUnGIL6cR0buKZLS9E8YzCbWs5hCH+IYpG1Jac&#10;HqmuRRBsh/UfVE0tETzoMJHQZKB1LVXKgbKZ5q+yWW+FUykXKo53xzL5/0cr7/Zr94AsdJ+howbG&#10;grTOF54uYz6dxiZ+KVJGeirh4Vg21QUm6XI+neXnH0klSTdbLD7NzuaRJzuZO/Thi4KGRaHkSH1J&#10;5RL7Wx966AiJ3izc1Mak3hjL2pKfn83zZHDUELmxEatSlweaU+hJCgejIsbYb0qzukoZxIs0X+rK&#10;INsLmgwhpbIhJZ94CR1RmoJ4i+GAP0X1FuM+j9Ez2HA0bmoLmLJ/FXb1YwxZ93iq+Yu8oxi6TUeJ&#10;v+jsBqoDNRyh3wXv5E1NTbkVPjwIpOGnRtJCh3s6tAEqPgwSZ1vAX3+7j3iaSdJy1tIyldz/3AlU&#10;nJmvlqY1bt4o4ChsRsHumiugLkzpqXAyiWSAwYyiRmieaM9X0QuphJXkq+SbUbwK/UrTOyHVapVA&#10;tF9OhFu7djJSx6bEEXvsngS6YQ4DjfAdjGsmilfj2GOjpYXVLoCu06zGuvZVHOpNu5mmfXhH4vK/&#10;/E+o02u3/A0AAP//AwBQSwMEFAAGAAgAAAAhAMffHN7jAAAADQEAAA8AAABkcnMvZG93bnJldi54&#10;bWxMj0tPwzAQhO9I/AdrkbhRJ01bSohTISqEkDjQ8jg7yZJEjddR7DzKr2dzgtuM9tPsTLKbTCMG&#10;7FxtSUG4CEAg5baoqVTw8f50swXhvKZCN5ZQwRkd7NLLi0THhR3pgMPRl4JDyMVaQeV9G0vp8gqN&#10;dgvbIvHt23ZGe7ZdKYtOjxxuGrkMgo00uib+UOkWHyvMT8feKHj7yT43r1/9edy/7IcDnp77dRgp&#10;dX01PdyD8Dj5Pxjm+lwdUu6U2Z4KJxoFUbRcMargNlixmIkw2vKabFbruxBkmsj/K9JfAAAA//8D&#10;AFBLAQItABQABgAIAAAAIQC2gziS/gAAAOEBAAATAAAAAAAAAAAAAAAAAAAAAABbQ29udGVudF9U&#10;eXBlc10ueG1sUEsBAi0AFAAGAAgAAAAhADj9If/WAAAAlAEAAAsAAAAAAAAAAAAAAAAALwEAAF9y&#10;ZWxzLy5yZWxzUEsBAi0AFAAGAAgAAAAhACvZ6wJhAgAANQUAAA4AAAAAAAAAAAAAAAAALgIAAGRy&#10;cy9lMm9Eb2MueG1sUEsBAi0AFAAGAAgAAAAhAMffHN7jAAAADQEAAA8AAAAAAAAAAAAAAAAAuwQA&#10;AGRycy9kb3ducmV2LnhtbFBLBQYAAAAABAAEAPMAAADLBQAAAAA=&#10;" filled="f" stroked="f" strokeweight=".5pt">
                    <v:textbox inset="0,0,0,0">
                      <w:txbxContent>
                        <w:p w14:paraId="09070250" w14:textId="7599DD4E" w:rsidR="00DD5D8B" w:rsidRPr="00BC2BC2" w:rsidRDefault="00DD5D8B" w:rsidP="00DD5D8B">
                          <w:pPr>
                            <w:pStyle w:val="NoSpacing"/>
                            <w:spacing w:line="360" w:lineRule="auto"/>
                            <w:ind w:left="720"/>
                            <w:rPr>
                              <w:rFonts w:ascii="Times New Roman" w:hAnsi="Times New Roman" w:cs="Times New Roman"/>
                              <w:b/>
                              <w:bCs/>
                              <w:color w:val="102F4C"/>
                              <w:sz w:val="32"/>
                              <w:szCs w:val="32"/>
                              <w:lang w:val="en-GB"/>
                            </w:rPr>
                          </w:pPr>
                          <w:r w:rsidRPr="00BC2BC2">
                            <w:rPr>
                              <w:rFonts w:ascii="Times New Roman" w:hAnsi="Times New Roman" w:cs="Times New Roman"/>
                              <w:b/>
                              <w:bCs/>
                              <w:color w:val="102F4C"/>
                              <w:sz w:val="32"/>
                              <w:szCs w:val="32"/>
                              <w:lang w:val="en-GB"/>
                            </w:rPr>
                            <w:t>Module code</w:t>
                          </w:r>
                          <w:r w:rsidRPr="00BC2BC2">
                            <w:rPr>
                              <w:rFonts w:ascii="Times New Roman" w:hAnsi="Times New Roman" w:cs="Times New Roman"/>
                              <w:color w:val="102F4C"/>
                              <w:sz w:val="32"/>
                              <w:szCs w:val="32"/>
                              <w:lang w:val="en-GB"/>
                            </w:rPr>
                            <w:t xml:space="preserve"> - LCBB4013</w:t>
                          </w:r>
                        </w:p>
                        <w:p w14:paraId="6CF071F4" w14:textId="77D4AB9C" w:rsidR="00DD5D8B" w:rsidRPr="00BC2BC2" w:rsidRDefault="00DD5D8B" w:rsidP="00DD5D8B">
                          <w:pPr>
                            <w:pStyle w:val="NoSpacing"/>
                            <w:spacing w:line="360" w:lineRule="auto"/>
                            <w:ind w:left="720"/>
                            <w:rPr>
                              <w:rFonts w:ascii="Times New Roman" w:hAnsi="Times New Roman" w:cs="Times New Roman"/>
                              <w:color w:val="102F4C"/>
                              <w:sz w:val="32"/>
                              <w:szCs w:val="32"/>
                              <w:lang w:val="en-GB"/>
                            </w:rPr>
                          </w:pPr>
                          <w:r w:rsidRPr="00BC2BC2">
                            <w:rPr>
                              <w:rFonts w:ascii="Times New Roman" w:hAnsi="Times New Roman" w:cs="Times New Roman"/>
                              <w:b/>
                              <w:bCs/>
                              <w:color w:val="102F4C"/>
                              <w:sz w:val="32"/>
                              <w:szCs w:val="32"/>
                              <w:lang w:val="en-GB"/>
                            </w:rPr>
                            <w:t>Module Name</w:t>
                          </w:r>
                          <w:r w:rsidRPr="00BC2BC2">
                            <w:rPr>
                              <w:rFonts w:ascii="Times New Roman" w:hAnsi="Times New Roman" w:cs="Times New Roman"/>
                              <w:color w:val="102F4C"/>
                              <w:sz w:val="32"/>
                              <w:szCs w:val="32"/>
                              <w:lang w:val="en-GB"/>
                            </w:rPr>
                            <w:t xml:space="preserve"> - Stakeholder Engagement </w:t>
                          </w:r>
                        </w:p>
                        <w:p w14:paraId="5F509500" w14:textId="77777777" w:rsidR="00DD5D8B" w:rsidRPr="00BC2BC2" w:rsidRDefault="00DD5D8B" w:rsidP="00DD5D8B">
                          <w:pPr>
                            <w:pStyle w:val="NoSpacing"/>
                            <w:spacing w:line="360" w:lineRule="auto"/>
                            <w:ind w:left="720"/>
                            <w:rPr>
                              <w:rFonts w:ascii="Times New Roman" w:hAnsi="Times New Roman" w:cs="Times New Roman"/>
                              <w:color w:val="102F4C"/>
                              <w:sz w:val="32"/>
                              <w:szCs w:val="32"/>
                              <w:lang w:val="en-GB"/>
                            </w:rPr>
                          </w:pPr>
                          <w:r w:rsidRPr="00BC2BC2">
                            <w:rPr>
                              <w:rFonts w:ascii="Times New Roman" w:hAnsi="Times New Roman" w:cs="Times New Roman"/>
                              <w:b/>
                              <w:bCs/>
                              <w:color w:val="102F4C"/>
                              <w:sz w:val="32"/>
                              <w:szCs w:val="32"/>
                              <w:lang w:val="en-GB"/>
                            </w:rPr>
                            <w:t>Lecturer’s Name</w:t>
                          </w:r>
                          <w:r w:rsidRPr="00BC2BC2">
                            <w:rPr>
                              <w:rFonts w:ascii="Times New Roman" w:hAnsi="Times New Roman" w:cs="Times New Roman"/>
                              <w:color w:val="102F4C"/>
                              <w:sz w:val="32"/>
                              <w:szCs w:val="32"/>
                              <w:lang w:val="en-GB"/>
                            </w:rPr>
                            <w:t xml:space="preserve"> - Ivan Rodriguez Hernandez</w:t>
                          </w:r>
                        </w:p>
                        <w:p w14:paraId="3171087A" w14:textId="4C165E77" w:rsidR="00DD5D8B" w:rsidRPr="00BC2BC2" w:rsidRDefault="00DD5D8B" w:rsidP="00DD5D8B">
                          <w:pPr>
                            <w:pStyle w:val="NoSpacing"/>
                            <w:spacing w:line="360" w:lineRule="auto"/>
                            <w:ind w:left="720"/>
                            <w:rPr>
                              <w:rFonts w:ascii="Times New Roman" w:hAnsi="Times New Roman" w:cs="Times New Roman"/>
                              <w:color w:val="102F4C"/>
                              <w:sz w:val="32"/>
                              <w:szCs w:val="32"/>
                              <w:lang w:val="en-GB"/>
                            </w:rPr>
                          </w:pPr>
                          <w:r w:rsidRPr="00BC2BC2">
                            <w:rPr>
                              <w:rFonts w:ascii="Times New Roman" w:hAnsi="Times New Roman" w:cs="Times New Roman"/>
                              <w:b/>
                              <w:bCs/>
                              <w:color w:val="102F4C"/>
                              <w:sz w:val="32"/>
                              <w:szCs w:val="32"/>
                              <w:lang w:val="en-GB"/>
                            </w:rPr>
                            <w:t>Student Name</w:t>
                          </w:r>
                          <w:r w:rsidRPr="00BC2BC2">
                            <w:rPr>
                              <w:rFonts w:ascii="Times New Roman" w:hAnsi="Times New Roman" w:cs="Times New Roman"/>
                              <w:color w:val="102F4C"/>
                              <w:sz w:val="32"/>
                              <w:szCs w:val="32"/>
                              <w:lang w:val="en-GB"/>
                            </w:rPr>
                            <w:t xml:space="preserve"> - </w:t>
                          </w:r>
                          <w:r w:rsidRPr="00BC2BC2">
                            <w:rPr>
                              <w:rFonts w:ascii="Times New Roman" w:hAnsi="Times New Roman" w:cs="Times New Roman"/>
                              <w:color w:val="102F4C"/>
                              <w:sz w:val="32"/>
                              <w:szCs w:val="32"/>
                            </w:rPr>
                            <w:t>Marian</w:t>
                          </w:r>
                          <w:r w:rsidRPr="00B277E9">
                            <w:rPr>
                              <w:rFonts w:ascii="Times New Roman" w:hAnsi="Times New Roman" w:cs="Times New Roman"/>
                              <w:color w:val="102F4C"/>
                              <w:sz w:val="32"/>
                              <w:szCs w:val="32"/>
                            </w:rPr>
                            <w:t xml:space="preserve"> </w:t>
                          </w:r>
                          <w:r w:rsidR="00BC2BC2" w:rsidRPr="00B277E9">
                            <w:rPr>
                              <w:rFonts w:ascii="Times New Roman" w:hAnsi="Times New Roman" w:cs="Times New Roman"/>
                              <w:color w:val="102F4C"/>
                              <w:sz w:val="32"/>
                              <w:szCs w:val="32"/>
                            </w:rPr>
                            <w:t>Emil Budica</w:t>
                          </w:r>
                        </w:p>
                        <w:p w14:paraId="585F043D" w14:textId="1D871156" w:rsidR="00DD5D8B" w:rsidRPr="00BC2BC2" w:rsidRDefault="00DD5D8B" w:rsidP="00DD5D8B">
                          <w:pPr>
                            <w:pStyle w:val="NoSpacing"/>
                            <w:spacing w:line="360" w:lineRule="auto"/>
                            <w:ind w:left="720"/>
                            <w:rPr>
                              <w:rFonts w:ascii="Times New Roman" w:hAnsi="Times New Roman" w:cs="Times New Roman"/>
                              <w:color w:val="102F4C"/>
                              <w:sz w:val="32"/>
                              <w:szCs w:val="32"/>
                            </w:rPr>
                          </w:pPr>
                          <w:r w:rsidRPr="00BC2BC2">
                            <w:rPr>
                              <w:rFonts w:ascii="Times New Roman" w:hAnsi="Times New Roman" w:cs="Times New Roman"/>
                              <w:b/>
                              <w:bCs/>
                              <w:color w:val="102F4C"/>
                              <w:sz w:val="32"/>
                              <w:szCs w:val="32"/>
                              <w:lang w:val="en-GB"/>
                            </w:rPr>
                            <w:t>Student Number</w:t>
                          </w:r>
                          <w:r w:rsidRPr="00BC2BC2">
                            <w:rPr>
                              <w:rFonts w:ascii="Times New Roman" w:hAnsi="Times New Roman" w:cs="Times New Roman"/>
                              <w:color w:val="102F4C"/>
                              <w:sz w:val="32"/>
                              <w:szCs w:val="32"/>
                              <w:lang w:val="en-GB"/>
                            </w:rPr>
                            <w:t xml:space="preserve"> - </w:t>
                          </w:r>
                          <w:r w:rsidR="00B277E9">
                            <w:rPr>
                              <w:rFonts w:ascii="Times New Roman" w:hAnsi="Times New Roman" w:cs="Times New Roman"/>
                              <w:color w:val="102F4C"/>
                              <w:sz w:val="32"/>
                              <w:szCs w:val="32"/>
                              <w:lang w:val="en-GB"/>
                            </w:rPr>
                            <w:t>2312379</w:t>
                          </w:r>
                          <w:r w:rsidRPr="00BC2BC2">
                            <w:rPr>
                              <w:rFonts w:ascii="Times New Roman" w:hAnsi="Times New Roman" w:cs="Times New Roman"/>
                              <w:color w:val="102F4C"/>
                              <w:sz w:val="32"/>
                              <w:szCs w:val="32"/>
                            </w:rPr>
                            <w:t xml:space="preserve"> </w:t>
                          </w:r>
                        </w:p>
                        <w:p w14:paraId="503282C8" w14:textId="66C4D4EE" w:rsidR="00DD5D8B" w:rsidRPr="00BC2BC2" w:rsidRDefault="00DD5D8B" w:rsidP="00DD5D8B">
                          <w:pPr>
                            <w:pStyle w:val="NoSpacing"/>
                            <w:spacing w:line="360" w:lineRule="auto"/>
                            <w:ind w:left="720"/>
                            <w:rPr>
                              <w:rFonts w:ascii="Times New Roman" w:hAnsi="Times New Roman" w:cs="Times New Roman"/>
                              <w:color w:val="102F4C"/>
                              <w:sz w:val="32"/>
                              <w:szCs w:val="32"/>
                              <w:lang w:val="en-GB"/>
                            </w:rPr>
                          </w:pPr>
                          <w:r w:rsidRPr="00BC2BC2">
                            <w:rPr>
                              <w:rFonts w:ascii="Times New Roman" w:hAnsi="Times New Roman" w:cs="Times New Roman"/>
                              <w:b/>
                              <w:color w:val="102F4C"/>
                              <w:sz w:val="32"/>
                              <w:szCs w:val="32"/>
                              <w:lang w:val="en-GB"/>
                            </w:rPr>
                            <w:t xml:space="preserve">Submission deadline </w:t>
                          </w:r>
                          <w:r w:rsidRPr="00BC2BC2">
                            <w:rPr>
                              <w:rFonts w:ascii="Times New Roman" w:hAnsi="Times New Roman" w:cs="Times New Roman"/>
                              <w:bCs/>
                              <w:color w:val="102F4C"/>
                              <w:sz w:val="32"/>
                              <w:szCs w:val="32"/>
                              <w:lang w:val="en-GB"/>
                            </w:rPr>
                            <w:t>- 21</w:t>
                          </w:r>
                          <w:r w:rsidRPr="00BC2BC2">
                            <w:rPr>
                              <w:rFonts w:ascii="Times New Roman" w:hAnsi="Times New Roman" w:cs="Times New Roman"/>
                              <w:bCs/>
                              <w:color w:val="102F4C"/>
                              <w:sz w:val="32"/>
                              <w:szCs w:val="32"/>
                              <w:vertAlign w:val="superscript"/>
                              <w:lang w:val="en-GB"/>
                            </w:rPr>
                            <w:t>st</w:t>
                          </w:r>
                          <w:r w:rsidRPr="00BC2BC2">
                            <w:rPr>
                              <w:rFonts w:ascii="Times New Roman" w:hAnsi="Times New Roman" w:cs="Times New Roman"/>
                              <w:bCs/>
                              <w:color w:val="102F4C"/>
                              <w:sz w:val="32"/>
                              <w:szCs w:val="32"/>
                              <w:lang w:val="en-GB"/>
                            </w:rPr>
                            <w:t xml:space="preserve"> November 2025   </w:t>
                          </w:r>
                        </w:p>
                        <w:p w14:paraId="7AAE8508" w14:textId="40E41504" w:rsidR="00CB248C" w:rsidRPr="00EF7B02" w:rsidRDefault="00CB248C">
                          <w:pPr>
                            <w:pStyle w:val="NoSpacing"/>
                            <w:rPr>
                              <w:color w:val="156082" w:themeColor="accent1"/>
                              <w:sz w:val="26"/>
                              <w:szCs w:val="26"/>
                            </w:rPr>
                          </w:pPr>
                        </w:p>
                      </w:txbxContent>
                    </v:textbox>
                    <w10:wrap anchorx="page" anchory="page"/>
                  </v:shape>
                </w:pict>
              </mc:Fallback>
            </mc:AlternateContent>
          </w:r>
          <w:r w:rsidR="00EF7B02">
            <w:rPr>
              <w:noProof/>
            </w:rPr>
            <mc:AlternateContent>
              <mc:Choice Requires="wps">
                <w:drawing>
                  <wp:anchor distT="0" distB="0" distL="114300" distR="114300" simplePos="0" relativeHeight="251660288" behindDoc="0" locked="0" layoutInCell="1" allowOverlap="1" wp14:anchorId="02FEACF7" wp14:editId="328CAC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007458" cy="1069848"/>
                    <wp:effectExtent l="0" t="0" r="12700" b="0"/>
                    <wp:wrapNone/>
                    <wp:docPr id="1" name="Text Box 30"/>
                    <wp:cNvGraphicFramePr/>
                    <a:graphic xmlns:a="http://schemas.openxmlformats.org/drawingml/2006/main">
                      <a:graphicData uri="http://schemas.microsoft.com/office/word/2010/wordprocessingShape">
                        <wps:wsp>
                          <wps:cNvSpPr txBox="1"/>
                          <wps:spPr>
                            <a:xfrm>
                              <a:off x="0" y="0"/>
                              <a:ext cx="4007458"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989CC7" w14:textId="320A273C" w:rsidR="00CB248C" w:rsidRPr="00B277E9" w:rsidRDefault="00000000" w:rsidP="00194CEC">
                                <w:pPr>
                                  <w:pStyle w:val="NoSpacing"/>
                                  <w:jc w:val="center"/>
                                  <w:rPr>
                                    <w:rFonts w:ascii="Times New Roman" w:eastAsiaTheme="majorEastAsia" w:hAnsi="Times New Roman" w:cs="Times New Roman"/>
                                    <w:color w:val="262626" w:themeColor="text1" w:themeTint="D9"/>
                                    <w:sz w:val="40"/>
                                    <w:szCs w:val="40"/>
                                  </w:rPr>
                                </w:pPr>
                                <w:sdt>
                                  <w:sdtPr>
                                    <w:rPr>
                                      <w:rFonts w:ascii="Times New Roman" w:eastAsiaTheme="majorEastAsia" w:hAnsi="Times New Roman" w:cs="Times New Roman"/>
                                      <w:b/>
                                      <w:color w:val="0E2841" w:themeColor="text2"/>
                                      <w:spacing w:val="-10"/>
                                      <w:kern w:val="28"/>
                                      <w:sz w:val="40"/>
                                      <w:szCs w:val="40"/>
                                      <w:lang w:val="en"/>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F7B02" w:rsidRPr="00B277E9">
                                      <w:rPr>
                                        <w:rFonts w:ascii="Times New Roman" w:hAnsi="Times New Roman" w:cs="Times New Roman"/>
                                        <w:b/>
                                        <w:color w:val="0E2841" w:themeColor="text2"/>
                                        <w:spacing w:val="-10"/>
                                        <w:kern w:val="28"/>
                                        <w:sz w:val="40"/>
                                        <w:szCs w:val="40"/>
                                        <w:lang w:val="en"/>
                                        <w14:ligatures w14:val="standardContextual"/>
                                      </w:rPr>
                                      <w:t>Hanley Community Green Centre.</w:t>
                                    </w:r>
                                  </w:sdtContent>
                                </w:sdt>
                              </w:p>
                              <w:p w14:paraId="29C364A6" w14:textId="36A95E88" w:rsidR="00CB248C" w:rsidRPr="00B277E9" w:rsidRDefault="00000000" w:rsidP="00194CEC">
                                <w:pPr>
                                  <w:spacing w:before="120"/>
                                  <w:jc w:val="center"/>
                                  <w:rPr>
                                    <w:rFonts w:ascii="Times New Roman" w:hAnsi="Times New Roman" w:cs="Times New Roman"/>
                                    <w:b/>
                                    <w:bCs/>
                                    <w:color w:val="0A2F41" w:themeColor="accent1" w:themeShade="80"/>
                                    <w:sz w:val="40"/>
                                    <w:szCs w:val="40"/>
                                  </w:rPr>
                                </w:pPr>
                                <w:sdt>
                                  <w:sdtPr>
                                    <w:rPr>
                                      <w:rFonts w:ascii="Times New Roman" w:hAnsi="Times New Roman" w:cs="Times New Roman"/>
                                      <w:b/>
                                      <w:bCs/>
                                      <w:color w:val="0A2F41" w:themeColor="accent1" w:themeShade="80"/>
                                      <w:kern w:val="0"/>
                                      <w:sz w:val="40"/>
                                      <w:szCs w:val="40"/>
                                      <w:lang w:val="en"/>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F7B02" w:rsidRPr="00B277E9">
                                      <w:rPr>
                                        <w:rFonts w:ascii="Times New Roman" w:hAnsi="Times New Roman" w:cs="Times New Roman"/>
                                        <w:b/>
                                        <w:bCs/>
                                        <w:color w:val="0A2F41" w:themeColor="accent1" w:themeShade="80"/>
                                        <w:kern w:val="0"/>
                                        <w:sz w:val="40"/>
                                        <w:szCs w:val="40"/>
                                        <w:lang w:val="en"/>
                                        <w14:ligatures w14:val="none"/>
                                      </w:rPr>
                                      <w:t>Community project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2FEACF7" id="Text Box 30" o:spid="_x0000_s1056" type="#_x0000_t202" style="position:absolute;margin-left:0;margin-top:0;width:315.5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j2dZAIAADUFAAAOAAAAZHJzL2Uyb0RvYy54bWysVN9v0zAQfkfif7D8TpOWrYxq6VQ2FSFV&#10;28SG9uw6dhvh+Ix9bVL++p2dpJ0GL0O8OBffd9/99uVVWxu2Vz5UYAs+HuWcKSuhrOym4D8elx8u&#10;OAsobCkMWFXwgwr8av7+3WXjZmoCWzCl8oxIbJg1ruBbRDfLsiC3qhZhBE5ZUmrwtUD69Zus9KIh&#10;9tpkkzyfZg340nmQKgS6vemUfJ74tVYS77QOCpkpOMWG6fTpXMczm1+K2cYLt61kH4b4hyhqUVly&#10;eqS6ESjYzld/UNWV9BBA40hCnYHWlVQpB8pmnL/K5mErnEq5UHGCO5Yp/D9aebt/cPeeYfsFWmpg&#10;LEjjwizQZcyn1b6OX4qUkZ5KeDiWTbXIJF2e5fmns3NqtCTdOJ9+vji7iDzZydz5gF8V1CwKBffU&#10;l1QusV8F7KADJHqzsKyMSb0xljUFn348z5PBUUPkxkasSl3uaU6hJwkPRkWMsd+VZlWZMogXab7U&#10;tfFsL2gyhJTKYko+8RI6ojQF8RbDHn+K6i3GXR6DZ7B4NK4rCz5l/yrs8ucQsu7wVPMXeUcR23VL&#10;iRd8MnR2DeWBGu6h24Xg5LKipqxEwHvhafipx7TQeEeHNkDFh17ibAv+99/uI55mkrScNbRMBQ+/&#10;dsIrzsw3S9MaN28Q/CCsB8Hu6mugLozpqXAyiWTg0Qyi9lA/0Z4vohdSCSvJV8FxEK+xW2l6J6Ra&#10;LBKI9ssJXNkHJyN1bEocscf2SXjXzyHSCN/CsGZi9mocO2y0tLDYIegqzWqsa1fFvt60m2na+3ck&#10;Lv/L/4Q6vXbzZwAAAP//AwBQSwMEFAAGAAgAAAAhANSufkPbAAAABQEAAA8AAABkcnMvZG93bnJl&#10;di54bWxMj09Lw0AQxe+C32EZwZvdxGIoMZtSxT94sdgKXqfZMYlmZ0N208Rv7+hFLw+G93jvN8V6&#10;dp060hBazwbSRQKKuPK25drA6/7+YgUqRGSLnWcy8EUB1uXpSYG59RO/0HEXayUlHHI00MTY51qH&#10;qiGHYeF7YvHe/eAwyjnU2g44Sbnr9GWSZNphy7LQYE+3DVWfu9EZqEa/YX6an6d2Sw/7j5ulvnt8&#10;M+b8bN5cg4o0x78w/OALOpTCdPAj26A6A/JI/FXxsmWagjpIKFtdgS4L/Z++/AYAAP//AwBQSwEC&#10;LQAUAAYACAAAACEAtoM4kv4AAADhAQAAEwAAAAAAAAAAAAAAAAAAAAAAW0NvbnRlbnRfVHlwZXNd&#10;LnhtbFBLAQItABQABgAIAAAAIQA4/SH/1gAAAJQBAAALAAAAAAAAAAAAAAAAAC8BAABfcmVscy8u&#10;cmVsc1BLAQItABQABgAIAAAAIQCg6j2dZAIAADUFAAAOAAAAAAAAAAAAAAAAAC4CAABkcnMvZTJv&#10;RG9jLnhtbFBLAQItABQABgAIAAAAIQDUrn5D2wAAAAUBAAAPAAAAAAAAAAAAAAAAAL4EAABkcnMv&#10;ZG93bnJldi54bWxQSwUGAAAAAAQABADzAAAAxgUAAAAA&#10;" filled="f" stroked="f" strokeweight=".5pt">
                    <v:textbox inset="0,0,0,0">
                      <w:txbxContent>
                        <w:p w14:paraId="70989CC7" w14:textId="320A273C" w:rsidR="00CB248C" w:rsidRPr="00B277E9" w:rsidRDefault="00000000" w:rsidP="00194CEC">
                          <w:pPr>
                            <w:pStyle w:val="NoSpacing"/>
                            <w:jc w:val="center"/>
                            <w:rPr>
                              <w:rFonts w:ascii="Times New Roman" w:eastAsiaTheme="majorEastAsia" w:hAnsi="Times New Roman" w:cs="Times New Roman"/>
                              <w:color w:val="262626" w:themeColor="text1" w:themeTint="D9"/>
                              <w:sz w:val="40"/>
                              <w:szCs w:val="40"/>
                            </w:rPr>
                          </w:pPr>
                          <w:sdt>
                            <w:sdtPr>
                              <w:rPr>
                                <w:rFonts w:ascii="Times New Roman" w:eastAsiaTheme="majorEastAsia" w:hAnsi="Times New Roman" w:cs="Times New Roman"/>
                                <w:b/>
                                <w:color w:val="0E2841" w:themeColor="text2"/>
                                <w:spacing w:val="-10"/>
                                <w:kern w:val="28"/>
                                <w:sz w:val="40"/>
                                <w:szCs w:val="40"/>
                                <w:lang w:val="en"/>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F7B02" w:rsidRPr="00B277E9">
                                <w:rPr>
                                  <w:rFonts w:ascii="Times New Roman" w:hAnsi="Times New Roman" w:cs="Times New Roman"/>
                                  <w:b/>
                                  <w:color w:val="0E2841" w:themeColor="text2"/>
                                  <w:spacing w:val="-10"/>
                                  <w:kern w:val="28"/>
                                  <w:sz w:val="40"/>
                                  <w:szCs w:val="40"/>
                                  <w:lang w:val="en"/>
                                  <w14:ligatures w14:val="standardContextual"/>
                                </w:rPr>
                                <w:t>Hanley Community Green Centre.</w:t>
                              </w:r>
                            </w:sdtContent>
                          </w:sdt>
                        </w:p>
                        <w:p w14:paraId="29C364A6" w14:textId="36A95E88" w:rsidR="00CB248C" w:rsidRPr="00B277E9" w:rsidRDefault="00000000" w:rsidP="00194CEC">
                          <w:pPr>
                            <w:spacing w:before="120"/>
                            <w:jc w:val="center"/>
                            <w:rPr>
                              <w:rFonts w:ascii="Times New Roman" w:hAnsi="Times New Roman" w:cs="Times New Roman"/>
                              <w:b/>
                              <w:bCs/>
                              <w:color w:val="0A2F41" w:themeColor="accent1" w:themeShade="80"/>
                              <w:sz w:val="40"/>
                              <w:szCs w:val="40"/>
                            </w:rPr>
                          </w:pPr>
                          <w:sdt>
                            <w:sdtPr>
                              <w:rPr>
                                <w:rFonts w:ascii="Times New Roman" w:hAnsi="Times New Roman" w:cs="Times New Roman"/>
                                <w:b/>
                                <w:bCs/>
                                <w:color w:val="0A2F41" w:themeColor="accent1" w:themeShade="80"/>
                                <w:kern w:val="0"/>
                                <w:sz w:val="40"/>
                                <w:szCs w:val="40"/>
                                <w:lang w:val="en"/>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F7B02" w:rsidRPr="00B277E9">
                                <w:rPr>
                                  <w:rFonts w:ascii="Times New Roman" w:hAnsi="Times New Roman" w:cs="Times New Roman"/>
                                  <w:b/>
                                  <w:bCs/>
                                  <w:color w:val="0A2F41" w:themeColor="accent1" w:themeShade="80"/>
                                  <w:kern w:val="0"/>
                                  <w:sz w:val="40"/>
                                  <w:szCs w:val="40"/>
                                  <w:lang w:val="en"/>
                                  <w14:ligatures w14:val="none"/>
                                </w:rPr>
                                <w:t>Community project</w:t>
                              </w:r>
                            </w:sdtContent>
                          </w:sdt>
                        </w:p>
                      </w:txbxContent>
                    </v:textbox>
                    <w10:wrap anchorx="page" anchory="page"/>
                  </v:shape>
                </w:pict>
              </mc:Fallback>
            </mc:AlternateContent>
          </w:r>
          <w:r w:rsidR="00CB248C">
            <w:rPr>
              <w:b/>
              <w:bCs/>
            </w:rPr>
            <w:br w:type="page"/>
          </w:r>
        </w:p>
      </w:sdtContent>
    </w:sdt>
    <w:sdt>
      <w:sdtPr>
        <w:rPr>
          <w:rFonts w:ascii="Times New Roman" w:eastAsiaTheme="minorHAnsi" w:hAnsi="Times New Roman" w:cs="Times New Roman"/>
          <w:color w:val="auto"/>
          <w:kern w:val="2"/>
          <w:sz w:val="24"/>
          <w:szCs w:val="24"/>
          <w:lang w:val="en-GB"/>
          <w14:ligatures w14:val="standardContextual"/>
        </w:rPr>
        <w:id w:val="-433675706"/>
        <w:docPartObj>
          <w:docPartGallery w:val="Table of Contents"/>
          <w:docPartUnique/>
        </w:docPartObj>
      </w:sdtPr>
      <w:sdtEndPr>
        <w:rPr>
          <w:b/>
          <w:bCs/>
          <w:noProof/>
          <w:color w:val="000000" w:themeColor="text1"/>
        </w:rPr>
      </w:sdtEndPr>
      <w:sdtContent>
        <w:p w14:paraId="1D44D1F8" w14:textId="22F20A44" w:rsidR="00CB248C" w:rsidRPr="00BC2BC2" w:rsidRDefault="00CB248C">
          <w:pPr>
            <w:pStyle w:val="TOCHeading"/>
            <w:rPr>
              <w:rFonts w:ascii="Times New Roman" w:hAnsi="Times New Roman" w:cs="Times New Roman"/>
              <w:sz w:val="24"/>
              <w:szCs w:val="24"/>
            </w:rPr>
          </w:pPr>
          <w:r w:rsidRPr="00BC2BC2">
            <w:rPr>
              <w:rFonts w:ascii="Times New Roman" w:hAnsi="Times New Roman" w:cs="Times New Roman"/>
              <w:sz w:val="24"/>
              <w:szCs w:val="24"/>
            </w:rPr>
            <w:t>Contents</w:t>
          </w:r>
        </w:p>
        <w:p w14:paraId="765B11C1" w14:textId="60C10923" w:rsidR="00134FF5" w:rsidRPr="00BC2BC2" w:rsidRDefault="00CB248C">
          <w:pPr>
            <w:pStyle w:val="TOC1"/>
            <w:tabs>
              <w:tab w:val="right" w:leader="dot" w:pos="9016"/>
            </w:tabs>
            <w:rPr>
              <w:rFonts w:ascii="Times New Roman" w:eastAsiaTheme="minorEastAsia" w:hAnsi="Times New Roman" w:cs="Times New Roman"/>
              <w:noProof/>
              <w:lang w:eastAsia="en-GB"/>
            </w:rPr>
          </w:pPr>
          <w:r w:rsidRPr="00BC2BC2">
            <w:rPr>
              <w:rFonts w:ascii="Times New Roman" w:hAnsi="Times New Roman" w:cs="Times New Roman"/>
              <w:color w:val="000000" w:themeColor="text1"/>
            </w:rPr>
            <w:fldChar w:fldCharType="begin"/>
          </w:r>
          <w:r w:rsidRPr="00BC2BC2">
            <w:rPr>
              <w:rFonts w:ascii="Times New Roman" w:hAnsi="Times New Roman" w:cs="Times New Roman"/>
              <w:color w:val="000000" w:themeColor="text1"/>
            </w:rPr>
            <w:instrText xml:space="preserve"> TOC \o "1-3" \h \z \u </w:instrText>
          </w:r>
          <w:r w:rsidRPr="00BC2BC2">
            <w:rPr>
              <w:rFonts w:ascii="Times New Roman" w:hAnsi="Times New Roman" w:cs="Times New Roman"/>
              <w:color w:val="000000" w:themeColor="text1"/>
            </w:rPr>
            <w:fldChar w:fldCharType="separate"/>
          </w:r>
          <w:hyperlink w:anchor="_Toc214073136" w:history="1">
            <w:r w:rsidR="00134FF5" w:rsidRPr="00BC2BC2">
              <w:rPr>
                <w:rStyle w:val="Hyperlink"/>
                <w:rFonts w:ascii="Times New Roman" w:hAnsi="Times New Roman" w:cs="Times New Roman"/>
                <w:noProof/>
              </w:rPr>
              <w:t>1. Introduction.</w:t>
            </w:r>
            <w:r w:rsidR="00134FF5" w:rsidRPr="00BC2BC2">
              <w:rPr>
                <w:rFonts w:ascii="Times New Roman" w:hAnsi="Times New Roman" w:cs="Times New Roman"/>
                <w:noProof/>
                <w:webHidden/>
              </w:rPr>
              <w:tab/>
            </w:r>
            <w:r w:rsidR="00134FF5" w:rsidRPr="00BC2BC2">
              <w:rPr>
                <w:rFonts w:ascii="Times New Roman" w:hAnsi="Times New Roman" w:cs="Times New Roman"/>
                <w:noProof/>
                <w:webHidden/>
              </w:rPr>
              <w:fldChar w:fldCharType="begin"/>
            </w:r>
            <w:r w:rsidR="00134FF5" w:rsidRPr="00BC2BC2">
              <w:rPr>
                <w:rFonts w:ascii="Times New Roman" w:hAnsi="Times New Roman" w:cs="Times New Roman"/>
                <w:noProof/>
                <w:webHidden/>
              </w:rPr>
              <w:instrText xml:space="preserve"> PAGEREF _Toc214073136 \h </w:instrText>
            </w:r>
            <w:r w:rsidR="00134FF5" w:rsidRPr="00BC2BC2">
              <w:rPr>
                <w:rFonts w:ascii="Times New Roman" w:hAnsi="Times New Roman" w:cs="Times New Roman"/>
                <w:noProof/>
                <w:webHidden/>
              </w:rPr>
            </w:r>
            <w:r w:rsidR="00134FF5" w:rsidRPr="00BC2BC2">
              <w:rPr>
                <w:rFonts w:ascii="Times New Roman" w:hAnsi="Times New Roman" w:cs="Times New Roman"/>
                <w:noProof/>
                <w:webHidden/>
              </w:rPr>
              <w:fldChar w:fldCharType="separate"/>
            </w:r>
            <w:r w:rsidR="00134FF5" w:rsidRPr="00BC2BC2">
              <w:rPr>
                <w:rFonts w:ascii="Times New Roman" w:hAnsi="Times New Roman" w:cs="Times New Roman"/>
                <w:noProof/>
                <w:webHidden/>
              </w:rPr>
              <w:t>2</w:t>
            </w:r>
            <w:r w:rsidR="00134FF5" w:rsidRPr="00BC2BC2">
              <w:rPr>
                <w:rFonts w:ascii="Times New Roman" w:hAnsi="Times New Roman" w:cs="Times New Roman"/>
                <w:noProof/>
                <w:webHidden/>
              </w:rPr>
              <w:fldChar w:fldCharType="end"/>
            </w:r>
          </w:hyperlink>
        </w:p>
        <w:p w14:paraId="1EC52109" w14:textId="6960D4F8" w:rsidR="00134FF5" w:rsidRPr="00BC2BC2" w:rsidRDefault="00134FF5">
          <w:pPr>
            <w:pStyle w:val="TOC1"/>
            <w:tabs>
              <w:tab w:val="right" w:leader="dot" w:pos="9016"/>
            </w:tabs>
            <w:rPr>
              <w:rFonts w:ascii="Times New Roman" w:eastAsiaTheme="minorEastAsia" w:hAnsi="Times New Roman" w:cs="Times New Roman"/>
              <w:noProof/>
              <w:lang w:eastAsia="en-GB"/>
            </w:rPr>
          </w:pPr>
          <w:hyperlink w:anchor="_Toc214073137" w:history="1">
            <w:r w:rsidRPr="00BC2BC2">
              <w:rPr>
                <w:rStyle w:val="Hyperlink"/>
                <w:rFonts w:ascii="Times New Roman" w:hAnsi="Times New Roman" w:cs="Times New Roman"/>
                <w:noProof/>
              </w:rPr>
              <w:t>2. Stakeholder Engagement Strategies</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_Toc214073137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5</w:t>
            </w:r>
            <w:r w:rsidRPr="00BC2BC2">
              <w:rPr>
                <w:rFonts w:ascii="Times New Roman" w:hAnsi="Times New Roman" w:cs="Times New Roman"/>
                <w:noProof/>
                <w:webHidden/>
              </w:rPr>
              <w:fldChar w:fldCharType="end"/>
            </w:r>
          </w:hyperlink>
        </w:p>
        <w:p w14:paraId="0B911CEE" w14:textId="0BDF8176"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38" w:history="1">
            <w:r w:rsidRPr="00BC2BC2">
              <w:rPr>
                <w:rStyle w:val="Hyperlink"/>
                <w:rFonts w:ascii="Times New Roman" w:hAnsi="Times New Roman" w:cs="Times New Roman"/>
                <w:noProof/>
              </w:rPr>
              <w:t>2.1 Stakeholder Identification and Analysis</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_Toc214073138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5</w:t>
            </w:r>
            <w:r w:rsidRPr="00BC2BC2">
              <w:rPr>
                <w:rFonts w:ascii="Times New Roman" w:hAnsi="Times New Roman" w:cs="Times New Roman"/>
                <w:noProof/>
                <w:webHidden/>
              </w:rPr>
              <w:fldChar w:fldCharType="end"/>
            </w:r>
          </w:hyperlink>
        </w:p>
        <w:p w14:paraId="590F94F3" w14:textId="67FCF686"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39" w:history="1">
            <w:r w:rsidRPr="00BC2BC2">
              <w:rPr>
                <w:rStyle w:val="Hyperlink"/>
                <w:rFonts w:ascii="Times New Roman" w:hAnsi="Times New Roman" w:cs="Times New Roman"/>
                <w:noProof/>
              </w:rPr>
              <w:t>2.2 Stakeholder Mapping</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_Toc214073139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6</w:t>
            </w:r>
            <w:r w:rsidRPr="00BC2BC2">
              <w:rPr>
                <w:rFonts w:ascii="Times New Roman" w:hAnsi="Times New Roman" w:cs="Times New Roman"/>
                <w:noProof/>
                <w:webHidden/>
              </w:rPr>
              <w:fldChar w:fldCharType="end"/>
            </w:r>
          </w:hyperlink>
        </w:p>
        <w:p w14:paraId="45D21AD9" w14:textId="2DA0D127"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40" w:history="1">
            <w:r w:rsidRPr="00BC2BC2">
              <w:rPr>
                <w:rStyle w:val="Hyperlink"/>
                <w:rFonts w:ascii="Times New Roman" w:hAnsi="Times New Roman" w:cs="Times New Roman"/>
                <w:noProof/>
              </w:rPr>
              <w:t>2.3 Engagement Frameworks and Consultation Design</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_Toc214073140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7</w:t>
            </w:r>
            <w:r w:rsidRPr="00BC2BC2">
              <w:rPr>
                <w:rFonts w:ascii="Times New Roman" w:hAnsi="Times New Roman" w:cs="Times New Roman"/>
                <w:noProof/>
                <w:webHidden/>
              </w:rPr>
              <w:fldChar w:fldCharType="end"/>
            </w:r>
          </w:hyperlink>
        </w:p>
        <w:p w14:paraId="285CD83E" w14:textId="79BFDC09"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41" w:history="1">
            <w:r w:rsidRPr="00BC2BC2">
              <w:rPr>
                <w:rStyle w:val="Hyperlink"/>
                <w:rFonts w:ascii="Times New Roman" w:hAnsi="Times New Roman" w:cs="Times New Roman"/>
                <w:noProof/>
              </w:rPr>
              <w:t>2.4 Communication and Information-Sharing Plan</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_Toc214073141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7</w:t>
            </w:r>
            <w:r w:rsidRPr="00BC2BC2">
              <w:rPr>
                <w:rFonts w:ascii="Times New Roman" w:hAnsi="Times New Roman" w:cs="Times New Roman"/>
                <w:noProof/>
                <w:webHidden/>
              </w:rPr>
              <w:fldChar w:fldCharType="end"/>
            </w:r>
          </w:hyperlink>
        </w:p>
        <w:p w14:paraId="0CE07B19" w14:textId="06453FC2"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42" w:history="1">
            <w:r w:rsidRPr="00BC2BC2">
              <w:rPr>
                <w:rStyle w:val="Hyperlink"/>
                <w:rFonts w:ascii="Times New Roman" w:hAnsi="Times New Roman" w:cs="Times New Roman"/>
                <w:noProof/>
              </w:rPr>
              <w:t>2.5 Mind Mapping and Project Coordination</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_Toc214073142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8</w:t>
            </w:r>
            <w:r w:rsidRPr="00BC2BC2">
              <w:rPr>
                <w:rFonts w:ascii="Times New Roman" w:hAnsi="Times New Roman" w:cs="Times New Roman"/>
                <w:noProof/>
                <w:webHidden/>
              </w:rPr>
              <w:fldChar w:fldCharType="end"/>
            </w:r>
          </w:hyperlink>
        </w:p>
        <w:p w14:paraId="1ADF26E1" w14:textId="25634133"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43" w:history="1">
            <w:r w:rsidRPr="00BC2BC2">
              <w:rPr>
                <w:rStyle w:val="Hyperlink"/>
                <w:rFonts w:ascii="Times New Roman" w:hAnsi="Times New Roman" w:cs="Times New Roman"/>
                <w:noProof/>
              </w:rPr>
              <w:t>2.6 Corporate Social Responsibility and Local Partnerships.</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_Toc214073143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9</w:t>
            </w:r>
            <w:r w:rsidRPr="00BC2BC2">
              <w:rPr>
                <w:rFonts w:ascii="Times New Roman" w:hAnsi="Times New Roman" w:cs="Times New Roman"/>
                <w:noProof/>
                <w:webHidden/>
              </w:rPr>
              <w:fldChar w:fldCharType="end"/>
            </w:r>
          </w:hyperlink>
        </w:p>
        <w:p w14:paraId="7DE3536F" w14:textId="2B3DA675"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44" w:history="1">
            <w:r w:rsidRPr="00BC2BC2">
              <w:rPr>
                <w:rStyle w:val="Hyperlink"/>
                <w:rFonts w:ascii="Times New Roman" w:hAnsi="Times New Roman" w:cs="Times New Roman"/>
                <w:noProof/>
              </w:rPr>
              <w:t>2.7 Monitoring, Evaluation, and Continuous Improvement.</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_Toc214073144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9</w:t>
            </w:r>
            <w:r w:rsidRPr="00BC2BC2">
              <w:rPr>
                <w:rFonts w:ascii="Times New Roman" w:hAnsi="Times New Roman" w:cs="Times New Roman"/>
                <w:noProof/>
                <w:webHidden/>
              </w:rPr>
              <w:fldChar w:fldCharType="end"/>
            </w:r>
          </w:hyperlink>
        </w:p>
        <w:p w14:paraId="1504D764" w14:textId="28A66655" w:rsidR="00134FF5" w:rsidRPr="00BC2BC2" w:rsidRDefault="00134FF5">
          <w:pPr>
            <w:pStyle w:val="TOC1"/>
            <w:tabs>
              <w:tab w:val="right" w:leader="dot" w:pos="9016"/>
            </w:tabs>
            <w:rPr>
              <w:rFonts w:ascii="Times New Roman" w:eastAsiaTheme="minorEastAsia" w:hAnsi="Times New Roman" w:cs="Times New Roman"/>
              <w:noProof/>
              <w:lang w:eastAsia="en-GB"/>
            </w:rPr>
          </w:pPr>
          <w:hyperlink w:anchor="_Toc214073145" w:history="1">
            <w:r w:rsidRPr="00BC2BC2">
              <w:rPr>
                <w:rStyle w:val="Hyperlink"/>
                <w:rFonts w:ascii="Times New Roman" w:hAnsi="Times New Roman" w:cs="Times New Roman"/>
                <w:noProof/>
              </w:rPr>
              <w:t>3. Ethical Considerations in Consultation, Participation, and Feedback.</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_Toc214073145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10</w:t>
            </w:r>
            <w:r w:rsidRPr="00BC2BC2">
              <w:rPr>
                <w:rFonts w:ascii="Times New Roman" w:hAnsi="Times New Roman" w:cs="Times New Roman"/>
                <w:noProof/>
                <w:webHidden/>
              </w:rPr>
              <w:fldChar w:fldCharType="end"/>
            </w:r>
          </w:hyperlink>
        </w:p>
        <w:p w14:paraId="75C7D9C9" w14:textId="3310C198"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46" w:history="1">
            <w:r w:rsidRPr="00BC2BC2">
              <w:rPr>
                <w:rStyle w:val="Hyperlink"/>
                <w:rFonts w:ascii="Times New Roman" w:hAnsi="Times New Roman" w:cs="Times New Roman"/>
                <w:noProof/>
              </w:rPr>
              <w:t>3.1 Ethical Framework and Guiding Principles.</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_Toc214073146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10</w:t>
            </w:r>
            <w:r w:rsidRPr="00BC2BC2">
              <w:rPr>
                <w:rFonts w:ascii="Times New Roman" w:hAnsi="Times New Roman" w:cs="Times New Roman"/>
                <w:noProof/>
                <w:webHidden/>
              </w:rPr>
              <w:fldChar w:fldCharType="end"/>
            </w:r>
          </w:hyperlink>
        </w:p>
        <w:p w14:paraId="0EFAF8A5" w14:textId="6FF305EC"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47" w:history="1">
            <w:r w:rsidRPr="00BC2BC2">
              <w:rPr>
                <w:rStyle w:val="Hyperlink"/>
                <w:rFonts w:ascii="Times New Roman" w:hAnsi="Times New Roman" w:cs="Times New Roman"/>
                <w:noProof/>
              </w:rPr>
              <w:t>3.2 Informed Consent and Data Protection.</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_Toc214073147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11</w:t>
            </w:r>
            <w:r w:rsidRPr="00BC2BC2">
              <w:rPr>
                <w:rFonts w:ascii="Times New Roman" w:hAnsi="Times New Roman" w:cs="Times New Roman"/>
                <w:noProof/>
                <w:webHidden/>
              </w:rPr>
              <w:fldChar w:fldCharType="end"/>
            </w:r>
          </w:hyperlink>
        </w:p>
        <w:p w14:paraId="4D2198E6" w14:textId="049BA768"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48" w:history="1">
            <w:r w:rsidRPr="00BC2BC2">
              <w:rPr>
                <w:rStyle w:val="Hyperlink"/>
                <w:rFonts w:ascii="Times New Roman" w:hAnsi="Times New Roman" w:cs="Times New Roman"/>
                <w:noProof/>
              </w:rPr>
              <w:t>3.3 Addressing Bias and Ensuring Representation.</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_Toc214073148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11</w:t>
            </w:r>
            <w:r w:rsidRPr="00BC2BC2">
              <w:rPr>
                <w:rFonts w:ascii="Times New Roman" w:hAnsi="Times New Roman" w:cs="Times New Roman"/>
                <w:noProof/>
                <w:webHidden/>
              </w:rPr>
              <w:fldChar w:fldCharType="end"/>
            </w:r>
          </w:hyperlink>
        </w:p>
        <w:p w14:paraId="1CF389EC" w14:textId="38075B7B"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49" w:history="1">
            <w:r w:rsidRPr="00BC2BC2">
              <w:rPr>
                <w:rStyle w:val="Hyperlink"/>
                <w:rFonts w:ascii="Times New Roman" w:hAnsi="Times New Roman" w:cs="Times New Roman"/>
                <w:noProof/>
              </w:rPr>
              <w:t>3.4 Diversity, Equity, and Inclusion (DEI).</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_Toc214073149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11</w:t>
            </w:r>
            <w:r w:rsidRPr="00BC2BC2">
              <w:rPr>
                <w:rFonts w:ascii="Times New Roman" w:hAnsi="Times New Roman" w:cs="Times New Roman"/>
                <w:noProof/>
                <w:webHidden/>
              </w:rPr>
              <w:fldChar w:fldCharType="end"/>
            </w:r>
          </w:hyperlink>
        </w:p>
        <w:p w14:paraId="45FED875" w14:textId="2174CDEF"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50" w:history="1">
            <w:r w:rsidRPr="00BC2BC2">
              <w:rPr>
                <w:rStyle w:val="Hyperlink"/>
                <w:rFonts w:ascii="Times New Roman" w:hAnsi="Times New Roman" w:cs="Times New Roman"/>
                <w:noProof/>
              </w:rPr>
              <w:t>3.5 Transparency, Accountability, and Feedback Mechanisms.</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_Toc214073150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12</w:t>
            </w:r>
            <w:r w:rsidRPr="00BC2BC2">
              <w:rPr>
                <w:rFonts w:ascii="Times New Roman" w:hAnsi="Times New Roman" w:cs="Times New Roman"/>
                <w:noProof/>
                <w:webHidden/>
              </w:rPr>
              <w:fldChar w:fldCharType="end"/>
            </w:r>
          </w:hyperlink>
        </w:p>
        <w:p w14:paraId="5CC2E368" w14:textId="2EB25097"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51" w:history="1">
            <w:r w:rsidRPr="00BC2BC2">
              <w:rPr>
                <w:rStyle w:val="Hyperlink"/>
                <w:rFonts w:ascii="Times New Roman" w:hAnsi="Times New Roman" w:cs="Times New Roman"/>
                <w:noProof/>
              </w:rPr>
              <w:t>3.6 Ethical Oversight and Continuous Improvement.</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_Toc214073151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12</w:t>
            </w:r>
            <w:r w:rsidRPr="00BC2BC2">
              <w:rPr>
                <w:rFonts w:ascii="Times New Roman" w:hAnsi="Times New Roman" w:cs="Times New Roman"/>
                <w:noProof/>
                <w:webHidden/>
              </w:rPr>
              <w:fldChar w:fldCharType="end"/>
            </w:r>
          </w:hyperlink>
        </w:p>
        <w:p w14:paraId="3B9B03FE" w14:textId="22D35DD5" w:rsidR="00134FF5" w:rsidRPr="00BC2BC2" w:rsidRDefault="00134FF5">
          <w:pPr>
            <w:pStyle w:val="TOC1"/>
            <w:tabs>
              <w:tab w:val="right" w:leader="dot" w:pos="9016"/>
            </w:tabs>
            <w:rPr>
              <w:rFonts w:ascii="Times New Roman" w:eastAsiaTheme="minorEastAsia" w:hAnsi="Times New Roman" w:cs="Times New Roman"/>
              <w:noProof/>
              <w:lang w:eastAsia="en-GB"/>
            </w:rPr>
          </w:pPr>
          <w:hyperlink w:anchor="_Toc214073152" w:history="1">
            <w:r w:rsidRPr="00BC2BC2">
              <w:rPr>
                <w:rStyle w:val="Hyperlink"/>
                <w:rFonts w:ascii="Times New Roman" w:hAnsi="Times New Roman" w:cs="Times New Roman"/>
                <w:noProof/>
              </w:rPr>
              <w:t>4. Conclusion and Reflection.</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_Toc214073152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13</w:t>
            </w:r>
            <w:r w:rsidRPr="00BC2BC2">
              <w:rPr>
                <w:rFonts w:ascii="Times New Roman" w:hAnsi="Times New Roman" w:cs="Times New Roman"/>
                <w:noProof/>
                <w:webHidden/>
              </w:rPr>
              <w:fldChar w:fldCharType="end"/>
            </w:r>
          </w:hyperlink>
        </w:p>
        <w:p w14:paraId="44F500BD" w14:textId="532EBFCC"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53" w:history="1">
            <w:r w:rsidRPr="00BC2BC2">
              <w:rPr>
                <w:rStyle w:val="Hyperlink"/>
                <w:rFonts w:ascii="Times New Roman" w:hAnsi="Times New Roman" w:cs="Times New Roman"/>
                <w:noProof/>
              </w:rPr>
              <w:t>4.1 Synthesis of Stakeholder Engagement Insights.</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_Toc214073153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13</w:t>
            </w:r>
            <w:r w:rsidRPr="00BC2BC2">
              <w:rPr>
                <w:rFonts w:ascii="Times New Roman" w:hAnsi="Times New Roman" w:cs="Times New Roman"/>
                <w:noProof/>
                <w:webHidden/>
              </w:rPr>
              <w:fldChar w:fldCharType="end"/>
            </w:r>
          </w:hyperlink>
        </w:p>
        <w:p w14:paraId="062A27DC" w14:textId="06E3687A"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54" w:history="1">
            <w:r w:rsidRPr="00BC2BC2">
              <w:rPr>
                <w:rStyle w:val="Hyperlink"/>
                <w:rFonts w:ascii="Times New Roman" w:hAnsi="Times New Roman" w:cs="Times New Roman"/>
                <w:noProof/>
              </w:rPr>
              <w:t>4.2 Integration of Ethical Standards and Community Principles.</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_Toc214073154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13</w:t>
            </w:r>
            <w:r w:rsidRPr="00BC2BC2">
              <w:rPr>
                <w:rFonts w:ascii="Times New Roman" w:hAnsi="Times New Roman" w:cs="Times New Roman"/>
                <w:noProof/>
                <w:webHidden/>
              </w:rPr>
              <w:fldChar w:fldCharType="end"/>
            </w:r>
          </w:hyperlink>
        </w:p>
        <w:p w14:paraId="1A47C431" w14:textId="38D70DFA"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55" w:history="1">
            <w:r w:rsidRPr="00BC2BC2">
              <w:rPr>
                <w:rStyle w:val="Hyperlink"/>
                <w:rFonts w:ascii="Times New Roman" w:hAnsi="Times New Roman" w:cs="Times New Roman"/>
                <w:noProof/>
              </w:rPr>
              <w:t>4.3 Reflections on Challenges and Learning.</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_Toc214073155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13</w:t>
            </w:r>
            <w:r w:rsidRPr="00BC2BC2">
              <w:rPr>
                <w:rFonts w:ascii="Times New Roman" w:hAnsi="Times New Roman" w:cs="Times New Roman"/>
                <w:noProof/>
                <w:webHidden/>
              </w:rPr>
              <w:fldChar w:fldCharType="end"/>
            </w:r>
          </w:hyperlink>
        </w:p>
        <w:p w14:paraId="4E3E5827" w14:textId="3015961A" w:rsidR="00134FF5" w:rsidRPr="00BC2BC2" w:rsidRDefault="00134FF5">
          <w:pPr>
            <w:pStyle w:val="TOC2"/>
            <w:tabs>
              <w:tab w:val="right" w:leader="dot" w:pos="9016"/>
            </w:tabs>
            <w:rPr>
              <w:rFonts w:ascii="Times New Roman" w:eastAsiaTheme="minorEastAsia" w:hAnsi="Times New Roman" w:cs="Times New Roman"/>
              <w:noProof/>
              <w:lang w:eastAsia="en-GB"/>
            </w:rPr>
          </w:pPr>
          <w:hyperlink w:anchor="_Toc214073156" w:history="1">
            <w:r w:rsidRPr="00BC2BC2">
              <w:rPr>
                <w:rStyle w:val="Hyperlink"/>
                <w:rFonts w:ascii="Times New Roman" w:hAnsi="Times New Roman" w:cs="Times New Roman"/>
                <w:noProof/>
              </w:rPr>
              <w:t>4.4 Concluding Evaluation.</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_Toc214073156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14</w:t>
            </w:r>
            <w:r w:rsidRPr="00BC2BC2">
              <w:rPr>
                <w:rFonts w:ascii="Times New Roman" w:hAnsi="Times New Roman" w:cs="Times New Roman"/>
                <w:noProof/>
                <w:webHidden/>
              </w:rPr>
              <w:fldChar w:fldCharType="end"/>
            </w:r>
          </w:hyperlink>
        </w:p>
        <w:p w14:paraId="48C8AD87" w14:textId="669413C8" w:rsidR="00134FF5" w:rsidRPr="00BC2BC2" w:rsidRDefault="00134FF5">
          <w:pPr>
            <w:pStyle w:val="TOC1"/>
            <w:tabs>
              <w:tab w:val="right" w:leader="dot" w:pos="9016"/>
            </w:tabs>
            <w:rPr>
              <w:rFonts w:ascii="Times New Roman" w:eastAsiaTheme="minorEastAsia" w:hAnsi="Times New Roman" w:cs="Times New Roman"/>
              <w:noProof/>
              <w:lang w:eastAsia="en-GB"/>
            </w:rPr>
          </w:pPr>
          <w:hyperlink w:anchor="_Toc214073157" w:history="1">
            <w:r w:rsidRPr="00BC2BC2">
              <w:rPr>
                <w:rStyle w:val="Hyperlink"/>
                <w:rFonts w:ascii="Times New Roman" w:hAnsi="Times New Roman" w:cs="Times New Roman"/>
                <w:noProof/>
              </w:rPr>
              <w:t>5. References.</w:t>
            </w:r>
            <w:r w:rsidRPr="00BC2BC2">
              <w:rPr>
                <w:rFonts w:ascii="Times New Roman" w:hAnsi="Times New Roman" w:cs="Times New Roman"/>
                <w:noProof/>
                <w:webHidden/>
              </w:rPr>
              <w:tab/>
            </w:r>
            <w:r w:rsidRPr="00BC2BC2">
              <w:rPr>
                <w:rFonts w:ascii="Times New Roman" w:hAnsi="Times New Roman" w:cs="Times New Roman"/>
                <w:noProof/>
                <w:webHidden/>
              </w:rPr>
              <w:fldChar w:fldCharType="begin"/>
            </w:r>
            <w:r w:rsidRPr="00BC2BC2">
              <w:rPr>
                <w:rFonts w:ascii="Times New Roman" w:hAnsi="Times New Roman" w:cs="Times New Roman"/>
                <w:noProof/>
                <w:webHidden/>
              </w:rPr>
              <w:instrText xml:space="preserve"> PAGEREF _Toc214073157 \h </w:instrText>
            </w:r>
            <w:r w:rsidRPr="00BC2BC2">
              <w:rPr>
                <w:rFonts w:ascii="Times New Roman" w:hAnsi="Times New Roman" w:cs="Times New Roman"/>
                <w:noProof/>
                <w:webHidden/>
              </w:rPr>
            </w:r>
            <w:r w:rsidRPr="00BC2BC2">
              <w:rPr>
                <w:rFonts w:ascii="Times New Roman" w:hAnsi="Times New Roman" w:cs="Times New Roman"/>
                <w:noProof/>
                <w:webHidden/>
              </w:rPr>
              <w:fldChar w:fldCharType="separate"/>
            </w:r>
            <w:r w:rsidRPr="00BC2BC2">
              <w:rPr>
                <w:rFonts w:ascii="Times New Roman" w:hAnsi="Times New Roman" w:cs="Times New Roman"/>
                <w:noProof/>
                <w:webHidden/>
              </w:rPr>
              <w:t>14</w:t>
            </w:r>
            <w:r w:rsidRPr="00BC2BC2">
              <w:rPr>
                <w:rFonts w:ascii="Times New Roman" w:hAnsi="Times New Roman" w:cs="Times New Roman"/>
                <w:noProof/>
                <w:webHidden/>
              </w:rPr>
              <w:fldChar w:fldCharType="end"/>
            </w:r>
          </w:hyperlink>
        </w:p>
        <w:p w14:paraId="7437DCD9" w14:textId="55B5FA52" w:rsidR="00CB248C" w:rsidRPr="00BC2BC2" w:rsidRDefault="00CB248C">
          <w:pPr>
            <w:rPr>
              <w:rFonts w:ascii="Times New Roman" w:hAnsi="Times New Roman" w:cs="Times New Roman"/>
              <w:color w:val="000000" w:themeColor="text1"/>
            </w:rPr>
          </w:pPr>
          <w:r w:rsidRPr="00BC2BC2">
            <w:rPr>
              <w:rFonts w:ascii="Times New Roman" w:hAnsi="Times New Roman" w:cs="Times New Roman"/>
              <w:b/>
              <w:bCs/>
              <w:noProof/>
              <w:color w:val="000000" w:themeColor="text1"/>
            </w:rPr>
            <w:fldChar w:fldCharType="end"/>
          </w:r>
        </w:p>
      </w:sdtContent>
    </w:sdt>
    <w:p w14:paraId="5902095F" w14:textId="750B16A7" w:rsidR="00CB248C" w:rsidRPr="00DD5D8B" w:rsidRDefault="00CB248C" w:rsidP="00CB248C">
      <w:pPr>
        <w:pStyle w:val="Heading1"/>
        <w:rPr>
          <w:color w:val="000000" w:themeColor="text1"/>
        </w:rPr>
      </w:pPr>
      <w:r w:rsidRPr="00DD5D8B">
        <w:rPr>
          <w:color w:val="000000" w:themeColor="text1"/>
        </w:rPr>
        <w:br w:type="page"/>
      </w:r>
    </w:p>
    <w:p w14:paraId="6EB46C44" w14:textId="696FEFDC" w:rsidR="00CB248C" w:rsidRPr="002E5F05" w:rsidRDefault="002E5F05" w:rsidP="002E5F05">
      <w:pPr>
        <w:pStyle w:val="Title"/>
        <w:spacing w:line="360" w:lineRule="auto"/>
        <w:jc w:val="both"/>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lastRenderedPageBreak/>
        <w:t xml:space="preserve">                            </w:t>
      </w:r>
      <w:r w:rsidR="00CB248C" w:rsidRPr="002E5F05">
        <w:rPr>
          <w:rFonts w:ascii="Times New Roman" w:hAnsi="Times New Roman" w:cs="Times New Roman"/>
          <w:color w:val="000000" w:themeColor="text1"/>
          <w:sz w:val="36"/>
          <w:szCs w:val="36"/>
        </w:rPr>
        <w:t>Hanley Community Green Centre.</w:t>
      </w:r>
    </w:p>
    <w:p w14:paraId="141B94E5" w14:textId="77777777" w:rsidR="00CB248C" w:rsidRPr="002E5F05" w:rsidRDefault="00CB248C" w:rsidP="002E5F05">
      <w:pPr>
        <w:spacing w:line="360" w:lineRule="auto"/>
        <w:jc w:val="both"/>
        <w:rPr>
          <w:rFonts w:ascii="Times New Roman" w:hAnsi="Times New Roman" w:cs="Times New Roman"/>
          <w:b/>
          <w:bCs/>
          <w:color w:val="000000" w:themeColor="text1"/>
        </w:rPr>
      </w:pPr>
    </w:p>
    <w:p w14:paraId="7F3F350B" w14:textId="7AAEB415" w:rsidR="00CB248C" w:rsidRPr="002E5F05" w:rsidRDefault="00CB248C" w:rsidP="002E5F05">
      <w:pPr>
        <w:pStyle w:val="Heading1"/>
        <w:spacing w:line="360" w:lineRule="auto"/>
        <w:jc w:val="both"/>
        <w:rPr>
          <w:rFonts w:ascii="Times New Roman" w:hAnsi="Times New Roman" w:cs="Times New Roman"/>
          <w:color w:val="000000" w:themeColor="text1"/>
          <w:szCs w:val="24"/>
        </w:rPr>
      </w:pPr>
      <w:bookmarkStart w:id="0" w:name="_Toc214073136"/>
      <w:r w:rsidRPr="002E5F05">
        <w:rPr>
          <w:rFonts w:ascii="Times New Roman" w:hAnsi="Times New Roman" w:cs="Times New Roman"/>
          <w:color w:val="000000" w:themeColor="text1"/>
          <w:szCs w:val="24"/>
        </w:rPr>
        <w:t>1. Introduction.</w:t>
      </w:r>
      <w:bookmarkEnd w:id="0"/>
    </w:p>
    <w:p w14:paraId="3A5AD417" w14:textId="0B3C85F9" w:rsidR="00CB248C" w:rsidRPr="002E5F05" w:rsidRDefault="00CB248C" w:rsidP="002E5F05">
      <w:pPr>
        <w:spacing w:line="360" w:lineRule="auto"/>
        <w:jc w:val="both"/>
        <w:rPr>
          <w:rFonts w:ascii="Times New Roman" w:hAnsi="Times New Roman" w:cs="Times New Roman"/>
          <w:color w:val="000000" w:themeColor="text1"/>
          <w:lang w:val="en"/>
        </w:rPr>
      </w:pPr>
      <w:r w:rsidRPr="002E5F05">
        <w:rPr>
          <w:rFonts w:ascii="Times New Roman" w:hAnsi="Times New Roman" w:cs="Times New Roman"/>
          <w:color w:val="000000" w:themeColor="text1"/>
          <w:lang w:val="en"/>
        </w:rPr>
        <w:t xml:space="preserve">In this portfolio, the </w:t>
      </w:r>
      <w:r w:rsidRPr="002E5F05">
        <w:rPr>
          <w:rFonts w:ascii="Times New Roman" w:hAnsi="Times New Roman" w:cs="Times New Roman"/>
          <w:b/>
          <w:bCs/>
          <w:color w:val="000000" w:themeColor="text1"/>
          <w:lang w:val="en"/>
        </w:rPr>
        <w:t>Hanley Community Green Centre</w:t>
      </w:r>
      <w:r w:rsidRPr="002E5F05">
        <w:rPr>
          <w:rFonts w:ascii="Times New Roman" w:hAnsi="Times New Roman" w:cs="Times New Roman"/>
          <w:color w:val="000000" w:themeColor="text1"/>
          <w:lang w:val="en"/>
        </w:rPr>
        <w:t xml:space="preserve"> </w:t>
      </w:r>
      <w:r w:rsidR="005707AE" w:rsidRPr="002E5F05">
        <w:rPr>
          <w:rFonts w:ascii="Times New Roman" w:hAnsi="Times New Roman" w:cs="Times New Roman"/>
          <w:color w:val="000000" w:themeColor="text1"/>
          <w:lang w:val="en"/>
        </w:rPr>
        <w:t xml:space="preserve">is presented </w:t>
      </w:r>
      <w:r w:rsidRPr="002E5F05">
        <w:rPr>
          <w:rFonts w:ascii="Times New Roman" w:hAnsi="Times New Roman" w:cs="Times New Roman"/>
          <w:color w:val="000000" w:themeColor="text1"/>
          <w:lang w:val="en"/>
        </w:rPr>
        <w:t xml:space="preserve">as an urban renewal scheme which will transform the vacant urban areas around Broad Street and Marsh Street North near Hanley Bus Station and the Intu Potteries Centre into a green space for the entire surrounding community. This initiative </w:t>
      </w:r>
      <w:r w:rsidR="005707AE" w:rsidRPr="002E5F05">
        <w:rPr>
          <w:rFonts w:ascii="Times New Roman" w:hAnsi="Times New Roman" w:cs="Times New Roman"/>
          <w:color w:val="000000" w:themeColor="text1"/>
          <w:lang w:val="en"/>
        </w:rPr>
        <w:t>aligns with the environmental and civic improvement objectives of Stoke-on-Trent City Council, as outlined</w:t>
      </w:r>
      <w:r w:rsidRPr="002E5F05">
        <w:rPr>
          <w:rFonts w:ascii="Times New Roman" w:hAnsi="Times New Roman" w:cs="Times New Roman"/>
          <w:color w:val="000000" w:themeColor="text1"/>
          <w:lang w:val="en"/>
        </w:rPr>
        <w:t xml:space="preserve"> in the Green City Strategy (2020). </w:t>
      </w:r>
    </w:p>
    <w:p w14:paraId="36E2E374" w14:textId="69A35759" w:rsidR="00CB248C" w:rsidRPr="002E5F05" w:rsidRDefault="00CB248C" w:rsidP="002E5F05">
      <w:pPr>
        <w:spacing w:line="360" w:lineRule="auto"/>
        <w:jc w:val="both"/>
        <w:rPr>
          <w:rFonts w:ascii="Times New Roman" w:hAnsi="Times New Roman" w:cs="Times New Roman"/>
          <w:color w:val="000000" w:themeColor="text1"/>
          <w:lang w:val="en"/>
        </w:rPr>
      </w:pPr>
      <w:r w:rsidRPr="002E5F05">
        <w:rPr>
          <w:rFonts w:ascii="Times New Roman" w:hAnsi="Times New Roman" w:cs="Times New Roman"/>
          <w:color w:val="000000" w:themeColor="text1"/>
          <w:lang w:val="en"/>
        </w:rPr>
        <w:t>This project is based on sustainable design and participatory management strategies to promote social inclusion, environmental literacy and the creation of community pride, which will transform this derelict area into a park that will have children's play areas, accessible toilets, litter bins, walking paths and solar-powered spaces, providing the community with a park that contributes to the protection of the environment and provides public facilities.</w:t>
      </w:r>
    </w:p>
    <w:p w14:paraId="5598951E" w14:textId="50603411" w:rsidR="00CB248C" w:rsidRPr="002E5F05" w:rsidRDefault="00CB248C" w:rsidP="002E5F05">
      <w:pPr>
        <w:spacing w:line="360" w:lineRule="auto"/>
        <w:jc w:val="both"/>
        <w:rPr>
          <w:rFonts w:ascii="Times New Roman" w:hAnsi="Times New Roman" w:cs="Times New Roman"/>
          <w:color w:val="000000" w:themeColor="text1"/>
        </w:rPr>
      </w:pPr>
      <w:r w:rsidRPr="002E5F05">
        <w:rPr>
          <w:rFonts w:ascii="Times New Roman" w:hAnsi="Times New Roman" w:cs="Times New Roman"/>
          <w:color w:val="000000" w:themeColor="text1"/>
        </w:rPr>
        <w:t xml:space="preserve">The Hanley Community Green Centre is based on and achieves its main objectives </w:t>
      </w:r>
      <w:r w:rsidR="005707AE" w:rsidRPr="002E5F05">
        <w:rPr>
          <w:rFonts w:ascii="Times New Roman" w:hAnsi="Times New Roman" w:cs="Times New Roman"/>
          <w:color w:val="000000" w:themeColor="text1"/>
        </w:rPr>
        <w:t>through</w:t>
      </w:r>
      <w:r w:rsidRPr="002E5F05">
        <w:rPr>
          <w:rFonts w:ascii="Times New Roman" w:hAnsi="Times New Roman" w:cs="Times New Roman"/>
          <w:color w:val="000000" w:themeColor="text1"/>
        </w:rPr>
        <w:t xml:space="preserve"> its design by promoting environmental awareness and public well-being. Research from 2021 shows that people who seek out and walk in well-maintained green spaces have better physical and mental health, with reduced stress, increased physical activity and more and better social connections (White et al., 2021). The project complies with the UK Government’s Equal Opportunities Agenda (2022)</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which makes local environmental transformation a key strategy to achieve social equality. This project uses the regeneration method used by Groundwork UK, helping the community to develop sustainable areas rather than receiving pre-defined spaces (Groundwork UK, 2020).</w:t>
      </w:r>
    </w:p>
    <w:p w14:paraId="0AD07D77" w14:textId="77777777" w:rsidR="002E5F05" w:rsidRDefault="00CB248C" w:rsidP="002E5F05">
      <w:pPr>
        <w:spacing w:line="360" w:lineRule="auto"/>
        <w:jc w:val="both"/>
        <w:rPr>
          <w:rFonts w:ascii="Times New Roman" w:hAnsi="Times New Roman" w:cs="Times New Roman"/>
          <w:color w:val="000000" w:themeColor="text1"/>
        </w:rPr>
      </w:pPr>
      <w:r w:rsidRPr="002E5F05">
        <w:rPr>
          <w:rFonts w:ascii="Times New Roman" w:hAnsi="Times New Roman" w:cs="Times New Roman"/>
          <w:color w:val="000000" w:themeColor="text1"/>
        </w:rPr>
        <w:t>The site benefits from its position between residential areas and commercial districts and Staffordshire University because it creates perfect conditions for civic collaboration. The Stoke-on-Trent City Council maintains ownership of the land while providing financial support to the project through Groundwork West Midlands</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which contributes environmental expertise. The project benefits from resident involvement in Hanley Shelton and Etruria for both participation and maintenance tasks. The project receives backing from Staffordshire University because they enable research work and student participation. </w:t>
      </w:r>
    </w:p>
    <w:p w14:paraId="550C3E9E" w14:textId="0651CA74" w:rsidR="00B277E9" w:rsidRPr="002E5F05" w:rsidRDefault="00CB248C" w:rsidP="002E5F05">
      <w:pPr>
        <w:spacing w:line="360" w:lineRule="auto"/>
        <w:jc w:val="both"/>
        <w:rPr>
          <w:rFonts w:ascii="Times New Roman" w:hAnsi="Times New Roman" w:cs="Times New Roman"/>
          <w:color w:val="000000" w:themeColor="text1"/>
        </w:rPr>
      </w:pPr>
      <w:r w:rsidRPr="002E5F05">
        <w:rPr>
          <w:rFonts w:ascii="Times New Roman" w:hAnsi="Times New Roman" w:cs="Times New Roman"/>
          <w:color w:val="000000" w:themeColor="text1"/>
        </w:rPr>
        <w:lastRenderedPageBreak/>
        <w:t>The project benefits from local business support through Intu Potteries</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complex cafés and retailers who provide sponsorship and host events. The NHS Stoke / Health and Wellbeing Board supports health promotion activities for the project. </w:t>
      </w:r>
    </w:p>
    <w:p w14:paraId="759F8847" w14:textId="61B0C1EB" w:rsidR="00CB248C" w:rsidRPr="002E5F05" w:rsidRDefault="00CB248C" w:rsidP="002E5F05">
      <w:pPr>
        <w:spacing w:line="360" w:lineRule="auto"/>
        <w:jc w:val="both"/>
        <w:rPr>
          <w:rFonts w:ascii="Times New Roman" w:hAnsi="Times New Roman" w:cs="Times New Roman"/>
          <w:color w:val="000000" w:themeColor="text1"/>
        </w:rPr>
      </w:pPr>
      <w:r w:rsidRPr="002E5F05">
        <w:rPr>
          <w:rFonts w:ascii="Times New Roman" w:hAnsi="Times New Roman" w:cs="Times New Roman"/>
          <w:color w:val="000000" w:themeColor="text1"/>
        </w:rPr>
        <w:t>The project depends on financial support from stakeholders</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along with their social connections and intellectual resources and environmental assets.</w:t>
      </w:r>
    </w:p>
    <w:p w14:paraId="36D59FDE" w14:textId="4B378924" w:rsidR="00CB248C" w:rsidRPr="002E5F05" w:rsidRDefault="00CB248C" w:rsidP="002E5F05">
      <w:pPr>
        <w:spacing w:line="360" w:lineRule="auto"/>
        <w:jc w:val="both"/>
        <w:rPr>
          <w:rFonts w:ascii="Times New Roman" w:hAnsi="Times New Roman" w:cs="Times New Roman"/>
          <w:color w:val="000000" w:themeColor="text1"/>
        </w:rPr>
      </w:pPr>
      <w:r w:rsidRPr="002E5F05">
        <w:rPr>
          <w:rFonts w:ascii="Times New Roman" w:hAnsi="Times New Roman" w:cs="Times New Roman"/>
          <w:color w:val="000000" w:themeColor="text1"/>
        </w:rPr>
        <w:t>The National Standards for Community Engagement (Scotland, 2016) serve as the theoretical foundation for this project because they establish seven essential principles</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which include Inclusion</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Support</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Planning</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Working Together</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Methods</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Communication</w:t>
      </w:r>
      <w:r w:rsidR="005707AE" w:rsidRPr="002E5F05">
        <w:rPr>
          <w:rFonts w:ascii="Times New Roman" w:hAnsi="Times New Roman" w:cs="Times New Roman"/>
          <w:color w:val="000000" w:themeColor="text1"/>
        </w:rPr>
        <w:t xml:space="preserve">, and </w:t>
      </w:r>
      <w:r w:rsidRPr="002E5F05">
        <w:rPr>
          <w:rFonts w:ascii="Times New Roman" w:hAnsi="Times New Roman" w:cs="Times New Roman"/>
          <w:color w:val="000000" w:themeColor="text1"/>
        </w:rPr>
        <w:t>Improvement to achieve ethical</w:t>
      </w:r>
      <w:r w:rsidR="005707AE" w:rsidRPr="002E5F05">
        <w:rPr>
          <w:rFonts w:ascii="Times New Roman" w:hAnsi="Times New Roman" w:cs="Times New Roman"/>
          <w:color w:val="000000" w:themeColor="text1"/>
        </w:rPr>
        <w:t xml:space="preserve">, </w:t>
      </w:r>
      <w:r w:rsidRPr="002E5F05">
        <w:rPr>
          <w:rFonts w:ascii="Times New Roman" w:hAnsi="Times New Roman" w:cs="Times New Roman"/>
          <w:color w:val="000000" w:themeColor="text1"/>
        </w:rPr>
        <w:t>transparent and representative consultation. The Hanley project fulfils these requirements through its governance structure</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which allows residents to take part in planning choices and follows municipal sustainability requirements. The present bus-station environment demonstrates how different stakeholders uniting their efforts leads to major improvements</w:t>
      </w:r>
      <w:r w:rsidR="005707AE" w:rsidRPr="002E5F05">
        <w:rPr>
          <w:rFonts w:ascii="Times New Roman" w:hAnsi="Times New Roman" w:cs="Times New Roman"/>
          <w:color w:val="000000" w:themeColor="text1"/>
        </w:rPr>
        <w:t>,</w:t>
      </w:r>
      <w:r w:rsidRPr="002E5F05">
        <w:rPr>
          <w:rFonts w:ascii="Times New Roman" w:hAnsi="Times New Roman" w:cs="Times New Roman"/>
          <w:color w:val="000000" w:themeColor="text1"/>
        </w:rPr>
        <w:t xml:space="preserve"> according to Figure 1.</w:t>
      </w:r>
    </w:p>
    <w:p w14:paraId="7EEF64EA" w14:textId="77777777" w:rsidR="00CB248C" w:rsidRPr="00B277E9" w:rsidRDefault="00CB248C" w:rsidP="00B277E9">
      <w:pPr>
        <w:spacing w:line="360" w:lineRule="auto"/>
        <w:jc w:val="both"/>
        <w:rPr>
          <w:rFonts w:ascii="Arial" w:hAnsi="Arial" w:cs="Arial"/>
          <w:color w:val="000000" w:themeColor="text1"/>
          <w:sz w:val="22"/>
          <w:szCs w:val="22"/>
        </w:rPr>
      </w:pPr>
    </w:p>
    <w:p w14:paraId="1136105C" w14:textId="0AA3A0BD" w:rsidR="00CB248C" w:rsidRPr="00B277E9" w:rsidRDefault="00CB248C" w:rsidP="00CB248C">
      <w:pPr>
        <w:spacing w:line="360" w:lineRule="auto"/>
        <w:rPr>
          <w:rFonts w:ascii="Times New Roman" w:hAnsi="Times New Roman" w:cs="Times New Roman"/>
          <w:color w:val="000000" w:themeColor="text1"/>
          <w:sz w:val="22"/>
          <w:szCs w:val="22"/>
        </w:rPr>
      </w:pPr>
      <w:r w:rsidRPr="00B277E9">
        <w:rPr>
          <w:rFonts w:ascii="Times New Roman" w:hAnsi="Times New Roman" w:cs="Times New Roman"/>
          <w:color w:val="000000" w:themeColor="text1"/>
          <w:sz w:val="22"/>
          <w:szCs w:val="22"/>
        </w:rPr>
        <w:t>Figure 1: Hanley Bus Station, Stoke-on-Trent (Source: Unknown author, image supplied by the student for academic use, 2025).</w:t>
      </w:r>
    </w:p>
    <w:p w14:paraId="4580C90C" w14:textId="1F7787AF" w:rsidR="00CB248C" w:rsidRPr="00DD5D8B" w:rsidRDefault="00CB248C" w:rsidP="00CB248C">
      <w:pPr>
        <w:spacing w:line="360" w:lineRule="auto"/>
        <w:jc w:val="center"/>
        <w:rPr>
          <w:rFonts w:ascii="Arial" w:hAnsi="Arial" w:cs="Arial"/>
          <w:color w:val="000000" w:themeColor="text1"/>
          <w:sz w:val="22"/>
          <w:szCs w:val="22"/>
        </w:rPr>
      </w:pPr>
      <w:r w:rsidRPr="00DD5D8B">
        <w:rPr>
          <w:rFonts w:ascii="Arial" w:hAnsi="Arial" w:cs="Arial"/>
          <w:noProof/>
          <w:color w:val="000000" w:themeColor="text1"/>
          <w:sz w:val="22"/>
          <w:szCs w:val="22"/>
        </w:rPr>
        <w:drawing>
          <wp:inline distT="0" distB="0" distL="0" distR="0" wp14:anchorId="14E2E68C" wp14:editId="538AB072">
            <wp:extent cx="5260630" cy="1979875"/>
            <wp:effectExtent l="0" t="0" r="0" b="1905"/>
            <wp:docPr id="76683067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830672" name="Picture 2">
                      <a:extLst>
                        <a:ext uri="{C183D7F6-B498-43B3-948B-1728B52AA6E4}">
                          <adec:decorative xmlns:adec="http://schemas.microsoft.com/office/drawing/2017/decorative" val="1"/>
                        </a:ext>
                      </a:extLst>
                    </pic:cNvPr>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36801" cy="2008542"/>
                    </a:xfrm>
                    <a:prstGeom prst="rect">
                      <a:avLst/>
                    </a:prstGeom>
                  </pic:spPr>
                </pic:pic>
              </a:graphicData>
            </a:graphic>
          </wp:inline>
        </w:drawing>
      </w:r>
    </w:p>
    <w:p w14:paraId="29C1EB86" w14:textId="77777777" w:rsidR="00B277E9" w:rsidRDefault="00B277E9" w:rsidP="00CB248C">
      <w:pPr>
        <w:jc w:val="center"/>
        <w:rPr>
          <w:rFonts w:ascii="Arial" w:hAnsi="Arial" w:cs="Arial"/>
          <w:i/>
          <w:iCs/>
          <w:color w:val="000000" w:themeColor="text1"/>
          <w:sz w:val="22"/>
          <w:szCs w:val="22"/>
        </w:rPr>
      </w:pPr>
    </w:p>
    <w:p w14:paraId="1F8DF720" w14:textId="77777777" w:rsidR="00B277E9" w:rsidRDefault="00B277E9" w:rsidP="00CB248C">
      <w:pPr>
        <w:jc w:val="center"/>
        <w:rPr>
          <w:rFonts w:ascii="Arial" w:hAnsi="Arial" w:cs="Arial"/>
          <w:i/>
          <w:iCs/>
          <w:color w:val="000000" w:themeColor="text1"/>
          <w:sz w:val="22"/>
          <w:szCs w:val="22"/>
        </w:rPr>
      </w:pPr>
    </w:p>
    <w:p w14:paraId="6831A7F3" w14:textId="77777777" w:rsidR="00B277E9" w:rsidRDefault="00B277E9" w:rsidP="00CB248C">
      <w:pPr>
        <w:jc w:val="center"/>
        <w:rPr>
          <w:rFonts w:ascii="Arial" w:hAnsi="Arial" w:cs="Arial"/>
          <w:i/>
          <w:iCs/>
          <w:color w:val="000000" w:themeColor="text1"/>
          <w:sz w:val="22"/>
          <w:szCs w:val="22"/>
        </w:rPr>
      </w:pPr>
    </w:p>
    <w:p w14:paraId="62357FEE" w14:textId="77777777" w:rsidR="00B277E9" w:rsidRDefault="00B277E9" w:rsidP="00CB248C">
      <w:pPr>
        <w:jc w:val="center"/>
        <w:rPr>
          <w:rFonts w:ascii="Arial" w:hAnsi="Arial" w:cs="Arial"/>
          <w:i/>
          <w:iCs/>
          <w:color w:val="000000" w:themeColor="text1"/>
          <w:sz w:val="22"/>
          <w:szCs w:val="22"/>
        </w:rPr>
      </w:pPr>
    </w:p>
    <w:p w14:paraId="0FB7313C" w14:textId="77777777" w:rsidR="00B277E9" w:rsidRDefault="00B277E9" w:rsidP="00CB248C">
      <w:pPr>
        <w:jc w:val="center"/>
        <w:rPr>
          <w:rFonts w:ascii="Arial" w:hAnsi="Arial" w:cs="Arial"/>
          <w:i/>
          <w:iCs/>
          <w:color w:val="000000" w:themeColor="text1"/>
          <w:sz w:val="22"/>
          <w:szCs w:val="22"/>
        </w:rPr>
      </w:pPr>
    </w:p>
    <w:p w14:paraId="52D60BD9" w14:textId="77777777" w:rsidR="00B277E9" w:rsidRDefault="00B277E9" w:rsidP="00CB248C">
      <w:pPr>
        <w:jc w:val="center"/>
        <w:rPr>
          <w:rFonts w:ascii="Arial" w:hAnsi="Arial" w:cs="Arial"/>
          <w:i/>
          <w:iCs/>
          <w:color w:val="000000" w:themeColor="text1"/>
          <w:sz w:val="22"/>
          <w:szCs w:val="22"/>
        </w:rPr>
      </w:pPr>
    </w:p>
    <w:p w14:paraId="7A286AA6" w14:textId="77777777" w:rsidR="00B277E9" w:rsidRDefault="00B277E9" w:rsidP="00CB248C">
      <w:pPr>
        <w:jc w:val="center"/>
        <w:rPr>
          <w:rFonts w:ascii="Arial" w:hAnsi="Arial" w:cs="Arial"/>
          <w:i/>
          <w:iCs/>
          <w:color w:val="000000" w:themeColor="text1"/>
          <w:sz w:val="22"/>
          <w:szCs w:val="22"/>
        </w:rPr>
      </w:pPr>
    </w:p>
    <w:p w14:paraId="6DCC5F36" w14:textId="77777777" w:rsidR="00B277E9" w:rsidRDefault="00B277E9" w:rsidP="00CB248C">
      <w:pPr>
        <w:jc w:val="center"/>
        <w:rPr>
          <w:rFonts w:ascii="Arial" w:hAnsi="Arial" w:cs="Arial"/>
          <w:i/>
          <w:iCs/>
          <w:color w:val="000000" w:themeColor="text1"/>
          <w:sz w:val="22"/>
          <w:szCs w:val="22"/>
        </w:rPr>
      </w:pPr>
    </w:p>
    <w:p w14:paraId="0A46CE25" w14:textId="77777777" w:rsidR="00B277E9" w:rsidRDefault="00B277E9" w:rsidP="00CB248C">
      <w:pPr>
        <w:jc w:val="center"/>
        <w:rPr>
          <w:rFonts w:ascii="Arial" w:hAnsi="Arial" w:cs="Arial"/>
          <w:i/>
          <w:iCs/>
          <w:color w:val="000000" w:themeColor="text1"/>
          <w:sz w:val="22"/>
          <w:szCs w:val="22"/>
        </w:rPr>
      </w:pPr>
    </w:p>
    <w:p w14:paraId="30E5DF35" w14:textId="77777777" w:rsidR="00B277E9" w:rsidRDefault="00B277E9" w:rsidP="00CB248C">
      <w:pPr>
        <w:jc w:val="center"/>
        <w:rPr>
          <w:rFonts w:ascii="Arial" w:hAnsi="Arial" w:cs="Arial"/>
          <w:i/>
          <w:iCs/>
          <w:color w:val="000000" w:themeColor="text1"/>
          <w:sz w:val="22"/>
          <w:szCs w:val="22"/>
        </w:rPr>
      </w:pPr>
    </w:p>
    <w:p w14:paraId="7FF6C1E2" w14:textId="77777777" w:rsidR="00B277E9" w:rsidRDefault="00B277E9" w:rsidP="00CB248C">
      <w:pPr>
        <w:jc w:val="center"/>
        <w:rPr>
          <w:rFonts w:ascii="Arial" w:hAnsi="Arial" w:cs="Arial"/>
          <w:i/>
          <w:iCs/>
          <w:color w:val="000000" w:themeColor="text1"/>
          <w:sz w:val="22"/>
          <w:szCs w:val="22"/>
        </w:rPr>
      </w:pPr>
    </w:p>
    <w:p w14:paraId="787393CC" w14:textId="7DB0BAAF" w:rsidR="00CB248C" w:rsidRPr="00DD5D8B" w:rsidRDefault="00CB248C" w:rsidP="00CB248C">
      <w:pPr>
        <w:jc w:val="center"/>
        <w:rPr>
          <w:rFonts w:ascii="Arial" w:hAnsi="Arial" w:cs="Arial"/>
          <w:i/>
          <w:iCs/>
          <w:color w:val="000000" w:themeColor="text1"/>
          <w:sz w:val="22"/>
          <w:szCs w:val="22"/>
        </w:rPr>
      </w:pPr>
      <w:r w:rsidRPr="00CB248C">
        <w:rPr>
          <w:rFonts w:ascii="Arial" w:hAnsi="Arial" w:cs="Arial"/>
          <w:i/>
          <w:iCs/>
          <w:color w:val="000000" w:themeColor="text1"/>
          <w:sz w:val="22"/>
          <w:szCs w:val="22"/>
        </w:rPr>
        <w:t xml:space="preserve">Figure </w:t>
      </w:r>
      <w:r w:rsidRPr="00DD5D8B">
        <w:rPr>
          <w:rFonts w:ascii="Arial" w:hAnsi="Arial" w:cs="Arial"/>
          <w:i/>
          <w:iCs/>
          <w:color w:val="000000" w:themeColor="text1"/>
          <w:sz w:val="22"/>
          <w:szCs w:val="22"/>
        </w:rPr>
        <w:t>2</w:t>
      </w:r>
      <w:r w:rsidRPr="00CB248C">
        <w:rPr>
          <w:rFonts w:ascii="Arial" w:hAnsi="Arial" w:cs="Arial"/>
          <w:i/>
          <w:iCs/>
          <w:color w:val="000000" w:themeColor="text1"/>
          <w:sz w:val="22"/>
          <w:szCs w:val="22"/>
        </w:rPr>
        <w:t>: Aerial view of Hanley city centre, showing the location context surrounding the proposed Green Hub site (Source: Aeroengland, 2023)</w:t>
      </w:r>
    </w:p>
    <w:p w14:paraId="61CFE059" w14:textId="0188CED6" w:rsidR="00CB248C" w:rsidRPr="00CB248C" w:rsidRDefault="00CB248C" w:rsidP="00CB248C">
      <w:pPr>
        <w:jc w:val="center"/>
        <w:rPr>
          <w:rFonts w:ascii="Arial" w:hAnsi="Arial" w:cs="Arial"/>
          <w:i/>
          <w:iCs/>
          <w:color w:val="000000" w:themeColor="text1"/>
          <w:sz w:val="22"/>
          <w:szCs w:val="22"/>
        </w:rPr>
      </w:pPr>
      <w:r w:rsidRPr="00DD5D8B">
        <w:rPr>
          <w:rFonts w:ascii="Arial" w:hAnsi="Arial" w:cs="Arial"/>
          <w:b/>
          <w:bCs/>
          <w:noProof/>
          <w:color w:val="000000" w:themeColor="text1"/>
          <w:sz w:val="22"/>
          <w:szCs w:val="22"/>
        </w:rPr>
        <w:drawing>
          <wp:inline distT="0" distB="0" distL="0" distR="0" wp14:anchorId="5FBB5F98" wp14:editId="6643D68C">
            <wp:extent cx="4806833" cy="3204376"/>
            <wp:effectExtent l="0" t="0" r="0" b="0"/>
            <wp:docPr id="1214300019" name="Picture 3" descr="An aerial view of a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00019" name="Picture 3" descr="An aerial view of a city"/>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64795" cy="3243015"/>
                    </a:xfrm>
                    <a:prstGeom prst="rect">
                      <a:avLst/>
                    </a:prstGeom>
                  </pic:spPr>
                </pic:pic>
              </a:graphicData>
            </a:graphic>
          </wp:inline>
        </w:drawing>
      </w:r>
    </w:p>
    <w:p w14:paraId="5E64254F" w14:textId="77777777" w:rsidR="00CB248C" w:rsidRPr="00DD5D8B" w:rsidRDefault="00CB248C" w:rsidP="00CB248C">
      <w:pPr>
        <w:spacing w:line="360" w:lineRule="auto"/>
        <w:rPr>
          <w:rFonts w:ascii="Arial" w:hAnsi="Arial" w:cs="Arial"/>
          <w:i/>
          <w:iCs/>
          <w:color w:val="000000" w:themeColor="text1"/>
          <w:sz w:val="22"/>
          <w:szCs w:val="22"/>
        </w:rPr>
      </w:pPr>
    </w:p>
    <w:p w14:paraId="021D2BB9" w14:textId="77777777" w:rsidR="00CB248C" w:rsidRPr="00DD5D8B" w:rsidRDefault="00CB248C" w:rsidP="00CB248C">
      <w:pPr>
        <w:spacing w:line="360" w:lineRule="auto"/>
        <w:rPr>
          <w:rFonts w:ascii="Arial" w:hAnsi="Arial" w:cs="Arial"/>
          <w:i/>
          <w:iCs/>
          <w:color w:val="000000" w:themeColor="text1"/>
          <w:sz w:val="22"/>
          <w:szCs w:val="22"/>
        </w:rPr>
      </w:pPr>
    </w:p>
    <w:p w14:paraId="1339BD80" w14:textId="77777777" w:rsidR="00B277E9" w:rsidRDefault="00B277E9" w:rsidP="00CB248C">
      <w:pPr>
        <w:spacing w:line="360" w:lineRule="auto"/>
        <w:rPr>
          <w:rFonts w:ascii="Arial" w:hAnsi="Arial" w:cs="Arial"/>
          <w:i/>
          <w:iCs/>
          <w:color w:val="000000" w:themeColor="text1"/>
          <w:sz w:val="22"/>
          <w:szCs w:val="22"/>
        </w:rPr>
      </w:pPr>
    </w:p>
    <w:p w14:paraId="6FD16A8C" w14:textId="77777777" w:rsidR="00B277E9" w:rsidRDefault="00B277E9" w:rsidP="00CB248C">
      <w:pPr>
        <w:spacing w:line="360" w:lineRule="auto"/>
        <w:rPr>
          <w:rFonts w:ascii="Arial" w:hAnsi="Arial" w:cs="Arial"/>
          <w:i/>
          <w:iCs/>
          <w:color w:val="000000" w:themeColor="text1"/>
          <w:sz w:val="22"/>
          <w:szCs w:val="22"/>
        </w:rPr>
      </w:pPr>
    </w:p>
    <w:p w14:paraId="7B35A490" w14:textId="77777777" w:rsidR="00B277E9" w:rsidRDefault="00B277E9" w:rsidP="00CB248C">
      <w:pPr>
        <w:spacing w:line="360" w:lineRule="auto"/>
        <w:rPr>
          <w:rFonts w:ascii="Arial" w:hAnsi="Arial" w:cs="Arial"/>
          <w:i/>
          <w:iCs/>
          <w:color w:val="000000" w:themeColor="text1"/>
          <w:sz w:val="22"/>
          <w:szCs w:val="22"/>
        </w:rPr>
      </w:pPr>
    </w:p>
    <w:p w14:paraId="4B9DC47E" w14:textId="77777777" w:rsidR="00B277E9" w:rsidRDefault="00B277E9" w:rsidP="00CB248C">
      <w:pPr>
        <w:spacing w:line="360" w:lineRule="auto"/>
        <w:rPr>
          <w:rFonts w:ascii="Arial" w:hAnsi="Arial" w:cs="Arial"/>
          <w:i/>
          <w:iCs/>
          <w:color w:val="000000" w:themeColor="text1"/>
          <w:sz w:val="22"/>
          <w:szCs w:val="22"/>
        </w:rPr>
      </w:pPr>
    </w:p>
    <w:p w14:paraId="3DBE65B4" w14:textId="77777777" w:rsidR="00B277E9" w:rsidRDefault="00B277E9" w:rsidP="00CB248C">
      <w:pPr>
        <w:spacing w:line="360" w:lineRule="auto"/>
        <w:rPr>
          <w:rFonts w:ascii="Arial" w:hAnsi="Arial" w:cs="Arial"/>
          <w:i/>
          <w:iCs/>
          <w:color w:val="000000" w:themeColor="text1"/>
          <w:sz w:val="22"/>
          <w:szCs w:val="22"/>
        </w:rPr>
      </w:pPr>
    </w:p>
    <w:p w14:paraId="458678C8" w14:textId="77777777" w:rsidR="00B277E9" w:rsidRDefault="00B277E9" w:rsidP="00CB248C">
      <w:pPr>
        <w:spacing w:line="360" w:lineRule="auto"/>
        <w:rPr>
          <w:rFonts w:ascii="Arial" w:hAnsi="Arial" w:cs="Arial"/>
          <w:i/>
          <w:iCs/>
          <w:color w:val="000000" w:themeColor="text1"/>
          <w:sz w:val="22"/>
          <w:szCs w:val="22"/>
        </w:rPr>
      </w:pPr>
    </w:p>
    <w:p w14:paraId="39E3DD5C" w14:textId="77777777" w:rsidR="00B277E9" w:rsidRDefault="00B277E9" w:rsidP="00CB248C">
      <w:pPr>
        <w:spacing w:line="360" w:lineRule="auto"/>
        <w:rPr>
          <w:rFonts w:ascii="Arial" w:hAnsi="Arial" w:cs="Arial"/>
          <w:i/>
          <w:iCs/>
          <w:color w:val="000000" w:themeColor="text1"/>
          <w:sz w:val="22"/>
          <w:szCs w:val="22"/>
        </w:rPr>
      </w:pPr>
    </w:p>
    <w:p w14:paraId="7A9FC5A5" w14:textId="77777777" w:rsidR="00B277E9" w:rsidRDefault="00B277E9" w:rsidP="00CB248C">
      <w:pPr>
        <w:spacing w:line="360" w:lineRule="auto"/>
        <w:rPr>
          <w:rFonts w:ascii="Arial" w:hAnsi="Arial" w:cs="Arial"/>
          <w:i/>
          <w:iCs/>
          <w:color w:val="000000" w:themeColor="text1"/>
          <w:sz w:val="22"/>
          <w:szCs w:val="22"/>
        </w:rPr>
      </w:pPr>
    </w:p>
    <w:p w14:paraId="46BEADC7" w14:textId="77777777" w:rsidR="00B277E9" w:rsidRDefault="00B277E9" w:rsidP="00CB248C">
      <w:pPr>
        <w:spacing w:line="360" w:lineRule="auto"/>
        <w:rPr>
          <w:rFonts w:ascii="Arial" w:hAnsi="Arial" w:cs="Arial"/>
          <w:i/>
          <w:iCs/>
          <w:color w:val="000000" w:themeColor="text1"/>
          <w:sz w:val="22"/>
          <w:szCs w:val="22"/>
        </w:rPr>
      </w:pPr>
    </w:p>
    <w:p w14:paraId="324469A3" w14:textId="77777777" w:rsidR="00B277E9" w:rsidRDefault="00B277E9" w:rsidP="00CB248C">
      <w:pPr>
        <w:spacing w:line="360" w:lineRule="auto"/>
        <w:rPr>
          <w:rFonts w:ascii="Arial" w:hAnsi="Arial" w:cs="Arial"/>
          <w:i/>
          <w:iCs/>
          <w:color w:val="000000" w:themeColor="text1"/>
          <w:sz w:val="22"/>
          <w:szCs w:val="22"/>
        </w:rPr>
      </w:pPr>
    </w:p>
    <w:p w14:paraId="5119FE5A" w14:textId="77777777" w:rsidR="00B277E9" w:rsidRDefault="00B277E9" w:rsidP="00CB248C">
      <w:pPr>
        <w:spacing w:line="360" w:lineRule="auto"/>
        <w:rPr>
          <w:rFonts w:ascii="Arial" w:hAnsi="Arial" w:cs="Arial"/>
          <w:i/>
          <w:iCs/>
          <w:color w:val="000000" w:themeColor="text1"/>
          <w:sz w:val="22"/>
          <w:szCs w:val="22"/>
        </w:rPr>
      </w:pPr>
    </w:p>
    <w:p w14:paraId="7F899A61" w14:textId="059570EE" w:rsidR="00CB248C" w:rsidRPr="00DD5D8B" w:rsidRDefault="00CB248C" w:rsidP="00CB248C">
      <w:pPr>
        <w:spacing w:line="360" w:lineRule="auto"/>
        <w:rPr>
          <w:rFonts w:ascii="Arial" w:hAnsi="Arial" w:cs="Arial"/>
          <w:i/>
          <w:iCs/>
          <w:color w:val="000000" w:themeColor="text1"/>
          <w:sz w:val="22"/>
          <w:szCs w:val="22"/>
        </w:rPr>
      </w:pPr>
      <w:r w:rsidRPr="00DD5D8B">
        <w:rPr>
          <w:rFonts w:ascii="Arial" w:hAnsi="Arial" w:cs="Arial"/>
          <w:i/>
          <w:iCs/>
          <w:color w:val="000000" w:themeColor="text1"/>
          <w:sz w:val="22"/>
          <w:szCs w:val="22"/>
        </w:rPr>
        <w:t xml:space="preserve">Figure 3: Proposed site for the Hanley Community Green Hub, located adjacent to Hanley Bus Station in Stoke-on-Trent. The image outlines the underused plot proposed for redevelopment (Source: </w:t>
      </w:r>
      <w:r w:rsidR="00EF7B02" w:rsidRPr="00DD5D8B">
        <w:rPr>
          <w:rFonts w:ascii="Arial" w:hAnsi="Arial" w:cs="Arial"/>
          <w:i/>
          <w:iCs/>
          <w:color w:val="000000" w:themeColor="text1"/>
          <w:sz w:val="22"/>
          <w:szCs w:val="22"/>
        </w:rPr>
        <w:t>Marian</w:t>
      </w:r>
      <w:r w:rsidRPr="00DD5D8B">
        <w:rPr>
          <w:rFonts w:ascii="Arial" w:hAnsi="Arial" w:cs="Arial"/>
          <w:i/>
          <w:iCs/>
          <w:color w:val="000000" w:themeColor="text1"/>
          <w:sz w:val="22"/>
          <w:szCs w:val="22"/>
        </w:rPr>
        <w:t>, 2025)</w:t>
      </w:r>
    </w:p>
    <w:p w14:paraId="21DE0A53" w14:textId="3ADB0633" w:rsidR="00CB248C" w:rsidRPr="00DD5D8B" w:rsidRDefault="00CB248C" w:rsidP="00CB248C">
      <w:pPr>
        <w:jc w:val="center"/>
        <w:rPr>
          <w:color w:val="000000" w:themeColor="text1"/>
        </w:rPr>
      </w:pPr>
      <w:r w:rsidRPr="00DD5D8B">
        <w:rPr>
          <w:noProof/>
          <w:color w:val="000000" w:themeColor="text1"/>
        </w:rPr>
        <w:drawing>
          <wp:inline distT="0" distB="0" distL="0" distR="0" wp14:anchorId="6876B0F4" wp14:editId="2C3F9D05">
            <wp:extent cx="4659465" cy="4214581"/>
            <wp:effectExtent l="0" t="0" r="8255" b="0"/>
            <wp:docPr id="1075698592" name="Picture 6" descr="An aerial view of a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698592" name="Picture 6" descr="An aerial view of a city"/>
                    <pic:cNvPicPr/>
                  </pic:nvPicPr>
                  <pic:blipFill>
                    <a:blip r:embed="rId9">
                      <a:extLst>
                        <a:ext uri="{28A0092B-C50C-407E-A947-70E740481C1C}">
                          <a14:useLocalDpi xmlns:a14="http://schemas.microsoft.com/office/drawing/2010/main" val="0"/>
                        </a:ext>
                      </a:extLst>
                    </a:blip>
                    <a:stretch>
                      <a:fillRect/>
                    </a:stretch>
                  </pic:blipFill>
                  <pic:spPr>
                    <a:xfrm>
                      <a:off x="0" y="0"/>
                      <a:ext cx="4701831" cy="4252902"/>
                    </a:xfrm>
                    <a:prstGeom prst="rect">
                      <a:avLst/>
                    </a:prstGeom>
                  </pic:spPr>
                </pic:pic>
              </a:graphicData>
            </a:graphic>
          </wp:inline>
        </w:drawing>
      </w:r>
    </w:p>
    <w:p w14:paraId="72B9761A" w14:textId="77777777" w:rsidR="00CB248C" w:rsidRPr="00DD5D8B" w:rsidRDefault="00CB248C" w:rsidP="00CB248C">
      <w:pPr>
        <w:spacing w:line="360" w:lineRule="auto"/>
        <w:rPr>
          <w:rFonts w:ascii="Arial" w:hAnsi="Arial" w:cs="Arial"/>
          <w:color w:val="000000" w:themeColor="text1"/>
          <w:sz w:val="22"/>
          <w:szCs w:val="22"/>
        </w:rPr>
      </w:pPr>
    </w:p>
    <w:p w14:paraId="32C9B0AD" w14:textId="23620DAD" w:rsidR="00CB248C" w:rsidRPr="00B277E9" w:rsidRDefault="00CB248C" w:rsidP="00B277E9">
      <w:pPr>
        <w:spacing w:line="360" w:lineRule="auto"/>
        <w:rPr>
          <w:rFonts w:ascii="Times New Roman" w:hAnsi="Times New Roman" w:cs="Times New Roman"/>
          <w:b/>
          <w:bCs/>
          <w:color w:val="000000" w:themeColor="text1"/>
        </w:rPr>
      </w:pPr>
      <w:r w:rsidRPr="00B277E9">
        <w:rPr>
          <w:rFonts w:ascii="Times New Roman" w:hAnsi="Times New Roman" w:cs="Times New Roman"/>
          <w:b/>
          <w:bCs/>
          <w:color w:val="000000" w:themeColor="text1"/>
        </w:rPr>
        <w:t>Overall Plot Dimensions (Approximate)</w:t>
      </w:r>
    </w:p>
    <w:p w14:paraId="7E8BB316" w14:textId="77777777" w:rsidR="00CB248C" w:rsidRPr="00B277E9" w:rsidRDefault="00CB248C" w:rsidP="00B277E9">
      <w:pPr>
        <w:spacing w:line="360" w:lineRule="auto"/>
        <w:rPr>
          <w:rFonts w:ascii="Times New Roman" w:hAnsi="Times New Roman" w:cs="Times New Roman"/>
          <w:color w:val="000000" w:themeColor="text1"/>
        </w:rPr>
      </w:pPr>
      <w:r w:rsidRPr="00B277E9">
        <w:rPr>
          <w:rFonts w:ascii="Times New Roman" w:hAnsi="Times New Roman" w:cs="Times New Roman"/>
          <w:color w:val="000000" w:themeColor="text1"/>
        </w:rPr>
        <w:t xml:space="preserve">Length (north to south): </w:t>
      </w:r>
      <w:r w:rsidRPr="00B277E9">
        <w:rPr>
          <w:rFonts w:ascii="Times New Roman" w:hAnsi="Times New Roman" w:cs="Times New Roman"/>
          <w:i/>
          <w:iCs/>
          <w:color w:val="000000" w:themeColor="text1"/>
        </w:rPr>
        <w:t>≈ 140–160 metres</w:t>
      </w:r>
    </w:p>
    <w:p w14:paraId="506255D1" w14:textId="77777777" w:rsidR="00CB248C" w:rsidRPr="00B277E9" w:rsidRDefault="00CB248C" w:rsidP="00B277E9">
      <w:pPr>
        <w:spacing w:line="360" w:lineRule="auto"/>
        <w:rPr>
          <w:rFonts w:ascii="Times New Roman" w:hAnsi="Times New Roman" w:cs="Times New Roman"/>
          <w:color w:val="000000" w:themeColor="text1"/>
        </w:rPr>
      </w:pPr>
      <w:r w:rsidRPr="00B277E9">
        <w:rPr>
          <w:rFonts w:ascii="Times New Roman" w:hAnsi="Times New Roman" w:cs="Times New Roman"/>
          <w:color w:val="000000" w:themeColor="text1"/>
        </w:rPr>
        <w:t xml:space="preserve">Maximum width (west to east): </w:t>
      </w:r>
      <w:r w:rsidRPr="00B277E9">
        <w:rPr>
          <w:rFonts w:ascii="Times New Roman" w:hAnsi="Times New Roman" w:cs="Times New Roman"/>
          <w:i/>
          <w:iCs/>
          <w:color w:val="000000" w:themeColor="text1"/>
        </w:rPr>
        <w:t>≈ 70–85 metres</w:t>
      </w:r>
    </w:p>
    <w:p w14:paraId="67831275" w14:textId="77777777" w:rsidR="00CB248C" w:rsidRPr="00B277E9" w:rsidRDefault="00CB248C" w:rsidP="00B277E9">
      <w:pPr>
        <w:spacing w:line="360" w:lineRule="auto"/>
        <w:rPr>
          <w:rFonts w:ascii="Times New Roman" w:hAnsi="Times New Roman" w:cs="Times New Roman"/>
          <w:color w:val="000000" w:themeColor="text1"/>
        </w:rPr>
      </w:pPr>
      <w:r w:rsidRPr="00B277E9">
        <w:rPr>
          <w:rFonts w:ascii="Times New Roman" w:hAnsi="Times New Roman" w:cs="Times New Roman"/>
          <w:color w:val="000000" w:themeColor="text1"/>
        </w:rPr>
        <w:t xml:space="preserve">Minimum width at tapered southern edge: </w:t>
      </w:r>
      <w:r w:rsidRPr="00B277E9">
        <w:rPr>
          <w:rFonts w:ascii="Times New Roman" w:hAnsi="Times New Roman" w:cs="Times New Roman"/>
          <w:i/>
          <w:iCs/>
          <w:color w:val="000000" w:themeColor="text1"/>
        </w:rPr>
        <w:t>≈ 35–45 metres</w:t>
      </w:r>
    </w:p>
    <w:p w14:paraId="2A68030C" w14:textId="77777777" w:rsidR="00CB248C" w:rsidRPr="00B277E9" w:rsidRDefault="00CB248C" w:rsidP="00B277E9">
      <w:pPr>
        <w:spacing w:line="360" w:lineRule="auto"/>
        <w:rPr>
          <w:rFonts w:ascii="Times New Roman" w:hAnsi="Times New Roman" w:cs="Times New Roman"/>
          <w:color w:val="000000" w:themeColor="text1"/>
        </w:rPr>
      </w:pPr>
      <w:r w:rsidRPr="00B277E9">
        <w:rPr>
          <w:rFonts w:ascii="Times New Roman" w:hAnsi="Times New Roman" w:cs="Times New Roman"/>
          <w:color w:val="000000" w:themeColor="text1"/>
        </w:rPr>
        <w:t>Approximate Site Area</w:t>
      </w:r>
    </w:p>
    <w:p w14:paraId="7349B674" w14:textId="77777777" w:rsidR="00CB248C" w:rsidRPr="00B277E9" w:rsidRDefault="00CB248C" w:rsidP="00B277E9">
      <w:pPr>
        <w:spacing w:line="360" w:lineRule="auto"/>
        <w:rPr>
          <w:rFonts w:ascii="Times New Roman" w:hAnsi="Times New Roman" w:cs="Times New Roman"/>
          <w:color w:val="000000" w:themeColor="text1"/>
        </w:rPr>
      </w:pPr>
      <w:r w:rsidRPr="00B277E9">
        <w:rPr>
          <w:rFonts w:ascii="Times New Roman" w:hAnsi="Times New Roman" w:cs="Times New Roman"/>
          <w:color w:val="000000" w:themeColor="text1"/>
        </w:rPr>
        <w:t xml:space="preserve">Estimated total area: </w:t>
      </w:r>
      <w:r w:rsidRPr="00B277E9">
        <w:rPr>
          <w:rFonts w:ascii="Times New Roman" w:hAnsi="Times New Roman" w:cs="Times New Roman"/>
          <w:i/>
          <w:iCs/>
          <w:color w:val="000000" w:themeColor="text1"/>
        </w:rPr>
        <w:t>≈ 9,000–11,000 m²</w:t>
      </w:r>
      <w:r w:rsidRPr="00B277E9">
        <w:rPr>
          <w:rFonts w:ascii="Times New Roman" w:hAnsi="Times New Roman" w:cs="Times New Roman"/>
          <w:color w:val="000000" w:themeColor="text1"/>
        </w:rPr>
        <w:br/>
        <w:t>(equivalent to 0.9–1.1 hectares, or roughly 2–2.7 acres)</w:t>
      </w:r>
    </w:p>
    <w:p w14:paraId="5ECE6F9C" w14:textId="69372289" w:rsidR="00CB248C" w:rsidRPr="00B277E9" w:rsidRDefault="00CB248C" w:rsidP="00B277E9">
      <w:pPr>
        <w:spacing w:line="360" w:lineRule="auto"/>
        <w:rPr>
          <w:rFonts w:ascii="Times New Roman" w:hAnsi="Times New Roman" w:cs="Times New Roman"/>
          <w:b/>
          <w:bCs/>
          <w:color w:val="000000" w:themeColor="text1"/>
        </w:rPr>
      </w:pPr>
    </w:p>
    <w:p w14:paraId="30FB0D13" w14:textId="74A0FB1D" w:rsidR="00CB248C" w:rsidRPr="00B277E9" w:rsidRDefault="00CB248C" w:rsidP="002E5F05">
      <w:pPr>
        <w:pStyle w:val="Heading1"/>
        <w:spacing w:line="360" w:lineRule="auto"/>
        <w:jc w:val="both"/>
        <w:rPr>
          <w:rFonts w:ascii="Times New Roman" w:hAnsi="Times New Roman" w:cs="Times New Roman"/>
          <w:color w:val="000000" w:themeColor="text1"/>
          <w:szCs w:val="24"/>
        </w:rPr>
      </w:pPr>
      <w:bookmarkStart w:id="1" w:name="_Toc214073137"/>
      <w:r w:rsidRPr="00B277E9">
        <w:rPr>
          <w:rFonts w:ascii="Times New Roman" w:hAnsi="Times New Roman" w:cs="Times New Roman"/>
          <w:color w:val="000000" w:themeColor="text1"/>
          <w:szCs w:val="24"/>
        </w:rPr>
        <w:lastRenderedPageBreak/>
        <w:t>2. Stakeholder Engagement Strategies</w:t>
      </w:r>
      <w:bookmarkEnd w:id="1"/>
    </w:p>
    <w:p w14:paraId="32FD407F" w14:textId="5E1903EF" w:rsidR="00CB248C" w:rsidRPr="00B277E9" w:rsidRDefault="00CB248C"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The Hanley Community Green Hub needs effective stakeholder engagement to achieve its mission of sustainable long-term success. The project requires planned consultation and governance systems to handle different stakeholder interests and resources, and influence levels for complete participant involvement. Stakeholders need to actively participate in value creation because their involvement makes project results more legitimate (Freeman et al, 2021). Organisations need to identify their stakeholders under Stakeholder theory because they must create systems which enable stakeholders to work together through collaborative decision-making and feedback systems.</w:t>
      </w:r>
    </w:p>
    <w:p w14:paraId="37388BC5" w14:textId="77777777" w:rsidR="00CB248C" w:rsidRPr="00B277E9" w:rsidRDefault="00CB248C" w:rsidP="002E5F05">
      <w:pPr>
        <w:pStyle w:val="Heading2"/>
        <w:spacing w:line="360" w:lineRule="auto"/>
        <w:jc w:val="both"/>
        <w:rPr>
          <w:rFonts w:ascii="Times New Roman" w:hAnsi="Times New Roman" w:cs="Times New Roman"/>
          <w:color w:val="000000" w:themeColor="text1"/>
          <w:szCs w:val="24"/>
        </w:rPr>
      </w:pPr>
    </w:p>
    <w:p w14:paraId="19964DBB" w14:textId="77777777" w:rsidR="00CB248C" w:rsidRPr="00B277E9" w:rsidRDefault="00CB248C" w:rsidP="002E5F05">
      <w:pPr>
        <w:pStyle w:val="Heading2"/>
        <w:spacing w:line="360" w:lineRule="auto"/>
        <w:ind w:left="0"/>
        <w:jc w:val="both"/>
        <w:rPr>
          <w:rFonts w:ascii="Times New Roman" w:hAnsi="Times New Roman" w:cs="Times New Roman"/>
          <w:color w:val="000000" w:themeColor="text1"/>
          <w:szCs w:val="24"/>
        </w:rPr>
      </w:pPr>
      <w:bookmarkStart w:id="2" w:name="_Toc214073138"/>
      <w:r w:rsidRPr="00B277E9">
        <w:rPr>
          <w:rFonts w:ascii="Times New Roman" w:hAnsi="Times New Roman" w:cs="Times New Roman"/>
          <w:color w:val="000000" w:themeColor="text1"/>
          <w:szCs w:val="24"/>
        </w:rPr>
        <w:t>2.1 Stakeholder Identification and Analysis</w:t>
      </w:r>
      <w:bookmarkEnd w:id="2"/>
    </w:p>
    <w:p w14:paraId="658E27B6" w14:textId="0CE1F7C6" w:rsidR="00CB248C" w:rsidRPr="00B277E9" w:rsidRDefault="00CB248C"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The project requires public institutions and private businesses and educational organisations, and community-based groups to actively participate in its development process. The power–interest matrix developed by Mendelow (1991) helps organisations determine how much influence stakeholders have and how much they care about project success. The table shows the main stakeholder groups along with their suggested participation approaches (Table 1).</w:t>
      </w:r>
    </w:p>
    <w:p w14:paraId="00AD4BD8" w14:textId="77777777" w:rsidR="00CB248C" w:rsidRPr="00B277E9" w:rsidRDefault="00CB248C" w:rsidP="002E5F05">
      <w:pPr>
        <w:spacing w:line="360" w:lineRule="auto"/>
        <w:jc w:val="both"/>
        <w:rPr>
          <w:rFonts w:ascii="Times New Roman" w:hAnsi="Times New Roman" w:cs="Times New Roman"/>
          <w:color w:val="000000" w:themeColor="text1"/>
        </w:rPr>
      </w:pPr>
    </w:p>
    <w:tbl>
      <w:tblPr>
        <w:tblStyle w:val="PlainTable1"/>
        <w:tblW w:w="8642" w:type="dxa"/>
        <w:tblLook w:val="04A0" w:firstRow="1" w:lastRow="0" w:firstColumn="1" w:lastColumn="0" w:noHBand="0" w:noVBand="1"/>
      </w:tblPr>
      <w:tblGrid>
        <w:gridCol w:w="3964"/>
        <w:gridCol w:w="4678"/>
      </w:tblGrid>
      <w:tr w:rsidR="00B133A9" w:rsidRPr="00B277E9" w14:paraId="6A24428B" w14:textId="77777777" w:rsidTr="00B133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vAlign w:val="center"/>
          </w:tcPr>
          <w:p w14:paraId="04DD2704" w14:textId="77777777" w:rsidR="00B133A9" w:rsidRPr="00B277E9" w:rsidRDefault="00B133A9"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Stakeholder</w:t>
            </w:r>
          </w:p>
        </w:tc>
        <w:tc>
          <w:tcPr>
            <w:tcW w:w="4678" w:type="dxa"/>
            <w:vAlign w:val="center"/>
          </w:tcPr>
          <w:p w14:paraId="2C55943A" w14:textId="77777777" w:rsidR="00B133A9" w:rsidRPr="00B277E9" w:rsidRDefault="00B133A9" w:rsidP="002E5F0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277E9">
              <w:rPr>
                <w:rFonts w:ascii="Times New Roman" w:hAnsi="Times New Roman" w:cs="Times New Roman"/>
                <w:color w:val="000000" w:themeColor="text1"/>
              </w:rPr>
              <w:t>Engagement Strategy</w:t>
            </w:r>
          </w:p>
        </w:tc>
      </w:tr>
      <w:tr w:rsidR="00B133A9" w:rsidRPr="00B277E9" w14:paraId="60293383" w14:textId="77777777" w:rsidTr="00B133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vAlign w:val="center"/>
          </w:tcPr>
          <w:p w14:paraId="0C19C7A9" w14:textId="77777777" w:rsidR="00B133A9" w:rsidRPr="00B277E9" w:rsidRDefault="00B133A9"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Stoke-on-Trent City Council</w:t>
            </w:r>
          </w:p>
        </w:tc>
        <w:tc>
          <w:tcPr>
            <w:tcW w:w="4678" w:type="dxa"/>
            <w:vAlign w:val="center"/>
          </w:tcPr>
          <w:p w14:paraId="6C60FF26" w14:textId="77777777" w:rsidR="00B133A9" w:rsidRPr="00B277E9" w:rsidRDefault="00B133A9" w:rsidP="002E5F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B277E9">
              <w:rPr>
                <w:rFonts w:ascii="Times New Roman" w:hAnsi="Times New Roman" w:cs="Times New Roman"/>
                <w:color w:val="000000" w:themeColor="text1"/>
              </w:rPr>
              <w:t>Continuous collaboration and approval monitoring through formal reporting.</w:t>
            </w:r>
          </w:p>
        </w:tc>
      </w:tr>
      <w:tr w:rsidR="00B133A9" w:rsidRPr="00B277E9" w14:paraId="7DBC7066" w14:textId="77777777" w:rsidTr="00B133A9">
        <w:tc>
          <w:tcPr>
            <w:cnfStyle w:val="001000000000" w:firstRow="0" w:lastRow="0" w:firstColumn="1" w:lastColumn="0" w:oddVBand="0" w:evenVBand="0" w:oddHBand="0" w:evenHBand="0" w:firstRowFirstColumn="0" w:firstRowLastColumn="0" w:lastRowFirstColumn="0" w:lastRowLastColumn="0"/>
            <w:tcW w:w="3964" w:type="dxa"/>
            <w:vAlign w:val="center"/>
          </w:tcPr>
          <w:p w14:paraId="27AA1935" w14:textId="77777777" w:rsidR="00B133A9" w:rsidRPr="00B277E9" w:rsidRDefault="00B133A9"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Groundwork West Midlands</w:t>
            </w:r>
          </w:p>
        </w:tc>
        <w:tc>
          <w:tcPr>
            <w:tcW w:w="4678" w:type="dxa"/>
            <w:vAlign w:val="center"/>
          </w:tcPr>
          <w:p w14:paraId="1CDA4CAE" w14:textId="77777777" w:rsidR="00B133A9" w:rsidRPr="00B277E9" w:rsidRDefault="00B133A9" w:rsidP="002E5F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277E9">
              <w:rPr>
                <w:rFonts w:ascii="Times New Roman" w:hAnsi="Times New Roman" w:cs="Times New Roman"/>
                <w:color w:val="000000" w:themeColor="text1"/>
              </w:rPr>
              <w:t>Partnership in environmental design, volunteer coordination, and training.</w:t>
            </w:r>
          </w:p>
        </w:tc>
      </w:tr>
      <w:tr w:rsidR="00B133A9" w:rsidRPr="00B277E9" w14:paraId="574F43FA" w14:textId="77777777" w:rsidTr="00B133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vAlign w:val="center"/>
          </w:tcPr>
          <w:p w14:paraId="4130EAF2" w14:textId="5EC2B25F" w:rsidR="00B133A9" w:rsidRPr="00B277E9" w:rsidRDefault="00B133A9"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Residents (Hanley, Shelton, Etruria)</w:t>
            </w:r>
          </w:p>
        </w:tc>
        <w:tc>
          <w:tcPr>
            <w:tcW w:w="4678" w:type="dxa"/>
            <w:vAlign w:val="center"/>
          </w:tcPr>
          <w:p w14:paraId="14D8AC1B" w14:textId="77777777" w:rsidR="00B133A9" w:rsidRPr="00B277E9" w:rsidRDefault="00B133A9" w:rsidP="002E5F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B277E9">
              <w:rPr>
                <w:rFonts w:ascii="Times New Roman" w:hAnsi="Times New Roman" w:cs="Times New Roman"/>
                <w:color w:val="000000" w:themeColor="text1"/>
              </w:rPr>
              <w:t>Empower through workshops, surveys, and participatory design events.</w:t>
            </w:r>
          </w:p>
        </w:tc>
      </w:tr>
      <w:tr w:rsidR="00B133A9" w:rsidRPr="00B277E9" w14:paraId="5481AC96" w14:textId="77777777" w:rsidTr="00B133A9">
        <w:tc>
          <w:tcPr>
            <w:cnfStyle w:val="001000000000" w:firstRow="0" w:lastRow="0" w:firstColumn="1" w:lastColumn="0" w:oddVBand="0" w:evenVBand="0" w:oddHBand="0" w:evenHBand="0" w:firstRowFirstColumn="0" w:firstRowLastColumn="0" w:lastRowFirstColumn="0" w:lastRowLastColumn="0"/>
            <w:tcW w:w="3964" w:type="dxa"/>
            <w:vAlign w:val="center"/>
          </w:tcPr>
          <w:p w14:paraId="16EFA231" w14:textId="77777777" w:rsidR="00B133A9" w:rsidRPr="00B277E9" w:rsidRDefault="00B133A9"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Staffordshire University</w:t>
            </w:r>
          </w:p>
        </w:tc>
        <w:tc>
          <w:tcPr>
            <w:tcW w:w="4678" w:type="dxa"/>
            <w:vAlign w:val="center"/>
          </w:tcPr>
          <w:p w14:paraId="0433DBBE" w14:textId="77777777" w:rsidR="00B133A9" w:rsidRPr="00B277E9" w:rsidRDefault="00B133A9" w:rsidP="002E5F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277E9">
              <w:rPr>
                <w:rFonts w:ascii="Times New Roman" w:hAnsi="Times New Roman" w:cs="Times New Roman"/>
                <w:color w:val="000000" w:themeColor="text1"/>
              </w:rPr>
              <w:t>Collaborate on sustainability research and student involvement.</w:t>
            </w:r>
          </w:p>
        </w:tc>
      </w:tr>
      <w:tr w:rsidR="00B133A9" w:rsidRPr="00B277E9" w14:paraId="1134F903" w14:textId="77777777" w:rsidTr="00B133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vAlign w:val="center"/>
          </w:tcPr>
          <w:p w14:paraId="0DC6E8E9" w14:textId="77777777" w:rsidR="00B133A9" w:rsidRPr="00B277E9" w:rsidRDefault="00B133A9"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Local Businesses (Intu Potteries, cafés, shops)</w:t>
            </w:r>
          </w:p>
        </w:tc>
        <w:tc>
          <w:tcPr>
            <w:tcW w:w="4678" w:type="dxa"/>
            <w:vAlign w:val="center"/>
          </w:tcPr>
          <w:p w14:paraId="08AA8820" w14:textId="77777777" w:rsidR="00B133A9" w:rsidRPr="00B277E9" w:rsidRDefault="00B133A9" w:rsidP="002E5F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B277E9">
              <w:rPr>
                <w:rFonts w:ascii="Times New Roman" w:hAnsi="Times New Roman" w:cs="Times New Roman"/>
                <w:color w:val="000000" w:themeColor="text1"/>
              </w:rPr>
              <w:t>Regular engagement through sponsorship and corporate volunteering.</w:t>
            </w:r>
          </w:p>
        </w:tc>
      </w:tr>
      <w:tr w:rsidR="00B133A9" w:rsidRPr="00B277E9" w14:paraId="06A41EB4" w14:textId="77777777" w:rsidTr="00B133A9">
        <w:tc>
          <w:tcPr>
            <w:cnfStyle w:val="001000000000" w:firstRow="0" w:lastRow="0" w:firstColumn="1" w:lastColumn="0" w:oddVBand="0" w:evenVBand="0" w:oddHBand="0" w:evenHBand="0" w:firstRowFirstColumn="0" w:firstRowLastColumn="0" w:lastRowFirstColumn="0" w:lastRowLastColumn="0"/>
            <w:tcW w:w="3964" w:type="dxa"/>
            <w:vAlign w:val="center"/>
          </w:tcPr>
          <w:p w14:paraId="3841A336" w14:textId="77777777" w:rsidR="00B133A9" w:rsidRPr="00B277E9" w:rsidRDefault="00B133A9"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NHS Stoke / Health and Wellbeing Board</w:t>
            </w:r>
          </w:p>
        </w:tc>
        <w:tc>
          <w:tcPr>
            <w:tcW w:w="4678" w:type="dxa"/>
            <w:vAlign w:val="center"/>
          </w:tcPr>
          <w:p w14:paraId="6A3176B6" w14:textId="6E41CAC3" w:rsidR="00B133A9" w:rsidRPr="00B277E9" w:rsidRDefault="00B133A9" w:rsidP="002E5F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277E9">
              <w:rPr>
                <w:rFonts w:ascii="Times New Roman" w:hAnsi="Times New Roman" w:cs="Times New Roman"/>
                <w:color w:val="000000" w:themeColor="text1"/>
              </w:rPr>
              <w:t>Joint initiatives to promote physical and mental well-being.</w:t>
            </w:r>
          </w:p>
        </w:tc>
      </w:tr>
    </w:tbl>
    <w:p w14:paraId="236F6E09" w14:textId="77777777" w:rsidR="00CB248C" w:rsidRPr="00B277E9" w:rsidRDefault="00CB248C" w:rsidP="002E5F05">
      <w:pPr>
        <w:spacing w:line="360" w:lineRule="auto"/>
        <w:jc w:val="both"/>
        <w:rPr>
          <w:rFonts w:ascii="Times New Roman" w:hAnsi="Times New Roman" w:cs="Times New Roman"/>
          <w:color w:val="000000" w:themeColor="text1"/>
        </w:rPr>
      </w:pPr>
    </w:p>
    <w:p w14:paraId="69CA8D29" w14:textId="28C5A6E9" w:rsidR="00CB248C" w:rsidRPr="00B277E9" w:rsidRDefault="00CB248C" w:rsidP="002E5F05">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lastRenderedPageBreak/>
        <w:t xml:space="preserve">The organisation benefits from their dual role as administrative and technical authorities because it can make strategic decisions. The local population demonstrates strong dedication, which places them in the "Keep Informed and Empower" category because they lack institutional power. The process of hearing their voices becomes vital for achieving both legitimacy and sustainable management of the project (Reed et al.,2018). </w:t>
      </w:r>
    </w:p>
    <w:p w14:paraId="3A6E15DA" w14:textId="77777777" w:rsidR="00CB248C" w:rsidRPr="00B277E9" w:rsidRDefault="00CB248C" w:rsidP="00B277E9">
      <w:pPr>
        <w:pStyle w:val="Heading2"/>
        <w:ind w:left="0"/>
        <w:rPr>
          <w:rFonts w:ascii="Times New Roman" w:hAnsi="Times New Roman" w:cs="Times New Roman"/>
          <w:color w:val="000000" w:themeColor="text1"/>
          <w:szCs w:val="24"/>
        </w:rPr>
      </w:pPr>
      <w:bookmarkStart w:id="3" w:name="_Toc214073139"/>
      <w:r w:rsidRPr="00B277E9">
        <w:rPr>
          <w:rFonts w:ascii="Times New Roman" w:hAnsi="Times New Roman" w:cs="Times New Roman"/>
          <w:color w:val="000000" w:themeColor="text1"/>
          <w:szCs w:val="24"/>
        </w:rPr>
        <w:t>2.2 Stakeholder Mapping</w:t>
      </w:r>
      <w:bookmarkEnd w:id="3"/>
    </w:p>
    <w:p w14:paraId="17D8846B" w14:textId="00E21222" w:rsidR="00CB248C" w:rsidRPr="00B277E9" w:rsidRDefault="00CB248C" w:rsidP="00B277E9">
      <w:pPr>
        <w:spacing w:line="360" w:lineRule="auto"/>
        <w:rPr>
          <w:rFonts w:ascii="Times New Roman" w:hAnsi="Times New Roman" w:cs="Times New Roman"/>
          <w:color w:val="000000" w:themeColor="text1"/>
        </w:rPr>
      </w:pPr>
      <w:r w:rsidRPr="00B277E9">
        <w:rPr>
          <w:rFonts w:ascii="Times New Roman" w:hAnsi="Times New Roman" w:cs="Times New Roman"/>
          <w:color w:val="000000" w:themeColor="text1"/>
        </w:rPr>
        <w:t>The stakeholder relationship mapping process reveals their communication needs, together with their present level of influence. The following diagram shows each group's position based on Mendelow’s matrix, which originated from the HANLEY.svg file.</w:t>
      </w:r>
    </w:p>
    <w:p w14:paraId="308005DF" w14:textId="6D0C9C63" w:rsidR="00CB248C" w:rsidRPr="00DD5D8B" w:rsidRDefault="00CB248C" w:rsidP="00CB248C">
      <w:pPr>
        <w:spacing w:line="360" w:lineRule="auto"/>
        <w:jc w:val="center"/>
        <w:rPr>
          <w:rFonts w:ascii="Arial" w:hAnsi="Arial" w:cs="Arial"/>
          <w:color w:val="000000" w:themeColor="text1"/>
          <w:sz w:val="22"/>
          <w:szCs w:val="22"/>
        </w:rPr>
      </w:pPr>
      <w:r w:rsidRPr="00DD5D8B">
        <w:rPr>
          <w:rFonts w:ascii="Arial" w:hAnsi="Arial" w:cs="Arial"/>
          <w:noProof/>
          <w:color w:val="000000" w:themeColor="text1"/>
          <w:sz w:val="22"/>
          <w:szCs w:val="22"/>
        </w:rPr>
        <w:drawing>
          <wp:inline distT="0" distB="0" distL="0" distR="0" wp14:anchorId="0644EF1B" wp14:editId="689F511D">
            <wp:extent cx="4324904" cy="3727450"/>
            <wp:effectExtent l="0" t="0" r="0" b="6350"/>
            <wp:docPr id="189214503" name="Picture 4" descr="A diagram of a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14503" name="Picture 4" descr="A diagram of a project"/>
                    <pic:cNvPicPr/>
                  </pic:nvPicPr>
                  <pic:blipFill>
                    <a:blip r:embed="rId10">
                      <a:extLst>
                        <a:ext uri="{28A0092B-C50C-407E-A947-70E740481C1C}">
                          <a14:useLocalDpi xmlns:a14="http://schemas.microsoft.com/office/drawing/2010/main" val="0"/>
                        </a:ext>
                      </a:extLst>
                    </a:blip>
                    <a:stretch>
                      <a:fillRect/>
                    </a:stretch>
                  </pic:blipFill>
                  <pic:spPr>
                    <a:xfrm>
                      <a:off x="0" y="0"/>
                      <a:ext cx="4375961" cy="3771453"/>
                    </a:xfrm>
                    <a:prstGeom prst="rect">
                      <a:avLst/>
                    </a:prstGeom>
                  </pic:spPr>
                </pic:pic>
              </a:graphicData>
            </a:graphic>
          </wp:inline>
        </w:drawing>
      </w:r>
    </w:p>
    <w:p w14:paraId="6501AC6F" w14:textId="28A00531" w:rsidR="00CB248C" w:rsidRPr="00DD5D8B" w:rsidRDefault="00CB248C" w:rsidP="00CB248C">
      <w:pPr>
        <w:spacing w:line="360" w:lineRule="auto"/>
        <w:rPr>
          <w:rFonts w:ascii="Arial" w:hAnsi="Arial" w:cs="Arial"/>
          <w:i/>
          <w:iCs/>
          <w:color w:val="000000" w:themeColor="text1"/>
          <w:sz w:val="22"/>
          <w:szCs w:val="22"/>
        </w:rPr>
      </w:pPr>
      <w:r w:rsidRPr="00DD5D8B">
        <w:rPr>
          <w:rFonts w:ascii="Arial" w:hAnsi="Arial" w:cs="Arial"/>
          <w:i/>
          <w:iCs/>
          <w:color w:val="000000" w:themeColor="text1"/>
          <w:sz w:val="22"/>
          <w:szCs w:val="22"/>
        </w:rPr>
        <w:t xml:space="preserve">Figure 3: Stakeholder Map for the Hanley Community Green Hub (Adapted from Mendelow, 1991; Source: </w:t>
      </w:r>
      <w:r w:rsidR="00EF7B02" w:rsidRPr="00DD5D8B">
        <w:rPr>
          <w:rFonts w:ascii="Arial" w:hAnsi="Arial" w:cs="Arial"/>
          <w:i/>
          <w:iCs/>
          <w:color w:val="000000" w:themeColor="text1"/>
          <w:sz w:val="22"/>
          <w:szCs w:val="22"/>
        </w:rPr>
        <w:t>Marian</w:t>
      </w:r>
      <w:r w:rsidRPr="00DD5D8B">
        <w:rPr>
          <w:rFonts w:ascii="Arial" w:hAnsi="Arial" w:cs="Arial"/>
          <w:i/>
          <w:iCs/>
          <w:color w:val="000000" w:themeColor="text1"/>
          <w:sz w:val="22"/>
          <w:szCs w:val="22"/>
        </w:rPr>
        <w:t>, 2025)</w:t>
      </w:r>
    </w:p>
    <w:p w14:paraId="7F2B704C" w14:textId="6D93634E" w:rsidR="00CB248C" w:rsidRPr="00B277E9" w:rsidRDefault="00CB248C" w:rsidP="00B277E9">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 xml:space="preserve">The visualisation shows the Council and Groundwork as powerful organisations which drive the project through their high level of interest and influence. The project needs to enable residents and volunteers who fall under the high-interest low-power quadrant through basic involvement methods. The Staffordshire University and NHS Stoke organisations operate across different quadrants because they unite academic knowledge with outreach programs for the community. The mapping system helps organisations distribute their engagement resources </w:t>
      </w:r>
      <w:r w:rsidRPr="00B277E9">
        <w:rPr>
          <w:rFonts w:ascii="Times New Roman" w:hAnsi="Times New Roman" w:cs="Times New Roman"/>
          <w:color w:val="000000" w:themeColor="text1"/>
        </w:rPr>
        <w:lastRenderedPageBreak/>
        <w:t>effectively by preventing both excessive consultation of important stakeholders and insufficient consultation of these stakeholders (Bryson, 2018).</w:t>
      </w:r>
    </w:p>
    <w:p w14:paraId="062E2D60" w14:textId="77777777" w:rsidR="00CB248C" w:rsidRPr="00B277E9" w:rsidRDefault="00CB248C" w:rsidP="00B277E9">
      <w:pPr>
        <w:pStyle w:val="Heading2"/>
        <w:ind w:left="0"/>
        <w:jc w:val="both"/>
        <w:rPr>
          <w:rFonts w:ascii="Times New Roman" w:hAnsi="Times New Roman" w:cs="Times New Roman"/>
          <w:color w:val="000000" w:themeColor="text1"/>
          <w:szCs w:val="24"/>
        </w:rPr>
      </w:pPr>
      <w:bookmarkStart w:id="4" w:name="_Toc214073140"/>
      <w:r w:rsidRPr="00B277E9">
        <w:rPr>
          <w:rFonts w:ascii="Times New Roman" w:hAnsi="Times New Roman" w:cs="Times New Roman"/>
          <w:color w:val="000000" w:themeColor="text1"/>
          <w:szCs w:val="24"/>
        </w:rPr>
        <w:t>2.3 Engagement Frameworks and Consultation Design</w:t>
      </w:r>
      <w:bookmarkEnd w:id="4"/>
    </w:p>
    <w:p w14:paraId="4ECBCB69" w14:textId="15CE8412" w:rsidR="00CB248C" w:rsidRPr="00B277E9" w:rsidRDefault="00CB248C" w:rsidP="00B277E9">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The Hanley Community Green Hub implements community engagement through three methods, which include consultation and collaboration, and empowerment approaches. The framework operates based on the National Standards for Community Engagement (Scotland, 2016) to develop inclusive spaces through enhanced communication and ongoing development.</w:t>
      </w:r>
    </w:p>
    <w:p w14:paraId="1F85955A" w14:textId="4B92C8A0" w:rsidR="00CB248C" w:rsidRPr="00B277E9" w:rsidRDefault="00CB248C" w:rsidP="00B277E9">
      <w:pPr>
        <w:spacing w:line="360" w:lineRule="auto"/>
        <w:jc w:val="both"/>
        <w:rPr>
          <w:rFonts w:ascii="Times New Roman" w:hAnsi="Times New Roman" w:cs="Times New Roman"/>
          <w:b/>
          <w:bCs/>
          <w:color w:val="000000" w:themeColor="text1"/>
        </w:rPr>
      </w:pPr>
      <w:r w:rsidRPr="00B277E9">
        <w:rPr>
          <w:rFonts w:ascii="Times New Roman" w:hAnsi="Times New Roman" w:cs="Times New Roman"/>
          <w:b/>
          <w:bCs/>
          <w:color w:val="000000" w:themeColor="text1"/>
        </w:rPr>
        <w:t xml:space="preserve">Inclusion - </w:t>
      </w:r>
      <w:r w:rsidRPr="00B277E9">
        <w:rPr>
          <w:rFonts w:ascii="Times New Roman" w:hAnsi="Times New Roman" w:cs="Times New Roman"/>
          <w:color w:val="000000" w:themeColor="text1"/>
        </w:rPr>
        <w:t>The project will keep users involved from the design phase until the maintenance phase, instead of stopping at the first consultation stage.</w:t>
      </w:r>
    </w:p>
    <w:p w14:paraId="1AA07E41" w14:textId="3C944409" w:rsidR="00CB248C" w:rsidRPr="00B277E9" w:rsidRDefault="00CB248C" w:rsidP="00B277E9">
      <w:pPr>
        <w:spacing w:line="360" w:lineRule="auto"/>
        <w:jc w:val="both"/>
        <w:rPr>
          <w:rFonts w:ascii="Times New Roman" w:hAnsi="Times New Roman" w:cs="Times New Roman"/>
          <w:b/>
          <w:bCs/>
          <w:color w:val="000000" w:themeColor="text1"/>
        </w:rPr>
      </w:pPr>
      <w:r w:rsidRPr="00B277E9">
        <w:rPr>
          <w:rFonts w:ascii="Times New Roman" w:hAnsi="Times New Roman" w:cs="Times New Roman"/>
          <w:b/>
          <w:bCs/>
          <w:color w:val="000000" w:themeColor="text1"/>
        </w:rPr>
        <w:t xml:space="preserve">Support - </w:t>
      </w:r>
      <w:r w:rsidRPr="00B277E9">
        <w:rPr>
          <w:rFonts w:ascii="Times New Roman" w:hAnsi="Times New Roman" w:cs="Times New Roman"/>
          <w:color w:val="000000" w:themeColor="text1"/>
        </w:rPr>
        <w:t>Groundwork West Midlands will train and support volunteers through their facilitation program to develop their ability to contribute ideas effectively.</w:t>
      </w:r>
    </w:p>
    <w:p w14:paraId="5887D5A7" w14:textId="2EAD5931" w:rsidR="00CB248C" w:rsidRPr="00B277E9" w:rsidRDefault="00CB248C" w:rsidP="00B277E9">
      <w:pPr>
        <w:spacing w:line="360" w:lineRule="auto"/>
        <w:jc w:val="both"/>
        <w:rPr>
          <w:rFonts w:ascii="Times New Roman" w:hAnsi="Times New Roman" w:cs="Times New Roman"/>
          <w:b/>
          <w:bCs/>
          <w:color w:val="000000" w:themeColor="text1"/>
        </w:rPr>
      </w:pPr>
      <w:r w:rsidRPr="00B277E9">
        <w:rPr>
          <w:rFonts w:ascii="Times New Roman" w:hAnsi="Times New Roman" w:cs="Times New Roman"/>
          <w:b/>
          <w:bCs/>
          <w:color w:val="000000" w:themeColor="text1"/>
        </w:rPr>
        <w:t xml:space="preserve">Planning - </w:t>
      </w:r>
      <w:r w:rsidRPr="00B277E9">
        <w:rPr>
          <w:rFonts w:ascii="Times New Roman" w:hAnsi="Times New Roman" w:cs="Times New Roman"/>
          <w:color w:val="000000" w:themeColor="text1"/>
        </w:rPr>
        <w:t>The project will keep users involved from the design phase until the maintenance phase, instead of stopping at the first consultation stage.</w:t>
      </w:r>
    </w:p>
    <w:p w14:paraId="77CA089F" w14:textId="56FCEB96" w:rsidR="00CB248C" w:rsidRPr="00B277E9" w:rsidRDefault="00CB248C" w:rsidP="00B277E9">
      <w:pPr>
        <w:spacing w:line="360" w:lineRule="auto"/>
        <w:jc w:val="both"/>
        <w:rPr>
          <w:rFonts w:ascii="Times New Roman" w:hAnsi="Times New Roman" w:cs="Times New Roman"/>
          <w:color w:val="000000" w:themeColor="text1"/>
        </w:rPr>
      </w:pPr>
      <w:r w:rsidRPr="00B277E9">
        <w:rPr>
          <w:rFonts w:ascii="Times New Roman" w:hAnsi="Times New Roman" w:cs="Times New Roman"/>
          <w:b/>
          <w:bCs/>
          <w:color w:val="000000" w:themeColor="text1"/>
        </w:rPr>
        <w:t xml:space="preserve">Working Together - </w:t>
      </w:r>
      <w:r w:rsidRPr="00B277E9">
        <w:rPr>
          <w:rFonts w:ascii="Times New Roman" w:hAnsi="Times New Roman" w:cs="Times New Roman"/>
          <w:color w:val="000000" w:themeColor="text1"/>
        </w:rPr>
        <w:t xml:space="preserve">The shared decision-making forums allow stakeholders to work together to design </w:t>
      </w:r>
      <w:r w:rsidR="00B277E9" w:rsidRPr="00B277E9">
        <w:rPr>
          <w:rFonts w:ascii="Times New Roman" w:hAnsi="Times New Roman" w:cs="Times New Roman"/>
          <w:color w:val="000000" w:themeColor="text1"/>
        </w:rPr>
        <w:t>features</w:t>
      </w:r>
      <w:r w:rsidRPr="00B277E9">
        <w:rPr>
          <w:rFonts w:ascii="Times New Roman" w:hAnsi="Times New Roman" w:cs="Times New Roman"/>
          <w:color w:val="000000" w:themeColor="text1"/>
        </w:rPr>
        <w:t>, which include playground equipment and a dog-waste disposal system.</w:t>
      </w:r>
    </w:p>
    <w:p w14:paraId="12844EDD" w14:textId="775AA137" w:rsidR="00CB248C" w:rsidRPr="00B277E9" w:rsidRDefault="00CB248C" w:rsidP="00B277E9">
      <w:pPr>
        <w:spacing w:line="360" w:lineRule="auto"/>
        <w:jc w:val="both"/>
        <w:rPr>
          <w:rFonts w:ascii="Times New Roman" w:hAnsi="Times New Roman" w:cs="Times New Roman"/>
          <w:color w:val="000000" w:themeColor="text1"/>
        </w:rPr>
      </w:pPr>
      <w:r w:rsidRPr="00B277E9">
        <w:rPr>
          <w:rFonts w:ascii="Times New Roman" w:hAnsi="Times New Roman" w:cs="Times New Roman"/>
          <w:b/>
          <w:bCs/>
          <w:color w:val="000000" w:themeColor="text1"/>
        </w:rPr>
        <w:t xml:space="preserve">Methods - </w:t>
      </w:r>
      <w:r w:rsidRPr="00B277E9">
        <w:rPr>
          <w:rFonts w:ascii="Times New Roman" w:hAnsi="Times New Roman" w:cs="Times New Roman"/>
          <w:color w:val="000000" w:themeColor="text1"/>
        </w:rPr>
        <w:t>The project will use multiple engagement methods, which unite face-to-face meetings with digital surveys and platform access to reach people across different age groups and disability populations.</w:t>
      </w:r>
    </w:p>
    <w:p w14:paraId="54285733" w14:textId="78493AAE" w:rsidR="00CB248C" w:rsidRPr="00B277E9" w:rsidRDefault="00CB248C" w:rsidP="00B277E9">
      <w:pPr>
        <w:spacing w:line="360" w:lineRule="auto"/>
        <w:jc w:val="both"/>
        <w:rPr>
          <w:rFonts w:ascii="Times New Roman" w:hAnsi="Times New Roman" w:cs="Times New Roman"/>
          <w:color w:val="000000" w:themeColor="text1"/>
        </w:rPr>
      </w:pPr>
      <w:r w:rsidRPr="00B277E9">
        <w:rPr>
          <w:rFonts w:ascii="Times New Roman" w:hAnsi="Times New Roman" w:cs="Times New Roman"/>
          <w:b/>
          <w:bCs/>
          <w:color w:val="000000" w:themeColor="text1"/>
        </w:rPr>
        <w:t xml:space="preserve">Communication - </w:t>
      </w:r>
      <w:r w:rsidRPr="00B277E9">
        <w:rPr>
          <w:rFonts w:ascii="Times New Roman" w:hAnsi="Times New Roman" w:cs="Times New Roman"/>
          <w:color w:val="000000" w:themeColor="text1"/>
        </w:rPr>
        <w:t>The project will preserve trust and visibility through its scheduled reporting system, which will share information with stakeholders through newsletters and social media platforms.</w:t>
      </w:r>
    </w:p>
    <w:p w14:paraId="2592684C" w14:textId="2C5D1AB3" w:rsidR="00CB248C" w:rsidRPr="00B277E9" w:rsidRDefault="00CB248C" w:rsidP="00B277E9">
      <w:pPr>
        <w:spacing w:line="360" w:lineRule="auto"/>
        <w:jc w:val="both"/>
        <w:rPr>
          <w:rFonts w:ascii="Times New Roman" w:hAnsi="Times New Roman" w:cs="Times New Roman"/>
          <w:color w:val="000000" w:themeColor="text1"/>
        </w:rPr>
      </w:pPr>
      <w:r w:rsidRPr="00B277E9">
        <w:rPr>
          <w:rFonts w:ascii="Times New Roman" w:hAnsi="Times New Roman" w:cs="Times New Roman"/>
          <w:b/>
          <w:bCs/>
          <w:color w:val="000000" w:themeColor="text1"/>
        </w:rPr>
        <w:t xml:space="preserve">Improvement - </w:t>
      </w:r>
      <w:r w:rsidRPr="00B277E9">
        <w:rPr>
          <w:rFonts w:ascii="Times New Roman" w:hAnsi="Times New Roman" w:cs="Times New Roman"/>
          <w:color w:val="000000" w:themeColor="text1"/>
        </w:rPr>
        <w:t>The project team will evaluate participant feedback to create better engagement approaches, which they will use in all future project phases.</w:t>
      </w:r>
    </w:p>
    <w:p w14:paraId="4AC76245" w14:textId="5152EAEB" w:rsidR="00CB248C" w:rsidRPr="00B277E9" w:rsidRDefault="00CB248C" w:rsidP="00B277E9">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The framework enables civic ownership development through continuous community involvement instead of treating it as a required administrative process.</w:t>
      </w:r>
    </w:p>
    <w:p w14:paraId="7BBC3606" w14:textId="77777777" w:rsidR="00CB248C" w:rsidRPr="00B277E9" w:rsidRDefault="00CB248C" w:rsidP="00B277E9">
      <w:pPr>
        <w:pStyle w:val="Heading2"/>
        <w:ind w:left="0"/>
        <w:jc w:val="both"/>
        <w:rPr>
          <w:rFonts w:ascii="Times New Roman" w:hAnsi="Times New Roman" w:cs="Times New Roman"/>
          <w:color w:val="000000" w:themeColor="text1"/>
          <w:szCs w:val="24"/>
        </w:rPr>
      </w:pPr>
      <w:bookmarkStart w:id="5" w:name="_Toc214073141"/>
      <w:r w:rsidRPr="00B277E9">
        <w:rPr>
          <w:rFonts w:ascii="Times New Roman" w:hAnsi="Times New Roman" w:cs="Times New Roman"/>
          <w:color w:val="000000" w:themeColor="text1"/>
          <w:szCs w:val="24"/>
        </w:rPr>
        <w:t>2.4 Communication and Information-Sharing Plan</w:t>
      </w:r>
      <w:bookmarkEnd w:id="5"/>
    </w:p>
    <w:p w14:paraId="450E3613" w14:textId="52C2B1C2" w:rsidR="00CB248C" w:rsidRPr="00B277E9" w:rsidRDefault="00CB248C" w:rsidP="00B277E9">
      <w:pPr>
        <w:spacing w:line="360" w:lineRule="auto"/>
        <w:jc w:val="both"/>
        <w:rPr>
          <w:rFonts w:ascii="Times New Roman" w:hAnsi="Times New Roman" w:cs="Times New Roman"/>
          <w:color w:val="000000" w:themeColor="text1"/>
        </w:rPr>
      </w:pPr>
      <w:r w:rsidRPr="00B277E9">
        <w:rPr>
          <w:rFonts w:ascii="Times New Roman" w:hAnsi="Times New Roman" w:cs="Times New Roman"/>
          <w:color w:val="000000" w:themeColor="text1"/>
        </w:rPr>
        <w:t>Rowe and Frewer (20</w:t>
      </w:r>
      <w:r w:rsidR="000264C8" w:rsidRPr="00B277E9">
        <w:rPr>
          <w:rFonts w:ascii="Times New Roman" w:hAnsi="Times New Roman" w:cs="Times New Roman"/>
          <w:color w:val="000000" w:themeColor="text1"/>
        </w:rPr>
        <w:t>00</w:t>
      </w:r>
      <w:r w:rsidRPr="00B277E9">
        <w:rPr>
          <w:rFonts w:ascii="Times New Roman" w:hAnsi="Times New Roman" w:cs="Times New Roman"/>
          <w:color w:val="000000" w:themeColor="text1"/>
        </w:rPr>
        <w:t xml:space="preserve">) state that communication strategies need to combine one-way information sharing for dissemination with two-way dialogue for collaborative work. The </w:t>
      </w:r>
      <w:r w:rsidRPr="00B277E9">
        <w:rPr>
          <w:rFonts w:ascii="Times New Roman" w:hAnsi="Times New Roman" w:cs="Times New Roman"/>
          <w:color w:val="000000" w:themeColor="text1"/>
        </w:rPr>
        <w:lastRenderedPageBreak/>
        <w:t>communication plan outlines the methods which project managers will use to share information with their stakeholders.</w:t>
      </w:r>
    </w:p>
    <w:p w14:paraId="46EA3CB1" w14:textId="77777777" w:rsidR="00CB248C" w:rsidRPr="00DD5D8B" w:rsidRDefault="00CB248C" w:rsidP="00CB248C">
      <w:pPr>
        <w:spacing w:line="360" w:lineRule="auto"/>
        <w:rPr>
          <w:rFonts w:ascii="Arial" w:hAnsi="Arial" w:cs="Arial"/>
          <w:color w:val="000000" w:themeColor="text1"/>
          <w:sz w:val="22"/>
          <w:szCs w:val="22"/>
        </w:rPr>
      </w:pPr>
    </w:p>
    <w:tbl>
      <w:tblPr>
        <w:tblStyle w:val="PlainTable1"/>
        <w:tblW w:w="0" w:type="auto"/>
        <w:tblLook w:val="04A0" w:firstRow="1" w:lastRow="0" w:firstColumn="1" w:lastColumn="0" w:noHBand="0" w:noVBand="1"/>
      </w:tblPr>
      <w:tblGrid>
        <w:gridCol w:w="1728"/>
        <w:gridCol w:w="1728"/>
        <w:gridCol w:w="1843"/>
        <w:gridCol w:w="1728"/>
        <w:gridCol w:w="1728"/>
      </w:tblGrid>
      <w:tr w:rsidR="00DD5D8B" w:rsidRPr="00DD5D8B" w14:paraId="7119FD99" w14:textId="77777777" w:rsidTr="00CB24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vAlign w:val="center"/>
          </w:tcPr>
          <w:p w14:paraId="351CF621" w14:textId="77777777" w:rsidR="00CB248C" w:rsidRPr="00DD5D8B" w:rsidRDefault="00CB248C" w:rsidP="00CB248C">
            <w:pPr>
              <w:spacing w:line="360" w:lineRule="auto"/>
              <w:rPr>
                <w:rFonts w:ascii="Arial" w:hAnsi="Arial" w:cs="Arial"/>
                <w:color w:val="000000" w:themeColor="text1"/>
                <w:sz w:val="22"/>
                <w:szCs w:val="22"/>
              </w:rPr>
            </w:pPr>
            <w:r w:rsidRPr="00DD5D8B">
              <w:rPr>
                <w:rFonts w:ascii="Arial" w:hAnsi="Arial" w:cs="Arial"/>
                <w:color w:val="000000" w:themeColor="text1"/>
                <w:sz w:val="22"/>
                <w:szCs w:val="22"/>
              </w:rPr>
              <w:t>Stakeholder Group</w:t>
            </w:r>
          </w:p>
        </w:tc>
        <w:tc>
          <w:tcPr>
            <w:tcW w:w="1728" w:type="dxa"/>
            <w:vAlign w:val="center"/>
          </w:tcPr>
          <w:p w14:paraId="331B275B" w14:textId="77777777" w:rsidR="00CB248C" w:rsidRPr="00DD5D8B" w:rsidRDefault="00CB248C" w:rsidP="00CB248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Purpose</w:t>
            </w:r>
          </w:p>
        </w:tc>
        <w:tc>
          <w:tcPr>
            <w:tcW w:w="1728" w:type="dxa"/>
            <w:vAlign w:val="center"/>
          </w:tcPr>
          <w:p w14:paraId="33C19FF5" w14:textId="77777777" w:rsidR="00CB248C" w:rsidRPr="00DD5D8B" w:rsidRDefault="00CB248C" w:rsidP="00CB248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Information Shared</w:t>
            </w:r>
          </w:p>
        </w:tc>
        <w:tc>
          <w:tcPr>
            <w:tcW w:w="1728" w:type="dxa"/>
            <w:vAlign w:val="center"/>
          </w:tcPr>
          <w:p w14:paraId="262241F0" w14:textId="77777777" w:rsidR="00CB248C" w:rsidRPr="00DD5D8B" w:rsidRDefault="00CB248C" w:rsidP="00CB248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Frequency</w:t>
            </w:r>
          </w:p>
        </w:tc>
        <w:tc>
          <w:tcPr>
            <w:tcW w:w="1728" w:type="dxa"/>
            <w:vAlign w:val="center"/>
          </w:tcPr>
          <w:p w14:paraId="0B48560E" w14:textId="77777777" w:rsidR="00CB248C" w:rsidRPr="00DD5D8B" w:rsidRDefault="00CB248C" w:rsidP="00CB248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Medium</w:t>
            </w:r>
          </w:p>
        </w:tc>
      </w:tr>
      <w:tr w:rsidR="00DD5D8B" w:rsidRPr="00DD5D8B" w14:paraId="765E0D1A" w14:textId="77777777" w:rsidTr="00CB2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vAlign w:val="center"/>
          </w:tcPr>
          <w:p w14:paraId="0D22BE5C" w14:textId="77777777" w:rsidR="00CB248C" w:rsidRPr="00DD5D8B" w:rsidRDefault="00CB248C" w:rsidP="00CB248C">
            <w:pPr>
              <w:spacing w:line="360" w:lineRule="auto"/>
              <w:rPr>
                <w:rFonts w:ascii="Arial" w:hAnsi="Arial" w:cs="Arial"/>
                <w:color w:val="000000" w:themeColor="text1"/>
                <w:sz w:val="22"/>
                <w:szCs w:val="22"/>
              </w:rPr>
            </w:pPr>
            <w:r w:rsidRPr="00DD5D8B">
              <w:rPr>
                <w:rFonts w:ascii="Arial" w:hAnsi="Arial" w:cs="Arial"/>
                <w:color w:val="000000" w:themeColor="text1"/>
                <w:sz w:val="22"/>
                <w:szCs w:val="22"/>
              </w:rPr>
              <w:t>Stoke-on-Trent City Council</w:t>
            </w:r>
          </w:p>
        </w:tc>
        <w:tc>
          <w:tcPr>
            <w:tcW w:w="1728" w:type="dxa"/>
            <w:vAlign w:val="center"/>
          </w:tcPr>
          <w:p w14:paraId="08ED98EE"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Strategic oversight</w:t>
            </w:r>
          </w:p>
        </w:tc>
        <w:tc>
          <w:tcPr>
            <w:tcW w:w="1728" w:type="dxa"/>
            <w:vAlign w:val="center"/>
          </w:tcPr>
          <w:p w14:paraId="1E109D35" w14:textId="23272EB0"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Progress reports, budgets, and planning documents</w:t>
            </w:r>
          </w:p>
        </w:tc>
        <w:tc>
          <w:tcPr>
            <w:tcW w:w="1728" w:type="dxa"/>
            <w:vAlign w:val="center"/>
          </w:tcPr>
          <w:p w14:paraId="7E6BBD50"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Monthly</w:t>
            </w:r>
          </w:p>
        </w:tc>
        <w:tc>
          <w:tcPr>
            <w:tcW w:w="1728" w:type="dxa"/>
            <w:vAlign w:val="center"/>
          </w:tcPr>
          <w:p w14:paraId="064A95B6"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Formal meetings, email updates</w:t>
            </w:r>
          </w:p>
        </w:tc>
      </w:tr>
      <w:tr w:rsidR="00DD5D8B" w:rsidRPr="00DD5D8B" w14:paraId="2441B407" w14:textId="77777777" w:rsidTr="00CB248C">
        <w:tc>
          <w:tcPr>
            <w:cnfStyle w:val="001000000000" w:firstRow="0" w:lastRow="0" w:firstColumn="1" w:lastColumn="0" w:oddVBand="0" w:evenVBand="0" w:oddHBand="0" w:evenHBand="0" w:firstRowFirstColumn="0" w:firstRowLastColumn="0" w:lastRowFirstColumn="0" w:lastRowLastColumn="0"/>
            <w:tcW w:w="1728" w:type="dxa"/>
            <w:vAlign w:val="center"/>
          </w:tcPr>
          <w:p w14:paraId="1129A22C" w14:textId="77777777" w:rsidR="00CB248C" w:rsidRPr="00DD5D8B" w:rsidRDefault="00CB248C" w:rsidP="00CB248C">
            <w:pPr>
              <w:spacing w:line="360" w:lineRule="auto"/>
              <w:rPr>
                <w:rFonts w:ascii="Arial" w:hAnsi="Arial" w:cs="Arial"/>
                <w:color w:val="000000" w:themeColor="text1"/>
                <w:sz w:val="22"/>
                <w:szCs w:val="22"/>
              </w:rPr>
            </w:pPr>
            <w:r w:rsidRPr="00DD5D8B">
              <w:rPr>
                <w:rFonts w:ascii="Arial" w:hAnsi="Arial" w:cs="Arial"/>
                <w:color w:val="000000" w:themeColor="text1"/>
                <w:sz w:val="22"/>
                <w:szCs w:val="22"/>
              </w:rPr>
              <w:t>Groundwork West Midlands</w:t>
            </w:r>
          </w:p>
        </w:tc>
        <w:tc>
          <w:tcPr>
            <w:tcW w:w="1728" w:type="dxa"/>
            <w:vAlign w:val="center"/>
          </w:tcPr>
          <w:p w14:paraId="053F320D"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Project implementation</w:t>
            </w:r>
          </w:p>
        </w:tc>
        <w:tc>
          <w:tcPr>
            <w:tcW w:w="1728" w:type="dxa"/>
            <w:vAlign w:val="center"/>
          </w:tcPr>
          <w:p w14:paraId="646FDBCF"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Environmental data, volunteer updates</w:t>
            </w:r>
          </w:p>
        </w:tc>
        <w:tc>
          <w:tcPr>
            <w:tcW w:w="1728" w:type="dxa"/>
            <w:vAlign w:val="center"/>
          </w:tcPr>
          <w:p w14:paraId="32509228"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Fortnightly</w:t>
            </w:r>
          </w:p>
        </w:tc>
        <w:tc>
          <w:tcPr>
            <w:tcW w:w="1728" w:type="dxa"/>
            <w:vAlign w:val="center"/>
          </w:tcPr>
          <w:p w14:paraId="5803C8F8"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Shared drives, virtual workshops</w:t>
            </w:r>
          </w:p>
        </w:tc>
      </w:tr>
      <w:tr w:rsidR="00DD5D8B" w:rsidRPr="00DD5D8B" w14:paraId="45DB1344" w14:textId="77777777" w:rsidTr="00CB2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vAlign w:val="center"/>
          </w:tcPr>
          <w:p w14:paraId="07A43388" w14:textId="2362D96D" w:rsidR="00CB248C" w:rsidRPr="00DD5D8B" w:rsidRDefault="00CB248C" w:rsidP="00CB248C">
            <w:pPr>
              <w:spacing w:line="360" w:lineRule="auto"/>
              <w:rPr>
                <w:rFonts w:ascii="Arial" w:hAnsi="Arial" w:cs="Arial"/>
                <w:color w:val="000000" w:themeColor="text1"/>
                <w:sz w:val="22"/>
                <w:szCs w:val="22"/>
              </w:rPr>
            </w:pPr>
            <w:r w:rsidRPr="00DD5D8B">
              <w:rPr>
                <w:rFonts w:ascii="Arial" w:hAnsi="Arial" w:cs="Arial"/>
                <w:color w:val="000000" w:themeColor="text1"/>
                <w:sz w:val="22"/>
                <w:szCs w:val="22"/>
              </w:rPr>
              <w:t>Residents</w:t>
            </w:r>
          </w:p>
        </w:tc>
        <w:tc>
          <w:tcPr>
            <w:tcW w:w="1728" w:type="dxa"/>
            <w:vAlign w:val="center"/>
          </w:tcPr>
          <w:p w14:paraId="4159AAB8"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Participation and feedback</w:t>
            </w:r>
          </w:p>
        </w:tc>
        <w:tc>
          <w:tcPr>
            <w:tcW w:w="1728" w:type="dxa"/>
            <w:vAlign w:val="center"/>
          </w:tcPr>
          <w:p w14:paraId="27F7252B"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Surveys, event announcements, progress visuals</w:t>
            </w:r>
          </w:p>
        </w:tc>
        <w:tc>
          <w:tcPr>
            <w:tcW w:w="1728" w:type="dxa"/>
            <w:vAlign w:val="center"/>
          </w:tcPr>
          <w:p w14:paraId="4F59B1AB"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Quarterly</w:t>
            </w:r>
          </w:p>
        </w:tc>
        <w:tc>
          <w:tcPr>
            <w:tcW w:w="1728" w:type="dxa"/>
            <w:vAlign w:val="center"/>
          </w:tcPr>
          <w:p w14:paraId="3F01DF2A"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Posters, newsletters, social media</w:t>
            </w:r>
          </w:p>
        </w:tc>
      </w:tr>
      <w:tr w:rsidR="00DD5D8B" w:rsidRPr="00DD5D8B" w14:paraId="467B15F7" w14:textId="77777777" w:rsidTr="00CB248C">
        <w:tc>
          <w:tcPr>
            <w:cnfStyle w:val="001000000000" w:firstRow="0" w:lastRow="0" w:firstColumn="1" w:lastColumn="0" w:oddVBand="0" w:evenVBand="0" w:oddHBand="0" w:evenHBand="0" w:firstRowFirstColumn="0" w:firstRowLastColumn="0" w:lastRowFirstColumn="0" w:lastRowLastColumn="0"/>
            <w:tcW w:w="1728" w:type="dxa"/>
            <w:vAlign w:val="center"/>
          </w:tcPr>
          <w:p w14:paraId="007EFCB6" w14:textId="77777777" w:rsidR="00CB248C" w:rsidRPr="00DD5D8B" w:rsidRDefault="00CB248C" w:rsidP="00CB248C">
            <w:pPr>
              <w:spacing w:line="360" w:lineRule="auto"/>
              <w:rPr>
                <w:rFonts w:ascii="Arial" w:hAnsi="Arial" w:cs="Arial"/>
                <w:color w:val="000000" w:themeColor="text1"/>
                <w:sz w:val="22"/>
                <w:szCs w:val="22"/>
              </w:rPr>
            </w:pPr>
            <w:r w:rsidRPr="00DD5D8B">
              <w:rPr>
                <w:rFonts w:ascii="Arial" w:hAnsi="Arial" w:cs="Arial"/>
                <w:color w:val="000000" w:themeColor="text1"/>
                <w:sz w:val="22"/>
                <w:szCs w:val="22"/>
              </w:rPr>
              <w:t>Staffordshire University</w:t>
            </w:r>
          </w:p>
        </w:tc>
        <w:tc>
          <w:tcPr>
            <w:tcW w:w="1728" w:type="dxa"/>
            <w:vAlign w:val="center"/>
          </w:tcPr>
          <w:p w14:paraId="22B17FE7"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Academic input</w:t>
            </w:r>
          </w:p>
        </w:tc>
        <w:tc>
          <w:tcPr>
            <w:tcW w:w="1728" w:type="dxa"/>
            <w:vAlign w:val="center"/>
          </w:tcPr>
          <w:p w14:paraId="0E8473B9"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Research data, student project briefs</w:t>
            </w:r>
          </w:p>
        </w:tc>
        <w:tc>
          <w:tcPr>
            <w:tcW w:w="1728" w:type="dxa"/>
            <w:vAlign w:val="center"/>
          </w:tcPr>
          <w:p w14:paraId="0A584508"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Termly</w:t>
            </w:r>
          </w:p>
        </w:tc>
        <w:tc>
          <w:tcPr>
            <w:tcW w:w="1728" w:type="dxa"/>
            <w:vAlign w:val="center"/>
          </w:tcPr>
          <w:p w14:paraId="775D044E"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Email, academic partnership meetings</w:t>
            </w:r>
          </w:p>
        </w:tc>
      </w:tr>
      <w:tr w:rsidR="00DD5D8B" w:rsidRPr="00DD5D8B" w14:paraId="7F29C071" w14:textId="77777777" w:rsidTr="00CB2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vAlign w:val="center"/>
          </w:tcPr>
          <w:p w14:paraId="7B067D11" w14:textId="77777777" w:rsidR="00CB248C" w:rsidRPr="00DD5D8B" w:rsidRDefault="00CB248C" w:rsidP="00CB248C">
            <w:pPr>
              <w:spacing w:line="360" w:lineRule="auto"/>
              <w:rPr>
                <w:rFonts w:ascii="Arial" w:hAnsi="Arial" w:cs="Arial"/>
                <w:color w:val="000000" w:themeColor="text1"/>
                <w:sz w:val="22"/>
                <w:szCs w:val="22"/>
              </w:rPr>
            </w:pPr>
            <w:r w:rsidRPr="00DD5D8B">
              <w:rPr>
                <w:rFonts w:ascii="Arial" w:hAnsi="Arial" w:cs="Arial"/>
                <w:color w:val="000000" w:themeColor="text1"/>
                <w:sz w:val="22"/>
                <w:szCs w:val="22"/>
              </w:rPr>
              <w:t>Local Businesses</w:t>
            </w:r>
          </w:p>
        </w:tc>
        <w:tc>
          <w:tcPr>
            <w:tcW w:w="1728" w:type="dxa"/>
            <w:vAlign w:val="center"/>
          </w:tcPr>
          <w:p w14:paraId="42F8FB4C"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Sponsorship and events</w:t>
            </w:r>
          </w:p>
        </w:tc>
        <w:tc>
          <w:tcPr>
            <w:tcW w:w="1728" w:type="dxa"/>
            <w:vAlign w:val="center"/>
          </w:tcPr>
          <w:p w14:paraId="64CD71D7"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CSR opportunities, publicity material</w:t>
            </w:r>
          </w:p>
        </w:tc>
        <w:tc>
          <w:tcPr>
            <w:tcW w:w="1728" w:type="dxa"/>
            <w:vAlign w:val="center"/>
          </w:tcPr>
          <w:p w14:paraId="38954023"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Bi-monthly</w:t>
            </w:r>
          </w:p>
        </w:tc>
        <w:tc>
          <w:tcPr>
            <w:tcW w:w="1728" w:type="dxa"/>
            <w:vAlign w:val="center"/>
          </w:tcPr>
          <w:p w14:paraId="50CA624B" w14:textId="77777777" w:rsidR="00CB248C" w:rsidRPr="00DD5D8B" w:rsidRDefault="00CB248C" w:rsidP="00CB24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Site visits, press releases</w:t>
            </w:r>
          </w:p>
        </w:tc>
      </w:tr>
      <w:tr w:rsidR="00DD5D8B" w:rsidRPr="00DD5D8B" w14:paraId="18C03AA2" w14:textId="77777777" w:rsidTr="00CB248C">
        <w:tc>
          <w:tcPr>
            <w:cnfStyle w:val="001000000000" w:firstRow="0" w:lastRow="0" w:firstColumn="1" w:lastColumn="0" w:oddVBand="0" w:evenVBand="0" w:oddHBand="0" w:evenHBand="0" w:firstRowFirstColumn="0" w:firstRowLastColumn="0" w:lastRowFirstColumn="0" w:lastRowLastColumn="0"/>
            <w:tcW w:w="1728" w:type="dxa"/>
            <w:vAlign w:val="center"/>
          </w:tcPr>
          <w:p w14:paraId="7FC8B026" w14:textId="77777777" w:rsidR="00CB248C" w:rsidRPr="00DD5D8B" w:rsidRDefault="00CB248C" w:rsidP="00CB248C">
            <w:pPr>
              <w:spacing w:line="360" w:lineRule="auto"/>
              <w:rPr>
                <w:rFonts w:ascii="Arial" w:hAnsi="Arial" w:cs="Arial"/>
                <w:color w:val="000000" w:themeColor="text1"/>
                <w:sz w:val="22"/>
                <w:szCs w:val="22"/>
              </w:rPr>
            </w:pPr>
            <w:r w:rsidRPr="00DD5D8B">
              <w:rPr>
                <w:rFonts w:ascii="Arial" w:hAnsi="Arial" w:cs="Arial"/>
                <w:color w:val="000000" w:themeColor="text1"/>
                <w:sz w:val="22"/>
                <w:szCs w:val="22"/>
              </w:rPr>
              <w:t>NHS Stoke / Health Board</w:t>
            </w:r>
          </w:p>
        </w:tc>
        <w:tc>
          <w:tcPr>
            <w:tcW w:w="1728" w:type="dxa"/>
            <w:vAlign w:val="center"/>
          </w:tcPr>
          <w:p w14:paraId="511AA0CF"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Health initiatives</w:t>
            </w:r>
          </w:p>
        </w:tc>
        <w:tc>
          <w:tcPr>
            <w:tcW w:w="1728" w:type="dxa"/>
            <w:vAlign w:val="center"/>
          </w:tcPr>
          <w:p w14:paraId="0597FA8C" w14:textId="39A91833"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 xml:space="preserve">Data on </w:t>
            </w:r>
            <w:r w:rsidR="00122B8D">
              <w:rPr>
                <w:rFonts w:ascii="Arial" w:hAnsi="Arial" w:cs="Arial"/>
                <w:color w:val="000000" w:themeColor="text1"/>
                <w:sz w:val="22"/>
                <w:szCs w:val="22"/>
              </w:rPr>
              <w:t>well-being</w:t>
            </w:r>
            <w:r w:rsidRPr="00DD5D8B">
              <w:rPr>
                <w:rFonts w:ascii="Arial" w:hAnsi="Arial" w:cs="Arial"/>
                <w:color w:val="000000" w:themeColor="text1"/>
                <w:sz w:val="22"/>
                <w:szCs w:val="22"/>
              </w:rPr>
              <w:t xml:space="preserve"> outcomes</w:t>
            </w:r>
          </w:p>
        </w:tc>
        <w:tc>
          <w:tcPr>
            <w:tcW w:w="1728" w:type="dxa"/>
            <w:vAlign w:val="center"/>
          </w:tcPr>
          <w:p w14:paraId="32737C11"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Bi-monthly</w:t>
            </w:r>
          </w:p>
        </w:tc>
        <w:tc>
          <w:tcPr>
            <w:tcW w:w="1728" w:type="dxa"/>
            <w:vAlign w:val="center"/>
          </w:tcPr>
          <w:p w14:paraId="136B5C4A" w14:textId="77777777" w:rsidR="00CB248C" w:rsidRPr="00DD5D8B" w:rsidRDefault="00CB248C" w:rsidP="00CB24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D5D8B">
              <w:rPr>
                <w:rFonts w:ascii="Arial" w:hAnsi="Arial" w:cs="Arial"/>
                <w:color w:val="000000" w:themeColor="text1"/>
                <w:sz w:val="22"/>
                <w:szCs w:val="22"/>
              </w:rPr>
              <w:t>Joint sessions, public reports</w:t>
            </w:r>
          </w:p>
        </w:tc>
      </w:tr>
    </w:tbl>
    <w:p w14:paraId="7072C7E0" w14:textId="77777777" w:rsidR="00122B8D" w:rsidRDefault="00122B8D" w:rsidP="00CB248C">
      <w:pPr>
        <w:spacing w:line="360" w:lineRule="auto"/>
        <w:rPr>
          <w:rFonts w:ascii="Arial" w:hAnsi="Arial" w:cs="Arial"/>
          <w:color w:val="000000" w:themeColor="text1"/>
          <w:sz w:val="22"/>
          <w:szCs w:val="22"/>
        </w:rPr>
      </w:pPr>
    </w:p>
    <w:p w14:paraId="3FBF2CB8" w14:textId="0EBC7F78" w:rsidR="00CB248C" w:rsidRPr="00B277E9" w:rsidRDefault="00CB248C" w:rsidP="00CB248C">
      <w:pPr>
        <w:spacing w:line="360" w:lineRule="auto"/>
        <w:rPr>
          <w:rFonts w:ascii="Times New Roman" w:hAnsi="Times New Roman" w:cs="Times New Roman"/>
          <w:color w:val="000000" w:themeColor="text1"/>
        </w:rPr>
      </w:pPr>
      <w:r w:rsidRPr="00B277E9">
        <w:rPr>
          <w:rFonts w:ascii="Times New Roman" w:hAnsi="Times New Roman" w:cs="Times New Roman"/>
          <w:color w:val="000000" w:themeColor="text1"/>
        </w:rPr>
        <w:t>The plan follows Working Together and Communication standards from the National Standards (2016) to establish an inclusive digital space which supports users at different digital literacy levels. The project will share project updates through local businesses near Intu Potteries by distributing affordable flyers and displays which connect to economic and community interests.</w:t>
      </w:r>
    </w:p>
    <w:p w14:paraId="0CB9DC64" w14:textId="77777777" w:rsidR="00CB248C" w:rsidRPr="00B277E9" w:rsidRDefault="00CB248C" w:rsidP="00CB248C">
      <w:pPr>
        <w:spacing w:line="360" w:lineRule="auto"/>
        <w:rPr>
          <w:rFonts w:ascii="Times New Roman" w:hAnsi="Times New Roman" w:cs="Times New Roman"/>
          <w:color w:val="000000" w:themeColor="text1"/>
        </w:rPr>
      </w:pPr>
    </w:p>
    <w:p w14:paraId="7155CE66" w14:textId="77777777" w:rsidR="00CB248C" w:rsidRPr="00B277E9" w:rsidRDefault="00CB248C" w:rsidP="00B277E9">
      <w:pPr>
        <w:pStyle w:val="Heading2"/>
        <w:ind w:left="0"/>
        <w:rPr>
          <w:rFonts w:ascii="Times New Roman" w:hAnsi="Times New Roman" w:cs="Times New Roman"/>
          <w:color w:val="000000" w:themeColor="text1"/>
          <w:szCs w:val="24"/>
        </w:rPr>
      </w:pPr>
      <w:bookmarkStart w:id="6" w:name="_Toc214073142"/>
      <w:r w:rsidRPr="00B277E9">
        <w:rPr>
          <w:rFonts w:ascii="Times New Roman" w:hAnsi="Times New Roman" w:cs="Times New Roman"/>
          <w:color w:val="000000" w:themeColor="text1"/>
          <w:szCs w:val="24"/>
        </w:rPr>
        <w:lastRenderedPageBreak/>
        <w:t>2.5 Mind Mapping and Project Coordination</w:t>
      </w:r>
      <w:bookmarkEnd w:id="6"/>
    </w:p>
    <w:p w14:paraId="54321EC2" w14:textId="0BBB8FAE" w:rsidR="00CB248C" w:rsidRPr="00B277E9" w:rsidRDefault="00CB248C" w:rsidP="00CB248C">
      <w:pPr>
        <w:spacing w:line="360" w:lineRule="auto"/>
        <w:rPr>
          <w:rFonts w:ascii="Times New Roman" w:hAnsi="Times New Roman" w:cs="Times New Roman"/>
          <w:color w:val="000000" w:themeColor="text1"/>
        </w:rPr>
      </w:pPr>
      <w:r w:rsidRPr="00B277E9">
        <w:rPr>
          <w:rFonts w:ascii="Times New Roman" w:hAnsi="Times New Roman" w:cs="Times New Roman"/>
          <w:color w:val="000000" w:themeColor="text1"/>
        </w:rPr>
        <w:t>The mind map in Figure 4 shows how stakeholders affect project outcomes through their different ways of participating in projects.</w:t>
      </w:r>
    </w:p>
    <w:p w14:paraId="6C17A247" w14:textId="71D6602B" w:rsidR="00CB248C" w:rsidRPr="00DD5D8B" w:rsidRDefault="00CB248C" w:rsidP="00CB248C">
      <w:pPr>
        <w:spacing w:line="360" w:lineRule="auto"/>
        <w:jc w:val="center"/>
        <w:rPr>
          <w:rFonts w:ascii="Arial" w:hAnsi="Arial" w:cs="Arial"/>
          <w:b/>
          <w:bCs/>
          <w:color w:val="000000" w:themeColor="text1"/>
          <w:sz w:val="22"/>
          <w:szCs w:val="22"/>
        </w:rPr>
      </w:pPr>
    </w:p>
    <w:p w14:paraId="17318010" w14:textId="1EBE33F7" w:rsidR="00CB248C" w:rsidRPr="00DD5D8B" w:rsidRDefault="00CB248C" w:rsidP="00CB248C">
      <w:pPr>
        <w:spacing w:line="360" w:lineRule="auto"/>
        <w:jc w:val="center"/>
        <w:rPr>
          <w:rFonts w:ascii="Arial" w:hAnsi="Arial" w:cs="Arial"/>
          <w:i/>
          <w:iCs/>
          <w:color w:val="000000" w:themeColor="text1"/>
          <w:sz w:val="22"/>
          <w:szCs w:val="22"/>
        </w:rPr>
      </w:pPr>
      <w:bookmarkStart w:id="7" w:name="_Hlk214050080"/>
      <w:r w:rsidRPr="00DD5D8B">
        <w:rPr>
          <w:rFonts w:ascii="Arial" w:hAnsi="Arial" w:cs="Arial"/>
          <w:i/>
          <w:iCs/>
          <w:color w:val="000000" w:themeColor="text1"/>
          <w:sz w:val="22"/>
          <w:szCs w:val="22"/>
        </w:rPr>
        <w:t>Figure 4: Health mind map illustrating connections between sleep, stress, diet, and exercise (Source: Genovese, 2010, Learning Fundamentals).</w:t>
      </w:r>
      <w:r w:rsidRPr="00DD5D8B">
        <w:rPr>
          <w:rFonts w:ascii="Arial" w:hAnsi="Arial" w:cs="Arial"/>
          <w:i/>
          <w:iCs/>
          <w:noProof/>
          <w:color w:val="000000" w:themeColor="text1"/>
          <w:sz w:val="22"/>
          <w:szCs w:val="22"/>
        </w:rPr>
        <w:drawing>
          <wp:inline distT="0" distB="0" distL="0" distR="0" wp14:anchorId="06A6B97B" wp14:editId="4C816D41">
            <wp:extent cx="5080883" cy="3655221"/>
            <wp:effectExtent l="0" t="0" r="5715" b="2540"/>
            <wp:docPr id="1018405051" name="Picture 11" descr="A mind map of a healthier lifesty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405051" name="Picture 11" descr="A mind map of a healthier lifesty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11544" cy="3677279"/>
                    </a:xfrm>
                    <a:prstGeom prst="rect">
                      <a:avLst/>
                    </a:prstGeom>
                  </pic:spPr>
                </pic:pic>
              </a:graphicData>
            </a:graphic>
          </wp:inline>
        </w:drawing>
      </w:r>
    </w:p>
    <w:p w14:paraId="6C184FF9" w14:textId="77777777" w:rsidR="004876E4" w:rsidRPr="004876E4" w:rsidRDefault="004876E4" w:rsidP="004876E4">
      <w:pPr>
        <w:spacing w:line="360" w:lineRule="auto"/>
        <w:jc w:val="both"/>
        <w:rPr>
          <w:rFonts w:ascii="Times New Roman" w:hAnsi="Times New Roman" w:cs="Times New Roman"/>
          <w:i/>
          <w:iCs/>
          <w:color w:val="000000" w:themeColor="text1"/>
        </w:rPr>
      </w:pPr>
    </w:p>
    <w:p w14:paraId="7E793B20" w14:textId="77777777" w:rsidR="002E5F05"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structured approach maintains project engagement consistency while preventing redundant work, which is critical for effective project governance (Bourne, 2015).</w:t>
      </w:r>
      <w:bookmarkStart w:id="8" w:name="_Toc214073143"/>
      <w:bookmarkEnd w:id="7"/>
    </w:p>
    <w:p w14:paraId="6C9B2659" w14:textId="77777777" w:rsidR="002E5F05" w:rsidRDefault="00CB248C" w:rsidP="004876E4">
      <w:pPr>
        <w:spacing w:line="360" w:lineRule="auto"/>
        <w:jc w:val="both"/>
        <w:rPr>
          <w:rFonts w:ascii="Times New Roman" w:hAnsi="Times New Roman" w:cs="Times New Roman"/>
          <w:color w:val="000000" w:themeColor="text1"/>
        </w:rPr>
      </w:pPr>
      <w:r w:rsidRPr="002E5F05">
        <w:rPr>
          <w:rFonts w:ascii="Times New Roman" w:hAnsi="Times New Roman" w:cs="Times New Roman"/>
          <w:b/>
          <w:bCs/>
          <w:color w:val="000000" w:themeColor="text1"/>
        </w:rPr>
        <w:t xml:space="preserve">2.6 Corporate Social Responsibility and Local </w:t>
      </w:r>
      <w:bookmarkEnd w:id="8"/>
      <w:r w:rsidR="004876E4" w:rsidRPr="002E5F05">
        <w:rPr>
          <w:rFonts w:ascii="Times New Roman" w:hAnsi="Times New Roman" w:cs="Times New Roman"/>
          <w:b/>
          <w:bCs/>
          <w:color w:val="000000" w:themeColor="text1"/>
        </w:rPr>
        <w:t>Partnerships</w:t>
      </w:r>
      <w:r w:rsidR="004876E4" w:rsidRPr="004876E4">
        <w:rPr>
          <w:rFonts w:ascii="Times New Roman" w:hAnsi="Times New Roman" w:cs="Times New Roman"/>
          <w:color w:val="000000" w:themeColor="text1"/>
        </w:rPr>
        <w:t xml:space="preserve">. </w:t>
      </w:r>
    </w:p>
    <w:p w14:paraId="1C7B8DEE" w14:textId="77777777" w:rsidR="002E5F05" w:rsidRDefault="004876E4" w:rsidP="002E5F05">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w:t>
      </w:r>
      <w:r w:rsidR="00CB248C" w:rsidRPr="004876E4">
        <w:rPr>
          <w:rFonts w:ascii="Times New Roman" w:hAnsi="Times New Roman" w:cs="Times New Roman"/>
          <w:color w:val="000000" w:themeColor="text1"/>
        </w:rPr>
        <w:t xml:space="preserve"> Intu Potteries Shopping Centre shows Corporate Social Responsibility (CSR) integration through its business relationships with nearby companies that operate as shops and cafés. </w:t>
      </w:r>
      <w:r w:rsidR="002E5F05">
        <w:rPr>
          <w:rFonts w:ascii="Times New Roman" w:hAnsi="Times New Roman" w:cs="Times New Roman"/>
          <w:color w:val="000000" w:themeColor="text1"/>
        </w:rPr>
        <w:br/>
      </w:r>
      <w:r w:rsidR="00CB248C" w:rsidRPr="004876E4">
        <w:rPr>
          <w:rFonts w:ascii="Times New Roman" w:hAnsi="Times New Roman" w:cs="Times New Roman"/>
          <w:color w:val="000000" w:themeColor="text1"/>
        </w:rPr>
        <w:t>The CSR model developed by Carroll (2021) shows businesses can create social value through investments made in their surrounding communities.</w:t>
      </w:r>
    </w:p>
    <w:p w14:paraId="55FC5962" w14:textId="6CE807AE" w:rsidR="00CB248C" w:rsidRPr="004876E4" w:rsidRDefault="00CB248C" w:rsidP="002E5F05">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 xml:space="preserve"> The model establishes a beneficial system which uses CSR to construct actual social frameworks instead of functioning as a public relations</w:t>
      </w:r>
      <w:r w:rsidR="002E5F05">
        <w:rPr>
          <w:rFonts w:ascii="Times New Roman" w:hAnsi="Times New Roman" w:cs="Times New Roman"/>
          <w:color w:val="000000" w:themeColor="text1"/>
        </w:rPr>
        <w:t xml:space="preserve"> </w:t>
      </w:r>
      <w:r w:rsidRPr="004876E4">
        <w:rPr>
          <w:rFonts w:ascii="Times New Roman" w:hAnsi="Times New Roman" w:cs="Times New Roman"/>
          <w:color w:val="000000" w:themeColor="text1"/>
        </w:rPr>
        <w:t>tool.</w:t>
      </w:r>
      <w:r w:rsidRPr="004876E4">
        <w:rPr>
          <w:rFonts w:ascii="Times New Roman" w:hAnsi="Times New Roman" w:cs="Times New Roman"/>
          <w:color w:val="000000" w:themeColor="text1"/>
        </w:rPr>
        <w:br/>
      </w:r>
    </w:p>
    <w:p w14:paraId="372E3A84" w14:textId="44BD42B8"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9" w:name="_Toc214073144"/>
      <w:r w:rsidRPr="004876E4">
        <w:rPr>
          <w:rFonts w:ascii="Times New Roman" w:hAnsi="Times New Roman" w:cs="Times New Roman"/>
          <w:color w:val="000000" w:themeColor="text1"/>
          <w:szCs w:val="24"/>
        </w:rPr>
        <w:lastRenderedPageBreak/>
        <w:t xml:space="preserve">2.7 </w:t>
      </w:r>
      <w:r w:rsidRPr="004876E4">
        <w:rPr>
          <w:rStyle w:val="Heading2Char"/>
          <w:rFonts w:ascii="Times New Roman" w:hAnsi="Times New Roman" w:cs="Times New Roman"/>
          <w:b/>
          <w:color w:val="000000" w:themeColor="text1"/>
          <w:szCs w:val="24"/>
        </w:rPr>
        <w:t>Monitoring, Evaluation, and Continuous Improvement.</w:t>
      </w:r>
      <w:bookmarkEnd w:id="9"/>
    </w:p>
    <w:p w14:paraId="726C0CE9" w14:textId="3ACC5FEB"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 xml:space="preserve">Organisations must continuously assess stakeholder engagement to maintain their ability to adapt while upholding organisational accountability. The process will maintain its operation through these three feedback systems. </w:t>
      </w:r>
    </w:p>
    <w:p w14:paraId="28A97D14" w14:textId="3A4E4BAC"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b/>
          <w:bCs/>
          <w:color w:val="000000" w:themeColor="text1"/>
        </w:rPr>
        <w:t>Post-event evaluations.</w:t>
      </w:r>
      <w:r w:rsidRPr="004876E4">
        <w:rPr>
          <w:rFonts w:ascii="Times New Roman" w:hAnsi="Times New Roman" w:cs="Times New Roman"/>
          <w:color w:val="000000" w:themeColor="text1"/>
        </w:rPr>
        <w:t xml:space="preserve"> The system will monitor attendance statistics and track participant demographics while obtaining numerical feedback from all participants. </w:t>
      </w:r>
    </w:p>
    <w:p w14:paraId="1B0BBB7E" w14:textId="654D06F1"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b/>
          <w:bCs/>
          <w:color w:val="000000" w:themeColor="text1"/>
        </w:rPr>
        <w:t>Quarterly reports.</w:t>
      </w:r>
      <w:r w:rsidRPr="004876E4">
        <w:rPr>
          <w:rFonts w:ascii="Times New Roman" w:hAnsi="Times New Roman" w:cs="Times New Roman"/>
          <w:color w:val="000000" w:themeColor="text1"/>
        </w:rPr>
        <w:t xml:space="preserve"> The system will merge all data points to generate reports which present vital action items.</w:t>
      </w:r>
    </w:p>
    <w:p w14:paraId="11C6E7D8" w14:textId="7A868484"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b/>
          <w:bCs/>
          <w:color w:val="000000" w:themeColor="text1"/>
        </w:rPr>
        <w:t>Public displays and digital dashboards.</w:t>
      </w:r>
      <w:r w:rsidRPr="004876E4">
        <w:rPr>
          <w:rFonts w:ascii="Times New Roman" w:hAnsi="Times New Roman" w:cs="Times New Roman"/>
          <w:color w:val="000000" w:themeColor="text1"/>
        </w:rPr>
        <w:t xml:space="preserve"> The system will display current project progress information in real-time.</w:t>
      </w:r>
    </w:p>
    <w:p w14:paraId="4B125272" w14:textId="0A491D33"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b/>
          <w:bCs/>
          <w:color w:val="000000" w:themeColor="text1"/>
        </w:rPr>
        <w:t>Annual stakeholder meetings.</w:t>
      </w:r>
      <w:r w:rsidRPr="004876E4">
        <w:rPr>
          <w:rFonts w:ascii="Times New Roman" w:hAnsi="Times New Roman" w:cs="Times New Roman"/>
          <w:color w:val="000000" w:themeColor="text1"/>
        </w:rPr>
        <w:t xml:space="preserve"> The organisation will use these meetings to evaluate their present engagement methods and discover enhanced approaches for improvement. </w:t>
      </w:r>
    </w:p>
    <w:p w14:paraId="0A68AA2B" w14:textId="74058491"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Improvement principle from National Standards (2016) exists through these measures, which support Bourne's (2015) statement that engagement maturity develops through regular assessment practices. The Hanley project will achieve its physical development targets and establish governance systems for future community-based initiatives through suitable assessment techniques.</w:t>
      </w:r>
    </w:p>
    <w:p w14:paraId="3C472348" w14:textId="0A880AE6" w:rsidR="00CB248C" w:rsidRPr="004876E4" w:rsidRDefault="00CB248C" w:rsidP="004876E4">
      <w:pPr>
        <w:pStyle w:val="Heading1"/>
        <w:spacing w:line="360" w:lineRule="auto"/>
        <w:jc w:val="both"/>
        <w:rPr>
          <w:rFonts w:ascii="Times New Roman" w:hAnsi="Times New Roman" w:cs="Times New Roman"/>
          <w:color w:val="000000" w:themeColor="text1"/>
          <w:szCs w:val="24"/>
        </w:rPr>
      </w:pPr>
      <w:bookmarkStart w:id="10" w:name="_Toc214073145"/>
      <w:r w:rsidRPr="004876E4">
        <w:rPr>
          <w:rFonts w:ascii="Times New Roman" w:hAnsi="Times New Roman" w:cs="Times New Roman"/>
          <w:color w:val="000000" w:themeColor="text1"/>
          <w:szCs w:val="24"/>
        </w:rPr>
        <w:t>3. Ethical Considerations in Consultation, Participation, and Feedback.</w:t>
      </w:r>
      <w:bookmarkEnd w:id="10"/>
    </w:p>
    <w:p w14:paraId="08CDB36B" w14:textId="2879C7B7"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 xml:space="preserve">Stakeholder engagement in community regeneration projects depends on ethical practice, which serves as their moral and operational base. The Hanley Community Green Hub must maintain complete transparency and fairness and full inclusion throughout its consultation activities because it functions as both a civic and environmental initiative. </w:t>
      </w:r>
    </w:p>
    <w:p w14:paraId="38875EA8" w14:textId="26E123D7"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Organisations need to treat stakeholders with respect while protecting their privacy and work to decrease current power differences based on ethical principles of stakeholder participation. According to Bryman (2016), ethical community engagement protects participants from harm while allowing them to effectively shape decisions that impact their lives.</w:t>
      </w:r>
    </w:p>
    <w:p w14:paraId="1DECC049" w14:textId="77777777"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11" w:name="_Toc214073146"/>
      <w:r w:rsidRPr="004876E4">
        <w:rPr>
          <w:rFonts w:ascii="Times New Roman" w:hAnsi="Times New Roman" w:cs="Times New Roman"/>
          <w:color w:val="000000" w:themeColor="text1"/>
          <w:szCs w:val="24"/>
        </w:rPr>
        <w:t>3.1 Ethical Framework and Guiding Principles.</w:t>
      </w:r>
      <w:bookmarkEnd w:id="11"/>
    </w:p>
    <w:p w14:paraId="7941E39E" w14:textId="410C0F48"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 xml:space="preserve">The National Standards for Community Engagement (2016) establish ethical principles which support the Hanley project. The standards require community initiatives to follow six </w:t>
      </w:r>
      <w:r w:rsidRPr="004876E4">
        <w:rPr>
          <w:rFonts w:ascii="Times New Roman" w:hAnsi="Times New Roman" w:cs="Times New Roman"/>
          <w:color w:val="000000" w:themeColor="text1"/>
        </w:rPr>
        <w:lastRenderedPageBreak/>
        <w:t>fundamental principles, which include Inclusion and Support and Planning and Working Together and Methods and Communication, and Improvement. The ethical principles function to protect various elements of ethical behaviour.</w:t>
      </w:r>
    </w:p>
    <w:p w14:paraId="5FA4D87F" w14:textId="4D067909" w:rsidR="00CB248C" w:rsidRPr="004876E4" w:rsidRDefault="00CB248C" w:rsidP="004876E4">
      <w:pPr>
        <w:spacing w:line="360" w:lineRule="auto"/>
        <w:jc w:val="both"/>
        <w:rPr>
          <w:rFonts w:ascii="Times New Roman" w:hAnsi="Times New Roman" w:cs="Times New Roman"/>
          <w:b/>
          <w:bCs/>
          <w:color w:val="000000" w:themeColor="text1"/>
        </w:rPr>
      </w:pPr>
      <w:r w:rsidRPr="004876E4">
        <w:rPr>
          <w:rFonts w:ascii="Times New Roman" w:hAnsi="Times New Roman" w:cs="Times New Roman"/>
          <w:b/>
          <w:bCs/>
          <w:color w:val="000000" w:themeColor="text1"/>
        </w:rPr>
        <w:t xml:space="preserve">Inclusion. </w:t>
      </w:r>
      <w:r w:rsidRPr="004876E4">
        <w:rPr>
          <w:rFonts w:ascii="Times New Roman" w:hAnsi="Times New Roman" w:cs="Times New Roman"/>
          <w:color w:val="000000" w:themeColor="text1"/>
        </w:rPr>
        <w:t>The principle of inclusion requires organisations to provide equal participation opportunities, which enable all social groups to take part in decision-making processes.</w:t>
      </w:r>
    </w:p>
    <w:p w14:paraId="15F5ED0F" w14:textId="39535591" w:rsidR="00CB248C" w:rsidRPr="004876E4" w:rsidRDefault="00CB248C" w:rsidP="004876E4">
      <w:pPr>
        <w:spacing w:line="360" w:lineRule="auto"/>
        <w:jc w:val="both"/>
        <w:rPr>
          <w:rFonts w:ascii="Times New Roman" w:hAnsi="Times New Roman" w:cs="Times New Roman"/>
          <w:b/>
          <w:bCs/>
          <w:color w:val="000000" w:themeColor="text1"/>
        </w:rPr>
      </w:pPr>
      <w:r w:rsidRPr="004876E4">
        <w:rPr>
          <w:rFonts w:ascii="Times New Roman" w:hAnsi="Times New Roman" w:cs="Times New Roman"/>
          <w:b/>
          <w:bCs/>
          <w:color w:val="000000" w:themeColor="text1"/>
        </w:rPr>
        <w:t>Support.</w:t>
      </w:r>
      <w:r w:rsidRPr="004876E4">
        <w:rPr>
          <w:rFonts w:ascii="Times New Roman" w:hAnsi="Times New Roman" w:cs="Times New Roman"/>
          <w:color w:val="000000" w:themeColor="text1"/>
        </w:rPr>
        <w:t xml:space="preserve"> Organisations must provide participants with necessary resources and guidance according to the support principle, which includes making venues accessible and keeping the process information simple.</w:t>
      </w:r>
    </w:p>
    <w:p w14:paraId="21B4AED2" w14:textId="2DC7126E" w:rsidR="00CB248C" w:rsidRPr="004876E4" w:rsidRDefault="00CB248C" w:rsidP="004876E4">
      <w:pPr>
        <w:spacing w:line="360" w:lineRule="auto"/>
        <w:jc w:val="both"/>
        <w:rPr>
          <w:rFonts w:ascii="Times New Roman" w:hAnsi="Times New Roman" w:cs="Times New Roman"/>
          <w:b/>
          <w:bCs/>
          <w:color w:val="000000" w:themeColor="text1"/>
        </w:rPr>
      </w:pPr>
      <w:r w:rsidRPr="004876E4">
        <w:rPr>
          <w:rFonts w:ascii="Times New Roman" w:hAnsi="Times New Roman" w:cs="Times New Roman"/>
          <w:b/>
          <w:bCs/>
          <w:color w:val="000000" w:themeColor="text1"/>
        </w:rPr>
        <w:t>Planning and Working Together.</w:t>
      </w:r>
      <w:r w:rsidRPr="004876E4">
        <w:rPr>
          <w:rFonts w:ascii="Times New Roman" w:hAnsi="Times New Roman" w:cs="Times New Roman"/>
          <w:color w:val="000000" w:themeColor="text1"/>
        </w:rPr>
        <w:t xml:space="preserve"> Organisations need to work together for planning activities while maintaining respect for all participating perspectives according to these principles. </w:t>
      </w:r>
    </w:p>
    <w:p w14:paraId="503C9C4B" w14:textId="2BA36164" w:rsidR="00CB248C" w:rsidRPr="004876E4" w:rsidRDefault="00CB248C" w:rsidP="004876E4">
      <w:pPr>
        <w:spacing w:line="360" w:lineRule="auto"/>
        <w:jc w:val="both"/>
        <w:rPr>
          <w:rFonts w:ascii="Times New Roman" w:hAnsi="Times New Roman" w:cs="Times New Roman"/>
          <w:b/>
          <w:bCs/>
          <w:color w:val="000000" w:themeColor="text1"/>
        </w:rPr>
      </w:pPr>
      <w:r w:rsidRPr="004876E4">
        <w:rPr>
          <w:rFonts w:ascii="Times New Roman" w:hAnsi="Times New Roman" w:cs="Times New Roman"/>
          <w:b/>
          <w:bCs/>
          <w:color w:val="000000" w:themeColor="text1"/>
        </w:rPr>
        <w:t>Communication and Improvement.</w:t>
      </w:r>
      <w:r w:rsidRPr="004876E4">
        <w:rPr>
          <w:rFonts w:ascii="Times New Roman" w:hAnsi="Times New Roman" w:cs="Times New Roman"/>
          <w:color w:val="000000" w:themeColor="text1"/>
        </w:rPr>
        <w:t xml:space="preserve"> The practice needs to keep its open disclosure system active, while practitioners should work to improve their methods (Scottish Government, 2016).</w:t>
      </w:r>
    </w:p>
    <w:p w14:paraId="3E9CE73E" w14:textId="2016C0F8"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12" w:name="_Toc214073147"/>
      <w:r w:rsidRPr="004876E4">
        <w:rPr>
          <w:rFonts w:ascii="Times New Roman" w:hAnsi="Times New Roman" w:cs="Times New Roman"/>
          <w:color w:val="000000" w:themeColor="text1"/>
          <w:szCs w:val="24"/>
        </w:rPr>
        <w:t>3.2 Informed Consent and Data Protection.</w:t>
      </w:r>
      <w:bookmarkEnd w:id="12"/>
    </w:p>
    <w:p w14:paraId="2530A0F6" w14:textId="7036E75B"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research team will collect participant opinions through surveys, which will also obtain survey results and demographic data during consultation sessions. The research team needs to get full participant understanding about data collection and usage through informed consent procedures. The research team will distribute UK Data Protection Act (2018) and General Data Protection Regulation (GDPR) compliant information sheets and consent forms to all participants. The research team will get voluntary consent from participants who can leave the study at any time while their identity remains completely hidden throughout the entire research period.</w:t>
      </w:r>
    </w:p>
    <w:p w14:paraId="2FB21252" w14:textId="23F5B267"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13" w:name="_Toc214073148"/>
      <w:r w:rsidRPr="004876E4">
        <w:rPr>
          <w:rFonts w:ascii="Times New Roman" w:hAnsi="Times New Roman" w:cs="Times New Roman"/>
          <w:color w:val="000000" w:themeColor="text1"/>
          <w:szCs w:val="24"/>
        </w:rPr>
        <w:t>3.3 Addressing Bias and Ensuring Representation.</w:t>
      </w:r>
      <w:bookmarkEnd w:id="13"/>
    </w:p>
    <w:p w14:paraId="272E20EE" w14:textId="0195ACEC"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Community consultation faces an ongoing ethical problem because of bias. The process of bias appears through three main ways, which include how facilitators behave and who gets to participate and how they understand community responses. Reed et al. The research by show that organisations need systematic approaches to deal with ethical stakeholders because they must maintain open dialogue and conduct reflective assessments and verify data to combat bias</w:t>
      </w:r>
      <w:r w:rsidR="000264C8" w:rsidRPr="004876E4">
        <w:rPr>
          <w:rFonts w:ascii="Times New Roman" w:hAnsi="Times New Roman" w:cs="Times New Roman"/>
          <w:color w:val="000000" w:themeColor="text1"/>
        </w:rPr>
        <w:t xml:space="preserve"> (Reed et al., 2018)</w:t>
      </w:r>
      <w:r w:rsidRPr="004876E4">
        <w:rPr>
          <w:rFonts w:ascii="Times New Roman" w:hAnsi="Times New Roman" w:cs="Times New Roman"/>
          <w:color w:val="000000" w:themeColor="text1"/>
        </w:rPr>
        <w:t>. The system enables people to provide digital feedback through channels which protect their identities from public disclosure. The project achieves analytical strength and fairness through its combination of focus group data with survey results and public meeting feedback (Rowe and Frewer, 20</w:t>
      </w:r>
      <w:r w:rsidR="000264C8" w:rsidRPr="004876E4">
        <w:rPr>
          <w:rFonts w:ascii="Times New Roman" w:hAnsi="Times New Roman" w:cs="Times New Roman"/>
          <w:color w:val="000000" w:themeColor="text1"/>
        </w:rPr>
        <w:t>00</w:t>
      </w:r>
      <w:r w:rsidRPr="004876E4">
        <w:rPr>
          <w:rFonts w:ascii="Times New Roman" w:hAnsi="Times New Roman" w:cs="Times New Roman"/>
          <w:color w:val="000000" w:themeColor="text1"/>
        </w:rPr>
        <w:t>).</w:t>
      </w:r>
    </w:p>
    <w:p w14:paraId="75A3E6DC" w14:textId="23C9D7C3"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14" w:name="_Toc214073149"/>
      <w:r w:rsidRPr="004876E4">
        <w:rPr>
          <w:rFonts w:ascii="Times New Roman" w:hAnsi="Times New Roman" w:cs="Times New Roman"/>
          <w:color w:val="000000" w:themeColor="text1"/>
          <w:szCs w:val="24"/>
        </w:rPr>
        <w:lastRenderedPageBreak/>
        <w:t>3.4 Diversity, Equity, and Inclusion (DEI).</w:t>
      </w:r>
      <w:bookmarkEnd w:id="14"/>
    </w:p>
    <w:p w14:paraId="2968A9FB" w14:textId="3A3928FA"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different cultural groups in Stoke-on-Trent need special methods to connect with them because Hanley</w:t>
      </w:r>
      <w:r w:rsidR="00002BAC" w:rsidRPr="004876E4">
        <w:rPr>
          <w:rFonts w:ascii="Times New Roman" w:hAnsi="Times New Roman" w:cs="Times New Roman"/>
          <w:color w:val="000000" w:themeColor="text1"/>
        </w:rPr>
        <w:t>,</w:t>
      </w:r>
      <w:r w:rsidRPr="004876E4">
        <w:rPr>
          <w:rFonts w:ascii="Times New Roman" w:hAnsi="Times New Roman" w:cs="Times New Roman"/>
          <w:color w:val="000000" w:themeColor="text1"/>
        </w:rPr>
        <w:t xml:space="preserve"> Shelton, and Etruria present distinct population characteristics. Ethical inclusivity requires more than discrimination prevention because it needs specific methods to help different groups of people. The project will distribute information in simple English and will provide translated brief versions for areas where English serves as a secondary language. The consultation sites will follow the Equality Act 2010 guidelines by providing wheelchair accessibility and family-friendly facilities, and accessible restrooms.</w:t>
      </w:r>
    </w:p>
    <w:p w14:paraId="1AD1973E" w14:textId="5A3DC700"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 xml:space="preserve">The engagement strategy includes </w:t>
      </w:r>
      <w:r w:rsidR="00002BAC" w:rsidRPr="004876E4">
        <w:rPr>
          <w:rFonts w:ascii="Times New Roman" w:hAnsi="Times New Roman" w:cs="Times New Roman"/>
          <w:color w:val="000000" w:themeColor="text1"/>
        </w:rPr>
        <w:t>measures</w:t>
      </w:r>
      <w:r w:rsidRPr="004876E4">
        <w:rPr>
          <w:rFonts w:ascii="Times New Roman" w:hAnsi="Times New Roman" w:cs="Times New Roman"/>
          <w:color w:val="000000" w:themeColor="text1"/>
        </w:rPr>
        <w:t xml:space="preserve"> which enable people to participate through activities that overcome financial obstacles which block their participation. The project will offer financial support for travel costs to participants who have limited income and free childcare services at public meetings. The project bases its Support principles on National Standards (2016) and follows the guidelines from Fraser et al. (</w:t>
      </w:r>
      <w:r w:rsidR="000264C8" w:rsidRPr="004876E4">
        <w:rPr>
          <w:rFonts w:ascii="Times New Roman" w:hAnsi="Times New Roman" w:cs="Times New Roman"/>
          <w:color w:val="000000" w:themeColor="text1"/>
        </w:rPr>
        <w:t xml:space="preserve">2020). </w:t>
      </w:r>
    </w:p>
    <w:p w14:paraId="1BAA4449" w14:textId="7329C761"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15" w:name="_Toc214073150"/>
      <w:r w:rsidRPr="004876E4">
        <w:rPr>
          <w:rFonts w:ascii="Times New Roman" w:hAnsi="Times New Roman" w:cs="Times New Roman"/>
          <w:color w:val="000000" w:themeColor="text1"/>
          <w:szCs w:val="24"/>
        </w:rPr>
        <w:t>3.5 Transparency, Accountability, and Feedback Mechanisms.</w:t>
      </w:r>
      <w:bookmarkEnd w:id="15"/>
    </w:p>
    <w:p w14:paraId="43FD2BE0" w14:textId="77777777"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two fundamental elements for ethical governance include transparency and accountability. The National Standards for Community Engagement (2016) require participants to understand how their input influences decision-making operations. The Hanley Community Green Hub will establish a three-stage feedback system to achieve its goals.</w:t>
      </w:r>
    </w:p>
    <w:p w14:paraId="78EF90F1" w14:textId="460035F6" w:rsidR="00CB248C" w:rsidRPr="004876E4" w:rsidRDefault="00CB248C" w:rsidP="004876E4">
      <w:pPr>
        <w:pStyle w:val="ListParagraph"/>
        <w:numPr>
          <w:ilvl w:val="0"/>
          <w:numId w:val="5"/>
        </w:numPr>
        <w:spacing w:line="360" w:lineRule="auto"/>
        <w:jc w:val="both"/>
        <w:rPr>
          <w:rFonts w:ascii="Times New Roman" w:hAnsi="Times New Roman" w:cs="Times New Roman"/>
          <w:color w:val="000000" w:themeColor="text1"/>
        </w:rPr>
      </w:pPr>
      <w:r w:rsidRPr="004876E4">
        <w:rPr>
          <w:rFonts w:ascii="Times New Roman" w:hAnsi="Times New Roman" w:cs="Times New Roman"/>
          <w:b/>
          <w:bCs/>
          <w:color w:val="000000" w:themeColor="text1"/>
        </w:rPr>
        <w:t>Immediate feedback</w:t>
      </w:r>
      <w:r w:rsidRPr="004876E4">
        <w:rPr>
          <w:rFonts w:ascii="Times New Roman" w:hAnsi="Times New Roman" w:cs="Times New Roman"/>
          <w:color w:val="000000" w:themeColor="text1"/>
        </w:rPr>
        <w:t>.  The system provides instant feedback to participants through consultation event summary reports, which present the main discussion points.</w:t>
      </w:r>
    </w:p>
    <w:p w14:paraId="50B03865" w14:textId="480BA3EB" w:rsidR="00CB248C" w:rsidRPr="004876E4" w:rsidRDefault="00CB248C" w:rsidP="004876E4">
      <w:pPr>
        <w:pStyle w:val="ListParagraph"/>
        <w:numPr>
          <w:ilvl w:val="0"/>
          <w:numId w:val="5"/>
        </w:numPr>
        <w:spacing w:line="360" w:lineRule="auto"/>
        <w:jc w:val="both"/>
        <w:rPr>
          <w:rFonts w:ascii="Times New Roman" w:hAnsi="Times New Roman" w:cs="Times New Roman"/>
          <w:color w:val="000000" w:themeColor="text1"/>
        </w:rPr>
      </w:pPr>
      <w:r w:rsidRPr="004876E4">
        <w:rPr>
          <w:rFonts w:ascii="Times New Roman" w:hAnsi="Times New Roman" w:cs="Times New Roman"/>
          <w:b/>
          <w:bCs/>
          <w:color w:val="000000" w:themeColor="text1"/>
        </w:rPr>
        <w:t>Public dissemination</w:t>
      </w:r>
      <w:r w:rsidRPr="004876E4">
        <w:rPr>
          <w:rFonts w:ascii="Times New Roman" w:hAnsi="Times New Roman" w:cs="Times New Roman"/>
          <w:color w:val="000000" w:themeColor="text1"/>
        </w:rPr>
        <w:t>. The project will track its development through scheduled updates, which will be displayed on social media platforms and community boards and local newspapers.</w:t>
      </w:r>
    </w:p>
    <w:p w14:paraId="585595F4" w14:textId="07B07814" w:rsidR="00CB248C" w:rsidRPr="004876E4" w:rsidRDefault="00CB248C" w:rsidP="004876E4">
      <w:pPr>
        <w:pStyle w:val="ListParagraph"/>
        <w:numPr>
          <w:ilvl w:val="0"/>
          <w:numId w:val="5"/>
        </w:numPr>
        <w:spacing w:line="360" w:lineRule="auto"/>
        <w:jc w:val="both"/>
        <w:rPr>
          <w:rFonts w:ascii="Times New Roman" w:hAnsi="Times New Roman" w:cs="Times New Roman"/>
          <w:color w:val="000000" w:themeColor="text1"/>
        </w:rPr>
      </w:pPr>
      <w:r w:rsidRPr="004876E4">
        <w:rPr>
          <w:rFonts w:ascii="Times New Roman" w:hAnsi="Times New Roman" w:cs="Times New Roman"/>
          <w:b/>
          <w:bCs/>
          <w:color w:val="000000" w:themeColor="text1"/>
        </w:rPr>
        <w:t>Formal evaluation reports.</w:t>
      </w:r>
      <w:r w:rsidRPr="004876E4">
        <w:rPr>
          <w:rFonts w:ascii="Times New Roman" w:hAnsi="Times New Roman" w:cs="Times New Roman"/>
          <w:color w:val="000000" w:themeColor="text1"/>
        </w:rPr>
        <w:t xml:space="preserve"> The project will share official evaluation reports at annual stakeholder meetings to show how stakeholder feedback shaped design decisions and operational management.</w:t>
      </w:r>
    </w:p>
    <w:p w14:paraId="53165AE7" w14:textId="5FFA11E7"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Organisations can follow ethical rules and build transparency through feedback processes, which Quick and Bryson (2016) state makes projects more legitimate. The project maintains stakeholder engagement through feedback loops, which also promotes shared responsibility among all participants.</w:t>
      </w:r>
    </w:p>
    <w:p w14:paraId="4F73CB53" w14:textId="24D2D484"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16" w:name="_Toc214073151"/>
      <w:r w:rsidRPr="004876E4">
        <w:rPr>
          <w:rFonts w:ascii="Times New Roman" w:hAnsi="Times New Roman" w:cs="Times New Roman"/>
          <w:color w:val="000000" w:themeColor="text1"/>
          <w:szCs w:val="24"/>
        </w:rPr>
        <w:lastRenderedPageBreak/>
        <w:t>3.6 Ethical Oversight and Continuous Improvement.</w:t>
      </w:r>
      <w:bookmarkEnd w:id="16"/>
    </w:p>
    <w:p w14:paraId="0DE1FDB9" w14:textId="077FDE30"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A Stakeholder Ethics Committee will serve as the foundation for ethical standard implementation through its membership of City Council representatives and Groundwork West Midlands staff, and local community organisation leaders. The committee will monitor organisational legal compliance and moral duties through assessments of data protection systems and tracking of participant numbers in activities.</w:t>
      </w:r>
    </w:p>
    <w:p w14:paraId="331228F6" w14:textId="3581D617"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committee will follow UKRIO (2022) guidelines to uphold ethical standards throughout all project stages, beginning with consultation development and continuing through to project completion. Bourne (2015) states that organisations must conduct ongoing ethical assessments to develop strong stakeholder relationships and implement practice changes when facing emerging challenges.</w:t>
      </w:r>
    </w:p>
    <w:p w14:paraId="5A06BE94" w14:textId="472FA498" w:rsidR="00CB248C" w:rsidRPr="004876E4" w:rsidRDefault="00CB248C" w:rsidP="004876E4">
      <w:pPr>
        <w:pStyle w:val="Heading1"/>
        <w:spacing w:line="360" w:lineRule="auto"/>
        <w:jc w:val="both"/>
        <w:rPr>
          <w:rFonts w:ascii="Times New Roman" w:hAnsi="Times New Roman" w:cs="Times New Roman"/>
          <w:color w:val="000000" w:themeColor="text1"/>
          <w:szCs w:val="24"/>
        </w:rPr>
      </w:pPr>
      <w:bookmarkStart w:id="17" w:name="_Toc214073152"/>
      <w:r w:rsidRPr="004876E4">
        <w:rPr>
          <w:rFonts w:ascii="Times New Roman" w:hAnsi="Times New Roman" w:cs="Times New Roman"/>
          <w:color w:val="000000" w:themeColor="text1"/>
          <w:szCs w:val="24"/>
        </w:rPr>
        <w:t>4. Conclusion and Reflection.</w:t>
      </w:r>
      <w:bookmarkEnd w:id="17"/>
    </w:p>
    <w:p w14:paraId="16E13DA6" w14:textId="3128A778"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Hanley Community Green Hub functions as a modern, sustainable urban development project which uses participatory governance to involve all stakeholders through joint decision-making practices. The project shows how public authorities, together with private organisations and residents, can create common social and environmental and economic benefits through their collaborative work. The process needs active stakeholder involvement as its core element, which establishes collective accountability for achieving lasting results.</w:t>
      </w:r>
    </w:p>
    <w:p w14:paraId="2F807AEC" w14:textId="09CA307E"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18" w:name="_Toc214073153"/>
      <w:r w:rsidRPr="004876E4">
        <w:rPr>
          <w:rFonts w:ascii="Times New Roman" w:hAnsi="Times New Roman" w:cs="Times New Roman"/>
          <w:color w:val="000000" w:themeColor="text1"/>
          <w:szCs w:val="24"/>
        </w:rPr>
        <w:t>4.1 Synthesis of Stakeholder Engagement Insights.</w:t>
      </w:r>
      <w:bookmarkEnd w:id="18"/>
    </w:p>
    <w:p w14:paraId="4569476B" w14:textId="661798E6"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Hanley initiative demonstrates that successful stakeholder engagement emerges through the combination of academic theoretical frameworks with practical methods for execution. The method of power dynamics mapping recommends that organisations should eliminate exclusion through decision systems which involve all necessary stakeholders (Reed et al., 2018).</w:t>
      </w:r>
    </w:p>
    <w:p w14:paraId="1AE92C31" w14:textId="7BC7F223"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project implements strategic stakeholder engagement, which replaces conventional one-way communication with dialogue-based mutual learning (Bryson, 2018). The project maintains stakeholder involvement through scheduled updates and diverse communication channels, and regular workshops, which establish an ongoing information exchange. The measures Freeman et al. (2021) support through their stakeholder theory by showing that organisations achieve maximum success through collaborative interest reconciliation.</w:t>
      </w:r>
    </w:p>
    <w:p w14:paraId="4CFC5737" w14:textId="11670C1D"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19" w:name="_Toc214073154"/>
      <w:r w:rsidRPr="004876E4">
        <w:rPr>
          <w:rFonts w:ascii="Times New Roman" w:hAnsi="Times New Roman" w:cs="Times New Roman"/>
          <w:color w:val="000000" w:themeColor="text1"/>
          <w:szCs w:val="24"/>
        </w:rPr>
        <w:lastRenderedPageBreak/>
        <w:t>4.2 Integration of Ethical Standards and Community Principles.</w:t>
      </w:r>
      <w:bookmarkEnd w:id="19"/>
    </w:p>
    <w:p w14:paraId="0C12EC35" w14:textId="33EE2CCD"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Hanley Community Green Hub bases its operations on ethical standards which comply with the National Standards for Community Engagement (Scotland, 2016). The project implements all seven standards from the National Standards for Community Engagement (Scotland, 2016), which include Inclusion, Support, Planning, Working Together, Methods, Communication and Improvement.</w:t>
      </w:r>
    </w:p>
    <w:p w14:paraId="3C2C54E5" w14:textId="7884C7DF" w:rsidR="00CB248C"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ethical governance framework protects privacy and autonomy through informed consent and data protection systems, which operate under the UK Data Protection Act (2018) and GDPR. The project implements a Stakeholder Ethics Committee to monitor potential biases, and Quick and Bryson (2016) establish accountability as the fundamental element for partners to develop trust.</w:t>
      </w:r>
    </w:p>
    <w:p w14:paraId="7280069F" w14:textId="394877D2" w:rsidR="00CB248C" w:rsidRPr="004876E4" w:rsidRDefault="00CB248C" w:rsidP="004876E4">
      <w:pPr>
        <w:pStyle w:val="Heading2"/>
        <w:spacing w:line="360" w:lineRule="auto"/>
        <w:ind w:left="0"/>
        <w:jc w:val="both"/>
        <w:rPr>
          <w:rFonts w:ascii="Times New Roman" w:hAnsi="Times New Roman" w:cs="Times New Roman"/>
          <w:color w:val="000000" w:themeColor="text1"/>
          <w:szCs w:val="24"/>
        </w:rPr>
      </w:pPr>
      <w:bookmarkStart w:id="20" w:name="_Toc214073155"/>
      <w:r w:rsidRPr="004876E4">
        <w:rPr>
          <w:rFonts w:ascii="Times New Roman" w:hAnsi="Times New Roman" w:cs="Times New Roman"/>
          <w:color w:val="000000" w:themeColor="text1"/>
          <w:szCs w:val="24"/>
        </w:rPr>
        <w:t>4.3 Reflections on Challenges and Learning.</w:t>
      </w:r>
      <w:bookmarkEnd w:id="20"/>
    </w:p>
    <w:p w14:paraId="741C60E7" w14:textId="7A8FFB45" w:rsidR="004315D0" w:rsidRPr="004876E4" w:rsidRDefault="00CB248C" w:rsidP="004876E4">
      <w:pPr>
        <w:spacing w:line="360" w:lineRule="auto"/>
        <w:jc w:val="both"/>
        <w:rPr>
          <w:rFonts w:ascii="Times New Roman" w:hAnsi="Times New Roman" w:cs="Times New Roman"/>
          <w:color w:val="000000" w:themeColor="text1"/>
        </w:rPr>
      </w:pPr>
      <w:r w:rsidRPr="004876E4">
        <w:rPr>
          <w:rFonts w:ascii="Times New Roman" w:hAnsi="Times New Roman" w:cs="Times New Roman"/>
          <w:color w:val="000000" w:themeColor="text1"/>
        </w:rPr>
        <w:t>The project model shows excellent alignment with engagement theory, yet multiple obstacles continue to exist. The process of uniting institutional control with community self-determination proves difficult to achieve. The City Council and Groundwork West Midlands continue to lead the project, but residents need to stay involved in park maintenance and events for the project to reach its permanent goals.</w:t>
      </w:r>
    </w:p>
    <w:p w14:paraId="6D420A1B" w14:textId="46DD00E8" w:rsidR="00CB248C" w:rsidRPr="004876E4" w:rsidRDefault="00CB248C" w:rsidP="004876E4">
      <w:pPr>
        <w:pStyle w:val="Heading2"/>
        <w:spacing w:line="360" w:lineRule="auto"/>
        <w:ind w:left="0"/>
        <w:jc w:val="both"/>
        <w:rPr>
          <w:rFonts w:ascii="Times New Roman" w:hAnsi="Times New Roman" w:cs="Times New Roman"/>
          <w:szCs w:val="24"/>
        </w:rPr>
      </w:pPr>
      <w:bookmarkStart w:id="21" w:name="_Toc214073156"/>
      <w:r w:rsidRPr="004876E4">
        <w:rPr>
          <w:rFonts w:ascii="Times New Roman" w:hAnsi="Times New Roman" w:cs="Times New Roman"/>
          <w:color w:val="000000" w:themeColor="text1"/>
          <w:szCs w:val="24"/>
        </w:rPr>
        <w:t>4.</w:t>
      </w:r>
      <w:r w:rsidR="004315D0" w:rsidRPr="004876E4">
        <w:rPr>
          <w:rFonts w:ascii="Times New Roman" w:hAnsi="Times New Roman" w:cs="Times New Roman"/>
          <w:color w:val="000000" w:themeColor="text1"/>
          <w:szCs w:val="24"/>
        </w:rPr>
        <w:t>4</w:t>
      </w:r>
      <w:r w:rsidRPr="004876E4">
        <w:rPr>
          <w:rFonts w:ascii="Times New Roman" w:hAnsi="Times New Roman" w:cs="Times New Roman"/>
          <w:color w:val="000000" w:themeColor="text1"/>
          <w:szCs w:val="24"/>
        </w:rPr>
        <w:t xml:space="preserve"> Concluding Evaluation.</w:t>
      </w:r>
      <w:bookmarkEnd w:id="21"/>
    </w:p>
    <w:p w14:paraId="138066CE" w14:textId="77FCA511" w:rsidR="00CB248C" w:rsidRPr="004876E4" w:rsidRDefault="00CB248C" w:rsidP="004876E4">
      <w:pPr>
        <w:spacing w:line="360" w:lineRule="auto"/>
        <w:jc w:val="both"/>
        <w:rPr>
          <w:rFonts w:ascii="Times New Roman" w:hAnsi="Times New Roman" w:cs="Times New Roman"/>
        </w:rPr>
      </w:pPr>
      <w:r w:rsidRPr="004876E4">
        <w:rPr>
          <w:rFonts w:ascii="Times New Roman" w:hAnsi="Times New Roman" w:cs="Times New Roman"/>
        </w:rPr>
        <w:t>The Hanley Community Green Hub shows full stakeholder participation through its analytical methods and ethical standards and its collaborative decision-making process. The project achieves its best results through its ability to unite centralised leadership with community-based involvement. The project maintains ethical standards through its adoption of the National Standards for Community Engagement (2016), which promotes social and economic and cultural inclusion for all groups.</w:t>
      </w:r>
    </w:p>
    <w:p w14:paraId="5F1B04AE" w14:textId="2B71D80D" w:rsidR="00FC1B03" w:rsidRPr="004876E4" w:rsidRDefault="00CB248C" w:rsidP="004876E4">
      <w:pPr>
        <w:spacing w:line="360" w:lineRule="auto"/>
        <w:jc w:val="both"/>
        <w:rPr>
          <w:rFonts w:ascii="Times New Roman" w:hAnsi="Times New Roman" w:cs="Times New Roman"/>
        </w:rPr>
      </w:pPr>
      <w:r w:rsidRPr="004876E4">
        <w:rPr>
          <w:rFonts w:ascii="Times New Roman" w:hAnsi="Times New Roman" w:cs="Times New Roman"/>
        </w:rPr>
        <w:t xml:space="preserve">The case study demonstrates that stakeholder participation for projects requires more than bureaucratic tasks because it needs both moral duties and initiatives which promote community development. Bourne (2015) states that organisations need to show transparent operations to establish trust, which leads to sustainable stakeholder relationships because stakeholders work together for common interests. </w:t>
      </w:r>
    </w:p>
    <w:p w14:paraId="08A0E6A4" w14:textId="77777777" w:rsidR="004876E4" w:rsidRDefault="004876E4" w:rsidP="00122B8D">
      <w:pPr>
        <w:pStyle w:val="Heading1"/>
      </w:pPr>
      <w:bookmarkStart w:id="22" w:name="_Toc214073157"/>
    </w:p>
    <w:p w14:paraId="1F90D2B8" w14:textId="7AECF340" w:rsidR="00CB248C" w:rsidRPr="004876E4" w:rsidRDefault="00CB248C" w:rsidP="00122B8D">
      <w:pPr>
        <w:pStyle w:val="Heading1"/>
        <w:rPr>
          <w:rFonts w:ascii="Times New Roman" w:hAnsi="Times New Roman" w:cs="Times New Roman"/>
          <w:color w:val="000000" w:themeColor="text1"/>
          <w:sz w:val="28"/>
          <w:szCs w:val="44"/>
        </w:rPr>
      </w:pPr>
      <w:r w:rsidRPr="004876E4">
        <w:rPr>
          <w:rFonts w:ascii="Times New Roman" w:hAnsi="Times New Roman" w:cs="Times New Roman"/>
          <w:color w:val="000000" w:themeColor="text1"/>
          <w:sz w:val="28"/>
          <w:szCs w:val="44"/>
        </w:rPr>
        <w:t>5. References</w:t>
      </w:r>
      <w:bookmarkEnd w:id="22"/>
      <w:r w:rsidR="004876E4">
        <w:rPr>
          <w:rFonts w:ascii="Times New Roman" w:hAnsi="Times New Roman" w:cs="Times New Roman"/>
          <w:color w:val="000000" w:themeColor="text1"/>
          <w:sz w:val="28"/>
          <w:szCs w:val="44"/>
        </w:rPr>
        <w:t>:</w:t>
      </w:r>
    </w:p>
    <w:p w14:paraId="114F471E" w14:textId="77777777" w:rsidR="00FC1B03" w:rsidRPr="00DD5D8B" w:rsidRDefault="00FC1B03" w:rsidP="00FC1B03">
      <w:pPr>
        <w:rPr>
          <w:lang w:val="en-US"/>
        </w:rPr>
      </w:pPr>
    </w:p>
    <w:p w14:paraId="1D64244C" w14:textId="77777777" w:rsidR="000219EA" w:rsidRPr="002E5F05" w:rsidRDefault="000219EA" w:rsidP="00CB248C">
      <w:pPr>
        <w:rPr>
          <w:rFonts w:ascii="Times New Roman" w:hAnsi="Times New Roman" w:cs="Times New Roman"/>
          <w:lang w:val="en-US"/>
        </w:rPr>
      </w:pPr>
      <w:r w:rsidRPr="002E5F05">
        <w:rPr>
          <w:rFonts w:ascii="Times New Roman" w:hAnsi="Times New Roman" w:cs="Times New Roman"/>
        </w:rPr>
        <w:t xml:space="preserve">Bourne, L. (2015) </w:t>
      </w:r>
      <w:r w:rsidRPr="002E5F05">
        <w:rPr>
          <w:rFonts w:ascii="Times New Roman" w:hAnsi="Times New Roman" w:cs="Times New Roman"/>
          <w:i/>
          <w:iCs/>
        </w:rPr>
        <w:t>Stakeholder Relationship Management: A Maturity Model for Organisational Implementation</w:t>
      </w:r>
      <w:r w:rsidRPr="002E5F05">
        <w:rPr>
          <w:rFonts w:ascii="Times New Roman" w:hAnsi="Times New Roman" w:cs="Times New Roman"/>
        </w:rPr>
        <w:t>. Farnham: Gower</w:t>
      </w:r>
      <w:r w:rsidRPr="002E5F05">
        <w:rPr>
          <w:rFonts w:ascii="Times New Roman" w:hAnsi="Times New Roman" w:cs="Times New Roman"/>
          <w:lang w:val="en-US"/>
        </w:rPr>
        <w:t>.</w:t>
      </w:r>
    </w:p>
    <w:p w14:paraId="25D144CA" w14:textId="77777777" w:rsidR="000219EA" w:rsidRPr="002E5F05" w:rsidRDefault="000219EA" w:rsidP="00CB248C">
      <w:pPr>
        <w:rPr>
          <w:rFonts w:ascii="Times New Roman" w:hAnsi="Times New Roman" w:cs="Times New Roman"/>
          <w:lang w:val="en-US"/>
        </w:rPr>
      </w:pPr>
      <w:r w:rsidRPr="002E5F05">
        <w:rPr>
          <w:rFonts w:ascii="Times New Roman" w:hAnsi="Times New Roman" w:cs="Times New Roman"/>
        </w:rPr>
        <w:t xml:space="preserve">Bryman, A. (2016) </w:t>
      </w:r>
      <w:r w:rsidRPr="002E5F05">
        <w:rPr>
          <w:rFonts w:ascii="Times New Roman" w:hAnsi="Times New Roman" w:cs="Times New Roman"/>
          <w:i/>
          <w:iCs/>
        </w:rPr>
        <w:t>Social Research Methods</w:t>
      </w:r>
      <w:r w:rsidRPr="002E5F05">
        <w:rPr>
          <w:rFonts w:ascii="Times New Roman" w:hAnsi="Times New Roman" w:cs="Times New Roman"/>
        </w:rPr>
        <w:t>. 5th edn. Oxford: Oxford University Press.</w:t>
      </w:r>
    </w:p>
    <w:p w14:paraId="6848B04E" w14:textId="77777777" w:rsidR="000219EA" w:rsidRPr="002E5F05" w:rsidRDefault="000219EA" w:rsidP="00CB248C">
      <w:pPr>
        <w:rPr>
          <w:rFonts w:ascii="Times New Roman" w:hAnsi="Times New Roman" w:cs="Times New Roman"/>
        </w:rPr>
      </w:pPr>
      <w:r w:rsidRPr="002E5F05">
        <w:rPr>
          <w:rFonts w:ascii="Times New Roman" w:hAnsi="Times New Roman" w:cs="Times New Roman"/>
        </w:rPr>
        <w:t xml:space="preserve">Bryson, J.M. (2018) </w:t>
      </w:r>
      <w:r w:rsidRPr="002E5F05">
        <w:rPr>
          <w:rFonts w:ascii="Times New Roman" w:hAnsi="Times New Roman" w:cs="Times New Roman"/>
          <w:i/>
          <w:iCs/>
        </w:rPr>
        <w:t>Strategic Planning for Public and Nonprofit Organizations</w:t>
      </w:r>
      <w:r w:rsidRPr="002E5F05">
        <w:rPr>
          <w:rFonts w:ascii="Times New Roman" w:hAnsi="Times New Roman" w:cs="Times New Roman"/>
        </w:rPr>
        <w:t>. 5th edn. Hoboken: Wiley.</w:t>
      </w:r>
    </w:p>
    <w:p w14:paraId="47A07FA5" w14:textId="77777777" w:rsidR="000219EA" w:rsidRPr="002E5F05" w:rsidRDefault="000219EA" w:rsidP="00CB248C">
      <w:pPr>
        <w:rPr>
          <w:rFonts w:ascii="Times New Roman" w:hAnsi="Times New Roman" w:cs="Times New Roman"/>
        </w:rPr>
      </w:pPr>
      <w:r w:rsidRPr="002E5F05">
        <w:rPr>
          <w:rFonts w:ascii="Times New Roman" w:hAnsi="Times New Roman" w:cs="Times New Roman"/>
        </w:rPr>
        <w:t xml:space="preserve">Carroll, A.B. (2021) ‘Corporate social responsibility: Perspectives on the CSR construct’s development’, </w:t>
      </w:r>
      <w:r w:rsidRPr="002E5F05">
        <w:rPr>
          <w:rFonts w:ascii="Times New Roman" w:hAnsi="Times New Roman" w:cs="Times New Roman"/>
          <w:i/>
          <w:iCs/>
        </w:rPr>
        <w:t>Business &amp; Society</w:t>
      </w:r>
      <w:r w:rsidRPr="002E5F05">
        <w:rPr>
          <w:rFonts w:ascii="Times New Roman" w:hAnsi="Times New Roman" w:cs="Times New Roman"/>
        </w:rPr>
        <w:t>, 60(7), pp. 1503–1535.</w:t>
      </w:r>
    </w:p>
    <w:p w14:paraId="734DB893" w14:textId="77777777" w:rsidR="000219EA" w:rsidRPr="002E5F05" w:rsidRDefault="000219EA" w:rsidP="00CB248C">
      <w:pPr>
        <w:rPr>
          <w:rFonts w:ascii="Times New Roman" w:hAnsi="Times New Roman" w:cs="Times New Roman"/>
        </w:rPr>
      </w:pPr>
      <w:r w:rsidRPr="002E5F05">
        <w:rPr>
          <w:rFonts w:ascii="Times New Roman" w:hAnsi="Times New Roman" w:cs="Times New Roman"/>
        </w:rPr>
        <w:t xml:space="preserve">Fraser, A. </w:t>
      </w:r>
      <w:r w:rsidRPr="002E5F05">
        <w:rPr>
          <w:rFonts w:ascii="Times New Roman" w:hAnsi="Times New Roman" w:cs="Times New Roman"/>
          <w:i/>
          <w:iCs/>
        </w:rPr>
        <w:t>et al.</w:t>
      </w:r>
      <w:r w:rsidRPr="002E5F05">
        <w:rPr>
          <w:rFonts w:ascii="Times New Roman" w:hAnsi="Times New Roman" w:cs="Times New Roman"/>
        </w:rPr>
        <w:t xml:space="preserve"> (2020) ‘Community participation and social equity in urban regeneration’, </w:t>
      </w:r>
      <w:r w:rsidRPr="002E5F05">
        <w:rPr>
          <w:rFonts w:ascii="Times New Roman" w:hAnsi="Times New Roman" w:cs="Times New Roman"/>
          <w:i/>
          <w:iCs/>
        </w:rPr>
        <w:t>Urban Studies</w:t>
      </w:r>
      <w:r w:rsidRPr="002E5F05">
        <w:rPr>
          <w:rFonts w:ascii="Times New Roman" w:hAnsi="Times New Roman" w:cs="Times New Roman"/>
        </w:rPr>
        <w:t>, 57(10), pp. 2079–2098.</w:t>
      </w:r>
    </w:p>
    <w:p w14:paraId="07AEE53A" w14:textId="77777777" w:rsidR="000219EA" w:rsidRPr="002E5F05" w:rsidRDefault="000219EA" w:rsidP="00CB248C">
      <w:pPr>
        <w:rPr>
          <w:rFonts w:ascii="Times New Roman" w:hAnsi="Times New Roman" w:cs="Times New Roman"/>
        </w:rPr>
      </w:pPr>
      <w:r w:rsidRPr="002E5F05">
        <w:rPr>
          <w:rFonts w:ascii="Times New Roman" w:hAnsi="Times New Roman" w:cs="Times New Roman"/>
          <w:lang w:val="nl-NL"/>
        </w:rPr>
        <w:t xml:space="preserve">Freeman, R.E. </w:t>
      </w:r>
      <w:r w:rsidRPr="002E5F05">
        <w:rPr>
          <w:rFonts w:ascii="Times New Roman" w:hAnsi="Times New Roman" w:cs="Times New Roman"/>
          <w:i/>
          <w:iCs/>
          <w:lang w:val="nl-NL"/>
        </w:rPr>
        <w:t>et al.</w:t>
      </w:r>
      <w:r w:rsidRPr="002E5F05">
        <w:rPr>
          <w:rFonts w:ascii="Times New Roman" w:hAnsi="Times New Roman" w:cs="Times New Roman"/>
          <w:lang w:val="nl-NL"/>
        </w:rPr>
        <w:t xml:space="preserve"> </w:t>
      </w:r>
      <w:r w:rsidRPr="002E5F05">
        <w:rPr>
          <w:rFonts w:ascii="Times New Roman" w:hAnsi="Times New Roman" w:cs="Times New Roman"/>
        </w:rPr>
        <w:t xml:space="preserve">(2021) </w:t>
      </w:r>
      <w:r w:rsidRPr="002E5F05">
        <w:rPr>
          <w:rFonts w:ascii="Times New Roman" w:hAnsi="Times New Roman" w:cs="Times New Roman"/>
          <w:i/>
          <w:iCs/>
        </w:rPr>
        <w:t>Stakeholder Theory: The State of the Art</w:t>
      </w:r>
      <w:r w:rsidRPr="002E5F05">
        <w:rPr>
          <w:rFonts w:ascii="Times New Roman" w:hAnsi="Times New Roman" w:cs="Times New Roman"/>
        </w:rPr>
        <w:t>. Cambridge: Cambridge University Press.</w:t>
      </w:r>
    </w:p>
    <w:p w14:paraId="5B9CA56E" w14:textId="77777777" w:rsidR="000219EA" w:rsidRPr="002E5F05" w:rsidRDefault="000219EA" w:rsidP="00CB248C">
      <w:pPr>
        <w:rPr>
          <w:rFonts w:ascii="Times New Roman" w:hAnsi="Times New Roman" w:cs="Times New Roman"/>
        </w:rPr>
      </w:pPr>
      <w:r w:rsidRPr="002E5F05">
        <w:rPr>
          <w:rFonts w:ascii="Times New Roman" w:hAnsi="Times New Roman" w:cs="Times New Roman"/>
        </w:rPr>
        <w:t xml:space="preserve">Groundwork UK (2020) </w:t>
      </w:r>
      <w:r w:rsidRPr="002E5F05">
        <w:rPr>
          <w:rFonts w:ascii="Times New Roman" w:hAnsi="Times New Roman" w:cs="Times New Roman"/>
          <w:i/>
          <w:iCs/>
        </w:rPr>
        <w:t>Growing Spaces: Community hubs and green infrastructure</w:t>
      </w:r>
      <w:r w:rsidRPr="002E5F05">
        <w:rPr>
          <w:rFonts w:ascii="Times New Roman" w:hAnsi="Times New Roman" w:cs="Times New Roman"/>
        </w:rPr>
        <w:t xml:space="preserve">. Available at: </w:t>
      </w:r>
      <w:hyperlink r:id="rId12" w:tgtFrame="_new" w:history="1">
        <w:r w:rsidRPr="002E5F05">
          <w:rPr>
            <w:rStyle w:val="Hyperlink"/>
            <w:rFonts w:ascii="Times New Roman" w:hAnsi="Times New Roman" w:cs="Times New Roman"/>
          </w:rPr>
          <w:t>https://www.groundwork.org.uk/wp-content/uploads/2020/09/Groundwork-UK-Growing-Spaces-report-September-2020.pdf</w:t>
        </w:r>
      </w:hyperlink>
      <w:r w:rsidRPr="002E5F05">
        <w:rPr>
          <w:rFonts w:ascii="Times New Roman" w:hAnsi="Times New Roman" w:cs="Times New Roman"/>
        </w:rPr>
        <w:t xml:space="preserve"> (Accessed: [15/11/2025]).</w:t>
      </w:r>
    </w:p>
    <w:p w14:paraId="2383521E" w14:textId="77777777" w:rsidR="000219EA" w:rsidRPr="002E5F05" w:rsidRDefault="000219EA" w:rsidP="00CB248C">
      <w:pPr>
        <w:rPr>
          <w:rFonts w:ascii="Times New Roman" w:hAnsi="Times New Roman" w:cs="Times New Roman"/>
        </w:rPr>
      </w:pPr>
      <w:r w:rsidRPr="002E5F05">
        <w:rPr>
          <w:rFonts w:ascii="Times New Roman" w:hAnsi="Times New Roman" w:cs="Times New Roman"/>
        </w:rPr>
        <w:t xml:space="preserve">Mendelow, A.L. (1991) ‘Environmental scanning: The impact of the stakeholder concept’, </w:t>
      </w:r>
      <w:r w:rsidRPr="002E5F05">
        <w:rPr>
          <w:rFonts w:ascii="Times New Roman" w:hAnsi="Times New Roman" w:cs="Times New Roman"/>
          <w:i/>
          <w:iCs/>
        </w:rPr>
        <w:t>Proceedings of the International Conference on Information Systems (ICIS)</w:t>
      </w:r>
      <w:r w:rsidRPr="002E5F05">
        <w:rPr>
          <w:rFonts w:ascii="Times New Roman" w:hAnsi="Times New Roman" w:cs="Times New Roman"/>
        </w:rPr>
        <w:t>, pp. 407–418.</w:t>
      </w:r>
    </w:p>
    <w:p w14:paraId="7FF2049D" w14:textId="77777777" w:rsidR="000219EA" w:rsidRPr="002E5F05" w:rsidRDefault="000219EA" w:rsidP="00CB248C">
      <w:pPr>
        <w:rPr>
          <w:rFonts w:ascii="Times New Roman" w:hAnsi="Times New Roman" w:cs="Times New Roman"/>
        </w:rPr>
      </w:pPr>
      <w:r w:rsidRPr="002E5F05">
        <w:rPr>
          <w:rFonts w:ascii="Times New Roman" w:hAnsi="Times New Roman" w:cs="Times New Roman"/>
        </w:rPr>
        <w:t xml:space="preserve">Porter, M.E. and Kramer, M.R. (2011) ‘Creating shared value’, </w:t>
      </w:r>
      <w:r w:rsidRPr="002E5F05">
        <w:rPr>
          <w:rFonts w:ascii="Times New Roman" w:hAnsi="Times New Roman" w:cs="Times New Roman"/>
          <w:i/>
          <w:iCs/>
        </w:rPr>
        <w:t>Harvard Business Review</w:t>
      </w:r>
      <w:r w:rsidRPr="002E5F05">
        <w:rPr>
          <w:rFonts w:ascii="Times New Roman" w:hAnsi="Times New Roman" w:cs="Times New Roman"/>
        </w:rPr>
        <w:t>, 89(1–2), pp. 62–77.</w:t>
      </w:r>
    </w:p>
    <w:p w14:paraId="02A7F253" w14:textId="77777777" w:rsidR="000219EA" w:rsidRPr="002E5F05" w:rsidRDefault="000219EA" w:rsidP="00CB248C">
      <w:pPr>
        <w:rPr>
          <w:rFonts w:ascii="Times New Roman" w:hAnsi="Times New Roman" w:cs="Times New Roman"/>
        </w:rPr>
      </w:pPr>
      <w:r w:rsidRPr="002E5F05">
        <w:rPr>
          <w:rFonts w:ascii="Times New Roman" w:hAnsi="Times New Roman" w:cs="Times New Roman"/>
        </w:rPr>
        <w:t xml:space="preserve">Quick, K.S. and Bryson, J.M. (2016) ‘Theories of public participation: Citizen participation in policy processes’, </w:t>
      </w:r>
      <w:r w:rsidRPr="002E5F05">
        <w:rPr>
          <w:rFonts w:ascii="Times New Roman" w:hAnsi="Times New Roman" w:cs="Times New Roman"/>
          <w:i/>
          <w:iCs/>
        </w:rPr>
        <w:t>Public Administration Review</w:t>
      </w:r>
      <w:r w:rsidRPr="002E5F05">
        <w:rPr>
          <w:rFonts w:ascii="Times New Roman" w:hAnsi="Times New Roman" w:cs="Times New Roman"/>
        </w:rPr>
        <w:t>, 76(3), pp. 368–377.</w:t>
      </w:r>
    </w:p>
    <w:p w14:paraId="0008143A" w14:textId="77777777" w:rsidR="000219EA" w:rsidRPr="002E5F05" w:rsidRDefault="000219EA" w:rsidP="00CB248C">
      <w:pPr>
        <w:rPr>
          <w:rFonts w:ascii="Times New Roman" w:hAnsi="Times New Roman" w:cs="Times New Roman"/>
          <w:lang w:val="en-US"/>
        </w:rPr>
      </w:pPr>
      <w:r w:rsidRPr="002E5F05">
        <w:rPr>
          <w:rFonts w:ascii="Times New Roman" w:hAnsi="Times New Roman" w:cs="Times New Roman"/>
          <w:lang w:val="nl-NL"/>
        </w:rPr>
        <w:t xml:space="preserve">Reed, M.S. </w:t>
      </w:r>
      <w:r w:rsidRPr="002E5F05">
        <w:rPr>
          <w:rFonts w:ascii="Times New Roman" w:hAnsi="Times New Roman" w:cs="Times New Roman"/>
          <w:i/>
          <w:iCs/>
          <w:lang w:val="nl-NL"/>
        </w:rPr>
        <w:t>et al.</w:t>
      </w:r>
      <w:r w:rsidRPr="002E5F05">
        <w:rPr>
          <w:rFonts w:ascii="Times New Roman" w:hAnsi="Times New Roman" w:cs="Times New Roman"/>
          <w:lang w:val="nl-NL"/>
        </w:rPr>
        <w:t xml:space="preserve"> </w:t>
      </w:r>
      <w:r w:rsidRPr="002E5F05">
        <w:rPr>
          <w:rFonts w:ascii="Times New Roman" w:hAnsi="Times New Roman" w:cs="Times New Roman"/>
        </w:rPr>
        <w:t xml:space="preserve">(2018) ‘Stakeholder participation for environmental management: A literature review’, </w:t>
      </w:r>
      <w:r w:rsidRPr="002E5F05">
        <w:rPr>
          <w:rFonts w:ascii="Times New Roman" w:hAnsi="Times New Roman" w:cs="Times New Roman"/>
          <w:i/>
          <w:iCs/>
        </w:rPr>
        <w:t>Environmental Management</w:t>
      </w:r>
      <w:r w:rsidRPr="002E5F05">
        <w:rPr>
          <w:rFonts w:ascii="Times New Roman" w:hAnsi="Times New Roman" w:cs="Times New Roman"/>
        </w:rPr>
        <w:t>, 62(2), pp. 176–188.</w:t>
      </w:r>
    </w:p>
    <w:p w14:paraId="50FC9FC8" w14:textId="77777777" w:rsidR="000219EA" w:rsidRPr="002E5F05" w:rsidRDefault="000219EA" w:rsidP="00CB248C">
      <w:pPr>
        <w:rPr>
          <w:rFonts w:ascii="Times New Roman" w:hAnsi="Times New Roman" w:cs="Times New Roman"/>
        </w:rPr>
      </w:pPr>
      <w:r w:rsidRPr="002E5F05">
        <w:rPr>
          <w:rFonts w:ascii="Times New Roman" w:hAnsi="Times New Roman" w:cs="Times New Roman"/>
        </w:rPr>
        <w:t xml:space="preserve">Rowe, G. and Frewer, L.J. (2000) ‘Public participation methods: A framework for evaluation’, </w:t>
      </w:r>
      <w:r w:rsidRPr="002E5F05">
        <w:rPr>
          <w:rFonts w:ascii="Times New Roman" w:hAnsi="Times New Roman" w:cs="Times New Roman"/>
          <w:i/>
          <w:iCs/>
        </w:rPr>
        <w:t>Science, Technology, &amp; Human Values</w:t>
      </w:r>
      <w:r w:rsidRPr="002E5F05">
        <w:rPr>
          <w:rFonts w:ascii="Times New Roman" w:hAnsi="Times New Roman" w:cs="Times New Roman"/>
        </w:rPr>
        <w:t>, 25(1), pp. 3–29.</w:t>
      </w:r>
    </w:p>
    <w:p w14:paraId="068A9AAA" w14:textId="77777777" w:rsidR="000219EA" w:rsidRPr="002E5F05" w:rsidRDefault="000219EA" w:rsidP="00CB248C">
      <w:pPr>
        <w:rPr>
          <w:rFonts w:ascii="Times New Roman" w:hAnsi="Times New Roman" w:cs="Times New Roman"/>
          <w:lang w:val="en-US"/>
        </w:rPr>
      </w:pPr>
      <w:r w:rsidRPr="002E5F05">
        <w:rPr>
          <w:rFonts w:ascii="Times New Roman" w:hAnsi="Times New Roman" w:cs="Times New Roman"/>
        </w:rPr>
        <w:t xml:space="preserve">Scottish Government (2016) </w:t>
      </w:r>
      <w:r w:rsidRPr="002E5F05">
        <w:rPr>
          <w:rFonts w:ascii="Times New Roman" w:hAnsi="Times New Roman" w:cs="Times New Roman"/>
          <w:i/>
          <w:iCs/>
        </w:rPr>
        <w:t>National Standards for Community Engagement</w:t>
      </w:r>
      <w:r w:rsidRPr="002E5F05">
        <w:rPr>
          <w:rFonts w:ascii="Times New Roman" w:hAnsi="Times New Roman" w:cs="Times New Roman"/>
        </w:rPr>
        <w:t xml:space="preserve">. Available at: </w:t>
      </w:r>
      <w:hyperlink r:id="rId13" w:tgtFrame="_new" w:history="1">
        <w:r w:rsidRPr="002E5F05">
          <w:rPr>
            <w:rStyle w:val="Hyperlink"/>
            <w:rFonts w:ascii="Times New Roman" w:hAnsi="Times New Roman" w:cs="Times New Roman"/>
          </w:rPr>
          <w:t>https://www.gov.scot/publications/national-standards-for-community-engagement/</w:t>
        </w:r>
      </w:hyperlink>
      <w:r w:rsidRPr="002E5F05">
        <w:rPr>
          <w:rFonts w:ascii="Times New Roman" w:hAnsi="Times New Roman" w:cs="Times New Roman"/>
        </w:rPr>
        <w:t xml:space="preserve"> (Accessed: [15/11/2025]).</w:t>
      </w:r>
    </w:p>
    <w:p w14:paraId="0E5C1A97" w14:textId="2C98E164" w:rsidR="000219EA" w:rsidRPr="002E5F05" w:rsidRDefault="000219EA" w:rsidP="00CB248C">
      <w:pPr>
        <w:rPr>
          <w:rFonts w:ascii="Times New Roman" w:hAnsi="Times New Roman" w:cs="Times New Roman"/>
          <w:color w:val="FFFFFF" w:themeColor="background1"/>
        </w:rPr>
      </w:pPr>
      <w:r w:rsidRPr="002E5F05">
        <w:rPr>
          <w:rFonts w:ascii="Times New Roman" w:hAnsi="Times New Roman" w:cs="Times New Roman"/>
          <w:lang w:val="nl-NL"/>
        </w:rPr>
        <w:t xml:space="preserve">White, M.P. </w:t>
      </w:r>
      <w:r w:rsidRPr="002E5F05">
        <w:rPr>
          <w:rFonts w:ascii="Times New Roman" w:hAnsi="Times New Roman" w:cs="Times New Roman"/>
          <w:i/>
          <w:iCs/>
          <w:lang w:val="nl-NL"/>
        </w:rPr>
        <w:t>et al.</w:t>
      </w:r>
      <w:r w:rsidRPr="002E5F05">
        <w:rPr>
          <w:rFonts w:ascii="Times New Roman" w:hAnsi="Times New Roman" w:cs="Times New Roman"/>
          <w:lang w:val="nl-NL"/>
        </w:rPr>
        <w:t xml:space="preserve"> </w:t>
      </w:r>
      <w:r w:rsidRPr="002E5F05">
        <w:rPr>
          <w:rFonts w:ascii="Times New Roman" w:hAnsi="Times New Roman" w:cs="Times New Roman"/>
        </w:rPr>
        <w:t xml:space="preserve">(2021) ‘Blue space, green space, and mental health: Evidence from a </w:t>
      </w:r>
      <w:r w:rsidR="00B277E9" w:rsidRPr="002E5F05">
        <w:rPr>
          <w:rFonts w:ascii="Times New Roman" w:hAnsi="Times New Roman" w:cs="Times New Roman"/>
        </w:rPr>
        <w:t>UK-survey</w:t>
      </w:r>
      <w:r w:rsidRPr="002E5F05">
        <w:rPr>
          <w:rFonts w:ascii="Times New Roman" w:hAnsi="Times New Roman" w:cs="Times New Roman"/>
        </w:rPr>
        <w:t xml:space="preserve">’, </w:t>
      </w:r>
      <w:r w:rsidRPr="002E5F05">
        <w:rPr>
          <w:rFonts w:ascii="Times New Roman" w:hAnsi="Times New Roman" w:cs="Times New Roman"/>
          <w:i/>
          <w:iCs/>
        </w:rPr>
        <w:t>Health &amp; Place</w:t>
      </w:r>
      <w:r w:rsidRPr="002E5F05">
        <w:rPr>
          <w:rFonts w:ascii="Times New Roman" w:hAnsi="Times New Roman" w:cs="Times New Roman"/>
        </w:rPr>
        <w:t>, 68, pp. 102–112.</w:t>
      </w:r>
    </w:p>
    <w:sectPr w:rsidR="000219EA" w:rsidRPr="002E5F05" w:rsidSect="00FC1B03">
      <w:headerReference w:type="default" r:id="rId14"/>
      <w:footerReference w:type="default" r:id="rId15"/>
      <w:headerReference w:type="first" r:id="rId16"/>
      <w:pgSz w:w="11906" w:h="16838"/>
      <w:pgMar w:top="1440" w:right="1440" w:bottom="1440" w:left="1440" w:header="17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AE108" w14:textId="77777777" w:rsidR="00A405F9" w:rsidRDefault="00A405F9" w:rsidP="005707AE">
      <w:pPr>
        <w:spacing w:after="0" w:line="240" w:lineRule="auto"/>
      </w:pPr>
      <w:r>
        <w:separator/>
      </w:r>
    </w:p>
  </w:endnote>
  <w:endnote w:type="continuationSeparator" w:id="0">
    <w:p w14:paraId="318BF677" w14:textId="77777777" w:rsidR="00A405F9" w:rsidRDefault="00A405F9" w:rsidP="00570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8878528"/>
      <w:docPartObj>
        <w:docPartGallery w:val="Page Numbers (Bottom of Page)"/>
        <w:docPartUnique/>
      </w:docPartObj>
    </w:sdtPr>
    <w:sdtEndPr>
      <w:rPr>
        <w:color w:val="7F7F7F" w:themeColor="background1" w:themeShade="7F"/>
        <w:spacing w:val="60"/>
      </w:rPr>
    </w:sdtEndPr>
    <w:sdtContent>
      <w:p w14:paraId="365257A3" w14:textId="06B67354" w:rsidR="005707AE" w:rsidRDefault="005707A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EF4A9E3" w14:textId="77777777" w:rsidR="005707AE" w:rsidRDefault="00570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F6022" w14:textId="77777777" w:rsidR="00A405F9" w:rsidRDefault="00A405F9" w:rsidP="005707AE">
      <w:pPr>
        <w:spacing w:after="0" w:line="240" w:lineRule="auto"/>
      </w:pPr>
      <w:r>
        <w:separator/>
      </w:r>
    </w:p>
  </w:footnote>
  <w:footnote w:type="continuationSeparator" w:id="0">
    <w:p w14:paraId="27601D7D" w14:textId="77777777" w:rsidR="00A405F9" w:rsidRDefault="00A405F9" w:rsidP="005707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CB2B3E" w14:textId="0F45B933" w:rsidR="00EF7B02" w:rsidRDefault="00EF7B02">
    <w:pPr>
      <w:pStyle w:val="Header"/>
    </w:pPr>
    <w:r>
      <w:t xml:space="preserve">                                                                                                                                      </w:t>
    </w:r>
    <w:r>
      <w:rPr>
        <w:noProof/>
      </w:rPr>
      <w:drawing>
        <wp:inline distT="0" distB="0" distL="0" distR="0" wp14:anchorId="38AA1B5B" wp14:editId="46E9FB4A">
          <wp:extent cx="1575117" cy="628153"/>
          <wp:effectExtent l="0" t="0" r="6350" b="0"/>
          <wp:docPr id="1208798139" name="Picture 1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98139" name="Picture 13"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588229" cy="633382"/>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7E2CE" w14:textId="742F9B70" w:rsidR="00EF7B02" w:rsidRDefault="00EF7B02" w:rsidP="00EF7B02">
    <w:pPr>
      <w:pStyle w:val="Header"/>
      <w:jc w:val="center"/>
    </w:pPr>
    <w:r>
      <w:rPr>
        <w:noProof/>
      </w:rPr>
      <w:drawing>
        <wp:inline distT="0" distB="0" distL="0" distR="0" wp14:anchorId="616B0FF2" wp14:editId="6B6C9DF2">
          <wp:extent cx="2400268" cy="957221"/>
          <wp:effectExtent l="0" t="0" r="635" b="0"/>
          <wp:docPr id="760097070" name="Picture 1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097070" name="Picture 14"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412890" cy="96225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A45CF9"/>
    <w:multiLevelType w:val="hybridMultilevel"/>
    <w:tmpl w:val="F9A603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9D3E6D"/>
    <w:multiLevelType w:val="hybridMultilevel"/>
    <w:tmpl w:val="3EA0F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3C0E89"/>
    <w:multiLevelType w:val="multilevel"/>
    <w:tmpl w:val="B582B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CC3067"/>
    <w:multiLevelType w:val="hybridMultilevel"/>
    <w:tmpl w:val="50125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3F6511"/>
    <w:multiLevelType w:val="hybridMultilevel"/>
    <w:tmpl w:val="26A27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158CA"/>
    <w:multiLevelType w:val="hybridMultilevel"/>
    <w:tmpl w:val="0EB47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054B11"/>
    <w:multiLevelType w:val="multilevel"/>
    <w:tmpl w:val="385C8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8449964">
    <w:abstractNumId w:val="4"/>
  </w:num>
  <w:num w:numId="2" w16cid:durableId="560601123">
    <w:abstractNumId w:val="3"/>
  </w:num>
  <w:num w:numId="3" w16cid:durableId="62460023">
    <w:abstractNumId w:val="5"/>
  </w:num>
  <w:num w:numId="4" w16cid:durableId="361443261">
    <w:abstractNumId w:val="1"/>
  </w:num>
  <w:num w:numId="5" w16cid:durableId="1726101267">
    <w:abstractNumId w:val="0"/>
  </w:num>
  <w:num w:numId="6" w16cid:durableId="1001471776">
    <w:abstractNumId w:val="2"/>
  </w:num>
  <w:num w:numId="7" w16cid:durableId="9352159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963"/>
    <w:rsid w:val="00002BAC"/>
    <w:rsid w:val="000219EA"/>
    <w:rsid w:val="000264C8"/>
    <w:rsid w:val="00061B28"/>
    <w:rsid w:val="00122B8D"/>
    <w:rsid w:val="00134FF5"/>
    <w:rsid w:val="00167F41"/>
    <w:rsid w:val="00194CEC"/>
    <w:rsid w:val="001B7C83"/>
    <w:rsid w:val="002E5F05"/>
    <w:rsid w:val="004315D0"/>
    <w:rsid w:val="00452629"/>
    <w:rsid w:val="004876E4"/>
    <w:rsid w:val="005707AE"/>
    <w:rsid w:val="006C0FD8"/>
    <w:rsid w:val="00724FE0"/>
    <w:rsid w:val="00823963"/>
    <w:rsid w:val="008F2537"/>
    <w:rsid w:val="0093591D"/>
    <w:rsid w:val="00A32C92"/>
    <w:rsid w:val="00A405F9"/>
    <w:rsid w:val="00B133A9"/>
    <w:rsid w:val="00B277E9"/>
    <w:rsid w:val="00BC2BC2"/>
    <w:rsid w:val="00CB248C"/>
    <w:rsid w:val="00DC2717"/>
    <w:rsid w:val="00DD5D8B"/>
    <w:rsid w:val="00EF7B02"/>
    <w:rsid w:val="00FC1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1C02C4"/>
  <w15:chartTrackingRefBased/>
  <w15:docId w15:val="{BF8EDAEF-7EA9-46F2-BB24-1DFAFA219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48C"/>
  </w:style>
  <w:style w:type="paragraph" w:styleId="Heading1">
    <w:name w:val="heading 1"/>
    <w:basedOn w:val="Normal"/>
    <w:next w:val="Normal"/>
    <w:link w:val="Heading1Char"/>
    <w:uiPriority w:val="9"/>
    <w:qFormat/>
    <w:rsid w:val="00CB248C"/>
    <w:pPr>
      <w:keepNext/>
      <w:keepLines/>
      <w:spacing w:before="360" w:after="80"/>
      <w:outlineLvl w:val="0"/>
    </w:pPr>
    <w:rPr>
      <w:rFonts w:ascii="Arial" w:eastAsiaTheme="majorEastAsia" w:hAnsi="Arial" w:cstheme="majorBidi"/>
      <w:b/>
      <w:color w:val="0A2F41" w:themeColor="accent1" w:themeShade="80"/>
      <w:szCs w:val="40"/>
    </w:rPr>
  </w:style>
  <w:style w:type="paragraph" w:styleId="Heading2">
    <w:name w:val="heading 2"/>
    <w:basedOn w:val="Normal"/>
    <w:next w:val="Normal"/>
    <w:link w:val="Heading2Char"/>
    <w:uiPriority w:val="9"/>
    <w:unhideWhenUsed/>
    <w:qFormat/>
    <w:rsid w:val="00CB248C"/>
    <w:pPr>
      <w:keepNext/>
      <w:keepLines/>
      <w:spacing w:before="160" w:after="80"/>
      <w:ind w:left="720"/>
      <w:outlineLvl w:val="1"/>
    </w:pPr>
    <w:rPr>
      <w:rFonts w:ascii="Arial" w:eastAsiaTheme="majorEastAsia" w:hAnsi="Arial"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8239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9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9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9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9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9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9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48C"/>
    <w:rPr>
      <w:rFonts w:ascii="Arial" w:eastAsiaTheme="majorEastAsia" w:hAnsi="Arial" w:cstheme="majorBidi"/>
      <w:b/>
      <w:color w:val="0A2F41" w:themeColor="accent1" w:themeShade="80"/>
      <w:szCs w:val="40"/>
    </w:rPr>
  </w:style>
  <w:style w:type="character" w:customStyle="1" w:styleId="Heading2Char">
    <w:name w:val="Heading 2 Char"/>
    <w:basedOn w:val="DefaultParagraphFont"/>
    <w:link w:val="Heading2"/>
    <w:uiPriority w:val="9"/>
    <w:rsid w:val="00CB248C"/>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8239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9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9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9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9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9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963"/>
    <w:rPr>
      <w:rFonts w:eastAsiaTheme="majorEastAsia" w:cstheme="majorBidi"/>
      <w:color w:val="272727" w:themeColor="text1" w:themeTint="D8"/>
    </w:rPr>
  </w:style>
  <w:style w:type="paragraph" w:styleId="Title">
    <w:name w:val="Title"/>
    <w:basedOn w:val="Normal"/>
    <w:next w:val="Normal"/>
    <w:link w:val="TitleChar"/>
    <w:uiPriority w:val="10"/>
    <w:qFormat/>
    <w:rsid w:val="00CB248C"/>
    <w:pPr>
      <w:spacing w:after="80" w:line="240" w:lineRule="auto"/>
      <w:contextualSpacing/>
      <w:jc w:val="center"/>
    </w:pPr>
    <w:rPr>
      <w:rFonts w:ascii="Arial" w:eastAsiaTheme="majorEastAsia" w:hAnsi="Arial" w:cstheme="majorBidi"/>
      <w:b/>
      <w:color w:val="0E2841" w:themeColor="text2"/>
      <w:spacing w:val="-10"/>
      <w:kern w:val="28"/>
      <w:sz w:val="32"/>
      <w:szCs w:val="56"/>
    </w:rPr>
  </w:style>
  <w:style w:type="character" w:customStyle="1" w:styleId="TitleChar">
    <w:name w:val="Title Char"/>
    <w:basedOn w:val="DefaultParagraphFont"/>
    <w:link w:val="Title"/>
    <w:uiPriority w:val="10"/>
    <w:rsid w:val="00CB248C"/>
    <w:rPr>
      <w:rFonts w:ascii="Arial" w:eastAsiaTheme="majorEastAsia" w:hAnsi="Arial" w:cstheme="majorBidi"/>
      <w:b/>
      <w:color w:val="0E2841" w:themeColor="text2"/>
      <w:spacing w:val="-10"/>
      <w:kern w:val="28"/>
      <w:sz w:val="32"/>
      <w:szCs w:val="56"/>
    </w:rPr>
  </w:style>
  <w:style w:type="paragraph" w:styleId="Subtitle">
    <w:name w:val="Subtitle"/>
    <w:basedOn w:val="Normal"/>
    <w:next w:val="Normal"/>
    <w:link w:val="SubtitleChar"/>
    <w:uiPriority w:val="11"/>
    <w:qFormat/>
    <w:rsid w:val="008239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9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963"/>
    <w:pPr>
      <w:spacing w:before="160"/>
      <w:jc w:val="center"/>
    </w:pPr>
    <w:rPr>
      <w:i/>
      <w:iCs/>
      <w:color w:val="404040" w:themeColor="text1" w:themeTint="BF"/>
    </w:rPr>
  </w:style>
  <w:style w:type="character" w:customStyle="1" w:styleId="QuoteChar">
    <w:name w:val="Quote Char"/>
    <w:basedOn w:val="DefaultParagraphFont"/>
    <w:link w:val="Quote"/>
    <w:uiPriority w:val="29"/>
    <w:rsid w:val="00823963"/>
    <w:rPr>
      <w:i/>
      <w:iCs/>
      <w:color w:val="404040" w:themeColor="text1" w:themeTint="BF"/>
    </w:rPr>
  </w:style>
  <w:style w:type="paragraph" w:styleId="ListParagraph">
    <w:name w:val="List Paragraph"/>
    <w:basedOn w:val="Normal"/>
    <w:uiPriority w:val="34"/>
    <w:qFormat/>
    <w:rsid w:val="00823963"/>
    <w:pPr>
      <w:ind w:left="720"/>
      <w:contextualSpacing/>
    </w:pPr>
  </w:style>
  <w:style w:type="character" w:styleId="IntenseEmphasis">
    <w:name w:val="Intense Emphasis"/>
    <w:basedOn w:val="DefaultParagraphFont"/>
    <w:uiPriority w:val="21"/>
    <w:qFormat/>
    <w:rsid w:val="00823963"/>
    <w:rPr>
      <w:i/>
      <w:iCs/>
      <w:color w:val="0F4761" w:themeColor="accent1" w:themeShade="BF"/>
    </w:rPr>
  </w:style>
  <w:style w:type="paragraph" w:styleId="IntenseQuote">
    <w:name w:val="Intense Quote"/>
    <w:basedOn w:val="Normal"/>
    <w:next w:val="Normal"/>
    <w:link w:val="IntenseQuoteChar"/>
    <w:uiPriority w:val="30"/>
    <w:qFormat/>
    <w:rsid w:val="008239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963"/>
    <w:rPr>
      <w:i/>
      <w:iCs/>
      <w:color w:val="0F4761" w:themeColor="accent1" w:themeShade="BF"/>
    </w:rPr>
  </w:style>
  <w:style w:type="character" w:styleId="IntenseReference">
    <w:name w:val="Intense Reference"/>
    <w:basedOn w:val="DefaultParagraphFont"/>
    <w:uiPriority w:val="32"/>
    <w:qFormat/>
    <w:rsid w:val="00823963"/>
    <w:rPr>
      <w:b/>
      <w:bCs/>
      <w:smallCaps/>
      <w:color w:val="0F4761" w:themeColor="accent1" w:themeShade="BF"/>
      <w:spacing w:val="5"/>
    </w:rPr>
  </w:style>
  <w:style w:type="table" w:styleId="TableGrid">
    <w:name w:val="Table Grid"/>
    <w:basedOn w:val="TableNormal"/>
    <w:uiPriority w:val="59"/>
    <w:rsid w:val="00CB248C"/>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99"/>
    <w:rsid w:val="00CB248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CB248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B248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B248C"/>
    <w:pPr>
      <w:spacing w:before="240" w:after="0" w:line="259" w:lineRule="auto"/>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CB248C"/>
    <w:pPr>
      <w:spacing w:after="100"/>
    </w:pPr>
  </w:style>
  <w:style w:type="paragraph" w:styleId="TOC2">
    <w:name w:val="toc 2"/>
    <w:basedOn w:val="Normal"/>
    <w:next w:val="Normal"/>
    <w:autoRedefine/>
    <w:uiPriority w:val="39"/>
    <w:unhideWhenUsed/>
    <w:rsid w:val="00CB248C"/>
    <w:pPr>
      <w:spacing w:after="100"/>
      <w:ind w:left="240"/>
    </w:pPr>
  </w:style>
  <w:style w:type="character" w:styleId="Hyperlink">
    <w:name w:val="Hyperlink"/>
    <w:basedOn w:val="DefaultParagraphFont"/>
    <w:uiPriority w:val="99"/>
    <w:unhideWhenUsed/>
    <w:rsid w:val="00CB248C"/>
    <w:rPr>
      <w:color w:val="467886" w:themeColor="hyperlink"/>
      <w:u w:val="single"/>
    </w:rPr>
  </w:style>
  <w:style w:type="paragraph" w:styleId="Header">
    <w:name w:val="header"/>
    <w:basedOn w:val="Normal"/>
    <w:link w:val="HeaderChar"/>
    <w:uiPriority w:val="99"/>
    <w:unhideWhenUsed/>
    <w:rsid w:val="005707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7AE"/>
  </w:style>
  <w:style w:type="paragraph" w:styleId="Footer">
    <w:name w:val="footer"/>
    <w:basedOn w:val="Normal"/>
    <w:link w:val="FooterChar"/>
    <w:uiPriority w:val="99"/>
    <w:unhideWhenUsed/>
    <w:rsid w:val="005707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7AE"/>
  </w:style>
  <w:style w:type="character" w:styleId="UnresolvedMention">
    <w:name w:val="Unresolved Mention"/>
    <w:basedOn w:val="DefaultParagraphFont"/>
    <w:uiPriority w:val="99"/>
    <w:semiHidden/>
    <w:unhideWhenUsed/>
    <w:rsid w:val="00A32C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21988">
      <w:bodyDiv w:val="1"/>
      <w:marLeft w:val="0"/>
      <w:marRight w:val="0"/>
      <w:marTop w:val="0"/>
      <w:marBottom w:val="0"/>
      <w:divBdr>
        <w:top w:val="none" w:sz="0" w:space="0" w:color="auto"/>
        <w:left w:val="none" w:sz="0" w:space="0" w:color="auto"/>
        <w:bottom w:val="none" w:sz="0" w:space="0" w:color="auto"/>
        <w:right w:val="none" w:sz="0" w:space="0" w:color="auto"/>
      </w:divBdr>
      <w:divsChild>
        <w:div w:id="1536582870">
          <w:marLeft w:val="0"/>
          <w:marRight w:val="0"/>
          <w:marTop w:val="0"/>
          <w:marBottom w:val="0"/>
          <w:divBdr>
            <w:top w:val="none" w:sz="0" w:space="0" w:color="auto"/>
            <w:left w:val="none" w:sz="0" w:space="0" w:color="auto"/>
            <w:bottom w:val="none" w:sz="0" w:space="0" w:color="auto"/>
            <w:right w:val="none" w:sz="0" w:space="0" w:color="auto"/>
          </w:divBdr>
          <w:divsChild>
            <w:div w:id="1912235338">
              <w:marLeft w:val="0"/>
              <w:marRight w:val="0"/>
              <w:marTop w:val="0"/>
              <w:marBottom w:val="0"/>
              <w:divBdr>
                <w:top w:val="none" w:sz="0" w:space="0" w:color="auto"/>
                <w:left w:val="none" w:sz="0" w:space="0" w:color="auto"/>
                <w:bottom w:val="none" w:sz="0" w:space="0" w:color="auto"/>
                <w:right w:val="none" w:sz="0" w:space="0" w:color="auto"/>
              </w:divBdr>
              <w:divsChild>
                <w:div w:id="112947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212390">
          <w:marLeft w:val="0"/>
          <w:marRight w:val="0"/>
          <w:marTop w:val="0"/>
          <w:marBottom w:val="0"/>
          <w:divBdr>
            <w:top w:val="none" w:sz="0" w:space="0" w:color="auto"/>
            <w:left w:val="none" w:sz="0" w:space="0" w:color="auto"/>
            <w:bottom w:val="none" w:sz="0" w:space="0" w:color="auto"/>
            <w:right w:val="none" w:sz="0" w:space="0" w:color="auto"/>
          </w:divBdr>
          <w:divsChild>
            <w:div w:id="1124152757">
              <w:marLeft w:val="0"/>
              <w:marRight w:val="0"/>
              <w:marTop w:val="0"/>
              <w:marBottom w:val="0"/>
              <w:divBdr>
                <w:top w:val="none" w:sz="0" w:space="0" w:color="auto"/>
                <w:left w:val="none" w:sz="0" w:space="0" w:color="auto"/>
                <w:bottom w:val="none" w:sz="0" w:space="0" w:color="auto"/>
                <w:right w:val="none" w:sz="0" w:space="0" w:color="auto"/>
              </w:divBdr>
              <w:divsChild>
                <w:div w:id="913706190">
                  <w:marLeft w:val="0"/>
                  <w:marRight w:val="0"/>
                  <w:marTop w:val="0"/>
                  <w:marBottom w:val="0"/>
                  <w:divBdr>
                    <w:top w:val="none" w:sz="0" w:space="0" w:color="auto"/>
                    <w:left w:val="none" w:sz="0" w:space="0" w:color="auto"/>
                    <w:bottom w:val="none" w:sz="0" w:space="0" w:color="auto"/>
                    <w:right w:val="none" w:sz="0" w:space="0" w:color="auto"/>
                  </w:divBdr>
                  <w:divsChild>
                    <w:div w:id="5671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731411">
      <w:bodyDiv w:val="1"/>
      <w:marLeft w:val="0"/>
      <w:marRight w:val="0"/>
      <w:marTop w:val="0"/>
      <w:marBottom w:val="0"/>
      <w:divBdr>
        <w:top w:val="none" w:sz="0" w:space="0" w:color="auto"/>
        <w:left w:val="none" w:sz="0" w:space="0" w:color="auto"/>
        <w:bottom w:val="none" w:sz="0" w:space="0" w:color="auto"/>
        <w:right w:val="none" w:sz="0" w:space="0" w:color="auto"/>
      </w:divBdr>
    </w:div>
    <w:div w:id="704907225">
      <w:bodyDiv w:val="1"/>
      <w:marLeft w:val="0"/>
      <w:marRight w:val="0"/>
      <w:marTop w:val="0"/>
      <w:marBottom w:val="0"/>
      <w:divBdr>
        <w:top w:val="none" w:sz="0" w:space="0" w:color="auto"/>
        <w:left w:val="none" w:sz="0" w:space="0" w:color="auto"/>
        <w:bottom w:val="none" w:sz="0" w:space="0" w:color="auto"/>
        <w:right w:val="none" w:sz="0" w:space="0" w:color="auto"/>
      </w:divBdr>
    </w:div>
    <w:div w:id="1368480728">
      <w:bodyDiv w:val="1"/>
      <w:marLeft w:val="0"/>
      <w:marRight w:val="0"/>
      <w:marTop w:val="0"/>
      <w:marBottom w:val="0"/>
      <w:divBdr>
        <w:top w:val="none" w:sz="0" w:space="0" w:color="auto"/>
        <w:left w:val="none" w:sz="0" w:space="0" w:color="auto"/>
        <w:bottom w:val="none" w:sz="0" w:space="0" w:color="auto"/>
        <w:right w:val="none" w:sz="0" w:space="0" w:color="auto"/>
      </w:divBdr>
    </w:div>
    <w:div w:id="1555773029">
      <w:bodyDiv w:val="1"/>
      <w:marLeft w:val="0"/>
      <w:marRight w:val="0"/>
      <w:marTop w:val="0"/>
      <w:marBottom w:val="0"/>
      <w:divBdr>
        <w:top w:val="none" w:sz="0" w:space="0" w:color="auto"/>
        <w:left w:val="none" w:sz="0" w:space="0" w:color="auto"/>
        <w:bottom w:val="none" w:sz="0" w:space="0" w:color="auto"/>
        <w:right w:val="none" w:sz="0" w:space="0" w:color="auto"/>
      </w:divBdr>
    </w:div>
    <w:div w:id="1775128714">
      <w:bodyDiv w:val="1"/>
      <w:marLeft w:val="0"/>
      <w:marRight w:val="0"/>
      <w:marTop w:val="0"/>
      <w:marBottom w:val="0"/>
      <w:divBdr>
        <w:top w:val="none" w:sz="0" w:space="0" w:color="auto"/>
        <w:left w:val="none" w:sz="0" w:space="0" w:color="auto"/>
        <w:bottom w:val="none" w:sz="0" w:space="0" w:color="auto"/>
        <w:right w:val="none" w:sz="0" w:space="0" w:color="auto"/>
      </w:divBdr>
      <w:divsChild>
        <w:div w:id="723601905">
          <w:marLeft w:val="0"/>
          <w:marRight w:val="0"/>
          <w:marTop w:val="0"/>
          <w:marBottom w:val="0"/>
          <w:divBdr>
            <w:top w:val="none" w:sz="0" w:space="0" w:color="auto"/>
            <w:left w:val="none" w:sz="0" w:space="0" w:color="auto"/>
            <w:bottom w:val="none" w:sz="0" w:space="0" w:color="auto"/>
            <w:right w:val="none" w:sz="0" w:space="0" w:color="auto"/>
          </w:divBdr>
          <w:divsChild>
            <w:div w:id="5712730">
              <w:marLeft w:val="0"/>
              <w:marRight w:val="0"/>
              <w:marTop w:val="0"/>
              <w:marBottom w:val="0"/>
              <w:divBdr>
                <w:top w:val="none" w:sz="0" w:space="0" w:color="auto"/>
                <w:left w:val="none" w:sz="0" w:space="0" w:color="auto"/>
                <w:bottom w:val="none" w:sz="0" w:space="0" w:color="auto"/>
                <w:right w:val="none" w:sz="0" w:space="0" w:color="auto"/>
              </w:divBdr>
              <w:divsChild>
                <w:div w:id="81811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182429">
          <w:marLeft w:val="0"/>
          <w:marRight w:val="0"/>
          <w:marTop w:val="0"/>
          <w:marBottom w:val="0"/>
          <w:divBdr>
            <w:top w:val="none" w:sz="0" w:space="0" w:color="auto"/>
            <w:left w:val="none" w:sz="0" w:space="0" w:color="auto"/>
            <w:bottom w:val="none" w:sz="0" w:space="0" w:color="auto"/>
            <w:right w:val="none" w:sz="0" w:space="0" w:color="auto"/>
          </w:divBdr>
          <w:divsChild>
            <w:div w:id="450824878">
              <w:marLeft w:val="0"/>
              <w:marRight w:val="0"/>
              <w:marTop w:val="0"/>
              <w:marBottom w:val="0"/>
              <w:divBdr>
                <w:top w:val="none" w:sz="0" w:space="0" w:color="auto"/>
                <w:left w:val="none" w:sz="0" w:space="0" w:color="auto"/>
                <w:bottom w:val="none" w:sz="0" w:space="0" w:color="auto"/>
                <w:right w:val="none" w:sz="0" w:space="0" w:color="auto"/>
              </w:divBdr>
              <w:divsChild>
                <w:div w:id="1359043157">
                  <w:marLeft w:val="0"/>
                  <w:marRight w:val="0"/>
                  <w:marTop w:val="0"/>
                  <w:marBottom w:val="0"/>
                  <w:divBdr>
                    <w:top w:val="none" w:sz="0" w:space="0" w:color="auto"/>
                    <w:left w:val="none" w:sz="0" w:space="0" w:color="auto"/>
                    <w:bottom w:val="none" w:sz="0" w:space="0" w:color="auto"/>
                    <w:right w:val="none" w:sz="0" w:space="0" w:color="auto"/>
                  </w:divBdr>
                  <w:divsChild>
                    <w:div w:id="107134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v.scot/publications/national-standards-for-community-engage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roundwork.org.uk/wp-content/uploads/2020/09/Groundwork-UK-Growing-Spaces-report-September-2020.pdf?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4197</Words>
  <Characters>23924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Hanley Community Green Centre.</vt:lpstr>
    </vt:vector>
  </TitlesOfParts>
  <Company/>
  <LinksUpToDate>false</LinksUpToDate>
  <CharactersWithSpaces>28065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Hanley Community Green Centre.</dc:title>
  <dc:subject>Community project</dc:subject>
  <dc:creator>Marian</dc:creator>
  <cp:keywords/>
  <dc:description/>
  <cp:lastModifiedBy>Marian-Emil Budica (2312379)</cp:lastModifiedBy>
  <cp:revision>3</cp:revision>
  <dcterms:created xsi:type="dcterms:W3CDTF">2025-11-18T21:17:00Z</dcterms:created>
  <dcterms:modified xsi:type="dcterms:W3CDTF">2025-11-18T21:19:00Z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3a16b6ad-1921-42bd-9d30-428ea6b8bde6</vt:lpwstr>
  </property>
</Properties>
</file>