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81ED6" w14:textId="77777777" w:rsidR="00047509" w:rsidRDefault="00047509" w:rsidP="46EF7EC2">
      <w:pPr>
        <w:rPr>
          <w:b/>
          <w:bCs/>
          <w:u w:val="single"/>
        </w:rPr>
      </w:pPr>
    </w:p>
    <w:p w14:paraId="69870FC0" w14:textId="77777777" w:rsidR="00047509" w:rsidRDefault="00047509" w:rsidP="46EF7EC2">
      <w:pPr>
        <w:rPr>
          <w:b/>
          <w:bCs/>
          <w:u w:val="single"/>
        </w:rPr>
      </w:pPr>
    </w:p>
    <w:p w14:paraId="6E04A275" w14:textId="77777777" w:rsidR="00047509" w:rsidRDefault="00047509" w:rsidP="46EF7EC2">
      <w:pPr>
        <w:rPr>
          <w:b/>
          <w:bCs/>
          <w:u w:val="single"/>
        </w:rPr>
      </w:pPr>
    </w:p>
    <w:p w14:paraId="27481B8A" w14:textId="2F6323C6" w:rsidR="00047509" w:rsidRDefault="00047509" w:rsidP="00E8052B">
      <w:pPr>
        <w:jc w:val="center"/>
        <w:rPr>
          <w:b/>
          <w:bCs/>
          <w:u w:val="single"/>
        </w:rPr>
      </w:pPr>
      <w:r>
        <w:rPr>
          <w:b/>
          <w:bCs/>
          <w:u w:val="single"/>
        </w:rPr>
        <w:t xml:space="preserve">Sophia </w:t>
      </w:r>
      <w:r w:rsidR="00D84F7C">
        <w:rPr>
          <w:b/>
          <w:bCs/>
          <w:u w:val="single"/>
        </w:rPr>
        <w:t>Poveda</w:t>
      </w:r>
      <w:r>
        <w:rPr>
          <w:b/>
          <w:bCs/>
          <w:u w:val="single"/>
        </w:rPr>
        <w:t xml:space="preserve"> Oates </w:t>
      </w:r>
      <w:r w:rsidR="00D84F7C">
        <w:rPr>
          <w:b/>
          <w:bCs/>
          <w:u w:val="single"/>
        </w:rPr>
        <w:t>2204258</w:t>
      </w:r>
    </w:p>
    <w:p w14:paraId="2C9B4229" w14:textId="09601FC6" w:rsidR="00047509" w:rsidRDefault="00047509" w:rsidP="00E8052B">
      <w:pPr>
        <w:jc w:val="center"/>
        <w:rPr>
          <w:b/>
          <w:bCs/>
          <w:u w:val="single"/>
        </w:rPr>
      </w:pPr>
      <w:r>
        <w:rPr>
          <w:b/>
          <w:bCs/>
          <w:u w:val="single"/>
        </w:rPr>
        <w:t xml:space="preserve">Independent </w:t>
      </w:r>
      <w:r w:rsidR="00D84F7C">
        <w:rPr>
          <w:b/>
          <w:bCs/>
          <w:u w:val="single"/>
        </w:rPr>
        <w:t>Project Element 2</w:t>
      </w:r>
    </w:p>
    <w:p w14:paraId="274EB33F" w14:textId="47AFB54A" w:rsidR="00D84F7C" w:rsidRDefault="00D84F7C" w:rsidP="00E8052B">
      <w:pPr>
        <w:jc w:val="center"/>
        <w:rPr>
          <w:b/>
          <w:bCs/>
          <w:u w:val="single"/>
        </w:rPr>
      </w:pPr>
      <w:r>
        <w:rPr>
          <w:b/>
          <w:bCs/>
          <w:u w:val="single"/>
        </w:rPr>
        <w:t>Literature Review</w:t>
      </w:r>
    </w:p>
    <w:p w14:paraId="260821E3" w14:textId="77777777" w:rsidR="00047509" w:rsidRDefault="00047509" w:rsidP="46EF7EC2">
      <w:pPr>
        <w:rPr>
          <w:b/>
          <w:bCs/>
          <w:u w:val="single"/>
        </w:rPr>
      </w:pPr>
    </w:p>
    <w:p w14:paraId="6637B18A" w14:textId="77777777" w:rsidR="00047509" w:rsidRDefault="00047509" w:rsidP="46EF7EC2">
      <w:pPr>
        <w:rPr>
          <w:b/>
          <w:bCs/>
          <w:u w:val="single"/>
        </w:rPr>
      </w:pPr>
    </w:p>
    <w:p w14:paraId="62381EF1" w14:textId="77777777" w:rsidR="00047509" w:rsidRDefault="00047509" w:rsidP="46EF7EC2">
      <w:pPr>
        <w:rPr>
          <w:b/>
          <w:bCs/>
          <w:u w:val="single"/>
        </w:rPr>
      </w:pPr>
    </w:p>
    <w:p w14:paraId="314BE55E" w14:textId="77777777" w:rsidR="00047509" w:rsidRDefault="00047509" w:rsidP="46EF7EC2">
      <w:pPr>
        <w:rPr>
          <w:b/>
          <w:bCs/>
          <w:u w:val="single"/>
        </w:rPr>
      </w:pPr>
    </w:p>
    <w:p w14:paraId="08DE7573" w14:textId="77777777" w:rsidR="00047509" w:rsidRDefault="00047509" w:rsidP="46EF7EC2">
      <w:pPr>
        <w:rPr>
          <w:b/>
          <w:bCs/>
          <w:u w:val="single"/>
        </w:rPr>
      </w:pPr>
    </w:p>
    <w:p w14:paraId="6732DFFC" w14:textId="77777777" w:rsidR="00047509" w:rsidRDefault="00047509" w:rsidP="46EF7EC2">
      <w:pPr>
        <w:rPr>
          <w:b/>
          <w:bCs/>
          <w:u w:val="single"/>
        </w:rPr>
      </w:pPr>
    </w:p>
    <w:p w14:paraId="7C1505F0" w14:textId="77777777" w:rsidR="00047509" w:rsidRDefault="00047509" w:rsidP="46EF7EC2">
      <w:pPr>
        <w:rPr>
          <w:b/>
          <w:bCs/>
          <w:u w:val="single"/>
        </w:rPr>
      </w:pPr>
    </w:p>
    <w:p w14:paraId="6968DC9D" w14:textId="77777777" w:rsidR="00047509" w:rsidRDefault="00047509" w:rsidP="46EF7EC2">
      <w:pPr>
        <w:rPr>
          <w:b/>
          <w:bCs/>
          <w:u w:val="single"/>
        </w:rPr>
      </w:pPr>
    </w:p>
    <w:p w14:paraId="30715305" w14:textId="77777777" w:rsidR="00047509" w:rsidRDefault="00047509" w:rsidP="46EF7EC2">
      <w:pPr>
        <w:rPr>
          <w:b/>
          <w:bCs/>
          <w:u w:val="single"/>
        </w:rPr>
      </w:pPr>
    </w:p>
    <w:p w14:paraId="140DBEB5" w14:textId="77777777" w:rsidR="00047509" w:rsidRDefault="00047509" w:rsidP="46EF7EC2">
      <w:pPr>
        <w:rPr>
          <w:b/>
          <w:bCs/>
          <w:u w:val="single"/>
        </w:rPr>
      </w:pPr>
    </w:p>
    <w:p w14:paraId="07DE3EE3" w14:textId="77777777" w:rsidR="00047509" w:rsidRDefault="00047509" w:rsidP="46EF7EC2">
      <w:pPr>
        <w:rPr>
          <w:b/>
          <w:bCs/>
          <w:u w:val="single"/>
        </w:rPr>
      </w:pPr>
    </w:p>
    <w:p w14:paraId="6B7BB089" w14:textId="77777777" w:rsidR="00047509" w:rsidRDefault="00047509" w:rsidP="46EF7EC2">
      <w:pPr>
        <w:rPr>
          <w:b/>
          <w:bCs/>
          <w:u w:val="single"/>
        </w:rPr>
      </w:pPr>
    </w:p>
    <w:p w14:paraId="70C5D342" w14:textId="77777777" w:rsidR="00047509" w:rsidRDefault="00047509" w:rsidP="46EF7EC2">
      <w:pPr>
        <w:rPr>
          <w:b/>
          <w:bCs/>
          <w:u w:val="single"/>
        </w:rPr>
      </w:pPr>
    </w:p>
    <w:p w14:paraId="5DC0A786" w14:textId="77777777" w:rsidR="00047509" w:rsidRDefault="00047509" w:rsidP="46EF7EC2">
      <w:pPr>
        <w:rPr>
          <w:b/>
          <w:bCs/>
          <w:u w:val="single"/>
        </w:rPr>
      </w:pPr>
    </w:p>
    <w:p w14:paraId="4D68ED6A" w14:textId="77777777" w:rsidR="00047509" w:rsidRDefault="00047509" w:rsidP="46EF7EC2">
      <w:pPr>
        <w:rPr>
          <w:b/>
          <w:bCs/>
          <w:u w:val="single"/>
        </w:rPr>
      </w:pPr>
    </w:p>
    <w:p w14:paraId="4A7A013E" w14:textId="77777777" w:rsidR="00047509" w:rsidRDefault="00047509" w:rsidP="46EF7EC2">
      <w:pPr>
        <w:rPr>
          <w:b/>
          <w:bCs/>
          <w:u w:val="single"/>
        </w:rPr>
      </w:pPr>
    </w:p>
    <w:p w14:paraId="0A24BA82" w14:textId="77777777" w:rsidR="00047509" w:rsidRDefault="00047509" w:rsidP="46EF7EC2">
      <w:pPr>
        <w:rPr>
          <w:b/>
          <w:bCs/>
          <w:u w:val="single"/>
        </w:rPr>
      </w:pPr>
    </w:p>
    <w:p w14:paraId="178C82CA" w14:textId="77777777" w:rsidR="00047509" w:rsidRDefault="00047509" w:rsidP="46EF7EC2">
      <w:pPr>
        <w:rPr>
          <w:b/>
          <w:bCs/>
          <w:u w:val="single"/>
        </w:rPr>
      </w:pPr>
    </w:p>
    <w:p w14:paraId="128CAC19" w14:textId="77777777" w:rsidR="00047509" w:rsidRDefault="00047509" w:rsidP="46EF7EC2">
      <w:pPr>
        <w:rPr>
          <w:b/>
          <w:bCs/>
          <w:u w:val="single"/>
        </w:rPr>
      </w:pPr>
    </w:p>
    <w:p w14:paraId="1F1245A9" w14:textId="77777777" w:rsidR="00047509" w:rsidRDefault="00047509" w:rsidP="46EF7EC2">
      <w:pPr>
        <w:rPr>
          <w:b/>
          <w:bCs/>
          <w:u w:val="single"/>
        </w:rPr>
      </w:pPr>
    </w:p>
    <w:p w14:paraId="7BF1C33F" w14:textId="77777777" w:rsidR="00047509" w:rsidRDefault="00047509" w:rsidP="46EF7EC2">
      <w:pPr>
        <w:rPr>
          <w:b/>
          <w:bCs/>
          <w:u w:val="single"/>
        </w:rPr>
      </w:pPr>
    </w:p>
    <w:p w14:paraId="11DD6B12" w14:textId="77777777" w:rsidR="00047509" w:rsidRDefault="00047509" w:rsidP="46EF7EC2">
      <w:pPr>
        <w:rPr>
          <w:b/>
          <w:bCs/>
          <w:u w:val="single"/>
        </w:rPr>
      </w:pPr>
    </w:p>
    <w:p w14:paraId="08CE6907" w14:textId="04DC48B1" w:rsidR="07A3D55F" w:rsidRDefault="07A3D55F" w:rsidP="46EF7EC2">
      <w:r w:rsidRPr="46EF7EC2">
        <w:rPr>
          <w:b/>
          <w:bCs/>
          <w:u w:val="single"/>
        </w:rPr>
        <w:t>Aim</w:t>
      </w:r>
      <w:r w:rsidR="724CEE43" w:rsidRPr="46EF7EC2">
        <w:rPr>
          <w:b/>
          <w:bCs/>
          <w:u w:val="single"/>
        </w:rPr>
        <w:t>- The</w:t>
      </w:r>
      <w:r w:rsidRPr="46EF7EC2">
        <w:rPr>
          <w:b/>
          <w:bCs/>
          <w:u w:val="single"/>
        </w:rPr>
        <w:t xml:space="preserve"> creation and development of an app software to </w:t>
      </w:r>
      <w:r w:rsidR="56D43403" w:rsidRPr="46EF7EC2">
        <w:rPr>
          <w:b/>
          <w:bCs/>
          <w:u w:val="single"/>
        </w:rPr>
        <w:t>change negative behaviors in student</w:t>
      </w:r>
      <w:r w:rsidR="58E3D55A" w:rsidRPr="46EF7EC2">
        <w:rPr>
          <w:b/>
          <w:bCs/>
          <w:u w:val="single"/>
        </w:rPr>
        <w:t xml:space="preserve">s and help them become more productive and live a healthier lifestyle. </w:t>
      </w:r>
    </w:p>
    <w:p w14:paraId="2D033B47" w14:textId="4C0C0595" w:rsidR="46EF7EC2" w:rsidRDefault="46EF7EC2" w:rsidP="46EF7EC2">
      <w:pPr>
        <w:rPr>
          <w:b/>
          <w:bCs/>
          <w:u w:val="single"/>
        </w:rPr>
      </w:pPr>
    </w:p>
    <w:p w14:paraId="7331F227" w14:textId="16C04264" w:rsidR="77C482F4" w:rsidRPr="00122378" w:rsidRDefault="77C482F4">
      <w:pPr>
        <w:rPr>
          <w:rFonts w:asciiTheme="majorHAnsi" w:hAnsiTheme="majorHAnsi"/>
          <w:b/>
          <w:bCs/>
          <w:u w:val="single"/>
        </w:rPr>
      </w:pPr>
      <w:r w:rsidRPr="00122378">
        <w:rPr>
          <w:b/>
          <w:bCs/>
          <w:u w:val="single"/>
        </w:rPr>
        <w:t>Conte</w:t>
      </w:r>
      <w:r w:rsidRPr="00122378">
        <w:rPr>
          <w:rFonts w:asciiTheme="majorHAnsi" w:hAnsiTheme="majorHAnsi"/>
          <w:b/>
          <w:bCs/>
          <w:u w:val="single"/>
        </w:rPr>
        <w:t xml:space="preserve">nts page </w:t>
      </w:r>
    </w:p>
    <w:p w14:paraId="4B17E3BA" w14:textId="645F7911" w:rsidR="46EF7EC2" w:rsidRPr="00B86D19" w:rsidRDefault="46EF7EC2">
      <w:pPr>
        <w:rPr>
          <w:rFonts w:asciiTheme="majorHAnsi" w:hAnsiTheme="majorHAnsi"/>
        </w:rPr>
      </w:pPr>
    </w:p>
    <w:p w14:paraId="6E539ABA" w14:textId="3E4849AB" w:rsidR="00E8052B" w:rsidRPr="00EF01D2" w:rsidRDefault="29E82E0F" w:rsidP="00EF01D2">
      <w:pPr>
        <w:pStyle w:val="ListParagraph"/>
        <w:numPr>
          <w:ilvl w:val="0"/>
          <w:numId w:val="4"/>
        </w:numPr>
        <w:rPr>
          <w:rFonts w:asciiTheme="majorHAnsi" w:eastAsia="Times New Roman" w:hAnsiTheme="majorHAnsi" w:cs="Times New Roman"/>
        </w:rPr>
      </w:pPr>
      <w:r w:rsidRPr="00B86D19">
        <w:rPr>
          <w:rFonts w:asciiTheme="majorHAnsi" w:eastAsia="Times New Roman" w:hAnsiTheme="majorHAnsi" w:cs="Times New Roman"/>
        </w:rPr>
        <w:t>Literature Review</w:t>
      </w:r>
      <w:r w:rsidR="001B1C51">
        <w:rPr>
          <w:rFonts w:asciiTheme="majorHAnsi" w:eastAsia="Times New Roman" w:hAnsiTheme="majorHAnsi" w:cs="Times New Roman"/>
        </w:rPr>
        <w:t xml:space="preserve"> page </w:t>
      </w:r>
      <w:r w:rsidR="00E8052B">
        <w:rPr>
          <w:rFonts w:asciiTheme="majorHAnsi" w:eastAsia="Times New Roman" w:hAnsiTheme="majorHAnsi" w:cs="Times New Roman"/>
        </w:rPr>
        <w:t>3</w:t>
      </w:r>
    </w:p>
    <w:p w14:paraId="27BE8045" w14:textId="7CE7F693" w:rsidR="2837CDF9" w:rsidRPr="00B86D19" w:rsidRDefault="2837CDF9" w:rsidP="72B09726">
      <w:pPr>
        <w:pStyle w:val="ListParagraph"/>
        <w:numPr>
          <w:ilvl w:val="0"/>
          <w:numId w:val="4"/>
        </w:numPr>
        <w:rPr>
          <w:rFonts w:asciiTheme="majorHAnsi" w:eastAsia="Times New Roman" w:hAnsiTheme="majorHAnsi" w:cs="Times New Roman"/>
        </w:rPr>
      </w:pPr>
      <w:r w:rsidRPr="00B86D19">
        <w:rPr>
          <w:rFonts w:asciiTheme="majorHAnsi" w:eastAsia="Times New Roman" w:hAnsiTheme="majorHAnsi" w:cs="Times New Roman"/>
        </w:rPr>
        <w:t xml:space="preserve">Fitness </w:t>
      </w:r>
      <w:r w:rsidR="00EF01D2">
        <w:rPr>
          <w:rFonts w:asciiTheme="majorHAnsi" w:eastAsia="Times New Roman" w:hAnsiTheme="majorHAnsi" w:cs="Times New Roman"/>
        </w:rPr>
        <w:t>page 4-5</w:t>
      </w:r>
    </w:p>
    <w:p w14:paraId="6074A8C1" w14:textId="00C648C9" w:rsidR="2837CDF9" w:rsidRPr="00B86D19" w:rsidRDefault="2837CDF9" w:rsidP="72B09726">
      <w:pPr>
        <w:pStyle w:val="ListParagraph"/>
        <w:numPr>
          <w:ilvl w:val="0"/>
          <w:numId w:val="4"/>
        </w:numPr>
        <w:rPr>
          <w:rFonts w:asciiTheme="majorHAnsi" w:eastAsia="Times New Roman" w:hAnsiTheme="majorHAnsi" w:cs="Times New Roman"/>
        </w:rPr>
      </w:pPr>
      <w:r w:rsidRPr="00B86D19">
        <w:rPr>
          <w:rFonts w:asciiTheme="majorHAnsi" w:eastAsia="Times New Roman" w:hAnsiTheme="majorHAnsi" w:cs="Times New Roman"/>
        </w:rPr>
        <w:t xml:space="preserve">Coaching </w:t>
      </w:r>
      <w:r w:rsidR="00EF01D2">
        <w:rPr>
          <w:rFonts w:asciiTheme="majorHAnsi" w:eastAsia="Times New Roman" w:hAnsiTheme="majorHAnsi" w:cs="Times New Roman"/>
        </w:rPr>
        <w:t>page 5</w:t>
      </w:r>
    </w:p>
    <w:p w14:paraId="71E902F5" w14:textId="5857559A" w:rsidR="2837CDF9" w:rsidRPr="00B86D19" w:rsidRDefault="2837CDF9" w:rsidP="72B09726">
      <w:pPr>
        <w:pStyle w:val="ListParagraph"/>
        <w:numPr>
          <w:ilvl w:val="0"/>
          <w:numId w:val="4"/>
        </w:numPr>
        <w:rPr>
          <w:rFonts w:asciiTheme="majorHAnsi" w:eastAsia="Times New Roman" w:hAnsiTheme="majorHAnsi" w:cs="Times New Roman"/>
        </w:rPr>
      </w:pPr>
      <w:r w:rsidRPr="00B86D19">
        <w:rPr>
          <w:rFonts w:asciiTheme="majorHAnsi" w:eastAsia="Times New Roman" w:hAnsiTheme="majorHAnsi" w:cs="Times New Roman"/>
        </w:rPr>
        <w:t xml:space="preserve">Health </w:t>
      </w:r>
      <w:r w:rsidR="00EF01D2">
        <w:rPr>
          <w:rFonts w:asciiTheme="majorHAnsi" w:eastAsia="Times New Roman" w:hAnsiTheme="majorHAnsi" w:cs="Times New Roman"/>
        </w:rPr>
        <w:t xml:space="preserve">page </w:t>
      </w:r>
      <w:r w:rsidR="006D2924">
        <w:rPr>
          <w:rFonts w:asciiTheme="majorHAnsi" w:eastAsia="Times New Roman" w:hAnsiTheme="majorHAnsi" w:cs="Times New Roman"/>
        </w:rPr>
        <w:t>5-6</w:t>
      </w:r>
    </w:p>
    <w:p w14:paraId="0B7A6116" w14:textId="65F2FBA3" w:rsidR="2837CDF9" w:rsidRPr="00B86D19" w:rsidRDefault="006D2924" w:rsidP="000C09B7">
      <w:pPr>
        <w:pStyle w:val="ListParagraph"/>
        <w:numPr>
          <w:ilvl w:val="0"/>
          <w:numId w:val="4"/>
        </w:numPr>
        <w:rPr>
          <w:rFonts w:asciiTheme="majorHAnsi" w:eastAsia="Times New Roman" w:hAnsiTheme="majorHAnsi" w:cs="Times New Roman"/>
        </w:rPr>
      </w:pPr>
      <w:r w:rsidRPr="00B86D19">
        <w:rPr>
          <w:rFonts w:asciiTheme="majorHAnsi" w:eastAsia="Times New Roman" w:hAnsiTheme="majorHAnsi" w:cs="Times New Roman"/>
        </w:rPr>
        <w:t>Marketing page</w:t>
      </w:r>
      <w:r>
        <w:rPr>
          <w:rFonts w:asciiTheme="majorHAnsi" w:eastAsia="Times New Roman" w:hAnsiTheme="majorHAnsi" w:cs="Times New Roman"/>
        </w:rPr>
        <w:t xml:space="preserve"> 6</w:t>
      </w:r>
    </w:p>
    <w:p w14:paraId="7D953956" w14:textId="3D98F55C" w:rsidR="2837CDF9" w:rsidRPr="00B86D19" w:rsidRDefault="2837CDF9" w:rsidP="72B09726">
      <w:pPr>
        <w:pStyle w:val="ListParagraph"/>
        <w:numPr>
          <w:ilvl w:val="0"/>
          <w:numId w:val="4"/>
        </w:numPr>
        <w:rPr>
          <w:rFonts w:asciiTheme="majorHAnsi" w:eastAsia="Times New Roman" w:hAnsiTheme="majorHAnsi" w:cs="Times New Roman"/>
        </w:rPr>
      </w:pPr>
      <w:r w:rsidRPr="00B86D19">
        <w:rPr>
          <w:rFonts w:asciiTheme="majorHAnsi" w:eastAsia="Times New Roman" w:hAnsiTheme="majorHAnsi" w:cs="Times New Roman"/>
        </w:rPr>
        <w:t xml:space="preserve">Wellness and wellbeing </w:t>
      </w:r>
      <w:r w:rsidR="006D2924">
        <w:rPr>
          <w:rFonts w:asciiTheme="majorHAnsi" w:eastAsia="Times New Roman" w:hAnsiTheme="majorHAnsi" w:cs="Times New Roman"/>
        </w:rPr>
        <w:t>page 7</w:t>
      </w:r>
    </w:p>
    <w:p w14:paraId="01739E1C" w14:textId="7056C981" w:rsidR="2837CDF9" w:rsidRPr="00B86D19" w:rsidRDefault="2837CDF9" w:rsidP="72B09726">
      <w:pPr>
        <w:pStyle w:val="ListParagraph"/>
        <w:numPr>
          <w:ilvl w:val="0"/>
          <w:numId w:val="4"/>
        </w:numPr>
        <w:rPr>
          <w:rFonts w:asciiTheme="majorHAnsi" w:eastAsia="Times New Roman" w:hAnsiTheme="majorHAnsi" w:cs="Times New Roman"/>
        </w:rPr>
      </w:pPr>
      <w:r w:rsidRPr="00B86D19">
        <w:rPr>
          <w:rFonts w:asciiTheme="majorHAnsi" w:eastAsia="Times New Roman" w:hAnsiTheme="majorHAnsi" w:cs="Times New Roman"/>
        </w:rPr>
        <w:t xml:space="preserve">Planning and implementation </w:t>
      </w:r>
      <w:r w:rsidR="001F6705">
        <w:rPr>
          <w:rFonts w:asciiTheme="majorHAnsi" w:eastAsia="Times New Roman" w:hAnsiTheme="majorHAnsi" w:cs="Times New Roman"/>
        </w:rPr>
        <w:t>page</w:t>
      </w:r>
      <w:r w:rsidR="00324A4F">
        <w:rPr>
          <w:rFonts w:asciiTheme="majorHAnsi" w:eastAsia="Times New Roman" w:hAnsiTheme="majorHAnsi" w:cs="Times New Roman"/>
        </w:rPr>
        <w:t xml:space="preserve"> 7-8</w:t>
      </w:r>
    </w:p>
    <w:p w14:paraId="630274A3" w14:textId="1EFC9684" w:rsidR="2837CDF9" w:rsidRPr="00B86D19" w:rsidRDefault="2837CDF9" w:rsidP="72B09726">
      <w:pPr>
        <w:pStyle w:val="ListParagraph"/>
        <w:numPr>
          <w:ilvl w:val="0"/>
          <w:numId w:val="4"/>
        </w:numPr>
        <w:rPr>
          <w:rFonts w:asciiTheme="majorHAnsi" w:eastAsia="Times New Roman" w:hAnsiTheme="majorHAnsi" w:cs="Times New Roman"/>
        </w:rPr>
      </w:pPr>
      <w:r w:rsidRPr="00B86D19">
        <w:rPr>
          <w:rFonts w:asciiTheme="majorHAnsi" w:eastAsia="Times New Roman" w:hAnsiTheme="majorHAnsi" w:cs="Times New Roman"/>
        </w:rPr>
        <w:t xml:space="preserve">Sports branding and </w:t>
      </w:r>
      <w:r w:rsidR="33047CB1" w:rsidRPr="00B86D19">
        <w:rPr>
          <w:rFonts w:asciiTheme="majorHAnsi" w:eastAsia="Times New Roman" w:hAnsiTheme="majorHAnsi" w:cs="Times New Roman"/>
        </w:rPr>
        <w:t>consumers</w:t>
      </w:r>
      <w:r w:rsidRPr="00B86D19">
        <w:rPr>
          <w:rFonts w:asciiTheme="majorHAnsi" w:eastAsia="Times New Roman" w:hAnsiTheme="majorHAnsi" w:cs="Times New Roman"/>
        </w:rPr>
        <w:t xml:space="preserve"> </w:t>
      </w:r>
      <w:r w:rsidR="00324A4F">
        <w:rPr>
          <w:rFonts w:asciiTheme="majorHAnsi" w:eastAsia="Times New Roman" w:hAnsiTheme="majorHAnsi" w:cs="Times New Roman"/>
        </w:rPr>
        <w:t>page 8-9</w:t>
      </w:r>
    </w:p>
    <w:p w14:paraId="642E2AF2" w14:textId="2885B20C" w:rsidR="00B86D19" w:rsidRDefault="00324A4F" w:rsidP="72B09726">
      <w:pPr>
        <w:pStyle w:val="ListParagraph"/>
        <w:numPr>
          <w:ilvl w:val="0"/>
          <w:numId w:val="4"/>
        </w:numPr>
        <w:rPr>
          <w:rFonts w:asciiTheme="majorHAnsi" w:eastAsia="Times New Roman" w:hAnsiTheme="majorHAnsi" w:cs="Times New Roman"/>
        </w:rPr>
      </w:pPr>
      <w:r>
        <w:rPr>
          <w:rFonts w:asciiTheme="majorHAnsi" w:eastAsia="Times New Roman" w:hAnsiTheme="majorHAnsi" w:cs="Times New Roman"/>
        </w:rPr>
        <w:t xml:space="preserve">Evaluation </w:t>
      </w:r>
      <w:r w:rsidR="006C0C66">
        <w:rPr>
          <w:rFonts w:asciiTheme="majorHAnsi" w:eastAsia="Times New Roman" w:hAnsiTheme="majorHAnsi" w:cs="Times New Roman"/>
        </w:rPr>
        <w:t>page 10</w:t>
      </w:r>
    </w:p>
    <w:p w14:paraId="6C6B28DB" w14:textId="56A8F89B" w:rsidR="006C0C66" w:rsidRPr="00B86D19" w:rsidRDefault="00090B9C" w:rsidP="72B09726">
      <w:pPr>
        <w:pStyle w:val="ListParagraph"/>
        <w:numPr>
          <w:ilvl w:val="0"/>
          <w:numId w:val="4"/>
        </w:numPr>
        <w:rPr>
          <w:rFonts w:asciiTheme="majorHAnsi" w:eastAsia="Times New Roman" w:hAnsiTheme="majorHAnsi" w:cs="Times New Roman"/>
        </w:rPr>
      </w:pPr>
      <w:r>
        <w:rPr>
          <w:rFonts w:asciiTheme="majorHAnsi" w:eastAsia="Times New Roman" w:hAnsiTheme="majorHAnsi" w:cs="Times New Roman"/>
        </w:rPr>
        <w:t xml:space="preserve">Words cited page 11-16 </w:t>
      </w:r>
    </w:p>
    <w:p w14:paraId="756E019F" w14:textId="5D388060" w:rsidR="46EF7EC2" w:rsidRPr="00B86D19" w:rsidRDefault="46EF7EC2" w:rsidP="003252E6">
      <w:pPr>
        <w:pStyle w:val="ListParagraph"/>
        <w:rPr>
          <w:rFonts w:asciiTheme="majorHAnsi" w:hAnsiTheme="majorHAnsi"/>
        </w:rPr>
      </w:pPr>
    </w:p>
    <w:p w14:paraId="2B279B1E" w14:textId="6DDD603B" w:rsidR="46EF7EC2" w:rsidRDefault="46EF7EC2"/>
    <w:p w14:paraId="209BDBDB" w14:textId="064C1635" w:rsidR="46EF7EC2" w:rsidRDefault="46EF7EC2"/>
    <w:p w14:paraId="0490B7CA" w14:textId="3BB49EC6" w:rsidR="46EF7EC2" w:rsidRDefault="46EF7EC2"/>
    <w:p w14:paraId="2E50A939" w14:textId="350CD19C" w:rsidR="46EF7EC2" w:rsidRDefault="46EF7EC2"/>
    <w:p w14:paraId="7F9B1AA3" w14:textId="7C5FBEF9" w:rsidR="46EF7EC2" w:rsidRDefault="46EF7EC2"/>
    <w:p w14:paraId="496ED485" w14:textId="350F60F8" w:rsidR="46EF7EC2" w:rsidRDefault="46EF7EC2"/>
    <w:p w14:paraId="3F8DC5FE" w14:textId="3D3C6130" w:rsidR="46EF7EC2" w:rsidRDefault="46EF7EC2"/>
    <w:p w14:paraId="38859882" w14:textId="4639E9EA" w:rsidR="46EF7EC2" w:rsidRDefault="46EF7EC2"/>
    <w:p w14:paraId="4DD238F2" w14:textId="2FFD67C7" w:rsidR="46EF7EC2" w:rsidRDefault="46EF7EC2"/>
    <w:p w14:paraId="6FF8F06B" w14:textId="62F0C1FF" w:rsidR="46EF7EC2" w:rsidRDefault="46EF7EC2"/>
    <w:p w14:paraId="5D713577" w14:textId="4DF3A2BE" w:rsidR="2C663574" w:rsidRDefault="2C663574" w:rsidP="2C663574">
      <w:pPr>
        <w:rPr>
          <w:b/>
          <w:bCs/>
          <w:u w:val="single"/>
        </w:rPr>
      </w:pPr>
    </w:p>
    <w:p w14:paraId="10BB5B8B" w14:textId="502125E7" w:rsidR="23619A58" w:rsidRDefault="23619A58" w:rsidP="23619A58">
      <w:pPr>
        <w:rPr>
          <w:b/>
          <w:bCs/>
          <w:u w:val="single"/>
        </w:rPr>
      </w:pPr>
    </w:p>
    <w:p w14:paraId="5F329D3A" w14:textId="0F6EC804" w:rsidR="005C0C23" w:rsidRPr="005C0C23" w:rsidRDefault="005C0C23" w:rsidP="00291CA1">
      <w:pPr>
        <w:rPr>
          <w:rFonts w:ascii="Times New Roman" w:eastAsia="Times New Roman" w:hAnsi="Times New Roman" w:cs="Times New Roman"/>
          <w:b/>
          <w:bCs/>
          <w:color w:val="000000"/>
          <w:kern w:val="36"/>
          <w:lang w:val="en-GB" w:eastAsia="en-GB"/>
        </w:rPr>
      </w:pPr>
    </w:p>
    <w:p w14:paraId="05DCECEC" w14:textId="6C105545" w:rsidR="46EF7EC2" w:rsidRDefault="46EF7EC2" w:rsidP="00291CA1">
      <w:pPr>
        <w:spacing w:after="0" w:line="480" w:lineRule="atLeast"/>
      </w:pPr>
    </w:p>
    <w:p w14:paraId="6D89223D" w14:textId="77777777" w:rsidR="0030098B" w:rsidRDefault="0030098B"/>
    <w:p w14:paraId="21662E1D" w14:textId="023BF9A3" w:rsidR="00F55B0E" w:rsidRPr="00884A1B" w:rsidRDefault="00F55B0E">
      <w:pPr>
        <w:rPr>
          <w:b/>
          <w:bCs/>
          <w:u w:val="single"/>
        </w:rPr>
      </w:pPr>
      <w:r w:rsidRPr="00884A1B">
        <w:rPr>
          <w:b/>
          <w:bCs/>
          <w:u w:val="single"/>
        </w:rPr>
        <w:t xml:space="preserve">Literature review </w:t>
      </w:r>
    </w:p>
    <w:p w14:paraId="08E5AC3E" w14:textId="77C0255C" w:rsidR="46EF7EC2" w:rsidRDefault="00F76BEB">
      <w:r>
        <w:t xml:space="preserve">University students </w:t>
      </w:r>
      <w:r w:rsidR="00354C34">
        <w:t>run</w:t>
      </w:r>
      <w:r>
        <w:t xml:space="preserve"> within an increasingly demanding academic environment, where sustained performance </w:t>
      </w:r>
      <w:bookmarkStart w:id="0" w:name="_Int_bE14zIYt"/>
      <w:r>
        <w:t>is often compromised</w:t>
      </w:r>
      <w:bookmarkEnd w:id="0"/>
      <w:r>
        <w:t xml:space="preserve"> by </w:t>
      </w:r>
      <w:r w:rsidR="00264AA1">
        <w:t xml:space="preserve">increased stress, reduced physical activity and </w:t>
      </w:r>
      <w:r w:rsidR="000609C7">
        <w:t>declining, metal</w:t>
      </w:r>
      <w:r w:rsidR="00264AA1">
        <w:t xml:space="preserve"> wellbeing. From a sports management standpoint these challenges can </w:t>
      </w:r>
      <w:bookmarkStart w:id="1" w:name="_Int_SbNRbwoa"/>
      <w:r w:rsidR="00264AA1">
        <w:t>be understood</w:t>
      </w:r>
      <w:bookmarkEnd w:id="1"/>
      <w:r w:rsidR="00264AA1">
        <w:t xml:space="preserve"> through principles of performance </w:t>
      </w:r>
      <w:r w:rsidR="003F746F">
        <w:t xml:space="preserve">strategies, </w:t>
      </w:r>
      <w:r w:rsidR="00EE212A">
        <w:t>behavioral</w:t>
      </w:r>
      <w:r w:rsidR="003F746F">
        <w:t xml:space="preserve"> engagement, and effective resource management. </w:t>
      </w:r>
      <w:r w:rsidR="00EE212A">
        <w:t xml:space="preserve">This would be central to both athletic and academic success. Productivity </w:t>
      </w:r>
      <w:r w:rsidR="00C6338F">
        <w:t xml:space="preserve">within higher education therefore extends beyond time management alone, encompassing self regulation, motivation, cognitive </w:t>
      </w:r>
      <w:r w:rsidR="00354C34">
        <w:t>functioning,</w:t>
      </w:r>
      <w:r w:rsidR="00C6338F">
        <w:t xml:space="preserve"> and psychological resilience.</w:t>
      </w:r>
    </w:p>
    <w:p w14:paraId="4506C83E" w14:textId="22F04F27" w:rsidR="00AA08AF" w:rsidRDefault="00AA08AF">
      <w:r>
        <w:t>A growing body of literature</w:t>
      </w:r>
      <w:r w:rsidR="00B17853">
        <w:t xml:space="preserve"> shows </w:t>
      </w:r>
      <w:r w:rsidR="001E6FC4">
        <w:t xml:space="preserve">the positive impacts of physical activity on mental health and physical wellbeing, </w:t>
      </w:r>
      <w:r w:rsidR="000609C7">
        <w:t>including a</w:t>
      </w:r>
      <w:r w:rsidR="00FE390D">
        <w:t xml:space="preserve"> huge reduction on stress and anxiety and improvements in mood and mental performance. </w:t>
      </w:r>
      <w:r w:rsidR="00CD454D">
        <w:t xml:space="preserve">Further evidence will suggest that regular exercise may positively </w:t>
      </w:r>
      <w:r w:rsidR="000609C7">
        <w:t>affect</w:t>
      </w:r>
      <w:r w:rsidR="00CD454D">
        <w:t xml:space="preserve"> academic achievements and productivity through enhanced concentration</w:t>
      </w:r>
      <w:r w:rsidR="00C440CE">
        <w:t xml:space="preserve">. Despite </w:t>
      </w:r>
      <w:r w:rsidR="00FF0BB4">
        <w:t xml:space="preserve">these benefits, university students often show low levels of physical activity on reports. This is often due to lack of time due to workload, </w:t>
      </w:r>
      <w:r w:rsidR="008D037C">
        <w:t xml:space="preserve">financial </w:t>
      </w:r>
      <w:r w:rsidR="000609C7">
        <w:t>struggles,</w:t>
      </w:r>
      <w:r w:rsidR="008D037C">
        <w:t xml:space="preserve"> and a lack of support during their academic career.</w:t>
      </w:r>
    </w:p>
    <w:p w14:paraId="69DB36C8" w14:textId="5828A3F8" w:rsidR="008D037C" w:rsidRDefault="008D037C">
      <w:r>
        <w:t xml:space="preserve">In response to this situation a digital health and fitness </w:t>
      </w:r>
      <w:r w:rsidR="0031029C">
        <w:t xml:space="preserve">coaching interventions have gained a prominence as scalable tools for </w:t>
      </w:r>
      <w:r w:rsidR="00895CB4">
        <w:t>behavior</w:t>
      </w:r>
      <w:r w:rsidR="0031029C">
        <w:t xml:space="preserve"> change and performance enhancement. Within sports management, such projects align with established coaching models that show off </w:t>
      </w:r>
      <w:r w:rsidR="00895CB4">
        <w:t>identity</w:t>
      </w:r>
      <w:r w:rsidR="0031029C">
        <w:t xml:space="preserve">, </w:t>
      </w:r>
      <w:r w:rsidR="000609C7">
        <w:t>watching</w:t>
      </w:r>
      <w:r w:rsidR="0031029C">
        <w:t xml:space="preserve"> </w:t>
      </w:r>
      <w:r w:rsidR="000609C7">
        <w:t>and an integrated approach</w:t>
      </w:r>
      <w:r w:rsidR="0031029C">
        <w:t xml:space="preserve"> to development. </w:t>
      </w:r>
      <w:r w:rsidR="000609C7">
        <w:t>However,</w:t>
      </w:r>
      <w:r w:rsidR="0031029C">
        <w:t xml:space="preserve"> the effectiveness of digital platforms in improving student </w:t>
      </w:r>
      <w:r w:rsidR="00FE2000">
        <w:t xml:space="preserve">performance and wellbeing is </w:t>
      </w:r>
      <w:r w:rsidR="00CE3834">
        <w:t>dependent</w:t>
      </w:r>
      <w:r w:rsidR="00FE2000">
        <w:t xml:space="preserve"> on the engagement of the student, </w:t>
      </w:r>
      <w:r w:rsidR="00CE3834">
        <w:t>behavioral</w:t>
      </w:r>
      <w:r w:rsidR="00FE2000">
        <w:t xml:space="preserve"> </w:t>
      </w:r>
      <w:r w:rsidR="00CE3834">
        <w:t>and</w:t>
      </w:r>
      <w:r w:rsidR="00FE2000">
        <w:t xml:space="preserve"> relevance to the induction students needs. </w:t>
      </w:r>
    </w:p>
    <w:p w14:paraId="7C970A84" w14:textId="351C3871" w:rsidR="005378E2" w:rsidRDefault="000609C7">
      <w:r>
        <w:t>So</w:t>
      </w:r>
      <w:r w:rsidR="004D6A83">
        <w:t xml:space="preserve">, this literature review aims to critically examine the relationship between physical activity, mental </w:t>
      </w:r>
      <w:r>
        <w:t>wellbeing,</w:t>
      </w:r>
      <w:r w:rsidR="004D6A83">
        <w:t xml:space="preserve"> and performance in students. While exploring the potential al role of digital life coaching strategies. </w:t>
      </w:r>
      <w:r w:rsidR="00A72503">
        <w:t xml:space="preserve">This review </w:t>
      </w:r>
      <w:r w:rsidR="00354C34">
        <w:t>looks</w:t>
      </w:r>
      <w:r w:rsidR="00A72503">
        <w:t xml:space="preserve"> to provide an </w:t>
      </w:r>
      <w:r>
        <w:t>evidence-based</w:t>
      </w:r>
      <w:r w:rsidR="00A72503">
        <w:t xml:space="preserve"> rationale for student focused performance initiatives</w:t>
      </w:r>
      <w:r w:rsidR="00CE3834">
        <w:t xml:space="preserve"> just like DAYLY</w:t>
      </w:r>
      <w:r w:rsidR="005378E2">
        <w:t>.</w:t>
      </w:r>
    </w:p>
    <w:p w14:paraId="1CC16802" w14:textId="77777777" w:rsidR="005378E2" w:rsidRDefault="005378E2"/>
    <w:p w14:paraId="53AF5635" w14:textId="77777777" w:rsidR="005378E2" w:rsidRDefault="005378E2"/>
    <w:p w14:paraId="59478B1F" w14:textId="77777777" w:rsidR="005378E2" w:rsidRDefault="005378E2"/>
    <w:p w14:paraId="447B4117" w14:textId="77777777" w:rsidR="00CD2E49" w:rsidRDefault="00CD2E49"/>
    <w:p w14:paraId="1E333307" w14:textId="77777777" w:rsidR="00CD2E49" w:rsidRDefault="00CD2E49"/>
    <w:p w14:paraId="0C2F3C6B" w14:textId="77777777" w:rsidR="00CD2E49" w:rsidRDefault="00CD2E49"/>
    <w:p w14:paraId="79013181" w14:textId="77777777" w:rsidR="00CD2E49" w:rsidRDefault="00CD2E49"/>
    <w:p w14:paraId="2553E979" w14:textId="3C40D83E" w:rsidR="00FE2000" w:rsidRDefault="00B82602">
      <w:pPr>
        <w:rPr>
          <w:b/>
          <w:bCs/>
          <w:u w:val="single"/>
        </w:rPr>
      </w:pPr>
      <w:r>
        <w:rPr>
          <w:b/>
          <w:bCs/>
          <w:u w:val="single"/>
        </w:rPr>
        <w:t>Fitnes</w:t>
      </w:r>
      <w:r w:rsidR="001C245C">
        <w:rPr>
          <w:b/>
          <w:bCs/>
          <w:u w:val="single"/>
        </w:rPr>
        <w:t xml:space="preserve">s: foundations and practices </w:t>
      </w:r>
    </w:p>
    <w:p w14:paraId="76C6E763" w14:textId="1E7F7367" w:rsidR="00CD2E49" w:rsidRDefault="00BA0F88">
      <w:r>
        <w:t xml:space="preserve">Physical fitness </w:t>
      </w:r>
      <w:bookmarkStart w:id="2" w:name="_Int_QWmR3AtA"/>
      <w:r>
        <w:t>is widely seen</w:t>
      </w:r>
      <w:bookmarkEnd w:id="2"/>
      <w:r>
        <w:t xml:space="preserve"> as a key </w:t>
      </w:r>
      <w:r w:rsidR="00354C34">
        <w:t>part</w:t>
      </w:r>
      <w:r>
        <w:t xml:space="preserve"> of health and performance, with evidence confirming it may be a stronger predictor of positive health outcomes than physical activity participation alone (Blair et al., 2001). Within sports management and perform </w:t>
      </w:r>
      <w:r w:rsidR="00386982">
        <w:t>framework</w:t>
      </w:r>
      <w:r>
        <w:t xml:space="preserve">, fitness can </w:t>
      </w:r>
      <w:bookmarkStart w:id="3" w:name="_Int_GB5yfF6E"/>
      <w:r>
        <w:t xml:space="preserve">be </w:t>
      </w:r>
      <w:r w:rsidR="00386982">
        <w:t>measured</w:t>
      </w:r>
      <w:bookmarkEnd w:id="3"/>
      <w:r w:rsidR="00386982">
        <w:t xml:space="preserve"> as a foundational factor that underpins physical capacity, cognitive </w:t>
      </w:r>
      <w:r w:rsidR="00354C34">
        <w:t>efficiency,</w:t>
      </w:r>
      <w:r w:rsidR="00386982">
        <w:t xml:space="preserve"> and </w:t>
      </w:r>
      <w:r w:rsidR="00354C34">
        <w:t>behavioral engagement</w:t>
      </w:r>
      <w:r w:rsidR="006D2F0E">
        <w:t xml:space="preserve"> across both athletic and </w:t>
      </w:r>
      <w:r w:rsidR="00354C34">
        <w:t>nonphysical</w:t>
      </w:r>
      <w:r w:rsidR="006D2F0E">
        <w:t xml:space="preserve"> populations (McKinney et al.,2016)</w:t>
      </w:r>
      <w:r w:rsidR="006F2DCD">
        <w:t xml:space="preserve">. Health related fitness areas including cardiovascular endurance and muscle </w:t>
      </w:r>
      <w:r w:rsidR="00F47DBA">
        <w:t xml:space="preserve">strength have </w:t>
      </w:r>
      <w:bookmarkStart w:id="4" w:name="_Int_yPVk0JkA"/>
      <w:r w:rsidR="00F47DBA">
        <w:t>been identified</w:t>
      </w:r>
      <w:bookmarkEnd w:id="4"/>
      <w:r w:rsidR="00F47DBA">
        <w:t xml:space="preserve"> with improved physiological functioning and as a reducing risk of chronic disease</w:t>
      </w:r>
      <w:r w:rsidR="007F1F95">
        <w:t xml:space="preserve">, reinforcing their relevance to long term performance sustainability (Smith et al., 2014; McKinney et al.,2016). </w:t>
      </w:r>
    </w:p>
    <w:p w14:paraId="21E11C91" w14:textId="1924F300" w:rsidR="004C0790" w:rsidRDefault="00AF5A31">
      <w:r>
        <w:t xml:space="preserve">Although the </w:t>
      </w:r>
      <w:r w:rsidR="00354C34">
        <w:t>well-established</w:t>
      </w:r>
      <w:r>
        <w:t xml:space="preserve"> benefits of physical fitness, young adults and student population </w:t>
      </w:r>
      <w:r w:rsidR="00354C34">
        <w:t>often</w:t>
      </w:r>
      <w:r>
        <w:t xml:space="preserve"> </w:t>
      </w:r>
      <w:r w:rsidR="00354C34">
        <w:t>prove</w:t>
      </w:r>
      <w:r>
        <w:t xml:space="preserve"> sub</w:t>
      </w:r>
      <w:r w:rsidR="007C6CB4">
        <w:t xml:space="preserve">optimal </w:t>
      </w:r>
      <w:r w:rsidR="00FD5019">
        <w:t xml:space="preserve">fitness levels, especially during the transition into living independently </w:t>
      </w:r>
      <w:r w:rsidR="004C0790">
        <w:t xml:space="preserve">and increased academic responsibilities (American Psychological Association,2025). This decline in physical fitness is often associated with time deficits, increase academic workloads and competing lifestyle demands. Which may negatively </w:t>
      </w:r>
      <w:r w:rsidR="004A4C19">
        <w:t>change</w:t>
      </w:r>
      <w:r w:rsidR="004C0790">
        <w:t xml:space="preserve"> both health and performance outcomes (</w:t>
      </w:r>
      <w:r w:rsidR="00354C34">
        <w:t>American Psychological</w:t>
      </w:r>
      <w:r w:rsidR="004C0790">
        <w:t xml:space="preserve"> </w:t>
      </w:r>
      <w:r w:rsidR="00354C34">
        <w:t>Association, 2025</w:t>
      </w:r>
      <w:r w:rsidR="004C0790">
        <w:t xml:space="preserve">). From a performance standpoint, reduced </w:t>
      </w:r>
      <w:r w:rsidR="000D1323">
        <w:t>fitness</w:t>
      </w:r>
      <w:r w:rsidR="004C0790">
        <w:t xml:space="preserve"> levels can cause a </w:t>
      </w:r>
      <w:r w:rsidR="000D1323">
        <w:t xml:space="preserve">decline in energy </w:t>
      </w:r>
      <w:r w:rsidR="004A4C19">
        <w:t>regulation, tired resistance,</w:t>
      </w:r>
      <w:r w:rsidR="000D1323">
        <w:t xml:space="preserve"> and overall </w:t>
      </w:r>
      <w:r w:rsidR="00D80492">
        <w:t xml:space="preserve">limitation to meet sustained cognitive demands that </w:t>
      </w:r>
      <w:bookmarkStart w:id="5" w:name="_Int_QIXm0mZc"/>
      <w:r w:rsidR="00D80492">
        <w:t xml:space="preserve">are </w:t>
      </w:r>
      <w:r w:rsidR="004A4C19">
        <w:t>needed</w:t>
      </w:r>
      <w:bookmarkEnd w:id="5"/>
      <w:r w:rsidR="00D80492">
        <w:t xml:space="preserve"> in higher education environments (McKinney et al.,2016)</w:t>
      </w:r>
    </w:p>
    <w:p w14:paraId="5ECC3CCA" w14:textId="24F14966" w:rsidR="006073B6" w:rsidRDefault="006073B6">
      <w:r>
        <w:t xml:space="preserve">A growing body of literature highlights a strong involvement between physical fitness and mental wellbeing, with higher fitness levels linked to lower symptoms of anxiety, stress and depression (Cardenas-Sanchez et al., 2021) a review </w:t>
      </w:r>
      <w:r w:rsidR="00FB7D17">
        <w:t xml:space="preserve">and analysis by Cadenas-Sanchez et al.(2021) conveys </w:t>
      </w:r>
      <w:r w:rsidR="00330F40">
        <w:t xml:space="preserve">that fitter people consistently report to having better mental health outcomes, showing that fitness may play a role in </w:t>
      </w:r>
      <w:r w:rsidR="00BB2C1F">
        <w:t xml:space="preserve">protecting psychological health. These findings are relevant for university students, who </w:t>
      </w:r>
      <w:r w:rsidR="004A4C19">
        <w:t>stand for</w:t>
      </w:r>
      <w:r w:rsidR="00BB2C1F">
        <w:t xml:space="preserve"> a population who </w:t>
      </w:r>
      <w:bookmarkStart w:id="6" w:name="_Int_QlGLLso6"/>
      <w:r w:rsidR="00BB2C1F">
        <w:t>are exposed</w:t>
      </w:r>
      <w:bookmarkEnd w:id="6"/>
      <w:r w:rsidR="00BB2C1F">
        <w:t xml:space="preserve"> to higher stress levels </w:t>
      </w:r>
      <w:r w:rsidR="00CE55BA">
        <w:t xml:space="preserve">and pressure overall. Where mental wellbeing is closely related with productivity and academic success (American Psychological </w:t>
      </w:r>
      <w:r w:rsidR="004A4C19">
        <w:t>Association, 2025</w:t>
      </w:r>
      <w:r w:rsidR="00CE55BA">
        <w:t xml:space="preserve">) </w:t>
      </w:r>
    </w:p>
    <w:p w14:paraId="36E9E17B" w14:textId="489554B5" w:rsidR="00EF1324" w:rsidRDefault="00EC29F8">
      <w:r>
        <w:lastRenderedPageBreak/>
        <w:t xml:space="preserve">As well as mental health benefits, physical fitness has </w:t>
      </w:r>
      <w:bookmarkStart w:id="7" w:name="_Int_f97i2DIp"/>
      <w:r>
        <w:t>been linked</w:t>
      </w:r>
      <w:bookmarkEnd w:id="7"/>
      <w:r>
        <w:t xml:space="preserve"> with enhanced mental functioning and </w:t>
      </w:r>
      <w:r w:rsidR="00D6452E">
        <w:t xml:space="preserve">performance capacity, including improvements in concentration, executive </w:t>
      </w:r>
      <w:r w:rsidR="001C6D25">
        <w:t>functioning,</w:t>
      </w:r>
      <w:r w:rsidR="00D6452E">
        <w:t xml:space="preserve"> and perceived energy levels (McKinney et al.,2016)</w:t>
      </w:r>
      <w:r w:rsidR="00277EB1">
        <w:t xml:space="preserve">. </w:t>
      </w:r>
      <w:r w:rsidR="004A4C19">
        <w:t>Cardiovascular fitness</w:t>
      </w:r>
      <w:r w:rsidR="006D3873">
        <w:t xml:space="preserve"> specifically has </w:t>
      </w:r>
      <w:r w:rsidR="001C6D25">
        <w:t>been related to</w:t>
      </w:r>
      <w:r w:rsidR="006D3873">
        <w:t xml:space="preserve"> improve oxygen delivery and </w:t>
      </w:r>
      <w:r w:rsidR="00CF7C98">
        <w:t xml:space="preserve">neurological efficiency, which may support sustained attention and task accomplishment in academic settings (Blair et al., 2001). </w:t>
      </w:r>
      <w:r w:rsidR="0058250C">
        <w:t>Furthermore, both</w:t>
      </w:r>
      <w:r w:rsidR="00CC482C">
        <w:t xml:space="preserve"> aerobic and resistance training have had results of being </w:t>
      </w:r>
      <w:r w:rsidR="00EE6843">
        <w:t>beneficial to learning (Hillman et al.,</w:t>
      </w:r>
      <w:bookmarkStart w:id="8" w:name="_Int_cXkyCo9V"/>
      <w:r w:rsidR="00EE6843">
        <w:t>2008;Liu</w:t>
      </w:r>
      <w:bookmarkEnd w:id="8"/>
      <w:r w:rsidR="00EE6843">
        <w:t>-</w:t>
      </w:r>
      <w:bookmarkStart w:id="9" w:name="_Int_4vx2GtLR"/>
      <w:r w:rsidR="00EE6843">
        <w:t>A,Norse</w:t>
      </w:r>
      <w:bookmarkEnd w:id="9"/>
      <w:r w:rsidR="00EE6843">
        <w:t xml:space="preserve"> et al.,2010) </w:t>
      </w:r>
    </w:p>
    <w:p w14:paraId="0394E0EC" w14:textId="77777777" w:rsidR="008D339C" w:rsidRDefault="008D339C"/>
    <w:p w14:paraId="74ABB4F0" w14:textId="0F3A85EE" w:rsidR="008D339C" w:rsidRDefault="00B82602">
      <w:pPr>
        <w:rPr>
          <w:b/>
          <w:bCs/>
          <w:u w:val="single"/>
        </w:rPr>
      </w:pPr>
      <w:r w:rsidRPr="00B82602">
        <w:rPr>
          <w:b/>
          <w:bCs/>
          <w:u w:val="single"/>
        </w:rPr>
        <w:t>Coachin</w:t>
      </w:r>
      <w:r w:rsidR="004D328D">
        <w:rPr>
          <w:b/>
          <w:bCs/>
          <w:u w:val="single"/>
        </w:rPr>
        <w:t xml:space="preserve">g: Structured support for behaviour change </w:t>
      </w:r>
    </w:p>
    <w:p w14:paraId="75D27F92" w14:textId="68A76F21" w:rsidR="00825580" w:rsidRDefault="00825580">
      <w:r>
        <w:t xml:space="preserve">Coaching </w:t>
      </w:r>
      <w:bookmarkStart w:id="10" w:name="_Int_BHugqh8M"/>
      <w:r>
        <w:t>is often shown</w:t>
      </w:r>
      <w:bookmarkEnd w:id="10"/>
      <w:r>
        <w:t xml:space="preserve"> as a structured and effective development created to </w:t>
      </w:r>
      <w:r w:rsidR="002D74D3">
        <w:t>improve performance and learning as well as personal development through supported guidance and practice (Wales,</w:t>
      </w:r>
      <w:r w:rsidR="000F309C">
        <w:t>2002; Coaching</w:t>
      </w:r>
      <w:r w:rsidR="002D74D3">
        <w:t>- ProQuest,2025</w:t>
      </w:r>
      <w:r w:rsidR="00CC44D9">
        <w:t>).</w:t>
      </w:r>
      <w:r w:rsidR="009110EB">
        <w:t xml:space="preserve"> throughout physical activity and sport contexts</w:t>
      </w:r>
      <w:r w:rsidR="00CC44D9">
        <w:t xml:space="preserve">, coaching goes beyond technical explanation to involve the development of </w:t>
      </w:r>
      <w:r w:rsidR="00003BE3">
        <w:t xml:space="preserve">transferable skills, decision making and evaluation practices (Foundations of sports coaching,2025). </w:t>
      </w:r>
      <w:r w:rsidR="00BE7B16">
        <w:t xml:space="preserve">Correct coaching programs </w:t>
      </w:r>
      <w:bookmarkStart w:id="11" w:name="_Int_6e0Atcnw"/>
      <w:r w:rsidR="00BE7B16">
        <w:t>are considered</w:t>
      </w:r>
      <w:bookmarkEnd w:id="11"/>
      <w:r w:rsidR="00BE7B16">
        <w:t xml:space="preserve"> multidimensional, needing </w:t>
      </w:r>
      <w:r w:rsidR="000F309C">
        <w:t xml:space="preserve">a suitable amount of technical knowledge, pedagogical skills, and contextual awareness (Google Books,2019) </w:t>
      </w:r>
    </w:p>
    <w:p w14:paraId="60CA9775" w14:textId="06C6BC7C" w:rsidR="00802104" w:rsidRDefault="000F309C">
      <w:r>
        <w:t xml:space="preserve">Research supports that great coaching </w:t>
      </w:r>
      <w:bookmarkStart w:id="12" w:name="_Int_EefvhAae"/>
      <w:r>
        <w:t>is well influenced</w:t>
      </w:r>
      <w:bookmarkEnd w:id="12"/>
      <w:r>
        <w:t xml:space="preserve"> by the quality of the coach- student relationship, with trust, communication and shared understanding </w:t>
      </w:r>
      <w:r w:rsidR="00D61477">
        <w:t>identified as major contributors showing engagement and performance outcomes (Successful Coaching,2023)</w:t>
      </w:r>
      <w:r w:rsidR="0040743F">
        <w:t xml:space="preserve">. Mentoring and ongoing development can also </w:t>
      </w:r>
      <w:bookmarkStart w:id="13" w:name="_Int_QbFDbSrZ"/>
      <w:r w:rsidR="0040743F">
        <w:t>be seen</w:t>
      </w:r>
      <w:bookmarkEnd w:id="13"/>
      <w:r w:rsidR="0040743F">
        <w:t xml:space="preserve"> as essential factors of successful coaching </w:t>
      </w:r>
      <w:r w:rsidR="004E1903">
        <w:t xml:space="preserve">programs, suggesting a coach's skill to adapt to </w:t>
      </w:r>
      <w:r w:rsidR="00802104">
        <w:t>conflicting needs</w:t>
      </w:r>
      <w:r w:rsidR="004E1903">
        <w:t xml:space="preserve"> and expectations (Jones et al.2009)</w:t>
      </w:r>
      <w:r w:rsidR="00802104">
        <w:t xml:space="preserve">. </w:t>
      </w:r>
    </w:p>
    <w:p w14:paraId="678DFB29" w14:textId="3551705F" w:rsidR="00802104" w:rsidRDefault="00802104">
      <w:r>
        <w:t xml:space="preserve">Coaching has </w:t>
      </w:r>
      <w:bookmarkStart w:id="14" w:name="_Int_bhfkAAye"/>
      <w:r>
        <w:t>been reflected</w:t>
      </w:r>
      <w:bookmarkEnd w:id="14"/>
      <w:r>
        <w:t xml:space="preserve"> to play a great part </w:t>
      </w:r>
      <w:r w:rsidR="002850C8">
        <w:t>in creating motivation and behavior changes in participants through gaining feedback and accountability within programs (Wales,2002)</w:t>
      </w:r>
      <w:r w:rsidR="00B23A8A">
        <w:t xml:space="preserve">. </w:t>
      </w:r>
      <w:r w:rsidR="009864E6">
        <w:t>Evidence</w:t>
      </w:r>
      <w:r w:rsidR="00B23A8A">
        <w:t xml:space="preserve"> </w:t>
      </w:r>
      <w:bookmarkStart w:id="15" w:name="_Int_Fexg4qmF"/>
      <w:r w:rsidR="00B23A8A">
        <w:t>being accessed</w:t>
      </w:r>
      <w:bookmarkEnd w:id="15"/>
      <w:r w:rsidR="00B23A8A">
        <w:t xml:space="preserve"> for coaching frameworks shows consistency and effectiveness across different settings, such as educational, </w:t>
      </w:r>
      <w:r w:rsidR="009864E6">
        <w:t>recreational,</w:t>
      </w:r>
      <w:r w:rsidR="00B23A8A">
        <w:t xml:space="preserve"> and </w:t>
      </w:r>
      <w:r w:rsidR="009864E6">
        <w:t>performance-based</w:t>
      </w:r>
      <w:r w:rsidR="00B23A8A">
        <w:t xml:space="preserve"> </w:t>
      </w:r>
      <w:r w:rsidR="009864E6">
        <w:t xml:space="preserve">interventions (Foundations of sports coaching,2025). </w:t>
      </w:r>
      <w:r w:rsidR="00CB6968">
        <w:t>Overall,</w:t>
      </w:r>
      <w:r w:rsidR="009864E6">
        <w:t xml:space="preserve"> this </w:t>
      </w:r>
      <w:r w:rsidR="00CB6968">
        <w:t xml:space="preserve">literature supports coaching as an important theme in </w:t>
      </w:r>
      <w:r w:rsidR="00721661">
        <w:t xml:space="preserve">increasing participation, </w:t>
      </w:r>
      <w:r w:rsidR="00F53244">
        <w:t>engagement,</w:t>
      </w:r>
      <w:r w:rsidR="00721661">
        <w:t xml:space="preserve"> and development (Coaching-ProQuest,2025) </w:t>
      </w:r>
      <w:r w:rsidR="00CB6968">
        <w:t xml:space="preserve"> </w:t>
      </w:r>
    </w:p>
    <w:p w14:paraId="3E317940" w14:textId="77777777" w:rsidR="005949CC" w:rsidRDefault="005949CC"/>
    <w:p w14:paraId="66CBCD50" w14:textId="0BA720CC" w:rsidR="005949CC" w:rsidRDefault="005949CC">
      <w:pPr>
        <w:rPr>
          <w:b/>
          <w:bCs/>
          <w:u w:val="single"/>
        </w:rPr>
      </w:pPr>
      <w:r w:rsidRPr="005949CC">
        <w:rPr>
          <w:b/>
          <w:bCs/>
          <w:u w:val="single"/>
        </w:rPr>
        <w:t>Health</w:t>
      </w:r>
      <w:r w:rsidR="00B33AF3">
        <w:rPr>
          <w:b/>
          <w:bCs/>
          <w:u w:val="single"/>
        </w:rPr>
        <w:t xml:space="preserve">: promoting physical and psychological wellbeing </w:t>
      </w:r>
    </w:p>
    <w:p w14:paraId="4117A2F9" w14:textId="30218E37" w:rsidR="005949CC" w:rsidRDefault="005949CC">
      <w:r>
        <w:t xml:space="preserve">Health </w:t>
      </w:r>
      <w:bookmarkStart w:id="16" w:name="_Int_WGqK12ER"/>
      <w:r>
        <w:t xml:space="preserve">is widely </w:t>
      </w:r>
      <w:r w:rsidR="002D19A8">
        <w:t>understood</w:t>
      </w:r>
      <w:bookmarkEnd w:id="16"/>
      <w:r w:rsidR="002D19A8">
        <w:t xml:space="preserve"> as a multidimensional system, covering physical, </w:t>
      </w:r>
      <w:r w:rsidR="008C5361">
        <w:t>mental,</w:t>
      </w:r>
      <w:r w:rsidR="002D19A8">
        <w:t xml:space="preserve"> and social wellbeing other than solely the absence of illness (Journal of public health,2000)</w:t>
      </w:r>
      <w:r w:rsidR="008C5361">
        <w:t xml:space="preserve">. </w:t>
      </w:r>
      <w:r w:rsidR="008C5361">
        <w:lastRenderedPageBreak/>
        <w:t xml:space="preserve">This holistic vision highlights health as a dynamic resource that </w:t>
      </w:r>
      <w:r w:rsidR="00101E35">
        <w:t>uplifts individuals’ ability to manage effectively and adapt to physical, psychological, and social situations (</w:t>
      </w:r>
      <w:bookmarkStart w:id="17" w:name="_Int_AkWupTor"/>
      <w:r w:rsidR="00101E35">
        <w:t>Health,googl</w:t>
      </w:r>
      <w:r w:rsidR="00C83BCD">
        <w:t>e</w:t>
      </w:r>
      <w:bookmarkEnd w:id="17"/>
      <w:r w:rsidR="00C83BCD">
        <w:t xml:space="preserve"> books). </w:t>
      </w:r>
      <w:r w:rsidR="00156D23">
        <w:t xml:space="preserve">Population health research </w:t>
      </w:r>
      <w:r w:rsidR="00981CFC">
        <w:t xml:space="preserve">has found that health outcomes </w:t>
      </w:r>
      <w:bookmarkStart w:id="18" w:name="_Int_8xSGXA7j"/>
      <w:r w:rsidR="00981CFC">
        <w:t>are shaped</w:t>
      </w:r>
      <w:bookmarkEnd w:id="18"/>
      <w:r w:rsidR="00981CFC">
        <w:t xml:space="preserve"> not only by biological factors but also by behavioral, social, and environmental considerations</w:t>
      </w:r>
      <w:r w:rsidR="003C1442">
        <w:t xml:space="preserve"> that influence wellbeing across the lifespan (The Lancet,2001) </w:t>
      </w:r>
    </w:p>
    <w:p w14:paraId="1226C8BA" w14:textId="1F7ED994" w:rsidR="003C1442" w:rsidRDefault="003C1442">
      <w:r>
        <w:t xml:space="preserve">Engagement in good health </w:t>
      </w:r>
      <w:r w:rsidR="00A76D5A">
        <w:t>behaviors</w:t>
      </w:r>
      <w:r>
        <w:t xml:space="preserve">, such as regular physical activity </w:t>
      </w:r>
      <w:bookmarkStart w:id="19" w:name="_Int_6IIohI8e"/>
      <w:r>
        <w:t>is shown</w:t>
      </w:r>
      <w:bookmarkEnd w:id="19"/>
      <w:r>
        <w:t xml:space="preserve"> consistently </w:t>
      </w:r>
      <w:r w:rsidR="00A76D5A">
        <w:t xml:space="preserve">to improve physical and psychological health outcomes (Journal of American College Health,1997). Evidence suggests </w:t>
      </w:r>
      <w:r w:rsidR="00504F86">
        <w:t xml:space="preserve">that behavior plays a significant role against development of chronic </w:t>
      </w:r>
      <w:r w:rsidR="00D05AED">
        <w:t xml:space="preserve">disease while also contributing emotional regulation and stress management (The Lancet,2001). In educational and young adult populations, health behaviors have </w:t>
      </w:r>
      <w:bookmarkStart w:id="20" w:name="_Int_qHtxVVWW"/>
      <w:r w:rsidR="00D05AED">
        <w:t>been linked</w:t>
      </w:r>
      <w:bookmarkEnd w:id="20"/>
      <w:r w:rsidR="00D05AED">
        <w:t xml:space="preserve"> to improve wellbeing, functional health, and overall quality of life (Journal of American College Health,1997). More recent </w:t>
      </w:r>
      <w:r w:rsidR="004B5D47">
        <w:t xml:space="preserve">studies have shown further evidence that physical and mental health concurrently to promote a sustainable wellbeing (Springer,2023). Together, this literature </w:t>
      </w:r>
      <w:r w:rsidR="006267AB">
        <w:t xml:space="preserve">reinforces the important vision of health that should </w:t>
      </w:r>
      <w:bookmarkStart w:id="21" w:name="_Int_173NWcOV"/>
      <w:r w:rsidR="006267AB">
        <w:t>be understood</w:t>
      </w:r>
      <w:bookmarkEnd w:id="21"/>
      <w:r w:rsidR="006267AB">
        <w:t xml:space="preserve"> as a complex, multidimensional construct influenced by lifestyle behaviours and broader social norms (Journal of public health,2000)</w:t>
      </w:r>
      <w:r w:rsidR="00823E85">
        <w:t>.</w:t>
      </w:r>
    </w:p>
    <w:p w14:paraId="6DDB0456" w14:textId="77777777" w:rsidR="00823E85" w:rsidRDefault="00823E85"/>
    <w:p w14:paraId="392D2D14" w14:textId="0FF6D6E1" w:rsidR="00823E85" w:rsidRDefault="00350DD4">
      <w:pPr>
        <w:rPr>
          <w:b/>
          <w:bCs/>
          <w:u w:val="single"/>
        </w:rPr>
      </w:pPr>
      <w:r w:rsidRPr="00350DD4">
        <w:rPr>
          <w:b/>
          <w:bCs/>
          <w:u w:val="single"/>
        </w:rPr>
        <w:t xml:space="preserve">Marketing </w:t>
      </w:r>
      <w:r w:rsidR="00A55E6C">
        <w:rPr>
          <w:b/>
          <w:bCs/>
          <w:u w:val="single"/>
        </w:rPr>
        <w:t xml:space="preserve">and consumer engagement in sports and fitness </w:t>
      </w:r>
    </w:p>
    <w:p w14:paraId="0CEB0057" w14:textId="6BEA5F49" w:rsidR="00D40B1A" w:rsidRDefault="0073270A">
      <w:r>
        <w:t xml:space="preserve">Marketing is a strategic business function that shapes the consumer’s </w:t>
      </w:r>
      <w:r w:rsidR="00657E5E">
        <w:t>belief</w:t>
      </w:r>
      <w:r>
        <w:t xml:space="preserve"> and </w:t>
      </w:r>
      <w:r w:rsidR="0069734C">
        <w:t>behavior</w:t>
      </w:r>
      <w:r w:rsidR="00056594">
        <w:t xml:space="preserve"> and understanding its mechanisms is essential </w:t>
      </w:r>
      <w:r w:rsidR="00D40B1A">
        <w:t xml:space="preserve">for positioning DAYLY effectively </w:t>
      </w:r>
      <w:r w:rsidR="005F0F4C">
        <w:t xml:space="preserve">in competitive markets (Strategic Brand Management, Lalaounis,2020). Brand management theory highlights the process of a coherent brand identity and value </w:t>
      </w:r>
      <w:r w:rsidR="00E561F5">
        <w:t xml:space="preserve">proposition, which is directly relevant to DAYLY’s efforts to differentiate itself </w:t>
      </w:r>
      <w:r w:rsidR="00E0702D">
        <w:t xml:space="preserve">and build long term consumer preferences (strategic brand management, Lalaounis,2020). Interactive marketing and digital engagement strategies have </w:t>
      </w:r>
      <w:bookmarkStart w:id="22" w:name="_Int_G5gajFYs"/>
      <w:r w:rsidR="00E0702D">
        <w:t>been shown</w:t>
      </w:r>
      <w:bookmarkEnd w:id="22"/>
      <w:r w:rsidR="00E0702D">
        <w:t xml:space="preserve"> to increase customer involvement</w:t>
      </w:r>
      <w:r w:rsidR="00B72840">
        <w:t>,</w:t>
      </w:r>
      <w:r w:rsidR="00E0702D">
        <w:t xml:space="preserve"> which suggests </w:t>
      </w:r>
      <w:r w:rsidR="000377B7">
        <w:t xml:space="preserve">brands should focus prioritise user </w:t>
      </w:r>
      <w:r w:rsidR="00F93BBA">
        <w:t>centered</w:t>
      </w:r>
      <w:r w:rsidR="000377B7">
        <w:t xml:space="preserve"> </w:t>
      </w:r>
      <w:r w:rsidR="00F93BBA">
        <w:t xml:space="preserve">communication to </w:t>
      </w:r>
      <w:r w:rsidR="00CA1D39">
        <w:t xml:space="preserve">create strong brand resonance (ACM Digital Library,2010) </w:t>
      </w:r>
    </w:p>
    <w:p w14:paraId="0642BC79" w14:textId="5964615A" w:rsidR="00CD3EE3" w:rsidRDefault="00DE513F">
      <w:r>
        <w:t>Research shows that integrated marketing communications can positively affect consumer attitudes and buying decisions</w:t>
      </w:r>
      <w:r w:rsidR="00594E2A">
        <w:t xml:space="preserve">, supporting brands need for consistent and persuasive </w:t>
      </w:r>
      <w:r w:rsidR="00903C42">
        <w:t xml:space="preserve">messaging strategy (ScienceDirect,2013). </w:t>
      </w:r>
      <w:r w:rsidR="001C1127">
        <w:t xml:space="preserve">Furthermore, studies on email marketing </w:t>
      </w:r>
      <w:r w:rsidR="00F153DA">
        <w:t>show</w:t>
      </w:r>
      <w:r w:rsidR="001C1127">
        <w:t xml:space="preserve"> that </w:t>
      </w:r>
      <w:r w:rsidR="00F153DA">
        <w:t>personalized</w:t>
      </w:r>
      <w:r w:rsidR="001C1127">
        <w:t xml:space="preserve"> and targeted communications can significantly increase brand loyalty, a key </w:t>
      </w:r>
      <w:r w:rsidR="00F153DA">
        <w:t>goal</w:t>
      </w:r>
      <w:r w:rsidR="001C1127">
        <w:t xml:space="preserve"> for DAYLY as it </w:t>
      </w:r>
      <w:r w:rsidR="00F153DA">
        <w:t>looks</w:t>
      </w:r>
      <w:r w:rsidR="001C1127">
        <w:t xml:space="preserve"> to </w:t>
      </w:r>
      <w:r w:rsidR="00F153DA">
        <w:t>prove</w:t>
      </w:r>
      <w:r w:rsidR="001C1127">
        <w:t xml:space="preserve"> </w:t>
      </w:r>
      <w:r w:rsidR="008673A3">
        <w:t>stable user base (Emerald Insight,2014) Educational marketing research</w:t>
      </w:r>
      <w:r w:rsidR="00FB0A2E">
        <w:t xml:space="preserve"> </w:t>
      </w:r>
      <w:r w:rsidR="008673A3">
        <w:t xml:space="preserve">also shows the importance of aligning marketing messages </w:t>
      </w:r>
      <w:r w:rsidR="00115652">
        <w:t xml:space="preserve">with </w:t>
      </w:r>
      <w:r w:rsidR="00E82A2B">
        <w:t xml:space="preserve">audience values and lifestyles. Reinforcing the need for DAYLY to tailor </w:t>
      </w:r>
      <w:r w:rsidR="00770117">
        <w:t>its campaigns to specific segments (EBSCO Academic Source,2010). Together, th</w:t>
      </w:r>
      <w:r w:rsidR="00DD7D24">
        <w:t xml:space="preserve">is </w:t>
      </w:r>
      <w:r w:rsidR="00DD7D24">
        <w:lastRenderedPageBreak/>
        <w:t xml:space="preserve">research shows marketing’s role in building preferences </w:t>
      </w:r>
      <w:r w:rsidR="00C96E28">
        <w:t xml:space="preserve">through strategic brand positioning, inter grated communication and personalized consumer engagement. </w:t>
      </w:r>
    </w:p>
    <w:p w14:paraId="060677F8" w14:textId="77BDBDE7" w:rsidR="0073270A" w:rsidRDefault="0069734C">
      <w:r>
        <w:t xml:space="preserve"> </w:t>
      </w:r>
      <w:r w:rsidR="00F93BBA">
        <w:t xml:space="preserve"> </w:t>
      </w:r>
    </w:p>
    <w:p w14:paraId="41FD787E" w14:textId="272472AD" w:rsidR="00060035" w:rsidRDefault="00060035">
      <w:pPr>
        <w:rPr>
          <w:b/>
          <w:bCs/>
          <w:u w:val="single"/>
        </w:rPr>
      </w:pPr>
      <w:r>
        <w:rPr>
          <w:b/>
          <w:bCs/>
          <w:u w:val="single"/>
        </w:rPr>
        <w:t>Wellness and wellbein</w:t>
      </w:r>
      <w:r w:rsidR="00F95387">
        <w:rPr>
          <w:b/>
          <w:bCs/>
          <w:u w:val="single"/>
        </w:rPr>
        <w:t xml:space="preserve">g: Holistic approaches to lifestyle enhancement </w:t>
      </w:r>
    </w:p>
    <w:p w14:paraId="28580542" w14:textId="77777777" w:rsidR="00060035" w:rsidRDefault="00060035">
      <w:pPr>
        <w:rPr>
          <w:b/>
          <w:bCs/>
          <w:u w:val="single"/>
        </w:rPr>
      </w:pPr>
    </w:p>
    <w:p w14:paraId="339AB882" w14:textId="561A5EB4" w:rsidR="00060035" w:rsidRDefault="00290457">
      <w:r>
        <w:t>Wellness and wellbeing, while related to health it also emphasizes a holistic</w:t>
      </w:r>
      <w:r w:rsidR="00C94B43">
        <w:t xml:space="preserve">, proactive approach to </w:t>
      </w:r>
      <w:r w:rsidR="00FD4F9F">
        <w:t>supporting</w:t>
      </w:r>
      <w:r w:rsidR="00C94B43">
        <w:t xml:space="preserve"> and enhancing life quality, which aligns to DAYLYS aim to </w:t>
      </w:r>
      <w:r w:rsidR="00276380">
        <w:t>support individuals’ ongoing lifestyle practices (</w:t>
      </w:r>
      <w:r w:rsidR="00FD4F9F">
        <w:t xml:space="preserve">Oxford Research Encyclopedia of Public Health,2019). This perspective positions wellbeing as a dynamic state </w:t>
      </w:r>
      <w:r w:rsidR="00060EC5">
        <w:t xml:space="preserve">influenced by physical, psychological, </w:t>
      </w:r>
      <w:r w:rsidR="00904454">
        <w:t>social,</w:t>
      </w:r>
      <w:r w:rsidR="00060EC5">
        <w:t xml:space="preserve"> and environmental factors</w:t>
      </w:r>
      <w:r w:rsidR="00087B10">
        <w:t xml:space="preserve">, highlighting the importance of processes that address multiple </w:t>
      </w:r>
      <w:r w:rsidR="0023421F">
        <w:t>factors of daily life, a goal that reflects with</w:t>
      </w:r>
      <w:r w:rsidR="00352C5C">
        <w:t xml:space="preserve"> DAYLY </w:t>
      </w:r>
      <w:r w:rsidR="0023421F">
        <w:t xml:space="preserve">integrated wellness framework </w:t>
      </w:r>
      <w:r w:rsidR="005C55B8">
        <w:t>(Oxford Research Encyclopedia of Public Health, 2019)</w:t>
      </w:r>
      <w:r w:rsidR="00C74BBB">
        <w:t xml:space="preserve">. Psychological wellbeing, including a positive effect and life satisfaction, </w:t>
      </w:r>
      <w:bookmarkStart w:id="23" w:name="_Int_8tBgyxwZ"/>
      <w:r w:rsidR="00C74BBB">
        <w:t>is recognized</w:t>
      </w:r>
      <w:bookmarkEnd w:id="23"/>
      <w:r w:rsidR="00C74BBB">
        <w:t xml:space="preserve"> as a core dimension of overall wellbeing, </w:t>
      </w:r>
      <w:r w:rsidR="00B946A4">
        <w:t xml:space="preserve">supporting the rationale for my project to involve tools that gather emotional regulation and resilience </w:t>
      </w:r>
      <w:bookmarkStart w:id="24" w:name="_Int_dpdjrqmk"/>
      <w:r w:rsidR="00B946A4">
        <w:t>( Springer</w:t>
      </w:r>
      <w:bookmarkEnd w:id="24"/>
      <w:r w:rsidR="00B946A4">
        <w:t xml:space="preserve">,2015) </w:t>
      </w:r>
    </w:p>
    <w:p w14:paraId="2C09E702" w14:textId="02A3BC8F" w:rsidR="00606A34" w:rsidRDefault="006C33BA">
      <w:r>
        <w:t xml:space="preserve">Finally, involving wellness and wellbeing principles into digital platforms has </w:t>
      </w:r>
      <w:bookmarkStart w:id="25" w:name="_Int_RXSJdzXR"/>
      <w:r>
        <w:t>been shown</w:t>
      </w:r>
      <w:bookmarkEnd w:id="25"/>
      <w:r>
        <w:t xml:space="preserve"> to </w:t>
      </w:r>
      <w:r w:rsidR="00305B17">
        <w:t xml:space="preserve">highlight </w:t>
      </w:r>
      <w:r w:rsidR="00C33D66">
        <w:t xml:space="preserve">long term behavior change, </w:t>
      </w:r>
      <w:r w:rsidR="001E013C">
        <w:t>showing</w:t>
      </w:r>
      <w:r w:rsidR="00C33D66">
        <w:t xml:space="preserve"> that DAYLY</w:t>
      </w:r>
      <w:r w:rsidR="001E013C">
        <w:t xml:space="preserve"> can </w:t>
      </w:r>
      <w:r w:rsidR="00924138">
        <w:t>use</w:t>
      </w:r>
      <w:r w:rsidR="001E013C">
        <w:t xml:space="preserve"> technology to help sustainable health practices and holistic lifestyle improvements (The Lancet,</w:t>
      </w:r>
      <w:bookmarkStart w:id="26" w:name="_Int_VGZnUZby"/>
      <w:r w:rsidR="001E013C">
        <w:t>2001</w:t>
      </w:r>
      <w:r w:rsidR="00924138">
        <w:t>;Heslth</w:t>
      </w:r>
      <w:bookmarkEnd w:id="26"/>
      <w:r w:rsidR="00924138">
        <w:t>,Google Books,2025)</w:t>
      </w:r>
      <w:r w:rsidR="00AD4BF5">
        <w:t>.</w:t>
      </w:r>
      <w:r w:rsidR="00A64F7C">
        <w:t xml:space="preserve"> Building on these principles, the </w:t>
      </w:r>
      <w:r w:rsidR="00B66FF8">
        <w:t xml:space="preserve">development of wellness and wellbeing into digital technologies </w:t>
      </w:r>
      <w:bookmarkStart w:id="27" w:name="_Int_rnSu3U9f"/>
      <w:r w:rsidR="00B66FF8">
        <w:t>is further supported</w:t>
      </w:r>
      <w:bookmarkEnd w:id="27"/>
      <w:r w:rsidR="00B66FF8">
        <w:t xml:space="preserve"> by evidence from fitness coaching literature, which shows the importance of structured guidance, person, </w:t>
      </w:r>
      <w:r w:rsidR="009A687F">
        <w:t>feedback,</w:t>
      </w:r>
      <w:r w:rsidR="00B66FF8">
        <w:t xml:space="preserve"> and ongoing monitoring </w:t>
      </w:r>
      <w:r w:rsidR="00147776">
        <w:t xml:space="preserve">in keeping up healthy habits (Gagliardi et al., 2015). By adding coaching strategies, such as goal setting and progress tracking within a </w:t>
      </w:r>
      <w:r w:rsidR="009A687F">
        <w:t>consumer's</w:t>
      </w:r>
      <w:r w:rsidR="00147776">
        <w:t xml:space="preserve"> day to day activities </w:t>
      </w:r>
      <w:r w:rsidR="009A687F">
        <w:t>can in force motivation and promote healthy lifestyle changes (Nilsson,2015</w:t>
      </w:r>
      <w:r w:rsidR="00E12BA7">
        <w:t xml:space="preserve">) DAYLY operates these strategies by providing daily prompts, adaptive recommendations </w:t>
      </w:r>
      <w:r w:rsidR="001142FD">
        <w:t>and self monitoring settings and features that help both physical and psychological wellbeing development</w:t>
      </w:r>
      <w:r w:rsidR="009B464F">
        <w:t>. This ensures users receive a great support for holistic lifestyle improvement (Gagliardi et al.,2015).</w:t>
      </w:r>
    </w:p>
    <w:p w14:paraId="050E18F9" w14:textId="77777777" w:rsidR="00515B81" w:rsidRDefault="00515B81"/>
    <w:p w14:paraId="30BECFB0" w14:textId="37AD2F0F" w:rsidR="00515B81" w:rsidRDefault="00515B81">
      <w:pPr>
        <w:rPr>
          <w:b/>
          <w:bCs/>
          <w:u w:val="single"/>
        </w:rPr>
      </w:pPr>
      <w:r w:rsidRPr="00515B81">
        <w:rPr>
          <w:b/>
          <w:bCs/>
          <w:u w:val="single"/>
        </w:rPr>
        <w:t>Planning and implementation</w:t>
      </w:r>
      <w:r w:rsidR="00F217BB">
        <w:rPr>
          <w:b/>
          <w:bCs/>
          <w:u w:val="single"/>
        </w:rPr>
        <w:t xml:space="preserve">: Translating strategy into action </w:t>
      </w:r>
    </w:p>
    <w:p w14:paraId="60D77597" w14:textId="5B209562" w:rsidR="009F6F26" w:rsidRDefault="009F6F26">
      <w:r>
        <w:t xml:space="preserve">Planning and implementation </w:t>
      </w:r>
      <w:bookmarkStart w:id="28" w:name="_Int_F8bn8MGI"/>
      <w:r>
        <w:t>are broadly seen</w:t>
      </w:r>
      <w:bookmarkEnd w:id="28"/>
      <w:r>
        <w:t xml:space="preserve"> as interdependent systems that specify if strategic and digital interventions </w:t>
      </w:r>
      <w:r w:rsidR="006053A9">
        <w:t>achieve intended outcomes (Bryson &amp; Bromley,1993).</w:t>
      </w:r>
      <w:r w:rsidR="002B76CF">
        <w:t xml:space="preserve"> Effective planning </w:t>
      </w:r>
      <w:r w:rsidR="000E3D5E">
        <w:t xml:space="preserve">creates clear goals, distributes resources, and </w:t>
      </w:r>
      <w:r w:rsidR="00972AAE">
        <w:t>predicts</w:t>
      </w:r>
      <w:r w:rsidR="000E3D5E">
        <w:t xml:space="preserve"> contextual outcomes, whilst </w:t>
      </w:r>
      <w:r w:rsidR="009B7D72">
        <w:t xml:space="preserve">implementation translates these plans into action within real world </w:t>
      </w:r>
      <w:r w:rsidR="009B7D72">
        <w:lastRenderedPageBreak/>
        <w:t xml:space="preserve">scenarios </w:t>
      </w:r>
      <w:r w:rsidR="00972AAE">
        <w:t xml:space="preserve">(Mintzberg,1998). Research </w:t>
      </w:r>
      <w:r w:rsidR="00717316">
        <w:t xml:space="preserve">constantly highlights that a well designed plan often fail due to insufficient implementation structures rather than flaws in strategic intent (Nutt,1996) </w:t>
      </w:r>
    </w:p>
    <w:p w14:paraId="3B0937BD" w14:textId="2171F92F" w:rsidR="005566AE" w:rsidRDefault="005566AE">
      <w:r>
        <w:t xml:space="preserve">Contemporary literature focuses adaptive and iterative approaches that let planning and implementation to evolve in response to user feedback and environmental </w:t>
      </w:r>
      <w:r w:rsidR="00023BAB">
        <w:t xml:space="preserve">differences (Hrebiniak,2006) </w:t>
      </w:r>
    </w:p>
    <w:p w14:paraId="6036B1B1" w14:textId="39FF6AEF" w:rsidR="00DA37E2" w:rsidRDefault="00023BAB">
      <w:r>
        <w:t xml:space="preserve">Within digital health and behaviour change technologies, well designed planning frameworks </w:t>
      </w:r>
      <w:bookmarkStart w:id="29" w:name="_Int_FZP4HpWq"/>
      <w:r>
        <w:t>are considered</w:t>
      </w:r>
      <w:bookmarkEnd w:id="29"/>
      <w:r>
        <w:t xml:space="preserve"> vital to guide implementation and sustain user engagement (Gagliardi et al.,2015). Implementation science shows the importance of aligning technological design with organizational capacity, stakeholder involvement, and behavioural theory during planning phase (Gagliardi et al.,2015)</w:t>
      </w:r>
      <w:r w:rsidR="00DA37E2">
        <w:t xml:space="preserve">. Failure to involve these elements has </w:t>
      </w:r>
      <w:bookmarkStart w:id="30" w:name="_Int_VyShlig1"/>
      <w:r w:rsidR="00DA37E2">
        <w:t>been shown</w:t>
      </w:r>
      <w:bookmarkEnd w:id="30"/>
      <w:r w:rsidR="00DA37E2">
        <w:t xml:space="preserve"> to reduce adoption and limit long term effectiveness of digital interventions (Nielsen,2015)</w:t>
      </w:r>
      <w:r w:rsidR="0099646B">
        <w:t>. Adaptive planning models extend stress the need for continuous monitoring and reflection throughout implementation to respond to contextual variability (Rogers,1995)</w:t>
      </w:r>
    </w:p>
    <w:p w14:paraId="643B7A2E" w14:textId="69D0BA06" w:rsidR="0099646B" w:rsidRDefault="0099646B">
      <w:r>
        <w:t xml:space="preserve">The DAYLY app reflects these principles by </w:t>
      </w:r>
      <w:r w:rsidR="006A666A">
        <w:t>using planning and implementation as iterative steps that support daily behaviour tracking and personalised engagement. (Bryson &amp; Bromiley,1993)</w:t>
      </w:r>
      <w:r w:rsidR="003522D3">
        <w:t xml:space="preserve">. Through structured goal setting and feedback tools, DAYLY operationalises planning by </w:t>
      </w:r>
      <w:r w:rsidR="00FC7270">
        <w:t>translating strategic intentions into actionable behaviors for users (Mintzberg,1998)</w:t>
      </w:r>
      <w:r w:rsidR="008531F1">
        <w:t>. Its implementation aligns with evidence suggesting that digital tools must be flexible, user</w:t>
      </w:r>
      <w:r w:rsidR="00CC6A47">
        <w:t xml:space="preserve"> </w:t>
      </w:r>
      <w:r w:rsidR="00984EDF">
        <w:t>centered, and responsive to behavioural data to remain relevant and effective over time. (Gagliardi et al.,2015). By integrating progressive planning within implementation, DAYLY shows how theory</w:t>
      </w:r>
      <w:r w:rsidR="009315F6">
        <w:t xml:space="preserve">-Driven design can bridge the gap between strategic </w:t>
      </w:r>
      <w:r w:rsidR="002448D8">
        <w:t>planning and</w:t>
      </w:r>
      <w:r w:rsidR="009315F6">
        <w:t xml:space="preserve"> sustained behaviour change in practice. (Nutt,1996) </w:t>
      </w:r>
    </w:p>
    <w:p w14:paraId="62D518B7" w14:textId="77777777" w:rsidR="003C6039" w:rsidRDefault="003C6039"/>
    <w:p w14:paraId="4AA4593D" w14:textId="6C4AE983" w:rsidR="003C6039" w:rsidRDefault="0084532F">
      <w:pPr>
        <w:rPr>
          <w:b/>
          <w:bCs/>
          <w:u w:val="single"/>
        </w:rPr>
      </w:pPr>
      <w:r>
        <w:rPr>
          <w:b/>
          <w:bCs/>
          <w:u w:val="single"/>
        </w:rPr>
        <w:t xml:space="preserve">Building brand identity and </w:t>
      </w:r>
      <w:r w:rsidR="00D56E6E">
        <w:rPr>
          <w:b/>
          <w:bCs/>
          <w:u w:val="single"/>
        </w:rPr>
        <w:t xml:space="preserve">consumer loyalty in sport </w:t>
      </w:r>
    </w:p>
    <w:p w14:paraId="2162D152" w14:textId="77777777" w:rsidR="003C6039" w:rsidRDefault="003C6039"/>
    <w:p w14:paraId="47E8C755" w14:textId="62767371" w:rsidR="003C6039" w:rsidRDefault="003C6039">
      <w:r>
        <w:t xml:space="preserve">Sports branding runs within a complex and competitive culture where brands must differentiate themselves while supporting authenticity and </w:t>
      </w:r>
      <w:r w:rsidR="001B0FCB">
        <w:t>credibility among</w:t>
      </w:r>
      <w:r>
        <w:t xml:space="preserve"> consumers (Niger,B</w:t>
      </w:r>
      <w:r w:rsidR="001B0FCB">
        <w:t>ühler and Chadwick,2016). One of the main challenges shown in the literature is the increasing saturation of the sports market, which makes it hard for brands to establish a different identity to others and sustain consumers attention over time (Bühler and Niger,2010)</w:t>
      </w:r>
      <w:r w:rsidR="0010252D">
        <w:t xml:space="preserve">. As sports brands proliferate across traditional and digital media platforms, </w:t>
      </w:r>
      <w:r w:rsidR="0010252D">
        <w:lastRenderedPageBreak/>
        <w:t xml:space="preserve">consumers </w:t>
      </w:r>
      <w:bookmarkStart w:id="31" w:name="_Int_4RqKMDgs"/>
      <w:r w:rsidR="0010252D">
        <w:t xml:space="preserve">are </w:t>
      </w:r>
      <w:r w:rsidR="00F73952">
        <w:t>exposed</w:t>
      </w:r>
      <w:bookmarkEnd w:id="31"/>
      <w:r w:rsidR="00F73952">
        <w:t xml:space="preserve"> to a major volume of competing messages, reducing brand salience and recall (Koenigstorfer et al.,2019).</w:t>
      </w:r>
    </w:p>
    <w:p w14:paraId="64BE3FEF" w14:textId="49A82CA8" w:rsidR="00ED0AFD" w:rsidRDefault="00F73952">
      <w:r>
        <w:t xml:space="preserve">This </w:t>
      </w:r>
      <w:r w:rsidR="0014719C">
        <w:t>obs</w:t>
      </w:r>
      <w:r w:rsidR="00C4232A">
        <w:t xml:space="preserve">tacle </w:t>
      </w:r>
      <w:bookmarkStart w:id="32" w:name="_Int_ZbOlGrbf"/>
      <w:r w:rsidR="00C4232A">
        <w:t>is intensified</w:t>
      </w:r>
      <w:bookmarkEnd w:id="32"/>
      <w:r w:rsidR="00C4232A">
        <w:t xml:space="preserve"> by the globalisation of sport which makes brands must balance consistent identity with cultural adaptability across diverse consumer markets (Chadwick,2016). Consumer beliefs present an added challenge, as sports brand </w:t>
      </w:r>
      <w:bookmarkStart w:id="33" w:name="_Int_ElCo6Utp"/>
      <w:r w:rsidR="00C4232A">
        <w:t>are tightly knitted</w:t>
      </w:r>
      <w:bookmarkEnd w:id="33"/>
      <w:r w:rsidR="00C4232A">
        <w:t xml:space="preserve"> to emotional attachment, identity formation, and social belonging (Wann et al.,2001)</w:t>
      </w:r>
      <w:r w:rsidR="00296869">
        <w:t>. While strong emotional connections can create loyalty it also increases vulnerability to negative events such as lack of performance, controversy, or reputational crisis (Chadwick,2016)</w:t>
      </w:r>
      <w:r w:rsidR="00C13538">
        <w:t xml:space="preserve">. Research coveys that consumer trust in sports companies can decrease greatly when a brands actions </w:t>
      </w:r>
      <w:bookmarkStart w:id="34" w:name="_Int_cKRyiAQn"/>
      <w:r w:rsidR="00C13538">
        <w:t>are seen</w:t>
      </w:r>
      <w:bookmarkEnd w:id="34"/>
      <w:r w:rsidR="00C13538">
        <w:t xml:space="preserve"> as misaligned with stated values or expectations (Koenigstorfer et al.,2019). This places pressure on brands to upkeep transparency and ethical consistency on their communication and strategic choices (Bühler and Nuer,2010)</w:t>
      </w:r>
      <w:r w:rsidR="00ED0AFD">
        <w:t xml:space="preserve">. </w:t>
      </w:r>
    </w:p>
    <w:p w14:paraId="720A0964" w14:textId="4254AFEB" w:rsidR="00FB0E88" w:rsidRDefault="00ED0AFD">
      <w:r>
        <w:t xml:space="preserve">Digital </w:t>
      </w:r>
      <w:r w:rsidR="005B40D1">
        <w:t xml:space="preserve">changes </w:t>
      </w:r>
      <w:r w:rsidR="00FB0E88">
        <w:t>have</w:t>
      </w:r>
      <w:r w:rsidR="005B40D1">
        <w:t xml:space="preserve"> complicated sports branding further by switching control of brand narratives from </w:t>
      </w:r>
      <w:r w:rsidR="00FB0E88">
        <w:t>organisation</w:t>
      </w:r>
      <w:r w:rsidR="005B40D1">
        <w:t xml:space="preserve"> to consumers through social media and online </w:t>
      </w:r>
      <w:r w:rsidR="00FB0E88">
        <w:t>communities (</w:t>
      </w:r>
      <w:bookmarkStart w:id="35" w:name="_Int_1Ccf8ab4"/>
      <w:r w:rsidR="00FB0E88">
        <w:t>Parganas,Anagnostopoulos</w:t>
      </w:r>
      <w:bookmarkEnd w:id="35"/>
      <w:r w:rsidR="00FB0E88">
        <w:t xml:space="preserve"> and Chadwick,2017). While digital platforms offer opportunities for engagement and co creation, they also show brand to heightened scrutiny and rapid dissemination of negative feedback (Koenigstorfer et al.,2019).</w:t>
      </w:r>
    </w:p>
    <w:p w14:paraId="6FF66CB0" w14:textId="0EE22085" w:rsidR="005A42ED" w:rsidRDefault="00FB0E88">
      <w:r>
        <w:t xml:space="preserve">Dealing with consistent brand </w:t>
      </w:r>
      <w:r w:rsidR="005A42ED">
        <w:t>across multiple digital platforms has now become a big implementation challenge for sports brands (</w:t>
      </w:r>
      <w:bookmarkStart w:id="36" w:name="_Int_mreRxZD7"/>
      <w:r w:rsidR="005A42ED">
        <w:t>Niger,Bühler</w:t>
      </w:r>
      <w:bookmarkEnd w:id="36"/>
      <w:r w:rsidR="005A42ED">
        <w:t xml:space="preserve"> and Chadwick,2016)</w:t>
      </w:r>
      <w:r w:rsidR="00A6447C">
        <w:t xml:space="preserve">. For digital fitness brands such as the DAYLY app, this challenge is relevant, as consumer feelings </w:t>
      </w:r>
      <w:bookmarkStart w:id="37" w:name="_Int_BvyVd94M"/>
      <w:r w:rsidR="00A6447C">
        <w:t>are shaped</w:t>
      </w:r>
      <w:bookmarkEnd w:id="37"/>
      <w:r w:rsidR="00A6447C">
        <w:t xml:space="preserve"> by ongoing interaction rather than one off promotional encounter (Parganas et al.,2017</w:t>
      </w:r>
      <w:r w:rsidR="00FD236A">
        <w:t>)</w:t>
      </w:r>
    </w:p>
    <w:p w14:paraId="78B4A490" w14:textId="74813472" w:rsidR="00A6447C" w:rsidRDefault="00FD236A">
      <w:r>
        <w:t xml:space="preserve">Another key challenge </w:t>
      </w:r>
      <w:r w:rsidR="006E18EA">
        <w:t>relates</w:t>
      </w:r>
      <w:r>
        <w:t xml:space="preserve"> to </w:t>
      </w:r>
      <w:r w:rsidR="009C43B2">
        <w:t xml:space="preserve">keeping </w:t>
      </w:r>
      <w:r>
        <w:t xml:space="preserve">long term consumer engagement in an environment </w:t>
      </w:r>
      <w:r w:rsidR="009C43B2">
        <w:t>characterized</w:t>
      </w:r>
      <w:r>
        <w:t xml:space="preserve"> </w:t>
      </w:r>
      <w:r w:rsidR="009C43B2">
        <w:t xml:space="preserve">by short attention spans and frequent change in behaviour (Bühler and Niger,2010). Studies have </w:t>
      </w:r>
      <w:r w:rsidR="006E18EA">
        <w:t>showed</w:t>
      </w:r>
      <w:r w:rsidR="009C43B2">
        <w:t xml:space="preserve"> that consumers increasingly expect personalised, value driven brand experiences instead of traditional promotional communication (Koenigstorfer et al., 2019)</w:t>
      </w:r>
      <w:r w:rsidR="0077461A">
        <w:t xml:space="preserve">. Failure to meet these expectations may result in disengagement and reduced brand loyalty, particularly in digital sport and fitness settings (Chadwick,2016) DAYLY addresses this challenge by sitting itself as a participatory sports brand that involves daily </w:t>
      </w:r>
      <w:r w:rsidR="006E18EA">
        <w:t>behaviour support with ongoing interaction with the consumer. Aligning with literature, emphasizing experiential and relational branding (Nuer et al.,2016)</w:t>
      </w:r>
    </w:p>
    <w:p w14:paraId="496EDB6D" w14:textId="2A30D013" w:rsidR="008B5CB8" w:rsidRDefault="008B5CB8">
      <w:r>
        <w:t xml:space="preserve">Overall, the literature highlights that sport branding challenges are multidimensional, requiring strategic </w:t>
      </w:r>
      <w:r w:rsidR="00CC5D4C">
        <w:t xml:space="preserve">alignment between brand identity, consumer </w:t>
      </w:r>
      <w:r w:rsidR="004108E8">
        <w:t>expectations,</w:t>
      </w:r>
      <w:r w:rsidR="00CC5D4C">
        <w:t xml:space="preserve"> and </w:t>
      </w:r>
      <w:r w:rsidR="004108E8">
        <w:t>digital</w:t>
      </w:r>
      <w:r w:rsidR="00CC5D4C">
        <w:t xml:space="preserve"> </w:t>
      </w:r>
      <w:r w:rsidR="00CC5D4C">
        <w:lastRenderedPageBreak/>
        <w:t>implementation (Koenigstorfer et al., 2019)</w:t>
      </w:r>
      <w:r w:rsidR="004108E8">
        <w:t>. Successful sports brands are those who mange complexity by integrating authenticity, adaptability, and consumer centric design into their branding planning and strategies (Chadwick,2016)</w:t>
      </w:r>
      <w:r w:rsidR="00A91068">
        <w:t>.</w:t>
      </w:r>
    </w:p>
    <w:p w14:paraId="07284080" w14:textId="77777777" w:rsidR="002F7ED8" w:rsidRDefault="002F7ED8"/>
    <w:p w14:paraId="4962EA55" w14:textId="2159B241" w:rsidR="002F7ED8" w:rsidRPr="002F7ED8" w:rsidRDefault="002F7ED8">
      <w:pPr>
        <w:rPr>
          <w:b/>
          <w:bCs/>
          <w:u w:val="single"/>
        </w:rPr>
      </w:pPr>
      <w:r w:rsidRPr="002F7ED8">
        <w:rPr>
          <w:b/>
          <w:bCs/>
          <w:u w:val="single"/>
        </w:rPr>
        <w:t xml:space="preserve">Synthesis and conclusion </w:t>
      </w:r>
    </w:p>
    <w:p w14:paraId="1781C776" w14:textId="19EAC3F1" w:rsidR="00D603F4" w:rsidRDefault="000C2302">
      <w:r>
        <w:t>This literature review shows that effective planning and implementation are central to the success of a digital sport and fitness intervention such as the DAYLY app (Bryson and Bromiley,1993</w:t>
      </w:r>
      <w:r w:rsidR="00C86874">
        <w:t>).</w:t>
      </w:r>
      <w:r w:rsidR="00B53EBA">
        <w:t xml:space="preserve"> The planning and implementation literature highlights that effective digital health softwares require structures yet progressive planning that translates theory into consistent user facing practices (Nutt,1996). This aligns with DAYLY’s </w:t>
      </w:r>
      <w:r w:rsidR="00E85AED">
        <w:t xml:space="preserve">design, which integrates planned goal setting, behaviour </w:t>
      </w:r>
      <w:r w:rsidR="00F53244">
        <w:t>tracking,</w:t>
      </w:r>
      <w:r w:rsidR="00E85AED">
        <w:t xml:space="preserve"> and feedback mechanisms to support sustained health and fitness engagement (Mintzberg, 1998)</w:t>
      </w:r>
      <w:r w:rsidR="00BF4AC9">
        <w:t xml:space="preserve">. Implementation science </w:t>
      </w:r>
      <w:r w:rsidR="00137747">
        <w:t xml:space="preserve">reinforces the importance of iterative refinement and contextual responsiveness, especially within the digital wellbeing </w:t>
      </w:r>
      <w:r w:rsidR="009C2AF1">
        <w:t xml:space="preserve">creations aimed at long term changes for the consumer (Gagliardi et al.,2015). The health, fitness coaching and wellbeing literature emphasises the role of greate support, </w:t>
      </w:r>
      <w:r w:rsidR="00F53244">
        <w:t>personality,</w:t>
      </w:r>
      <w:r w:rsidR="009C2AF1">
        <w:t xml:space="preserve"> and self </w:t>
      </w:r>
      <w:r w:rsidR="00B161BA">
        <w:t xml:space="preserve">assessment in creating positive outcomes. Digital platforms </w:t>
      </w:r>
      <w:bookmarkStart w:id="38" w:name="_Int_Hw5UeCfw"/>
      <w:r w:rsidR="00B161BA">
        <w:t>are increasingly aligned</w:t>
      </w:r>
      <w:bookmarkEnd w:id="38"/>
      <w:r w:rsidR="00B161BA">
        <w:t xml:space="preserve"> as extensions of coaching practice, offering scalable solutions that support competence and adherence to healthy habits (Nielsen,2015). DAYLY </w:t>
      </w:r>
      <w:r w:rsidR="00D603F4">
        <w:t>reflects these aims by embedding coaching informed structures into daily consumer interaction, therefore aligning health promotion theory with practical fitness (Gagliardi et al.,2015)</w:t>
      </w:r>
      <w:r w:rsidR="00F53244">
        <w:t xml:space="preserve">. </w:t>
      </w:r>
      <w:r w:rsidR="00D603F4">
        <w:t xml:space="preserve">This approach </w:t>
      </w:r>
      <w:r w:rsidR="00E82657">
        <w:t>holds</w:t>
      </w:r>
      <w:r w:rsidR="00D603F4">
        <w:t xml:space="preserve"> the view that wellbeing focused tools must be moving beyond information provision to create meaningful behavioral engagement (Rogers,1995)</w:t>
      </w:r>
      <w:r w:rsidR="00E82657">
        <w:t xml:space="preserve">. </w:t>
      </w:r>
    </w:p>
    <w:p w14:paraId="7D2708AB" w14:textId="7C42420B" w:rsidR="00802271" w:rsidRDefault="00E82657">
      <w:r>
        <w:t>The sports branding and consumer literature contexts DAYLY as a fitness brand running within a competitive and emotionally driven marketplace (</w:t>
      </w:r>
      <w:bookmarkStart w:id="39" w:name="_Int_7MSzkGf5"/>
      <w:r>
        <w:t>Niger,Bühler</w:t>
      </w:r>
      <w:bookmarkEnd w:id="39"/>
      <w:r>
        <w:t xml:space="preserve"> and Chadwick, 2016)</w:t>
      </w:r>
      <w:r w:rsidR="00FB009C">
        <w:t xml:space="preserve">. Research shows that consumer trust and authenticity are critical for engagement in sports and fitness brands (Chadwick,2016). These challenges are partially relevant for online fitness apps, where sustained interaction shapes brand meaning over time rather than through isolated interactions (Koenigstorfer et al.,2019). By centering itself as supportive and </w:t>
      </w:r>
      <w:r w:rsidR="00802271">
        <w:t>wellbeing oriented, DAYLY aligns with relational branding approaches that focuses on long term consumer value (Nufer,2010).</w:t>
      </w:r>
    </w:p>
    <w:p w14:paraId="156E9C28" w14:textId="6D1F31FA" w:rsidR="004151DD" w:rsidRDefault="00802271">
      <w:r>
        <w:t xml:space="preserve">Overall, the reviews literature </w:t>
      </w:r>
      <w:r w:rsidR="002479D9">
        <w:t>shows the con</w:t>
      </w:r>
      <w:r w:rsidR="008F79C5">
        <w:t>ceptual</w:t>
      </w:r>
      <w:r w:rsidR="002479D9">
        <w:t xml:space="preserve"> and practical rationale of the DAYLY project by highlighting how integrated </w:t>
      </w:r>
      <w:r w:rsidR="008F79C5">
        <w:t>planning, health</w:t>
      </w:r>
      <w:r w:rsidR="002479D9">
        <w:t xml:space="preserve"> focused </w:t>
      </w:r>
      <w:r w:rsidR="008F79C5">
        <w:t xml:space="preserve">coaching principles, and consumer </w:t>
      </w:r>
      <w:r w:rsidR="0051184A">
        <w:t xml:space="preserve">centered sports branding contribute sustained engagement and wellbeing outcomes (Bryson and Bromiley,1993). </w:t>
      </w:r>
      <w:r w:rsidR="007F1324">
        <w:t xml:space="preserve">By aligning health and fitness coaching theory with </w:t>
      </w:r>
      <w:r w:rsidR="007F1324">
        <w:lastRenderedPageBreak/>
        <w:t xml:space="preserve">adaptive implementation and contemporary sports branding </w:t>
      </w:r>
      <w:r w:rsidR="00DC358D">
        <w:t xml:space="preserve">strategies, DAYLY exemplifies how digital interventions can </w:t>
      </w:r>
      <w:r w:rsidR="004151DD">
        <w:t>support long term behavior change within a wellbeing focused and fitness context (Nufer et al.,2016).</w:t>
      </w:r>
    </w:p>
    <w:p w14:paraId="78EF2B3A" w14:textId="77777777" w:rsidR="00122378" w:rsidRDefault="00122378"/>
    <w:p w14:paraId="08DCE129" w14:textId="77777777" w:rsidR="00090B9C" w:rsidRDefault="00090B9C"/>
    <w:p w14:paraId="22F4D60A" w14:textId="77777777" w:rsidR="00090B9C" w:rsidRDefault="00090B9C"/>
    <w:p w14:paraId="6CF0C3B5" w14:textId="77777777" w:rsidR="00090B9C" w:rsidRDefault="00090B9C"/>
    <w:p w14:paraId="307C27EA" w14:textId="77777777" w:rsidR="00090B9C" w:rsidRDefault="00090B9C"/>
    <w:p w14:paraId="6946D225" w14:textId="77777777" w:rsidR="00090B9C" w:rsidRDefault="00090B9C"/>
    <w:p w14:paraId="4C15A711" w14:textId="77777777" w:rsidR="00090B9C" w:rsidRDefault="00090B9C"/>
    <w:p w14:paraId="0E33B42D" w14:textId="77777777" w:rsidR="00090B9C" w:rsidRDefault="00090B9C"/>
    <w:p w14:paraId="7336C90B" w14:textId="77777777" w:rsidR="00090B9C" w:rsidRDefault="00090B9C"/>
    <w:p w14:paraId="7C1A4DC5" w14:textId="77777777" w:rsidR="00090B9C" w:rsidRDefault="00090B9C"/>
    <w:p w14:paraId="17810140" w14:textId="77777777" w:rsidR="00090B9C" w:rsidRDefault="00090B9C"/>
    <w:p w14:paraId="3418E72A" w14:textId="77777777" w:rsidR="00090B9C" w:rsidRDefault="00090B9C"/>
    <w:p w14:paraId="689BE348" w14:textId="77777777" w:rsidR="00090B9C" w:rsidRDefault="00090B9C"/>
    <w:p w14:paraId="0ED16DF4" w14:textId="77777777" w:rsidR="00090B9C" w:rsidRDefault="00090B9C"/>
    <w:p w14:paraId="5FC87021" w14:textId="77777777" w:rsidR="00090B9C" w:rsidRDefault="00090B9C"/>
    <w:p w14:paraId="54ACDBFD" w14:textId="77777777" w:rsidR="00090B9C" w:rsidRDefault="00090B9C"/>
    <w:p w14:paraId="038EC5F4" w14:textId="77777777" w:rsidR="00090B9C" w:rsidRDefault="00090B9C"/>
    <w:p w14:paraId="7825E240" w14:textId="77777777" w:rsidR="00090B9C" w:rsidRDefault="00090B9C"/>
    <w:p w14:paraId="37726B08" w14:textId="77777777" w:rsidR="00090B9C" w:rsidRDefault="00090B9C"/>
    <w:p w14:paraId="58DB92D9" w14:textId="77777777" w:rsidR="00090B9C" w:rsidRDefault="00090B9C"/>
    <w:p w14:paraId="031BC7CA" w14:textId="77777777" w:rsidR="00090B9C" w:rsidRDefault="00090B9C"/>
    <w:p w14:paraId="48370ADE" w14:textId="77777777" w:rsidR="00090B9C" w:rsidRDefault="00090B9C"/>
    <w:p w14:paraId="22098943" w14:textId="77777777" w:rsidR="00090B9C" w:rsidRDefault="00090B9C"/>
    <w:p w14:paraId="4361CDAB" w14:textId="77777777" w:rsidR="00122378" w:rsidRPr="004522D8" w:rsidRDefault="00122378" w:rsidP="00122378">
      <w:pPr>
        <w:spacing w:after="0" w:line="480" w:lineRule="atLeast"/>
        <w:jc w:val="center"/>
        <w:outlineLvl w:val="0"/>
        <w:rPr>
          <w:rFonts w:asciiTheme="majorHAnsi" w:eastAsia="Times New Roman" w:hAnsiTheme="majorHAnsi" w:cs="Times New Roman"/>
          <w:b/>
          <w:bCs/>
          <w:color w:val="000000"/>
          <w:kern w:val="36"/>
          <w:u w:val="single"/>
          <w:lang w:val="en-GB" w:eastAsia="en-GB"/>
        </w:rPr>
      </w:pPr>
      <w:r w:rsidRPr="004522D8">
        <w:rPr>
          <w:rFonts w:asciiTheme="majorHAnsi" w:eastAsia="Times New Roman" w:hAnsiTheme="majorHAnsi" w:cs="Times New Roman"/>
          <w:b/>
          <w:bCs/>
          <w:color w:val="000000"/>
          <w:kern w:val="36"/>
          <w:u w:val="single"/>
          <w:lang w:val="en-GB" w:eastAsia="en-GB"/>
        </w:rPr>
        <w:lastRenderedPageBreak/>
        <w:t>Works Cited</w:t>
      </w:r>
    </w:p>
    <w:p w14:paraId="1A1BE9E5"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Alexander, E. R. “Planning and Implementation: Coordinative Planning in Practice.” International Planning Studies, vol. 3, no. 3, Oct. 1998, pp. 303–320, https://doi.org/10.1080/13563479808721716.</w:t>
      </w:r>
    </w:p>
    <w:p w14:paraId="3BE8C8B0"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 xml:space="preserve">“APA </w:t>
      </w:r>
      <w:proofErr w:type="spellStart"/>
      <w:r w:rsidRPr="004522D8">
        <w:rPr>
          <w:rFonts w:asciiTheme="majorHAnsi" w:hAnsiTheme="majorHAnsi" w:cs="Times New Roman"/>
          <w:color w:val="000000"/>
          <w:lang w:val="en-GB" w:eastAsia="en-GB"/>
        </w:rPr>
        <w:t>PsycNet</w:t>
      </w:r>
      <w:proofErr w:type="spellEnd"/>
      <w:r w:rsidRPr="004522D8">
        <w:rPr>
          <w:rFonts w:asciiTheme="majorHAnsi" w:hAnsiTheme="majorHAnsi" w:cs="Times New Roman"/>
          <w:color w:val="000000"/>
          <w:lang w:val="en-GB" w:eastAsia="en-GB"/>
        </w:rPr>
        <w:t>.” Apa.org, 2026, psycnet.apa.org/journals/amp/36/4/373/. Accessed 11 Jan. 2026.</w:t>
      </w:r>
    </w:p>
    <w:p w14:paraId="6C67E140"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“Arts Branding.” Routledge EBooks, 15 July 2016, pp. 480–489, https://doi.org/10.4324/9781315796789-41. Accessed 12 Oct. 2025.</w:t>
      </w:r>
    </w:p>
    <w:p w14:paraId="683941DE"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BLAIR, STEVEN N., et al. “Is Physical Activity or Physical Fitness More Important in Defining Health Benefits?” Medicine and Science in Sports and Exercise, vol. 33, no. Supplement, June 2001, pp. S379–S399, https://doi.org/10.1097/00005768-200106001-00007.</w:t>
      </w:r>
    </w:p>
    <w:p w14:paraId="77A0D7F5"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proofErr w:type="spellStart"/>
      <w:r w:rsidRPr="004522D8">
        <w:rPr>
          <w:rFonts w:asciiTheme="majorHAnsi" w:hAnsiTheme="majorHAnsi" w:cs="Times New Roman"/>
          <w:color w:val="000000"/>
          <w:lang w:val="en-GB" w:eastAsia="en-GB"/>
        </w:rPr>
        <w:t>Bodeker</w:t>
      </w:r>
      <w:proofErr w:type="spellEnd"/>
      <w:r w:rsidRPr="004522D8">
        <w:rPr>
          <w:rFonts w:asciiTheme="majorHAnsi" w:hAnsiTheme="majorHAnsi" w:cs="Times New Roman"/>
          <w:color w:val="000000"/>
          <w:lang w:val="en-GB" w:eastAsia="en-GB"/>
        </w:rPr>
        <w:t xml:space="preserve">, Gerard, et al. “Well-Being and Mental Wellness.” Oxford Research </w:t>
      </w:r>
      <w:proofErr w:type="spellStart"/>
      <w:r w:rsidRPr="004522D8">
        <w:rPr>
          <w:rFonts w:asciiTheme="majorHAnsi" w:hAnsiTheme="majorHAnsi" w:cs="Times New Roman"/>
          <w:color w:val="000000"/>
          <w:lang w:val="en-GB" w:eastAsia="en-GB"/>
        </w:rPr>
        <w:t>Encyclopedia</w:t>
      </w:r>
      <w:proofErr w:type="spellEnd"/>
      <w:r w:rsidRPr="004522D8">
        <w:rPr>
          <w:rFonts w:asciiTheme="majorHAnsi" w:hAnsiTheme="majorHAnsi" w:cs="Times New Roman"/>
          <w:color w:val="000000"/>
          <w:lang w:val="en-GB" w:eastAsia="en-GB"/>
        </w:rPr>
        <w:t xml:space="preserve"> of Global Public Health, 30 July 2020, https://doi.org/10.1093/acrefore/9780190632366.013.162.</w:t>
      </w:r>
    </w:p>
    <w:p w14:paraId="7089CAEF"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 xml:space="preserve">Bryson, John M., and Philip </w:t>
      </w:r>
      <w:proofErr w:type="spellStart"/>
      <w:r w:rsidRPr="004522D8">
        <w:rPr>
          <w:rFonts w:asciiTheme="majorHAnsi" w:hAnsiTheme="majorHAnsi" w:cs="Times New Roman"/>
          <w:color w:val="000000"/>
          <w:lang w:val="en-GB" w:eastAsia="en-GB"/>
        </w:rPr>
        <w:t>Bromiley</w:t>
      </w:r>
      <w:proofErr w:type="spellEnd"/>
      <w:r w:rsidRPr="004522D8">
        <w:rPr>
          <w:rFonts w:asciiTheme="majorHAnsi" w:hAnsiTheme="majorHAnsi" w:cs="Times New Roman"/>
          <w:color w:val="000000"/>
          <w:lang w:val="en-GB" w:eastAsia="en-GB"/>
        </w:rPr>
        <w:t>. “Critical Factors Affecting the Planning and Implementation of Major Projects.” Strategic Management Journal, vol. 14, no. 5, July 1993, pp. 319–337, https://doi.org/10.1002/smj.4250140502.</w:t>
      </w:r>
    </w:p>
    <w:p w14:paraId="713B3978"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Cadenas-Sanchez, Cristina, et al. “Healthier Minds in Fitter Bodies: A Systematic Review and Meta-Analysis of the Association between Physical Fitness and Mental Health in Youth.” Sports Medicine, vol. 51, no. 12, 27 July 2021, pp. 2571–2605, https://doi.org/10.1007/s40279-021-01520-y.</w:t>
      </w:r>
    </w:p>
    <w:p w14:paraId="08189A2C"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proofErr w:type="spellStart"/>
      <w:r w:rsidRPr="004522D8">
        <w:rPr>
          <w:rFonts w:asciiTheme="majorHAnsi" w:hAnsiTheme="majorHAnsi" w:cs="Times New Roman"/>
          <w:color w:val="000000"/>
          <w:lang w:val="en-GB" w:eastAsia="en-GB"/>
        </w:rPr>
        <w:t>Ciziceno</w:t>
      </w:r>
      <w:proofErr w:type="spellEnd"/>
      <w:r w:rsidRPr="004522D8">
        <w:rPr>
          <w:rFonts w:asciiTheme="majorHAnsi" w:hAnsiTheme="majorHAnsi" w:cs="Times New Roman"/>
          <w:color w:val="000000"/>
          <w:lang w:val="en-GB" w:eastAsia="en-GB"/>
        </w:rPr>
        <w:t>, Marco. The Conceptions of Quality of Life, Wellness and Well-Being: A Literature Review. 1 Jan. 2022, pp. 11–27, https://doi.org/10.1007/978-3-030-93092-9_2.</w:t>
      </w:r>
    </w:p>
    <w:p w14:paraId="32DF3AEA"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“Coaching - ProQuest.” Proquest.com, 2026, search.proquest.com/openview/fc4f08f3db1d81495fc94a3630271f40/1?pq-origsite=gscholar&amp;cbl=47961. Accessed 11 Jan. 2026.</w:t>
      </w:r>
    </w:p>
    <w:p w14:paraId="38E3EDF0"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proofErr w:type="spellStart"/>
      <w:r w:rsidRPr="004522D8">
        <w:rPr>
          <w:rFonts w:asciiTheme="majorHAnsi" w:hAnsiTheme="majorHAnsi" w:cs="Times New Roman"/>
          <w:color w:val="000000"/>
          <w:lang w:val="en-GB" w:eastAsia="en-GB"/>
        </w:rPr>
        <w:lastRenderedPageBreak/>
        <w:t>Erdoğmuş</w:t>
      </w:r>
      <w:proofErr w:type="spellEnd"/>
      <w:r w:rsidRPr="004522D8">
        <w:rPr>
          <w:rFonts w:asciiTheme="majorHAnsi" w:hAnsiTheme="majorHAnsi" w:cs="Times New Roman"/>
          <w:color w:val="000000"/>
          <w:lang w:val="en-GB" w:eastAsia="en-GB"/>
        </w:rPr>
        <w:t xml:space="preserve">, İrem </w:t>
      </w:r>
      <w:proofErr w:type="spellStart"/>
      <w:r w:rsidRPr="004522D8">
        <w:rPr>
          <w:rFonts w:asciiTheme="majorHAnsi" w:hAnsiTheme="majorHAnsi" w:cs="Times New Roman"/>
          <w:color w:val="000000"/>
          <w:lang w:val="en-GB" w:eastAsia="en-GB"/>
        </w:rPr>
        <w:t>Eren</w:t>
      </w:r>
      <w:proofErr w:type="spellEnd"/>
      <w:r w:rsidRPr="004522D8">
        <w:rPr>
          <w:rFonts w:asciiTheme="majorHAnsi" w:hAnsiTheme="majorHAnsi" w:cs="Times New Roman"/>
          <w:color w:val="000000"/>
          <w:lang w:val="en-GB" w:eastAsia="en-GB"/>
        </w:rPr>
        <w:t xml:space="preserve">, and </w:t>
      </w:r>
      <w:proofErr w:type="spellStart"/>
      <w:r w:rsidRPr="004522D8">
        <w:rPr>
          <w:rFonts w:asciiTheme="majorHAnsi" w:hAnsiTheme="majorHAnsi" w:cs="Times New Roman"/>
          <w:color w:val="000000"/>
          <w:lang w:val="en-GB" w:eastAsia="en-GB"/>
        </w:rPr>
        <w:t>Mesut</w:t>
      </w:r>
      <w:proofErr w:type="spellEnd"/>
      <w:r w:rsidRPr="004522D8">
        <w:rPr>
          <w:rFonts w:asciiTheme="majorHAnsi" w:hAnsiTheme="majorHAnsi" w:cs="Times New Roman"/>
          <w:color w:val="000000"/>
          <w:lang w:val="en-GB" w:eastAsia="en-GB"/>
        </w:rPr>
        <w:t xml:space="preserve"> </w:t>
      </w:r>
      <w:proofErr w:type="spellStart"/>
      <w:r w:rsidRPr="004522D8">
        <w:rPr>
          <w:rFonts w:asciiTheme="majorHAnsi" w:hAnsiTheme="majorHAnsi" w:cs="Times New Roman"/>
          <w:color w:val="000000"/>
          <w:lang w:val="en-GB" w:eastAsia="en-GB"/>
        </w:rPr>
        <w:t>Çiçek</w:t>
      </w:r>
      <w:proofErr w:type="spellEnd"/>
      <w:r w:rsidRPr="004522D8">
        <w:rPr>
          <w:rFonts w:asciiTheme="majorHAnsi" w:hAnsiTheme="majorHAnsi" w:cs="Times New Roman"/>
          <w:color w:val="000000"/>
          <w:lang w:val="en-GB" w:eastAsia="en-GB"/>
        </w:rPr>
        <w:t>. “The Impact of Social Media Marketing on Brand Loyalty.” </w:t>
      </w:r>
      <w:proofErr w:type="spellStart"/>
      <w:r w:rsidRPr="004522D8">
        <w:rPr>
          <w:rFonts w:asciiTheme="majorHAnsi" w:hAnsiTheme="majorHAnsi" w:cs="Times New Roman"/>
          <w:color w:val="000000"/>
          <w:lang w:val="en-GB" w:eastAsia="en-GB"/>
        </w:rPr>
        <w:t>Procedia</w:t>
      </w:r>
      <w:proofErr w:type="spellEnd"/>
      <w:r w:rsidRPr="004522D8">
        <w:rPr>
          <w:rFonts w:asciiTheme="majorHAnsi" w:hAnsiTheme="majorHAnsi" w:cs="Times New Roman"/>
          <w:color w:val="000000"/>
          <w:lang w:val="en-GB" w:eastAsia="en-GB"/>
        </w:rPr>
        <w:t xml:space="preserve"> - Social and </w:t>
      </w:r>
      <w:proofErr w:type="spellStart"/>
      <w:r w:rsidRPr="004522D8">
        <w:rPr>
          <w:rFonts w:asciiTheme="majorHAnsi" w:hAnsiTheme="majorHAnsi" w:cs="Times New Roman"/>
          <w:color w:val="000000"/>
          <w:lang w:val="en-GB" w:eastAsia="en-GB"/>
        </w:rPr>
        <w:t>Behavioral</w:t>
      </w:r>
      <w:proofErr w:type="spellEnd"/>
      <w:r w:rsidRPr="004522D8">
        <w:rPr>
          <w:rFonts w:asciiTheme="majorHAnsi" w:hAnsiTheme="majorHAnsi" w:cs="Times New Roman"/>
          <w:color w:val="000000"/>
          <w:lang w:val="en-GB" w:eastAsia="en-GB"/>
        </w:rPr>
        <w:t xml:space="preserve"> Sciences, vol. 58, no. 8, Oct. 2012, pp. 1353–1360, www.sciencedirect.com/science/article/pii/S1877042812045818.</w:t>
      </w:r>
    </w:p>
    <w:p w14:paraId="1B2BDC3E"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Gagliardi, Anna R, et al. “Developing a Checklist for Guideline Implementation Planning: Review and Synthesis of Guideline Development and Implementation Advice.” Implementation Science, vol. 10, no. 1, 12 Feb. 2015, https://doi.org/10.1186/s13012-015-0205-5.</w:t>
      </w:r>
    </w:p>
    <w:p w14:paraId="7CACF802"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proofErr w:type="spellStart"/>
      <w:r w:rsidRPr="004522D8">
        <w:rPr>
          <w:rFonts w:asciiTheme="majorHAnsi" w:hAnsiTheme="majorHAnsi" w:cs="Times New Roman"/>
          <w:color w:val="000000"/>
          <w:lang w:val="en-GB" w:eastAsia="en-GB"/>
        </w:rPr>
        <w:t>Gollwitzer</w:t>
      </w:r>
      <w:proofErr w:type="spellEnd"/>
      <w:r w:rsidRPr="004522D8">
        <w:rPr>
          <w:rFonts w:asciiTheme="majorHAnsi" w:hAnsiTheme="majorHAnsi" w:cs="Times New Roman"/>
          <w:color w:val="000000"/>
          <w:lang w:val="en-GB" w:eastAsia="en-GB"/>
        </w:rPr>
        <w:t>, Peter M., et al. “Planning and the Implementation of Goals.” </w:t>
      </w:r>
      <w:proofErr w:type="spellStart"/>
      <w:r w:rsidRPr="004522D8">
        <w:rPr>
          <w:rFonts w:asciiTheme="majorHAnsi" w:hAnsiTheme="majorHAnsi" w:cs="Times New Roman"/>
          <w:color w:val="000000"/>
          <w:lang w:val="en-GB" w:eastAsia="en-GB"/>
        </w:rPr>
        <w:t>Kops.uni-Konstanz.de</w:t>
      </w:r>
      <w:proofErr w:type="spellEnd"/>
      <w:r w:rsidRPr="004522D8">
        <w:rPr>
          <w:rFonts w:asciiTheme="majorHAnsi" w:hAnsiTheme="majorHAnsi" w:cs="Times New Roman"/>
          <w:color w:val="000000"/>
          <w:lang w:val="en-GB" w:eastAsia="en-GB"/>
        </w:rPr>
        <w:t>, 2004, kops.uni-konstanz.de/entities/publication/898bad1b-c904-4ffc-b408-077063298b8d.</w:t>
      </w:r>
    </w:p>
    <w:p w14:paraId="12B35B7E"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Grace, Ted W. “Health Problems of College Students.” Journal of American College Health, vol. 45, no. 6, May 1997, pp. 243–251, https://doi.org/10.1080/07448481.1997.9936894.</w:t>
      </w:r>
    </w:p>
    <w:p w14:paraId="05C9A082"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“Health.” Google Books, 2026, books.google.co.uk/books?hl=en&amp;lr=&amp;id=yn2CT9K7foIC&amp;oi=fnd&amp;pg=PR5&amp;dq=health+&amp;ots=5RETvXe-o2&amp;sig=J3FLinJZETunNI3KpUoKK7zBPSU&amp;redir_esc=y#v=onepage&amp;q=health&amp;f=false. Accessed 11 Jan. 2026.</w:t>
      </w:r>
    </w:p>
    <w:p w14:paraId="231F4364"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proofErr w:type="spellStart"/>
      <w:r w:rsidRPr="004522D8">
        <w:rPr>
          <w:rFonts w:asciiTheme="majorHAnsi" w:hAnsiTheme="majorHAnsi" w:cs="Times New Roman"/>
          <w:color w:val="000000"/>
          <w:lang w:val="en-GB" w:eastAsia="en-GB"/>
        </w:rPr>
        <w:t>Holdsworth</w:t>
      </w:r>
      <w:proofErr w:type="spellEnd"/>
      <w:r w:rsidRPr="004522D8">
        <w:rPr>
          <w:rFonts w:asciiTheme="majorHAnsi" w:hAnsiTheme="majorHAnsi" w:cs="Times New Roman"/>
          <w:color w:val="000000"/>
          <w:lang w:val="en-GB" w:eastAsia="en-GB"/>
        </w:rPr>
        <w:t xml:space="preserve">, Max Albert. “Health, Wellness and Wellbeing.” Interventions </w:t>
      </w:r>
      <w:proofErr w:type="spellStart"/>
      <w:r w:rsidRPr="004522D8">
        <w:rPr>
          <w:rFonts w:asciiTheme="majorHAnsi" w:hAnsiTheme="majorHAnsi" w:cs="Times New Roman"/>
          <w:color w:val="000000"/>
          <w:lang w:val="en-GB" w:eastAsia="en-GB"/>
        </w:rPr>
        <w:t>Économiques</w:t>
      </w:r>
      <w:proofErr w:type="spellEnd"/>
      <w:r w:rsidRPr="004522D8">
        <w:rPr>
          <w:rFonts w:asciiTheme="majorHAnsi" w:hAnsiTheme="majorHAnsi" w:cs="Times New Roman"/>
          <w:color w:val="000000"/>
          <w:lang w:val="en-GB" w:eastAsia="en-GB"/>
        </w:rPr>
        <w:t>, no. 62, 28 June 2019, https://doi.org/10.4000/interventionseconomiques.6322.</w:t>
      </w:r>
    </w:p>
    <w:p w14:paraId="01691498"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proofErr w:type="spellStart"/>
      <w:r w:rsidRPr="004522D8">
        <w:rPr>
          <w:rFonts w:asciiTheme="majorHAnsi" w:hAnsiTheme="majorHAnsi" w:cs="Times New Roman"/>
          <w:color w:val="000000"/>
          <w:lang w:val="en-GB" w:eastAsia="en-GB"/>
        </w:rPr>
        <w:t>Jabr</w:t>
      </w:r>
      <w:proofErr w:type="spellEnd"/>
      <w:r w:rsidRPr="004522D8">
        <w:rPr>
          <w:rFonts w:asciiTheme="majorHAnsi" w:hAnsiTheme="majorHAnsi" w:cs="Times New Roman"/>
          <w:color w:val="000000"/>
          <w:lang w:val="en-GB" w:eastAsia="en-GB"/>
        </w:rPr>
        <w:t>, Ferris. “John A. Long - Publications List.” Publicationslist.org, vol. 14, no. 6, 2023.</w:t>
      </w:r>
    </w:p>
    <w:p w14:paraId="3747C6B6"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 xml:space="preserve">Jankovic, </w:t>
      </w:r>
      <w:proofErr w:type="spellStart"/>
      <w:r w:rsidRPr="004522D8">
        <w:rPr>
          <w:rFonts w:asciiTheme="majorHAnsi" w:hAnsiTheme="majorHAnsi" w:cs="Times New Roman"/>
          <w:color w:val="000000"/>
          <w:lang w:val="en-GB" w:eastAsia="en-GB"/>
        </w:rPr>
        <w:t>Marija</w:t>
      </w:r>
      <w:proofErr w:type="spellEnd"/>
      <w:r w:rsidRPr="004522D8">
        <w:rPr>
          <w:rFonts w:asciiTheme="majorHAnsi" w:hAnsiTheme="majorHAnsi" w:cs="Times New Roman"/>
          <w:color w:val="000000"/>
          <w:lang w:val="en-GB" w:eastAsia="en-GB"/>
        </w:rPr>
        <w:t xml:space="preserve">, and </w:t>
      </w:r>
      <w:proofErr w:type="spellStart"/>
      <w:r w:rsidRPr="004522D8">
        <w:rPr>
          <w:rFonts w:asciiTheme="majorHAnsi" w:hAnsiTheme="majorHAnsi" w:cs="Times New Roman"/>
          <w:color w:val="000000"/>
          <w:lang w:val="en-GB" w:eastAsia="en-GB"/>
        </w:rPr>
        <w:t>Andjela</w:t>
      </w:r>
      <w:proofErr w:type="spellEnd"/>
      <w:r w:rsidRPr="004522D8">
        <w:rPr>
          <w:rFonts w:asciiTheme="majorHAnsi" w:hAnsiTheme="majorHAnsi" w:cs="Times New Roman"/>
          <w:color w:val="000000"/>
          <w:lang w:val="en-GB" w:eastAsia="en-GB"/>
        </w:rPr>
        <w:t xml:space="preserve"> </w:t>
      </w:r>
      <w:proofErr w:type="spellStart"/>
      <w:r w:rsidRPr="004522D8">
        <w:rPr>
          <w:rFonts w:asciiTheme="majorHAnsi" w:hAnsiTheme="majorHAnsi" w:cs="Times New Roman"/>
          <w:color w:val="000000"/>
          <w:lang w:val="en-GB" w:eastAsia="en-GB"/>
        </w:rPr>
        <w:t>Jaksic-Stojanovic</w:t>
      </w:r>
      <w:proofErr w:type="spellEnd"/>
      <w:r w:rsidRPr="004522D8">
        <w:rPr>
          <w:rFonts w:asciiTheme="majorHAnsi" w:hAnsiTheme="majorHAnsi" w:cs="Times New Roman"/>
          <w:color w:val="000000"/>
          <w:lang w:val="en-GB" w:eastAsia="en-GB"/>
        </w:rPr>
        <w:t>. “Challenges of Sports Branding.” Sport Mont, vol. 17, no. 1, 1 Feb. 2019, pp. 75–78, www.sportmont.ucg.ac.me/clanci/SM_February_2019_Jankovic_75-78.pdf, https://doi.org/10.26773/smj.190213.</w:t>
      </w:r>
    </w:p>
    <w:p w14:paraId="579F1680"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proofErr w:type="spellStart"/>
      <w:r w:rsidRPr="004522D8">
        <w:rPr>
          <w:rFonts w:asciiTheme="majorHAnsi" w:hAnsiTheme="majorHAnsi" w:cs="Times New Roman"/>
          <w:color w:val="000000"/>
          <w:lang w:val="en-GB" w:eastAsia="en-GB"/>
        </w:rPr>
        <w:t>Kihm</w:t>
      </w:r>
      <w:proofErr w:type="spellEnd"/>
      <w:r w:rsidRPr="004522D8">
        <w:rPr>
          <w:rFonts w:asciiTheme="majorHAnsi" w:hAnsiTheme="majorHAnsi" w:cs="Times New Roman"/>
          <w:color w:val="000000"/>
          <w:lang w:val="en-GB" w:eastAsia="en-GB"/>
        </w:rPr>
        <w:t>, Holly S., and Sue L.T. McGregor. “Wellness and Well-Being: A Decade Review of AAFCS Journals (2009–2019).” Journal of Family &amp; Consumer Sciences, vol. 112, no. 3, 1 Sept. 2020, pp. 11–22, https://doi.org/10.14307/jfcs112.3.11.</w:t>
      </w:r>
    </w:p>
    <w:p w14:paraId="0D2EFE66"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proofErr w:type="spellStart"/>
      <w:r w:rsidRPr="004522D8">
        <w:rPr>
          <w:rFonts w:asciiTheme="majorHAnsi" w:hAnsiTheme="majorHAnsi" w:cs="Times New Roman"/>
          <w:color w:val="000000"/>
          <w:lang w:val="en-GB" w:eastAsia="en-GB"/>
        </w:rPr>
        <w:lastRenderedPageBreak/>
        <w:t>Kunkel</w:t>
      </w:r>
      <w:proofErr w:type="spellEnd"/>
      <w:r w:rsidRPr="004522D8">
        <w:rPr>
          <w:rFonts w:asciiTheme="majorHAnsi" w:hAnsiTheme="majorHAnsi" w:cs="Times New Roman"/>
          <w:color w:val="000000"/>
          <w:lang w:val="en-GB" w:eastAsia="en-GB"/>
        </w:rPr>
        <w:t xml:space="preserve">, </w:t>
      </w:r>
      <w:proofErr w:type="spellStart"/>
      <w:r w:rsidRPr="004522D8">
        <w:rPr>
          <w:rFonts w:asciiTheme="majorHAnsi" w:hAnsiTheme="majorHAnsi" w:cs="Times New Roman"/>
          <w:color w:val="000000"/>
          <w:lang w:val="en-GB" w:eastAsia="en-GB"/>
        </w:rPr>
        <w:t>Thilo</w:t>
      </w:r>
      <w:proofErr w:type="spellEnd"/>
      <w:r w:rsidRPr="004522D8">
        <w:rPr>
          <w:rFonts w:asciiTheme="majorHAnsi" w:hAnsiTheme="majorHAnsi" w:cs="Times New Roman"/>
          <w:color w:val="000000"/>
          <w:lang w:val="en-GB" w:eastAsia="en-GB"/>
        </w:rPr>
        <w:t xml:space="preserve">, and Rui </w:t>
      </w:r>
      <w:proofErr w:type="spellStart"/>
      <w:r w:rsidRPr="004522D8">
        <w:rPr>
          <w:rFonts w:asciiTheme="majorHAnsi" w:hAnsiTheme="majorHAnsi" w:cs="Times New Roman"/>
          <w:color w:val="000000"/>
          <w:lang w:val="en-GB" w:eastAsia="en-GB"/>
        </w:rPr>
        <w:t>Biscaia</w:t>
      </w:r>
      <w:proofErr w:type="spellEnd"/>
      <w:r w:rsidRPr="004522D8">
        <w:rPr>
          <w:rFonts w:asciiTheme="majorHAnsi" w:hAnsiTheme="majorHAnsi" w:cs="Times New Roman"/>
          <w:color w:val="000000"/>
          <w:lang w:val="en-GB" w:eastAsia="en-GB"/>
        </w:rPr>
        <w:t xml:space="preserve">. “Sport Brands: Brand Relationships and Consumer </w:t>
      </w:r>
      <w:proofErr w:type="spellStart"/>
      <w:r w:rsidRPr="004522D8">
        <w:rPr>
          <w:rFonts w:asciiTheme="majorHAnsi" w:hAnsiTheme="majorHAnsi" w:cs="Times New Roman"/>
          <w:color w:val="000000"/>
          <w:lang w:val="en-GB" w:eastAsia="en-GB"/>
        </w:rPr>
        <w:t>Behavior</w:t>
      </w:r>
      <w:proofErr w:type="spellEnd"/>
      <w:r w:rsidRPr="004522D8">
        <w:rPr>
          <w:rFonts w:asciiTheme="majorHAnsi" w:hAnsiTheme="majorHAnsi" w:cs="Times New Roman"/>
          <w:color w:val="000000"/>
          <w:lang w:val="en-GB" w:eastAsia="en-GB"/>
        </w:rPr>
        <w:t>.” Sport Marketing Quarterly, vol. 29, no. 1, 2020, pp. 3–17, muse.jhu.edu/pub/560/article/927281/summary.</w:t>
      </w:r>
    </w:p>
    <w:p w14:paraId="5EE256FC"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proofErr w:type="spellStart"/>
      <w:r w:rsidRPr="004522D8">
        <w:rPr>
          <w:rFonts w:asciiTheme="majorHAnsi" w:hAnsiTheme="majorHAnsi" w:cs="Times New Roman"/>
          <w:color w:val="000000"/>
          <w:lang w:val="en-GB" w:eastAsia="en-GB"/>
        </w:rPr>
        <w:t>Lalaounis</w:t>
      </w:r>
      <w:proofErr w:type="spellEnd"/>
      <w:r w:rsidRPr="004522D8">
        <w:rPr>
          <w:rFonts w:asciiTheme="majorHAnsi" w:hAnsiTheme="majorHAnsi" w:cs="Times New Roman"/>
          <w:color w:val="000000"/>
          <w:lang w:val="en-GB" w:eastAsia="en-GB"/>
        </w:rPr>
        <w:t xml:space="preserve">, </w:t>
      </w:r>
      <w:proofErr w:type="spellStart"/>
      <w:r w:rsidRPr="004522D8">
        <w:rPr>
          <w:rFonts w:asciiTheme="majorHAnsi" w:hAnsiTheme="majorHAnsi" w:cs="Times New Roman"/>
          <w:color w:val="000000"/>
          <w:lang w:val="en-GB" w:eastAsia="en-GB"/>
        </w:rPr>
        <w:t>Sotiris</w:t>
      </w:r>
      <w:proofErr w:type="spellEnd"/>
      <w:r w:rsidRPr="004522D8">
        <w:rPr>
          <w:rFonts w:asciiTheme="majorHAnsi" w:hAnsiTheme="majorHAnsi" w:cs="Times New Roman"/>
          <w:color w:val="000000"/>
          <w:lang w:val="en-GB" w:eastAsia="en-GB"/>
        </w:rPr>
        <w:t xml:space="preserve"> T. Strategic Brand Management and Development Creating and Marketing. Abingdon, Oxon ; New York, NY : Routledge, 2021. |, Routledge, 30 Dec. 2020, www.taylorfrancis.com/books/mono/10.4324/9780429322556/strategic-brand-management-development-sotiris-lalaounis.</w:t>
      </w:r>
    </w:p>
    <w:p w14:paraId="2C2FE9C6"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 xml:space="preserve">Li, </w:t>
      </w:r>
      <w:proofErr w:type="spellStart"/>
      <w:r w:rsidRPr="004522D8">
        <w:rPr>
          <w:rFonts w:asciiTheme="majorHAnsi" w:hAnsiTheme="majorHAnsi" w:cs="Times New Roman"/>
          <w:color w:val="000000"/>
          <w:lang w:val="en-GB" w:eastAsia="en-GB"/>
        </w:rPr>
        <w:t>Yongxiao</w:t>
      </w:r>
      <w:proofErr w:type="spellEnd"/>
      <w:r w:rsidRPr="004522D8">
        <w:rPr>
          <w:rFonts w:asciiTheme="majorHAnsi" w:hAnsiTheme="majorHAnsi" w:cs="Times New Roman"/>
          <w:color w:val="000000"/>
          <w:lang w:val="en-GB" w:eastAsia="en-GB"/>
        </w:rPr>
        <w:t>, et al. “Research on the Impact of Sports Brand Co-Branding on Consumer Purchase Intention: A Perceived Value Perspective.” </w:t>
      </w:r>
      <w:proofErr w:type="spellStart"/>
      <w:r w:rsidRPr="004522D8">
        <w:rPr>
          <w:rFonts w:asciiTheme="majorHAnsi" w:hAnsiTheme="majorHAnsi" w:cs="Times New Roman"/>
          <w:color w:val="000000"/>
          <w:lang w:val="en-GB" w:eastAsia="en-GB"/>
        </w:rPr>
        <w:t>Acta</w:t>
      </w:r>
      <w:proofErr w:type="spellEnd"/>
      <w:r w:rsidRPr="004522D8">
        <w:rPr>
          <w:rFonts w:asciiTheme="majorHAnsi" w:hAnsiTheme="majorHAnsi" w:cs="Times New Roman"/>
          <w:color w:val="000000"/>
          <w:lang w:val="en-GB" w:eastAsia="en-GB"/>
        </w:rPr>
        <w:t xml:space="preserve"> </w:t>
      </w:r>
      <w:proofErr w:type="spellStart"/>
      <w:r w:rsidRPr="004522D8">
        <w:rPr>
          <w:rFonts w:asciiTheme="majorHAnsi" w:hAnsiTheme="majorHAnsi" w:cs="Times New Roman"/>
          <w:color w:val="000000"/>
          <w:lang w:val="en-GB" w:eastAsia="en-GB"/>
        </w:rPr>
        <w:t>Psychologica</w:t>
      </w:r>
      <w:proofErr w:type="spellEnd"/>
      <w:r w:rsidRPr="004522D8">
        <w:rPr>
          <w:rFonts w:asciiTheme="majorHAnsi" w:hAnsiTheme="majorHAnsi" w:cs="Times New Roman"/>
          <w:color w:val="000000"/>
          <w:lang w:val="en-GB" w:eastAsia="en-GB"/>
        </w:rPr>
        <w:t>, vol. 262, 6 Jan. 2026, p. 106146, www.sciencedirect.com/science/article/pii/S000169182501460X, https://doi.org/10.1016/j.actpsy.2025.106146.</w:t>
      </w:r>
    </w:p>
    <w:p w14:paraId="45281DCE"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 “Research on the Impact of Sports Brand Co-Branding on Consumer Purchase Intention: A Perceived Value Perspective.” </w:t>
      </w:r>
      <w:proofErr w:type="spellStart"/>
      <w:r w:rsidRPr="004522D8">
        <w:rPr>
          <w:rFonts w:asciiTheme="majorHAnsi" w:hAnsiTheme="majorHAnsi" w:cs="Times New Roman"/>
          <w:color w:val="000000"/>
          <w:lang w:val="en-GB" w:eastAsia="en-GB"/>
        </w:rPr>
        <w:t>Acta</w:t>
      </w:r>
      <w:proofErr w:type="spellEnd"/>
      <w:r w:rsidRPr="004522D8">
        <w:rPr>
          <w:rFonts w:asciiTheme="majorHAnsi" w:hAnsiTheme="majorHAnsi" w:cs="Times New Roman"/>
          <w:color w:val="000000"/>
          <w:lang w:val="en-GB" w:eastAsia="en-GB"/>
        </w:rPr>
        <w:t xml:space="preserve"> </w:t>
      </w:r>
      <w:proofErr w:type="spellStart"/>
      <w:r w:rsidRPr="004522D8">
        <w:rPr>
          <w:rFonts w:asciiTheme="majorHAnsi" w:hAnsiTheme="majorHAnsi" w:cs="Times New Roman"/>
          <w:color w:val="000000"/>
          <w:lang w:val="en-GB" w:eastAsia="en-GB"/>
        </w:rPr>
        <w:t>Psychologica</w:t>
      </w:r>
      <w:proofErr w:type="spellEnd"/>
      <w:r w:rsidRPr="004522D8">
        <w:rPr>
          <w:rFonts w:asciiTheme="majorHAnsi" w:hAnsiTheme="majorHAnsi" w:cs="Times New Roman"/>
          <w:color w:val="000000"/>
          <w:lang w:val="en-GB" w:eastAsia="en-GB"/>
        </w:rPr>
        <w:t>, vol. 262, 6 Jan. 2026, p. 106146, www.sciencedirect.com/science/article/pii/S000169182501460X, https://doi.org/10.1016/j.actpsy.2025.106146.</w:t>
      </w:r>
    </w:p>
    <w:p w14:paraId="2F0C4F9D"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“Marketing.” Google Books, 2026, books.google.com/books?hl=en&amp;lr=&amp;id=8TjiBAAAQBAJ&amp;oi=fnd&amp;pg=PP1&amp;dq=marketing+&amp;ots=jgdBkNz9h0&amp;sig=KdRvpCG8c8tRF2jLvd-bv_MgZa4. Accessed 11 Jan. 2026.</w:t>
      </w:r>
    </w:p>
    <w:p w14:paraId="06570378"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McKinney, Priscilla. “Quaker Roots, And: Nantucket.” Leviathan, vol. 18, no. 2, 2016, pp. 105–108, sportscardiologybc.org/wp-content/uploads/2016/03/BCMJ_Vol58_No_3_cardiorespiratory_fitness.pdf, https://doi.org/10.1353/lvn.2016.0028. Accessed 30 Nov. 2019.</w:t>
      </w:r>
    </w:p>
    <w:p w14:paraId="532CC65E"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McMahon, Anne-Therese, et al. “Reviewing the Meanings of Wellness and Well-Being and Their Implications for Food Choice.” Perspectives in Public Health, vol. 130, no. 6, Nov. 2010, pp. 282–286, https://doi.org/10.1177/1757913910384046.</w:t>
      </w:r>
    </w:p>
    <w:p w14:paraId="77C2F1B1"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proofErr w:type="spellStart"/>
      <w:r w:rsidRPr="004522D8">
        <w:rPr>
          <w:rFonts w:asciiTheme="majorHAnsi" w:hAnsiTheme="majorHAnsi" w:cs="Times New Roman"/>
          <w:color w:val="000000"/>
          <w:lang w:val="en-GB" w:eastAsia="en-GB"/>
        </w:rPr>
        <w:lastRenderedPageBreak/>
        <w:t>Merisavo</w:t>
      </w:r>
      <w:proofErr w:type="spellEnd"/>
      <w:r w:rsidRPr="004522D8">
        <w:rPr>
          <w:rFonts w:asciiTheme="majorHAnsi" w:hAnsiTheme="majorHAnsi" w:cs="Times New Roman"/>
          <w:color w:val="000000"/>
          <w:lang w:val="en-GB" w:eastAsia="en-GB"/>
        </w:rPr>
        <w:t xml:space="preserve">, Marko, and Mika </w:t>
      </w:r>
      <w:proofErr w:type="spellStart"/>
      <w:r w:rsidRPr="004522D8">
        <w:rPr>
          <w:rFonts w:asciiTheme="majorHAnsi" w:hAnsiTheme="majorHAnsi" w:cs="Times New Roman"/>
          <w:color w:val="000000"/>
          <w:lang w:val="en-GB" w:eastAsia="en-GB"/>
        </w:rPr>
        <w:t>Raulas</w:t>
      </w:r>
      <w:proofErr w:type="spellEnd"/>
      <w:r w:rsidRPr="004522D8">
        <w:rPr>
          <w:rFonts w:asciiTheme="majorHAnsi" w:hAnsiTheme="majorHAnsi" w:cs="Times New Roman"/>
          <w:color w:val="000000"/>
          <w:lang w:val="en-GB" w:eastAsia="en-GB"/>
        </w:rPr>
        <w:t>. “The Impact of E</w:t>
      </w:r>
      <w:r w:rsidRPr="004522D8">
        <w:rPr>
          <w:rFonts w:ascii="Cambria Math" w:hAnsi="Cambria Math" w:cs="Cambria Math"/>
          <w:color w:val="000000"/>
          <w:lang w:val="en-GB" w:eastAsia="en-GB"/>
        </w:rPr>
        <w:t>‐</w:t>
      </w:r>
      <w:r w:rsidRPr="004522D8">
        <w:rPr>
          <w:rFonts w:asciiTheme="majorHAnsi" w:hAnsiTheme="majorHAnsi" w:cs="Times New Roman"/>
          <w:color w:val="000000"/>
          <w:lang w:val="en-GB" w:eastAsia="en-GB"/>
        </w:rPr>
        <w:t>Mail Marketing on Brand Loyalty.” Journal of Product &amp; Brand Management, vol. 13, no. 7, Dec. 2004, pp. 498–505, https://doi.org/10.1108/10610420410568435.</w:t>
      </w:r>
    </w:p>
    <w:p w14:paraId="0CBF0293"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proofErr w:type="spellStart"/>
      <w:r w:rsidRPr="004522D8">
        <w:rPr>
          <w:rFonts w:asciiTheme="majorHAnsi" w:hAnsiTheme="majorHAnsi" w:cs="Times New Roman"/>
          <w:color w:val="000000"/>
          <w:lang w:val="en-GB" w:eastAsia="en-GB"/>
        </w:rPr>
        <w:t>Mimura</w:t>
      </w:r>
      <w:proofErr w:type="spellEnd"/>
      <w:r w:rsidRPr="004522D8">
        <w:rPr>
          <w:rFonts w:asciiTheme="majorHAnsi" w:hAnsiTheme="majorHAnsi" w:cs="Times New Roman"/>
          <w:color w:val="000000"/>
          <w:lang w:val="en-GB" w:eastAsia="en-GB"/>
        </w:rPr>
        <w:t xml:space="preserve">, </w:t>
      </w:r>
      <w:proofErr w:type="spellStart"/>
      <w:r w:rsidRPr="004522D8">
        <w:rPr>
          <w:rFonts w:asciiTheme="majorHAnsi" w:hAnsiTheme="majorHAnsi" w:cs="Times New Roman"/>
          <w:color w:val="000000"/>
          <w:lang w:val="en-GB" w:eastAsia="en-GB"/>
        </w:rPr>
        <w:t>Nobuo</w:t>
      </w:r>
      <w:proofErr w:type="spellEnd"/>
      <w:r w:rsidRPr="004522D8">
        <w:rPr>
          <w:rFonts w:asciiTheme="majorHAnsi" w:hAnsiTheme="majorHAnsi" w:cs="Times New Roman"/>
          <w:color w:val="000000"/>
          <w:lang w:val="en-GB" w:eastAsia="en-GB"/>
        </w:rPr>
        <w:t>, et al. “Adaptation Planning and Implementation.” Climate Change 2014 Impacts, Adaptation and Vulnerability: Part A: Global and Sectoral Aspects, 1 Jan. 2015, pp. 869–898, okayama.pure.elsevier.com/en/publications/adaptation-planning-and-implementation, https://doi.org/10.1017/CBO9781107415379.020.</w:t>
      </w:r>
    </w:p>
    <w:p w14:paraId="16D26AD7"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 “Adaptation Planning and Implementation.” Climate Change 2014 Impacts, Adaptation and Vulnerability: Part A: Global and Sectoral Aspects, 1 Jan. 2015, pp. 869–898, okayama.pure.elsevier.com/en/publications/adaptation-planning-and-implementation, https://doi.org/10.1017/CBO9781107415379.020.</w:t>
      </w:r>
    </w:p>
    <w:p w14:paraId="21597EBE"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proofErr w:type="spellStart"/>
      <w:r w:rsidRPr="004522D8">
        <w:rPr>
          <w:rFonts w:asciiTheme="majorHAnsi" w:hAnsiTheme="majorHAnsi" w:cs="Times New Roman"/>
          <w:color w:val="000000"/>
          <w:lang w:val="en-GB" w:eastAsia="en-GB"/>
        </w:rPr>
        <w:t>Modise</w:t>
      </w:r>
      <w:proofErr w:type="spellEnd"/>
      <w:r w:rsidRPr="004522D8">
        <w:rPr>
          <w:rFonts w:asciiTheme="majorHAnsi" w:hAnsiTheme="majorHAnsi" w:cs="Times New Roman"/>
          <w:color w:val="000000"/>
          <w:lang w:val="en-GB" w:eastAsia="en-GB"/>
        </w:rPr>
        <w:t xml:space="preserve">, </w:t>
      </w:r>
      <w:proofErr w:type="spellStart"/>
      <w:r w:rsidRPr="004522D8">
        <w:rPr>
          <w:rFonts w:asciiTheme="majorHAnsi" w:hAnsiTheme="majorHAnsi" w:cs="Times New Roman"/>
          <w:color w:val="000000"/>
          <w:lang w:val="en-GB" w:eastAsia="en-GB"/>
        </w:rPr>
        <w:t>Leepo</w:t>
      </w:r>
      <w:proofErr w:type="spellEnd"/>
      <w:r w:rsidRPr="004522D8">
        <w:rPr>
          <w:rFonts w:asciiTheme="majorHAnsi" w:hAnsiTheme="majorHAnsi" w:cs="Times New Roman"/>
          <w:color w:val="000000"/>
          <w:lang w:val="en-GB" w:eastAsia="en-GB"/>
        </w:rPr>
        <w:t xml:space="preserve">, and </w:t>
      </w:r>
      <w:proofErr w:type="spellStart"/>
      <w:r w:rsidRPr="004522D8">
        <w:rPr>
          <w:rFonts w:asciiTheme="majorHAnsi" w:hAnsiTheme="majorHAnsi" w:cs="Times New Roman"/>
          <w:color w:val="000000"/>
          <w:lang w:val="en-GB" w:eastAsia="en-GB"/>
        </w:rPr>
        <w:t>Modise</w:t>
      </w:r>
      <w:proofErr w:type="spellEnd"/>
      <w:r w:rsidRPr="004522D8">
        <w:rPr>
          <w:rFonts w:asciiTheme="majorHAnsi" w:hAnsiTheme="majorHAnsi" w:cs="Times New Roman"/>
          <w:color w:val="000000"/>
          <w:lang w:val="en-GB" w:eastAsia="en-GB"/>
        </w:rPr>
        <w:t xml:space="preserve"> </w:t>
      </w:r>
      <w:proofErr w:type="spellStart"/>
      <w:r w:rsidRPr="004522D8">
        <w:rPr>
          <w:rFonts w:asciiTheme="majorHAnsi" w:hAnsiTheme="majorHAnsi" w:cs="Times New Roman"/>
          <w:color w:val="000000"/>
          <w:lang w:val="en-GB" w:eastAsia="en-GB"/>
        </w:rPr>
        <w:t>Leepo</w:t>
      </w:r>
      <w:proofErr w:type="spellEnd"/>
      <w:r w:rsidRPr="004522D8">
        <w:rPr>
          <w:rFonts w:asciiTheme="majorHAnsi" w:hAnsiTheme="majorHAnsi" w:cs="Times New Roman"/>
          <w:color w:val="000000"/>
          <w:lang w:val="en-GB" w:eastAsia="en-GB"/>
        </w:rPr>
        <w:t xml:space="preserve"> Johannes. “Well-Being and Wellness in the Twenty-First Century: A </w:t>
      </w:r>
      <w:proofErr w:type="spellStart"/>
      <w:r w:rsidRPr="004522D8">
        <w:rPr>
          <w:rFonts w:asciiTheme="majorHAnsi" w:hAnsiTheme="majorHAnsi" w:cs="Times New Roman"/>
          <w:color w:val="000000"/>
          <w:lang w:val="en-GB" w:eastAsia="en-GB"/>
        </w:rPr>
        <w:t>Theanthropocosmic</w:t>
      </w:r>
      <w:proofErr w:type="spellEnd"/>
      <w:r w:rsidRPr="004522D8">
        <w:rPr>
          <w:rFonts w:asciiTheme="majorHAnsi" w:hAnsiTheme="majorHAnsi" w:cs="Times New Roman"/>
          <w:color w:val="000000"/>
          <w:lang w:val="en-GB" w:eastAsia="en-GB"/>
        </w:rPr>
        <w:t xml:space="preserve"> Approach.” Journal of Religion and Health, vol. 55, no. 6, 20 Oct. 2015, pp. 1876–1890, https://doi.org/10.1007/s10943-015-0140-4. Accessed 5 May 2021.</w:t>
      </w:r>
    </w:p>
    <w:p w14:paraId="01600130"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proofErr w:type="spellStart"/>
      <w:r w:rsidRPr="004522D8">
        <w:rPr>
          <w:rFonts w:asciiTheme="majorHAnsi" w:hAnsiTheme="majorHAnsi" w:cs="Times New Roman"/>
          <w:color w:val="000000"/>
          <w:lang w:val="en-GB" w:eastAsia="en-GB"/>
        </w:rPr>
        <w:t>PÉRUSSE</w:t>
      </w:r>
      <w:proofErr w:type="spellEnd"/>
      <w:r w:rsidRPr="004522D8">
        <w:rPr>
          <w:rFonts w:asciiTheme="majorHAnsi" w:hAnsiTheme="majorHAnsi" w:cs="Times New Roman"/>
          <w:color w:val="000000"/>
          <w:lang w:val="en-GB" w:eastAsia="en-GB"/>
        </w:rPr>
        <w:t>, LOUIS, et al. “Advances in Exercise, Fitness, and Performance Genomics in 2012.” Medicine &amp; Science in Sports &amp; Exercise, vol. 45, no. 5, May 2013, pp. 824–831, https://doi.org/10.1249/mss.0b013e31828b28a3. Accessed 9 Dec. 2020.</w:t>
      </w:r>
    </w:p>
    <w:p w14:paraId="5B1A50D3"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proofErr w:type="spellStart"/>
      <w:r w:rsidRPr="004522D8">
        <w:rPr>
          <w:rFonts w:asciiTheme="majorHAnsi" w:hAnsiTheme="majorHAnsi" w:cs="Times New Roman"/>
          <w:color w:val="000000"/>
          <w:lang w:val="en-GB" w:eastAsia="en-GB"/>
        </w:rPr>
        <w:t>Ramsden</w:t>
      </w:r>
      <w:proofErr w:type="spellEnd"/>
      <w:r w:rsidRPr="004522D8">
        <w:rPr>
          <w:rFonts w:asciiTheme="majorHAnsi" w:hAnsiTheme="majorHAnsi" w:cs="Times New Roman"/>
          <w:color w:val="000000"/>
          <w:lang w:val="en-GB" w:eastAsia="en-GB"/>
        </w:rPr>
        <w:t xml:space="preserve">, Edmund, and Catherine V Talbot. “The Role of </w:t>
      </w:r>
      <w:proofErr w:type="spellStart"/>
      <w:r w:rsidRPr="004522D8">
        <w:rPr>
          <w:rFonts w:asciiTheme="majorHAnsi" w:hAnsiTheme="majorHAnsi" w:cs="Times New Roman"/>
          <w:color w:val="000000"/>
          <w:lang w:val="en-GB" w:eastAsia="en-GB"/>
        </w:rPr>
        <w:t>Tiktok</w:t>
      </w:r>
      <w:proofErr w:type="spellEnd"/>
      <w:r w:rsidRPr="004522D8">
        <w:rPr>
          <w:rFonts w:asciiTheme="majorHAnsi" w:hAnsiTheme="majorHAnsi" w:cs="Times New Roman"/>
          <w:color w:val="000000"/>
          <w:lang w:val="en-GB" w:eastAsia="en-GB"/>
        </w:rPr>
        <w:t xml:space="preserve"> in Students’ Health and Wellbeing.” International Journal of Mental Health and Addiction, vol. 23, 5 Jan. 2024, pp. 1–23, link.springer.com/article/10.1007/s11469-023-01224-6, https://doi.org/10.1007/s11469-023-01224-6.</w:t>
      </w:r>
    </w:p>
    <w:p w14:paraId="1B9B85F3"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“Results - OpenURL Connection - EBSCO.” Ebsco.com, 2026, openurl.ebsco.com/contentitem/gcd:100093357?sid=ebsco:plink:scholar&amp;id=ebsco:gcd:100093357&amp;crl=c. Accessed 11 Jan. 2026.</w:t>
      </w:r>
    </w:p>
    <w:p w14:paraId="386E6B4F"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“Sign In.” Thelancet.com, 2025, www.thelancet.com/journals/lancet/article/PIIS0140673601061086/abstract.</w:t>
      </w:r>
    </w:p>
    <w:p w14:paraId="7F1779BB"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lastRenderedPageBreak/>
        <w:t>Smith, Jordan J., et al. “The Health Benefits of Muscular Fitness for Children and Adolescents: A Systematic Review and Meta-Analysis.” Sports Medicine, vol. 44, no. 9, 1 May 2014, pp. 1209–1223, link.springer.com/article/10.1007%2Fs40279-014-0196-4, https://doi.org/10.1007/s40279-014-0196-4. Accessed 10 Dec. 2019.</w:t>
      </w:r>
    </w:p>
    <w:p w14:paraId="42A5F870"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“Sports Coaching.” Google Books, 2026, books.google.com/books?hl=en&amp;lr=&amp;id=gBPF-xrw8VEC&amp;oi=fnd&amp;pg=PP1&amp;dq=sports+coaching&amp;ots=i7qPh-3Wzw&amp;sig=C5fXSovxx3yy0CL_mTzWd7n8UvE. Accessed 11 Jan. 2026.</w:t>
      </w:r>
    </w:p>
    <w:p w14:paraId="7438C41D"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Stewart-Brown, S, et al. “The Health of Students in Institutes of Higher Education: An Important and Neglected Public Health Problem?” Journal of Public Health, vol. 22, no. 4, 1 Dec. 2000, pp. 492–499, https://doi.org/10.1093/pubmed/22.4.492.</w:t>
      </w:r>
    </w:p>
    <w:p w14:paraId="40C88E29"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proofErr w:type="spellStart"/>
      <w:r w:rsidRPr="004522D8">
        <w:rPr>
          <w:rFonts w:asciiTheme="majorHAnsi" w:hAnsiTheme="majorHAnsi" w:cs="Times New Roman"/>
          <w:color w:val="000000"/>
          <w:lang w:val="en-GB" w:eastAsia="en-GB"/>
        </w:rPr>
        <w:t>Stoewen</w:t>
      </w:r>
      <w:proofErr w:type="spellEnd"/>
      <w:r w:rsidRPr="004522D8">
        <w:rPr>
          <w:rFonts w:asciiTheme="majorHAnsi" w:hAnsiTheme="majorHAnsi" w:cs="Times New Roman"/>
          <w:color w:val="000000"/>
          <w:lang w:val="en-GB" w:eastAsia="en-GB"/>
        </w:rPr>
        <w:t>, Debbie L. “Health and Wellness.” The Canadian Veterinary Journal, vol. 56, no. 9, Sept. 2015, p. 983, pmc.ncbi.nlm.nih.gov/articles/PMC4535518/.</w:t>
      </w:r>
    </w:p>
    <w:p w14:paraId="69029DDF"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“Successful Coaching.” Google Books, 2023, books.google.com/books?hl=en&amp;lr=&amp;id=FxbgEAAAQBAJ&amp;oi=fnd&amp;pg=PR1&amp;dq=coaching&amp;ots=IlzrsXM_Ta&amp;sig=3WFClXNE4Ky4eSeBiKqrCHHZzDo. Accessed 11 Jan. 2026.</w:t>
      </w:r>
    </w:p>
    <w:p w14:paraId="246F7231"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proofErr w:type="spellStart"/>
      <w:r w:rsidRPr="004522D8">
        <w:rPr>
          <w:rFonts w:asciiTheme="majorHAnsi" w:hAnsiTheme="majorHAnsi" w:cs="Times New Roman"/>
          <w:color w:val="000000"/>
          <w:lang w:val="en-GB" w:eastAsia="en-GB"/>
        </w:rPr>
        <w:t>Talen</w:t>
      </w:r>
      <w:proofErr w:type="spellEnd"/>
      <w:r w:rsidRPr="004522D8">
        <w:rPr>
          <w:rFonts w:asciiTheme="majorHAnsi" w:hAnsiTheme="majorHAnsi" w:cs="Times New Roman"/>
          <w:color w:val="000000"/>
          <w:lang w:val="en-GB" w:eastAsia="en-GB"/>
        </w:rPr>
        <w:t>, Emily. “Do Plans Get Implemented? A Review of Evaluation in Planning.” Journal of Planning Literature, vol. 10, no. 3, Feb. 1996, pp. 248–259, https://doi.org/10.1177/088541229601000302. Accessed 1 Dec. 2019.</w:t>
      </w:r>
    </w:p>
    <w:p w14:paraId="627C9724"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 “Do Plans Get Implemented? A Review of Evaluation in Planning.” Journal of Planning Literature, vol. 10, no. 3, Feb. 1996, pp. 248–259, https://doi.org/10.1177/088541229601000302. Accessed 1 Dec. 2019.</w:t>
      </w:r>
    </w:p>
    <w:p w14:paraId="60BF3C02" w14:textId="77777777" w:rsidR="00122378" w:rsidRPr="004522D8" w:rsidRDefault="00122378" w:rsidP="00122378">
      <w:pPr>
        <w:spacing w:after="0" w:line="480" w:lineRule="atLeast"/>
        <w:ind w:left="720" w:hanging="720"/>
        <w:rPr>
          <w:rFonts w:asciiTheme="majorHAnsi" w:hAnsiTheme="majorHAnsi" w:cs="Times New Roman"/>
          <w:color w:val="000000"/>
          <w:lang w:val="en-GB" w:eastAsia="en-GB"/>
        </w:rPr>
      </w:pPr>
      <w:r w:rsidRPr="004522D8">
        <w:rPr>
          <w:rFonts w:asciiTheme="majorHAnsi" w:hAnsiTheme="majorHAnsi" w:cs="Times New Roman"/>
          <w:color w:val="000000"/>
          <w:lang w:val="en-GB" w:eastAsia="en-GB"/>
        </w:rPr>
        <w:t xml:space="preserve">Zhou, </w:t>
      </w:r>
      <w:proofErr w:type="spellStart"/>
      <w:r w:rsidRPr="004522D8">
        <w:rPr>
          <w:rFonts w:asciiTheme="majorHAnsi" w:hAnsiTheme="majorHAnsi" w:cs="Times New Roman"/>
          <w:color w:val="000000"/>
          <w:lang w:val="en-GB" w:eastAsia="en-GB"/>
        </w:rPr>
        <w:t>Fei</w:t>
      </w:r>
      <w:proofErr w:type="spellEnd"/>
      <w:r w:rsidRPr="004522D8">
        <w:rPr>
          <w:rFonts w:asciiTheme="majorHAnsi" w:hAnsiTheme="majorHAnsi" w:cs="Times New Roman"/>
          <w:color w:val="000000"/>
          <w:lang w:val="en-GB" w:eastAsia="en-GB"/>
        </w:rPr>
        <w:t>, et al. “How Does Consumers’ Perception of Sports Stars’ Personal Brand Promote Consumers’ Brand Love? A Mediation Model of Global Brand Equity.” Journal of Retailing and Consumer Services, vol. 54, May 2020, p. 102012, www.sciencedirect.com/science/article/abs/pii/S0969698919309385, https://doi.org/10.1016/j.jretconser.2019.102012.</w:t>
      </w:r>
    </w:p>
    <w:p w14:paraId="6F56C36F" w14:textId="77777777" w:rsidR="00122378" w:rsidRPr="003C6039" w:rsidRDefault="00122378"/>
    <w:sectPr w:rsidR="00122378" w:rsidRPr="003C6039">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A03B0" w14:textId="77777777" w:rsidR="004522D8" w:rsidRDefault="004522D8" w:rsidP="004522D8">
      <w:pPr>
        <w:spacing w:after="0" w:line="240" w:lineRule="auto"/>
      </w:pPr>
      <w:r>
        <w:separator/>
      </w:r>
    </w:p>
  </w:endnote>
  <w:endnote w:type="continuationSeparator" w:id="0">
    <w:p w14:paraId="7199A592" w14:textId="77777777" w:rsidR="004522D8" w:rsidRDefault="004522D8" w:rsidP="00452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35173820"/>
      <w:docPartObj>
        <w:docPartGallery w:val="Page Numbers (Bottom of Page)"/>
        <w:docPartUnique/>
      </w:docPartObj>
    </w:sdtPr>
    <w:sdtContent>
      <w:p w14:paraId="4D77BFD0" w14:textId="4097D54E" w:rsidR="001B1C51" w:rsidRDefault="001B1C51" w:rsidP="009D113E">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7BE45B" w14:textId="77777777" w:rsidR="004522D8" w:rsidRDefault="004522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21393529"/>
      <w:docPartObj>
        <w:docPartGallery w:val="Page Numbers (Bottom of Page)"/>
        <w:docPartUnique/>
      </w:docPartObj>
    </w:sdtPr>
    <w:sdtContent>
      <w:p w14:paraId="7E11B33E" w14:textId="7CD6EB63" w:rsidR="001B1C51" w:rsidRDefault="001B1C51" w:rsidP="009D113E">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04F7BDDF" w14:textId="77777777" w:rsidR="004522D8" w:rsidRDefault="004522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4DC0E" w14:textId="77777777" w:rsidR="004522D8" w:rsidRDefault="004522D8" w:rsidP="004522D8">
      <w:pPr>
        <w:spacing w:after="0" w:line="240" w:lineRule="auto"/>
      </w:pPr>
      <w:r>
        <w:separator/>
      </w:r>
    </w:p>
  </w:footnote>
  <w:footnote w:type="continuationSeparator" w:id="0">
    <w:p w14:paraId="332B59BB" w14:textId="77777777" w:rsidR="004522D8" w:rsidRDefault="004522D8" w:rsidP="004522D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E14zIYt" int2:invalidationBookmarkName="" int2:hashCode="A1U3ZIo0PcsMEo" int2:id="Rqh8n7vy">
      <int2:state int2:value="Rejected" int2:type="style"/>
    </int2:bookmark>
    <int2:bookmark int2:bookmarkName="_Int_SbNRbwoa" int2:invalidationBookmarkName="" int2:hashCode="GIUboHCkpxRe9k" int2:id="BrxqaUGk">
      <int2:state int2:value="Rejected" int2:type="style"/>
    </int2:bookmark>
    <int2:bookmark int2:bookmarkName="_Int_QWmR3AtA" int2:invalidationBookmarkName="" int2:hashCode="9SHLRd4eMmtI3P" int2:id="JDtO5RY7">
      <int2:state int2:value="Rejected" int2:type="style"/>
    </int2:bookmark>
    <int2:bookmark int2:bookmarkName="_Int_GB5yfF6E" int2:invalidationBookmarkName="" int2:hashCode="kOl357MEJUiyol" int2:id="CnzskNut">
      <int2:state int2:value="Rejected" int2:type="style"/>
    </int2:bookmark>
    <int2:bookmark int2:bookmarkName="_Int_yPVk0JkA" int2:invalidationBookmarkName="" int2:hashCode="MgGO7POVwZ17aA" int2:id="7dlMoXCA">
      <int2:state int2:value="Rejected" int2:type="style"/>
    </int2:bookmark>
    <int2:bookmark int2:bookmarkName="_Int_QIXm0mZc" int2:invalidationBookmarkName="" int2:hashCode="TSDQLFvmrERnju" int2:id="gLVp6BkE">
      <int2:state int2:value="Rejected" int2:type="style"/>
    </int2:bookmark>
    <int2:bookmark int2:bookmarkName="_Int_QlGLLso6" int2:invalidationBookmarkName="" int2:hashCode="3QVBO3osmGETDx" int2:id="KEAtJFj5">
      <int2:state int2:value="Rejected" int2:type="style"/>
    </int2:bookmark>
    <int2:bookmark int2:bookmarkName="_Int_f97i2DIp" int2:invalidationBookmarkName="" int2:hashCode="qtfrMhwDU32X2k" int2:id="BUUD1qAN">
      <int2:state int2:value="Rejected" int2:type="style"/>
    </int2:bookmark>
    <int2:bookmark int2:bookmarkName="_Int_BHugqh8M" int2:invalidationBookmarkName="" int2:hashCode="IpPCLDHIYDX1Kk" int2:id="JSnG9iwu">
      <int2:state int2:value="Rejected" int2:type="style"/>
    </int2:bookmark>
    <int2:bookmark int2:bookmarkName="_Int_6e0Atcnw" int2:invalidationBookmarkName="" int2:hashCode="hw5nyYTrGbyb6F" int2:id="N5Xs3hOR">
      <int2:state int2:value="Rejected" int2:type="style"/>
    </int2:bookmark>
    <int2:bookmark int2:bookmarkName="_Int_EefvhAae" int2:invalidationBookmarkName="" int2:hashCode="ey8U85P/Li8y3l" int2:id="uJNCaugV">
      <int2:state int2:value="Rejected" int2:type="style"/>
    </int2:bookmark>
    <int2:bookmark int2:bookmarkName="_Int_QbFDbSrZ" int2:invalidationBookmarkName="" int2:hashCode="q6x18dm+eLzEIN" int2:id="JdSxKQYG">
      <int2:state int2:value="Rejected" int2:type="style"/>
    </int2:bookmark>
    <int2:bookmark int2:bookmarkName="_Int_bhfkAAye" int2:invalidationBookmarkName="" int2:hashCode="NcJ3bbjf52+NG6" int2:id="QkT1tgRJ">
      <int2:state int2:value="Rejected" int2:type="style"/>
    </int2:bookmark>
    <int2:bookmark int2:bookmarkName="_Int_Fexg4qmF" int2:invalidationBookmarkName="" int2:hashCode="RdoqFNKQP561c4" int2:id="zb8Fd8Rr">
      <int2:state int2:value="Rejected" int2:type="style"/>
    </int2:bookmark>
    <int2:bookmark int2:bookmarkName="_Int_WGqK12ER" int2:invalidationBookmarkName="" int2:hashCode="Zn4ZVneSCMFM/k" int2:id="znVPPzNq">
      <int2:state int2:value="Rejected" int2:type="style"/>
    </int2:bookmark>
    <int2:bookmark int2:bookmarkName="_Int_8xSGXA7j" int2:invalidationBookmarkName="" int2:hashCode="XBCTO60HnI4yRJ" int2:id="OWftQ3AU">
      <int2:state int2:value="Rejected" int2:type="style"/>
    </int2:bookmark>
    <int2:bookmark int2:bookmarkName="_Int_6IIohI8e" int2:invalidationBookmarkName="" int2:hashCode="bRUzPgMfLXYBK8" int2:id="FRnyrPeD">
      <int2:state int2:value="Rejected" int2:type="style"/>
    </int2:bookmark>
    <int2:bookmark int2:bookmarkName="_Int_qHtxVVWW" int2:invalidationBookmarkName="" int2:hashCode="qtfrMhwDU32X2k" int2:id="x2qpJOXR">
      <int2:state int2:value="Rejected" int2:type="style"/>
    </int2:bookmark>
    <int2:bookmark int2:bookmarkName="_Int_G5gajFYs" int2:invalidationBookmarkName="" int2:hashCode="t5jTvasuTgPwYt" int2:id="kVqixLJw">
      <int2:state int2:value="Rejected" int2:type="style"/>
    </int2:bookmark>
    <int2:bookmark int2:bookmarkName="_Int_8tBgyxwZ" int2:invalidationBookmarkName="" int2:hashCode="cJivQcCGviCus2" int2:id="DI3WfF6N">
      <int2:state int2:value="Rejected" int2:type="style"/>
    </int2:bookmark>
    <int2:bookmark int2:bookmarkName="_Int_RXSJdzXR" int2:invalidationBookmarkName="" int2:hashCode="t5jTvasuTgPwYt" int2:id="9FvvTJFd">
      <int2:state int2:value="Rejected" int2:type="style"/>
    </int2:bookmark>
    <int2:bookmark int2:bookmarkName="_Int_173NWcOV" int2:invalidationBookmarkName="" int2:hashCode="GIUboHCkpxRe9k" int2:id="CtxqhMQ6">
      <int2:state int2:value="Rejected" int2:type="style"/>
    </int2:bookmark>
    <int2:bookmark int2:bookmarkName="_Int_F8bn8MGI" int2:invalidationBookmarkName="" int2:hashCode="OkZjHpsdjf6BAE" int2:id="C59vuuhe">
      <int2:state int2:value="Rejected" int2:type="style"/>
    </int2:bookmark>
    <int2:bookmark int2:bookmarkName="_Int_FZP4HpWq" int2:invalidationBookmarkName="" int2:hashCode="hw5nyYTrGbyb6F" int2:id="Z0PfIPlL">
      <int2:state int2:value="Rejected" int2:type="style"/>
    </int2:bookmark>
    <int2:bookmark int2:bookmarkName="_Int_VyShlig1" int2:invalidationBookmarkName="" int2:hashCode="t5jTvasuTgPwYt" int2:id="h48fTjY2">
      <int2:state int2:value="Rejected" int2:type="style"/>
    </int2:bookmark>
    <int2:bookmark int2:bookmarkName="_Int_4RqKMDgs" int2:invalidationBookmarkName="" int2:hashCode="3QVBO3osmGETDx" int2:id="JiMLGTrR">
      <int2:state int2:value="Rejected" int2:type="style"/>
    </int2:bookmark>
    <int2:bookmark int2:bookmarkName="_Int_ZbOlGrbf" int2:invalidationBookmarkName="" int2:hashCode="I6vN05NlwWjkbH" int2:id="vLZqmKzn">
      <int2:state int2:value="Rejected" int2:type="style"/>
    </int2:bookmark>
    <int2:bookmark int2:bookmarkName="_Int_ElCo6Utp" int2:invalidationBookmarkName="" int2:hashCode="58aOO3nxJAPtR1" int2:id="fd04KVvX">
      <int2:state int2:value="Rejected" int2:type="style"/>
    </int2:bookmark>
    <int2:bookmark int2:bookmarkName="_Int_cKRyiAQn" int2:invalidationBookmarkName="" int2:hashCode="zT0yYPELHUvIyy" int2:id="zrhdYHtF">
      <int2:state int2:value="Rejected" int2:type="style"/>
    </int2:bookmark>
    <int2:bookmark int2:bookmarkName="_Int_BvyVd94M" int2:invalidationBookmarkName="" int2:hashCode="XBCTO60HnI4yRJ" int2:id="l3B09lTN">
      <int2:state int2:value="Rejected" int2:type="style"/>
    </int2:bookmark>
    <int2:bookmark int2:bookmarkName="_Int_Hw5UeCfw" int2:invalidationBookmarkName="" int2:hashCode="KLPBTSlStTyuqm" int2:id="gHMWChPr">
      <int2:state int2:value="Rejected" int2:type="style"/>
    </int2:bookmark>
    <int2:bookmark int2:bookmarkName="_Int_rnSu3U9f" int2:invalidationBookmarkName="" int2:hashCode="D3Y9Vobkt9g6h9" int2:id="EN8wawII">
      <int2:state int2:value="Rejected" int2:type="style"/>
    </int2:bookmark>
    <int2:bookmark int2:bookmarkName="_Int_cXkyCo9V" int2:invalidationBookmarkName="" int2:hashCode="UiRzvdGsPV0WyN" int2:id="fFCVOx5P">
      <int2:state int2:value="Rejected" int2:type="gram"/>
    </int2:bookmark>
    <int2:bookmark int2:bookmarkName="_Int_4vx2GtLR" int2:invalidationBookmarkName="" int2:hashCode="qUfqv1KMbJQN15" int2:id="lpQNb2Fd">
      <int2:state int2:value="Rejected" int2:type="gram"/>
    </int2:bookmark>
    <int2:bookmark int2:bookmarkName="_Int_AkWupTor" int2:invalidationBookmarkName="" int2:hashCode="5JdGE985st4YIn" int2:id="dpY0kHxE">
      <int2:state int2:value="Rejected" int2:type="gram"/>
    </int2:bookmark>
    <int2:bookmark int2:bookmarkName="_Int_dpdjrqmk" int2:invalidationBookmarkName="" int2:hashCode="Iy5sf0+vk2Jcf2" int2:id="vyQbt7hq">
      <int2:state int2:value="Rejected" int2:type="gram"/>
    </int2:bookmark>
    <int2:bookmark int2:bookmarkName="_Int_VGZnUZby" int2:invalidationBookmarkName="" int2:hashCode="skkMgoS9XkLlHp" int2:id="6oSQFkvp">
      <int2:state int2:value="Rejected" int2:type="gram"/>
    </int2:bookmark>
    <int2:bookmark int2:bookmarkName="_Int_1Ccf8ab4" int2:invalidationBookmarkName="" int2:hashCode="bnsFDI+jAChuH4" int2:id="rNnSsUzW">
      <int2:state int2:value="Rejected" int2:type="gram"/>
    </int2:bookmark>
    <int2:bookmark int2:bookmarkName="_Int_mreRxZD7" int2:invalidationBookmarkName="" int2:hashCode="C0kKVVHx5x5BBd" int2:id="wTt6n4EO">
      <int2:state int2:value="Rejected" int2:type="gram"/>
    </int2:bookmark>
    <int2:bookmark int2:bookmarkName="_Int_7MSzkGf5" int2:invalidationBookmarkName="" int2:hashCode="C0kKVVHx5x5BBd" int2:id="nmjWUrXV">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04989"/>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1E0B9554"/>
    <w:multiLevelType w:val="hybridMultilevel"/>
    <w:tmpl w:val="FFFFFFFF"/>
    <w:lvl w:ilvl="0" w:tplc="655876EA">
      <w:start w:val="1"/>
      <w:numFmt w:val="lowerRoman"/>
      <w:lvlText w:val="(%1)"/>
      <w:lvlJc w:val="right"/>
      <w:pPr>
        <w:ind w:left="720" w:hanging="360"/>
      </w:pPr>
    </w:lvl>
    <w:lvl w:ilvl="1" w:tplc="6A604E4E">
      <w:start w:val="1"/>
      <w:numFmt w:val="lowerLetter"/>
      <w:lvlText w:val="%2."/>
      <w:lvlJc w:val="left"/>
      <w:pPr>
        <w:ind w:left="1440" w:hanging="360"/>
      </w:pPr>
    </w:lvl>
    <w:lvl w:ilvl="2" w:tplc="8BBC2794">
      <w:start w:val="1"/>
      <w:numFmt w:val="lowerRoman"/>
      <w:lvlText w:val="%3."/>
      <w:lvlJc w:val="right"/>
      <w:pPr>
        <w:ind w:left="2160" w:hanging="180"/>
      </w:pPr>
    </w:lvl>
    <w:lvl w:ilvl="3" w:tplc="9CCCD896">
      <w:start w:val="1"/>
      <w:numFmt w:val="decimal"/>
      <w:lvlText w:val="%4."/>
      <w:lvlJc w:val="left"/>
      <w:pPr>
        <w:ind w:left="2880" w:hanging="360"/>
      </w:pPr>
    </w:lvl>
    <w:lvl w:ilvl="4" w:tplc="A790EBD6">
      <w:start w:val="1"/>
      <w:numFmt w:val="lowerLetter"/>
      <w:lvlText w:val="%5."/>
      <w:lvlJc w:val="left"/>
      <w:pPr>
        <w:ind w:left="3600" w:hanging="360"/>
      </w:pPr>
    </w:lvl>
    <w:lvl w:ilvl="5" w:tplc="1F8A3B3C">
      <w:start w:val="1"/>
      <w:numFmt w:val="lowerRoman"/>
      <w:lvlText w:val="%6."/>
      <w:lvlJc w:val="right"/>
      <w:pPr>
        <w:ind w:left="4320" w:hanging="180"/>
      </w:pPr>
    </w:lvl>
    <w:lvl w:ilvl="6" w:tplc="E6EEBDEA">
      <w:start w:val="1"/>
      <w:numFmt w:val="decimal"/>
      <w:lvlText w:val="%7."/>
      <w:lvlJc w:val="left"/>
      <w:pPr>
        <w:ind w:left="5040" w:hanging="360"/>
      </w:pPr>
    </w:lvl>
    <w:lvl w:ilvl="7" w:tplc="3BB6496C">
      <w:start w:val="1"/>
      <w:numFmt w:val="lowerLetter"/>
      <w:lvlText w:val="%8."/>
      <w:lvlJc w:val="left"/>
      <w:pPr>
        <w:ind w:left="5760" w:hanging="360"/>
      </w:pPr>
    </w:lvl>
    <w:lvl w:ilvl="8" w:tplc="26B67692">
      <w:start w:val="1"/>
      <w:numFmt w:val="lowerRoman"/>
      <w:lvlText w:val="%9."/>
      <w:lvlJc w:val="right"/>
      <w:pPr>
        <w:ind w:left="6480" w:hanging="180"/>
      </w:pPr>
    </w:lvl>
  </w:abstractNum>
  <w:abstractNum w:abstractNumId="2" w15:restartNumberingAfterBreak="0">
    <w:nsid w:val="4D66006A"/>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62D6434B"/>
    <w:multiLevelType w:val="hybridMultilevel"/>
    <w:tmpl w:val="FFFFFFFF"/>
    <w:lvl w:ilvl="0" w:tplc="98521AB4">
      <w:start w:val="1"/>
      <w:numFmt w:val="bullet"/>
      <w:lvlText w:val=""/>
      <w:lvlJc w:val="left"/>
      <w:pPr>
        <w:ind w:left="720" w:hanging="360"/>
      </w:pPr>
      <w:rPr>
        <w:rFonts w:ascii="Symbol" w:hAnsi="Symbol" w:hint="default"/>
      </w:rPr>
    </w:lvl>
    <w:lvl w:ilvl="1" w:tplc="E03638D0">
      <w:start w:val="1"/>
      <w:numFmt w:val="bullet"/>
      <w:lvlText w:val="o"/>
      <w:lvlJc w:val="left"/>
      <w:pPr>
        <w:ind w:left="1440" w:hanging="360"/>
      </w:pPr>
      <w:rPr>
        <w:rFonts w:ascii="Courier New" w:hAnsi="Courier New" w:hint="default"/>
      </w:rPr>
    </w:lvl>
    <w:lvl w:ilvl="2" w:tplc="F872C98E">
      <w:start w:val="1"/>
      <w:numFmt w:val="bullet"/>
      <w:lvlText w:val=""/>
      <w:lvlJc w:val="left"/>
      <w:pPr>
        <w:ind w:left="2160" w:hanging="360"/>
      </w:pPr>
      <w:rPr>
        <w:rFonts w:ascii="Wingdings" w:hAnsi="Wingdings" w:hint="default"/>
      </w:rPr>
    </w:lvl>
    <w:lvl w:ilvl="3" w:tplc="F360648A">
      <w:start w:val="1"/>
      <w:numFmt w:val="bullet"/>
      <w:lvlText w:val=""/>
      <w:lvlJc w:val="left"/>
      <w:pPr>
        <w:ind w:left="2880" w:hanging="360"/>
      </w:pPr>
      <w:rPr>
        <w:rFonts w:ascii="Symbol" w:hAnsi="Symbol" w:hint="default"/>
      </w:rPr>
    </w:lvl>
    <w:lvl w:ilvl="4" w:tplc="7B4EE542">
      <w:start w:val="1"/>
      <w:numFmt w:val="bullet"/>
      <w:lvlText w:val="o"/>
      <w:lvlJc w:val="left"/>
      <w:pPr>
        <w:ind w:left="3600" w:hanging="360"/>
      </w:pPr>
      <w:rPr>
        <w:rFonts w:ascii="Courier New" w:hAnsi="Courier New" w:hint="default"/>
      </w:rPr>
    </w:lvl>
    <w:lvl w:ilvl="5" w:tplc="8FECCF54">
      <w:start w:val="1"/>
      <w:numFmt w:val="bullet"/>
      <w:lvlText w:val=""/>
      <w:lvlJc w:val="left"/>
      <w:pPr>
        <w:ind w:left="4320" w:hanging="360"/>
      </w:pPr>
      <w:rPr>
        <w:rFonts w:ascii="Wingdings" w:hAnsi="Wingdings" w:hint="default"/>
      </w:rPr>
    </w:lvl>
    <w:lvl w:ilvl="6" w:tplc="4D3AFB82">
      <w:start w:val="1"/>
      <w:numFmt w:val="bullet"/>
      <w:lvlText w:val=""/>
      <w:lvlJc w:val="left"/>
      <w:pPr>
        <w:ind w:left="5040" w:hanging="360"/>
      </w:pPr>
      <w:rPr>
        <w:rFonts w:ascii="Symbol" w:hAnsi="Symbol" w:hint="default"/>
      </w:rPr>
    </w:lvl>
    <w:lvl w:ilvl="7" w:tplc="59F43810">
      <w:start w:val="1"/>
      <w:numFmt w:val="bullet"/>
      <w:lvlText w:val="o"/>
      <w:lvlJc w:val="left"/>
      <w:pPr>
        <w:ind w:left="5760" w:hanging="360"/>
      </w:pPr>
      <w:rPr>
        <w:rFonts w:ascii="Courier New" w:hAnsi="Courier New" w:hint="default"/>
      </w:rPr>
    </w:lvl>
    <w:lvl w:ilvl="8" w:tplc="44E68C76">
      <w:start w:val="1"/>
      <w:numFmt w:val="bullet"/>
      <w:lvlText w:val=""/>
      <w:lvlJc w:val="left"/>
      <w:pPr>
        <w:ind w:left="6480" w:hanging="360"/>
      </w:pPr>
      <w:rPr>
        <w:rFonts w:ascii="Wingdings" w:hAnsi="Wingdings" w:hint="default"/>
      </w:rPr>
    </w:lvl>
  </w:abstractNum>
  <w:abstractNum w:abstractNumId="4" w15:restartNumberingAfterBreak="0">
    <w:nsid w:val="6B1B1571"/>
    <w:multiLevelType w:val="hybridMultilevel"/>
    <w:tmpl w:val="FFFFFFFF"/>
    <w:lvl w:ilvl="0" w:tplc="57A81E1C">
      <w:start w:val="1"/>
      <w:numFmt w:val="bullet"/>
      <w:lvlText w:val=""/>
      <w:lvlJc w:val="left"/>
      <w:pPr>
        <w:ind w:left="720" w:hanging="360"/>
      </w:pPr>
      <w:rPr>
        <w:rFonts w:ascii="Symbol" w:hAnsi="Symbol" w:hint="default"/>
      </w:rPr>
    </w:lvl>
    <w:lvl w:ilvl="1" w:tplc="871233CC">
      <w:start w:val="1"/>
      <w:numFmt w:val="bullet"/>
      <w:lvlText w:val="o"/>
      <w:lvlJc w:val="left"/>
      <w:pPr>
        <w:ind w:left="1440" w:hanging="360"/>
      </w:pPr>
      <w:rPr>
        <w:rFonts w:ascii="Courier New" w:hAnsi="Courier New" w:hint="default"/>
      </w:rPr>
    </w:lvl>
    <w:lvl w:ilvl="2" w:tplc="8D3E0D8A">
      <w:start w:val="1"/>
      <w:numFmt w:val="bullet"/>
      <w:lvlText w:val=""/>
      <w:lvlJc w:val="left"/>
      <w:pPr>
        <w:ind w:left="2160" w:hanging="360"/>
      </w:pPr>
      <w:rPr>
        <w:rFonts w:ascii="Wingdings" w:hAnsi="Wingdings" w:hint="default"/>
      </w:rPr>
    </w:lvl>
    <w:lvl w:ilvl="3" w:tplc="D2BAABE8">
      <w:start w:val="1"/>
      <w:numFmt w:val="bullet"/>
      <w:lvlText w:val=""/>
      <w:lvlJc w:val="left"/>
      <w:pPr>
        <w:ind w:left="2880" w:hanging="360"/>
      </w:pPr>
      <w:rPr>
        <w:rFonts w:ascii="Symbol" w:hAnsi="Symbol" w:hint="default"/>
      </w:rPr>
    </w:lvl>
    <w:lvl w:ilvl="4" w:tplc="704C7B38">
      <w:start w:val="1"/>
      <w:numFmt w:val="bullet"/>
      <w:lvlText w:val="o"/>
      <w:lvlJc w:val="left"/>
      <w:pPr>
        <w:ind w:left="3600" w:hanging="360"/>
      </w:pPr>
      <w:rPr>
        <w:rFonts w:ascii="Courier New" w:hAnsi="Courier New" w:hint="default"/>
      </w:rPr>
    </w:lvl>
    <w:lvl w:ilvl="5" w:tplc="7D52274E">
      <w:start w:val="1"/>
      <w:numFmt w:val="bullet"/>
      <w:lvlText w:val=""/>
      <w:lvlJc w:val="left"/>
      <w:pPr>
        <w:ind w:left="4320" w:hanging="360"/>
      </w:pPr>
      <w:rPr>
        <w:rFonts w:ascii="Wingdings" w:hAnsi="Wingdings" w:hint="default"/>
      </w:rPr>
    </w:lvl>
    <w:lvl w:ilvl="6" w:tplc="22B03C9E">
      <w:start w:val="1"/>
      <w:numFmt w:val="bullet"/>
      <w:lvlText w:val=""/>
      <w:lvlJc w:val="left"/>
      <w:pPr>
        <w:ind w:left="5040" w:hanging="360"/>
      </w:pPr>
      <w:rPr>
        <w:rFonts w:ascii="Symbol" w:hAnsi="Symbol" w:hint="default"/>
      </w:rPr>
    </w:lvl>
    <w:lvl w:ilvl="7" w:tplc="C404726C">
      <w:start w:val="1"/>
      <w:numFmt w:val="bullet"/>
      <w:lvlText w:val="o"/>
      <w:lvlJc w:val="left"/>
      <w:pPr>
        <w:ind w:left="5760" w:hanging="360"/>
      </w:pPr>
      <w:rPr>
        <w:rFonts w:ascii="Courier New" w:hAnsi="Courier New" w:hint="default"/>
      </w:rPr>
    </w:lvl>
    <w:lvl w:ilvl="8" w:tplc="0B2E602A">
      <w:start w:val="1"/>
      <w:numFmt w:val="bullet"/>
      <w:lvlText w:val=""/>
      <w:lvlJc w:val="left"/>
      <w:pPr>
        <w:ind w:left="6480" w:hanging="360"/>
      </w:pPr>
      <w:rPr>
        <w:rFonts w:ascii="Wingdings" w:hAnsi="Wingdings" w:hint="default"/>
      </w:rPr>
    </w:lvl>
  </w:abstractNum>
  <w:num w:numId="1" w16cid:durableId="1923877803">
    <w:abstractNumId w:val="3"/>
  </w:num>
  <w:num w:numId="2" w16cid:durableId="1932539891">
    <w:abstractNumId w:val="0"/>
  </w:num>
  <w:num w:numId="3" w16cid:durableId="2117939575">
    <w:abstractNumId w:val="4"/>
  </w:num>
  <w:num w:numId="4" w16cid:durableId="58292076">
    <w:abstractNumId w:val="1"/>
  </w:num>
  <w:num w:numId="5" w16cid:durableId="6570027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E0ACBC"/>
    <w:rsid w:val="00003BE3"/>
    <w:rsid w:val="00023BAB"/>
    <w:rsid w:val="000377B7"/>
    <w:rsid w:val="00047509"/>
    <w:rsid w:val="00056594"/>
    <w:rsid w:val="00060035"/>
    <w:rsid w:val="000609C7"/>
    <w:rsid w:val="00060EC5"/>
    <w:rsid w:val="00087B10"/>
    <w:rsid w:val="00090B9C"/>
    <w:rsid w:val="000A7533"/>
    <w:rsid w:val="000C09B7"/>
    <w:rsid w:val="000C2302"/>
    <w:rsid w:val="000D1323"/>
    <w:rsid w:val="000E3D5E"/>
    <w:rsid w:val="000F309C"/>
    <w:rsid w:val="00101E35"/>
    <w:rsid w:val="0010252D"/>
    <w:rsid w:val="001142FD"/>
    <w:rsid w:val="00115652"/>
    <w:rsid w:val="00122378"/>
    <w:rsid w:val="00133E45"/>
    <w:rsid w:val="00137747"/>
    <w:rsid w:val="0014719C"/>
    <w:rsid w:val="00147776"/>
    <w:rsid w:val="00156D23"/>
    <w:rsid w:val="00191391"/>
    <w:rsid w:val="00194B09"/>
    <w:rsid w:val="00197D35"/>
    <w:rsid w:val="001B0FCB"/>
    <w:rsid w:val="001B1C51"/>
    <w:rsid w:val="001C1127"/>
    <w:rsid w:val="001C245C"/>
    <w:rsid w:val="001C6D25"/>
    <w:rsid w:val="001E013C"/>
    <w:rsid w:val="001E09EF"/>
    <w:rsid w:val="001E6FC4"/>
    <w:rsid w:val="001F6705"/>
    <w:rsid w:val="002041AA"/>
    <w:rsid w:val="0023421F"/>
    <w:rsid w:val="002448D8"/>
    <w:rsid w:val="00244973"/>
    <w:rsid w:val="002479D9"/>
    <w:rsid w:val="00257A5B"/>
    <w:rsid w:val="00264AA1"/>
    <w:rsid w:val="00267120"/>
    <w:rsid w:val="00276380"/>
    <w:rsid w:val="00277EB1"/>
    <w:rsid w:val="002850C8"/>
    <w:rsid w:val="00290457"/>
    <w:rsid w:val="00291CA1"/>
    <w:rsid w:val="00296869"/>
    <w:rsid w:val="002B76CF"/>
    <w:rsid w:val="002D19A8"/>
    <w:rsid w:val="002D74D3"/>
    <w:rsid w:val="002E3A1F"/>
    <w:rsid w:val="002F7ED8"/>
    <w:rsid w:val="0030098B"/>
    <w:rsid w:val="00305B17"/>
    <w:rsid w:val="0031029C"/>
    <w:rsid w:val="00324A4F"/>
    <w:rsid w:val="003252E6"/>
    <w:rsid w:val="00330F40"/>
    <w:rsid w:val="003407DB"/>
    <w:rsid w:val="00350DD4"/>
    <w:rsid w:val="003522D3"/>
    <w:rsid w:val="00352C5C"/>
    <w:rsid w:val="00354C34"/>
    <w:rsid w:val="00377366"/>
    <w:rsid w:val="00386982"/>
    <w:rsid w:val="003C1442"/>
    <w:rsid w:val="003C6039"/>
    <w:rsid w:val="003F746F"/>
    <w:rsid w:val="0040743F"/>
    <w:rsid w:val="004108E8"/>
    <w:rsid w:val="004151DD"/>
    <w:rsid w:val="00421D7B"/>
    <w:rsid w:val="004522D8"/>
    <w:rsid w:val="004A4C19"/>
    <w:rsid w:val="004B44FE"/>
    <w:rsid w:val="004B5198"/>
    <w:rsid w:val="004B5D47"/>
    <w:rsid w:val="004C0790"/>
    <w:rsid w:val="004C70AB"/>
    <w:rsid w:val="004D328D"/>
    <w:rsid w:val="004D6A83"/>
    <w:rsid w:val="004E1903"/>
    <w:rsid w:val="004E6B37"/>
    <w:rsid w:val="00504F86"/>
    <w:rsid w:val="0051184A"/>
    <w:rsid w:val="00515B81"/>
    <w:rsid w:val="005378E2"/>
    <w:rsid w:val="0054531B"/>
    <w:rsid w:val="005566AE"/>
    <w:rsid w:val="0058250C"/>
    <w:rsid w:val="005909FF"/>
    <w:rsid w:val="005949CC"/>
    <w:rsid w:val="00594E2A"/>
    <w:rsid w:val="005A42ED"/>
    <w:rsid w:val="005B40D1"/>
    <w:rsid w:val="005C0C23"/>
    <w:rsid w:val="005C55B8"/>
    <w:rsid w:val="005F0F4C"/>
    <w:rsid w:val="006053A9"/>
    <w:rsid w:val="00606A34"/>
    <w:rsid w:val="006073B6"/>
    <w:rsid w:val="006267AB"/>
    <w:rsid w:val="00631DBE"/>
    <w:rsid w:val="0064474E"/>
    <w:rsid w:val="00657E5E"/>
    <w:rsid w:val="006836A9"/>
    <w:rsid w:val="0069734C"/>
    <w:rsid w:val="006A666A"/>
    <w:rsid w:val="006B535A"/>
    <w:rsid w:val="006C0C66"/>
    <w:rsid w:val="006C33BA"/>
    <w:rsid w:val="006D2924"/>
    <w:rsid w:val="006D2F0E"/>
    <w:rsid w:val="006D3873"/>
    <w:rsid w:val="006E18EA"/>
    <w:rsid w:val="006F2DCD"/>
    <w:rsid w:val="00717316"/>
    <w:rsid w:val="00721661"/>
    <w:rsid w:val="0073270A"/>
    <w:rsid w:val="00742A19"/>
    <w:rsid w:val="00756B66"/>
    <w:rsid w:val="00756CB9"/>
    <w:rsid w:val="00770117"/>
    <w:rsid w:val="0077461A"/>
    <w:rsid w:val="00795979"/>
    <w:rsid w:val="007C2E4A"/>
    <w:rsid w:val="007C6CB4"/>
    <w:rsid w:val="007D45AB"/>
    <w:rsid w:val="007F1324"/>
    <w:rsid w:val="007F1F95"/>
    <w:rsid w:val="008002B2"/>
    <w:rsid w:val="00802104"/>
    <w:rsid w:val="00802271"/>
    <w:rsid w:val="00823E85"/>
    <w:rsid w:val="00825580"/>
    <w:rsid w:val="0084532F"/>
    <w:rsid w:val="008531F1"/>
    <w:rsid w:val="008673A3"/>
    <w:rsid w:val="008715BF"/>
    <w:rsid w:val="00884A1B"/>
    <w:rsid w:val="00895CB4"/>
    <w:rsid w:val="008B5CB8"/>
    <w:rsid w:val="008C17BC"/>
    <w:rsid w:val="008C5361"/>
    <w:rsid w:val="008D037C"/>
    <w:rsid w:val="008D339C"/>
    <w:rsid w:val="008E0FAF"/>
    <w:rsid w:val="008F79C5"/>
    <w:rsid w:val="00903C42"/>
    <w:rsid w:val="00904454"/>
    <w:rsid w:val="00905458"/>
    <w:rsid w:val="009110EB"/>
    <w:rsid w:val="00924138"/>
    <w:rsid w:val="0092546C"/>
    <w:rsid w:val="0093145A"/>
    <w:rsid w:val="009315F6"/>
    <w:rsid w:val="009604BA"/>
    <w:rsid w:val="00972AAE"/>
    <w:rsid w:val="00981CFC"/>
    <w:rsid w:val="00984EDF"/>
    <w:rsid w:val="009864E6"/>
    <w:rsid w:val="0099646B"/>
    <w:rsid w:val="009A687F"/>
    <w:rsid w:val="009B464F"/>
    <w:rsid w:val="009B7D72"/>
    <w:rsid w:val="009C2AF1"/>
    <w:rsid w:val="009C43B2"/>
    <w:rsid w:val="009F6F26"/>
    <w:rsid w:val="00A55E6C"/>
    <w:rsid w:val="00A6447C"/>
    <w:rsid w:val="00A64F7C"/>
    <w:rsid w:val="00A72503"/>
    <w:rsid w:val="00A76D5A"/>
    <w:rsid w:val="00A91068"/>
    <w:rsid w:val="00AA08AF"/>
    <w:rsid w:val="00AA7F0F"/>
    <w:rsid w:val="00AD4BF5"/>
    <w:rsid w:val="00AF5A31"/>
    <w:rsid w:val="00B161BA"/>
    <w:rsid w:val="00B17853"/>
    <w:rsid w:val="00B23A8A"/>
    <w:rsid w:val="00B33AF3"/>
    <w:rsid w:val="00B53EBA"/>
    <w:rsid w:val="00B66FF8"/>
    <w:rsid w:val="00B72840"/>
    <w:rsid w:val="00B82602"/>
    <w:rsid w:val="00B86D19"/>
    <w:rsid w:val="00B946A4"/>
    <w:rsid w:val="00BA0F88"/>
    <w:rsid w:val="00BA6B28"/>
    <w:rsid w:val="00BB2C1F"/>
    <w:rsid w:val="00BE7B16"/>
    <w:rsid w:val="00BF4AC9"/>
    <w:rsid w:val="00C13538"/>
    <w:rsid w:val="00C33D66"/>
    <w:rsid w:val="00C4232A"/>
    <w:rsid w:val="00C440CE"/>
    <w:rsid w:val="00C6338F"/>
    <w:rsid w:val="00C74BBB"/>
    <w:rsid w:val="00C83BCD"/>
    <w:rsid w:val="00C86874"/>
    <w:rsid w:val="00C94B43"/>
    <w:rsid w:val="00C96E28"/>
    <w:rsid w:val="00CA1D39"/>
    <w:rsid w:val="00CB6968"/>
    <w:rsid w:val="00CC1BD0"/>
    <w:rsid w:val="00CC44D9"/>
    <w:rsid w:val="00CC482C"/>
    <w:rsid w:val="00CC5D4C"/>
    <w:rsid w:val="00CC6A47"/>
    <w:rsid w:val="00CD2E49"/>
    <w:rsid w:val="00CD3EE3"/>
    <w:rsid w:val="00CD454D"/>
    <w:rsid w:val="00CE3834"/>
    <w:rsid w:val="00CE55BA"/>
    <w:rsid w:val="00CF7C98"/>
    <w:rsid w:val="00D05AED"/>
    <w:rsid w:val="00D203BE"/>
    <w:rsid w:val="00D258DA"/>
    <w:rsid w:val="00D40B1A"/>
    <w:rsid w:val="00D56E6E"/>
    <w:rsid w:val="00D603F4"/>
    <w:rsid w:val="00D61477"/>
    <w:rsid w:val="00D6452E"/>
    <w:rsid w:val="00D74EFE"/>
    <w:rsid w:val="00D80492"/>
    <w:rsid w:val="00D84F7C"/>
    <w:rsid w:val="00D91B9B"/>
    <w:rsid w:val="00DA37E2"/>
    <w:rsid w:val="00DC358D"/>
    <w:rsid w:val="00DD7D24"/>
    <w:rsid w:val="00DE2D51"/>
    <w:rsid w:val="00DE513F"/>
    <w:rsid w:val="00DE5F70"/>
    <w:rsid w:val="00E0702D"/>
    <w:rsid w:val="00E12BA7"/>
    <w:rsid w:val="00E561F5"/>
    <w:rsid w:val="00E8052B"/>
    <w:rsid w:val="00E82657"/>
    <w:rsid w:val="00E82A2B"/>
    <w:rsid w:val="00E85AED"/>
    <w:rsid w:val="00EC29F8"/>
    <w:rsid w:val="00ED0AFD"/>
    <w:rsid w:val="00ED3AA1"/>
    <w:rsid w:val="00EE212A"/>
    <w:rsid w:val="00EE6843"/>
    <w:rsid w:val="00EF01D2"/>
    <w:rsid w:val="00EF1324"/>
    <w:rsid w:val="00F153DA"/>
    <w:rsid w:val="00F2152C"/>
    <w:rsid w:val="00F217BB"/>
    <w:rsid w:val="00F47DBA"/>
    <w:rsid w:val="00F53244"/>
    <w:rsid w:val="00F55B0E"/>
    <w:rsid w:val="00F73952"/>
    <w:rsid w:val="00F76BEB"/>
    <w:rsid w:val="00F93BBA"/>
    <w:rsid w:val="00F95387"/>
    <w:rsid w:val="00FB009C"/>
    <w:rsid w:val="00FB0A2E"/>
    <w:rsid w:val="00FB0E88"/>
    <w:rsid w:val="00FB7D17"/>
    <w:rsid w:val="00FC7270"/>
    <w:rsid w:val="00FD236A"/>
    <w:rsid w:val="00FD4F9F"/>
    <w:rsid w:val="00FD5019"/>
    <w:rsid w:val="00FE2000"/>
    <w:rsid w:val="00FE390D"/>
    <w:rsid w:val="00FF0BB4"/>
    <w:rsid w:val="04C5744E"/>
    <w:rsid w:val="0530E5DA"/>
    <w:rsid w:val="0625E294"/>
    <w:rsid w:val="06CD66C3"/>
    <w:rsid w:val="07A3D55F"/>
    <w:rsid w:val="0EB1A032"/>
    <w:rsid w:val="0EB25328"/>
    <w:rsid w:val="0EF93462"/>
    <w:rsid w:val="0FFEE4BC"/>
    <w:rsid w:val="11232BEB"/>
    <w:rsid w:val="12E571CC"/>
    <w:rsid w:val="14264DAE"/>
    <w:rsid w:val="16E02B12"/>
    <w:rsid w:val="16E725D0"/>
    <w:rsid w:val="19A39494"/>
    <w:rsid w:val="19B70D91"/>
    <w:rsid w:val="1A5D2D77"/>
    <w:rsid w:val="1B56F70D"/>
    <w:rsid w:val="210FA1B0"/>
    <w:rsid w:val="218799E1"/>
    <w:rsid w:val="222EDD47"/>
    <w:rsid w:val="23619A58"/>
    <w:rsid w:val="2837CDF9"/>
    <w:rsid w:val="29E82E0F"/>
    <w:rsid w:val="2C663574"/>
    <w:rsid w:val="2F0B64E2"/>
    <w:rsid w:val="3027EB76"/>
    <w:rsid w:val="3031EE46"/>
    <w:rsid w:val="33047CB1"/>
    <w:rsid w:val="3AE2F663"/>
    <w:rsid w:val="3E0E8248"/>
    <w:rsid w:val="3E76D81C"/>
    <w:rsid w:val="44A18D91"/>
    <w:rsid w:val="4666F7B6"/>
    <w:rsid w:val="46EF7EC2"/>
    <w:rsid w:val="48D2C99B"/>
    <w:rsid w:val="49A87648"/>
    <w:rsid w:val="4D521685"/>
    <w:rsid w:val="502C49F5"/>
    <w:rsid w:val="54245F01"/>
    <w:rsid w:val="5542653D"/>
    <w:rsid w:val="56D43403"/>
    <w:rsid w:val="57300479"/>
    <w:rsid w:val="57329DEF"/>
    <w:rsid w:val="58E3D55A"/>
    <w:rsid w:val="597A27C9"/>
    <w:rsid w:val="61A991EC"/>
    <w:rsid w:val="65E0ACBC"/>
    <w:rsid w:val="672B1399"/>
    <w:rsid w:val="679C28A2"/>
    <w:rsid w:val="6995E142"/>
    <w:rsid w:val="6AC657C3"/>
    <w:rsid w:val="6BD298E0"/>
    <w:rsid w:val="6E7EF959"/>
    <w:rsid w:val="70884599"/>
    <w:rsid w:val="71C11696"/>
    <w:rsid w:val="724CEE43"/>
    <w:rsid w:val="72B09726"/>
    <w:rsid w:val="735ADDE4"/>
    <w:rsid w:val="77C482F4"/>
    <w:rsid w:val="77EEF0F4"/>
    <w:rsid w:val="7A069FBE"/>
    <w:rsid w:val="7AD03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0ACBC"/>
  <w15:chartTrackingRefBased/>
  <w15:docId w15:val="{68D07556-C737-4E4F-B1E2-21F3C9A6E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6EF7EC2"/>
    <w:pPr>
      <w:ind w:left="720"/>
      <w:contextualSpacing/>
    </w:pPr>
  </w:style>
  <w:style w:type="paragraph" w:styleId="NormalWeb">
    <w:name w:val="Normal (Web)"/>
    <w:basedOn w:val="Normal"/>
    <w:uiPriority w:val="99"/>
    <w:semiHidden/>
    <w:unhideWhenUsed/>
    <w:rsid w:val="005C0C23"/>
    <w:pPr>
      <w:spacing w:before="100" w:beforeAutospacing="1" w:after="100" w:afterAutospacing="1" w:line="240" w:lineRule="auto"/>
    </w:pPr>
    <w:rPr>
      <w:rFonts w:ascii="Times New Roman" w:hAnsi="Times New Roman" w:cs="Times New Roman"/>
      <w:lang w:val="en-GB" w:eastAsia="en-GB"/>
    </w:rPr>
  </w:style>
  <w:style w:type="character" w:customStyle="1" w:styleId="apple-converted-space">
    <w:name w:val="apple-converted-space"/>
    <w:basedOn w:val="DefaultParagraphFont"/>
    <w:rsid w:val="005C0C23"/>
  </w:style>
  <w:style w:type="paragraph" w:styleId="Header">
    <w:name w:val="header"/>
    <w:basedOn w:val="Normal"/>
    <w:link w:val="HeaderChar"/>
    <w:uiPriority w:val="99"/>
    <w:unhideWhenUsed/>
    <w:rsid w:val="004522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2D8"/>
  </w:style>
  <w:style w:type="paragraph" w:styleId="Footer">
    <w:name w:val="footer"/>
    <w:basedOn w:val="Normal"/>
    <w:link w:val="FooterChar"/>
    <w:uiPriority w:val="99"/>
    <w:unhideWhenUsed/>
    <w:rsid w:val="004522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2D8"/>
  </w:style>
  <w:style w:type="character" w:styleId="PageNumber">
    <w:name w:val="page number"/>
    <w:basedOn w:val="DefaultParagraphFont"/>
    <w:uiPriority w:val="99"/>
    <w:semiHidden/>
    <w:unhideWhenUsed/>
    <w:rsid w:val="001B1C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398</TotalTime>
  <Pages>16</Pages>
  <Words>4483</Words>
  <Characters>25559</Characters>
  <Application>Microsoft Office Word</Application>
  <DocSecurity>0</DocSecurity>
  <Lines>212</Lines>
  <Paragraphs>59</Paragraphs>
  <ScaleCrop>false</ScaleCrop>
  <Company/>
  <LinksUpToDate>false</LinksUpToDate>
  <CharactersWithSpaces>29983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Poveda Oates (2204258)</dc:creator>
  <cp:keywords/>
  <dc:description/>
  <cp:lastModifiedBy>Sophia Poveda Oates (2204258)</cp:lastModifiedBy>
  <cp:revision>241</cp:revision>
  <dcterms:created xsi:type="dcterms:W3CDTF">2025-11-18T12:13:00Z</dcterms:created>
  <dcterms:modified xsi:type="dcterms:W3CDTF">2026-01-11T21:18:00Z</dcterms:modified>
</cp:coreProperties>
</file>