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776645">
      <w:pPr>
        <w:jc w:val="center"/>
        <w:rPr>
          <w:sz w:val="24"/>
          <w:szCs w:val="24"/>
        </w:rPr>
      </w:pPr>
    </w:p>
    <w:p w:rsidR="00776645" w:rsidRPr="00776645" w:rsidRDefault="00776645" w:rsidP="00776645">
      <w:pPr>
        <w:pStyle w:val="yiv7228912334msonormal"/>
        <w:spacing w:before="120" w:beforeAutospacing="0" w:after="120" w:afterAutospacing="0"/>
        <w:jc w:val="center"/>
        <w:rPr>
          <w:rFonts w:ascii="Arial" w:hAnsi="Arial" w:cs="Arial"/>
          <w:b/>
          <w:bCs/>
          <w:color w:val="1D2228"/>
          <w:sz w:val="56"/>
          <w:szCs w:val="56"/>
        </w:rPr>
      </w:pPr>
    </w:p>
    <w:p w:rsidR="00776645" w:rsidRPr="00776645" w:rsidRDefault="00776645" w:rsidP="00776645">
      <w:pPr>
        <w:spacing w:after="0" w:line="240" w:lineRule="auto"/>
        <w:jc w:val="center"/>
        <w:rPr>
          <w:rFonts w:ascii="Times New Roman" w:eastAsia="Times New Roman" w:hAnsi="Times New Roman" w:cs="Times New Roman"/>
          <w:sz w:val="56"/>
          <w:szCs w:val="56"/>
        </w:rPr>
      </w:pPr>
      <w:proofErr w:type="gramStart"/>
      <w:r w:rsidRPr="00776645">
        <w:rPr>
          <w:rFonts w:ascii="Calibri" w:eastAsia="Times New Roman" w:hAnsi="Calibri" w:cs="Calibri"/>
          <w:b/>
          <w:bCs/>
          <w:color w:val="000000"/>
          <w:sz w:val="56"/>
          <w:szCs w:val="56"/>
        </w:rPr>
        <w:t>Separation of Powers Theory U</w:t>
      </w:r>
      <w:r>
        <w:rPr>
          <w:rFonts w:ascii="Calibri" w:eastAsia="Times New Roman" w:hAnsi="Calibri" w:cs="Calibri"/>
          <w:b/>
          <w:bCs/>
          <w:color w:val="000000"/>
          <w:sz w:val="56"/>
          <w:szCs w:val="56"/>
        </w:rPr>
        <w:t>. K.</w:t>
      </w:r>
      <w:proofErr w:type="gramEnd"/>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Pr="00776645" w:rsidRDefault="00776645" w:rsidP="00776645">
      <w:pPr>
        <w:shd w:val="clear" w:color="auto" w:fill="FFFFFF"/>
        <w:jc w:val="center"/>
        <w:textAlignment w:val="baseline"/>
        <w:rPr>
          <w:rFonts w:ascii="Calibri" w:eastAsia="Times New Roman" w:hAnsi="Calibri" w:cs="Calibri"/>
          <w:sz w:val="44"/>
          <w:szCs w:val="44"/>
        </w:rPr>
      </w:pPr>
      <w:r>
        <w:rPr>
          <w:rFonts w:ascii="Calibri" w:eastAsia="Times New Roman" w:hAnsi="Calibri" w:cs="Calibri"/>
          <w:sz w:val="44"/>
          <w:szCs w:val="44"/>
        </w:rPr>
        <w:t xml:space="preserve">- </w:t>
      </w:r>
      <w:proofErr w:type="gramStart"/>
      <w:r w:rsidRPr="00776645">
        <w:rPr>
          <w:rFonts w:ascii="Calibri" w:eastAsia="Times New Roman" w:hAnsi="Calibri" w:cs="Calibri"/>
          <w:sz w:val="44"/>
          <w:szCs w:val="44"/>
        </w:rPr>
        <w:t>the</w:t>
      </w:r>
      <w:proofErr w:type="gramEnd"/>
      <w:r w:rsidRPr="00776645">
        <w:rPr>
          <w:rFonts w:ascii="Calibri" w:eastAsia="Times New Roman" w:hAnsi="Calibri" w:cs="Calibri"/>
          <w:sz w:val="44"/>
          <w:szCs w:val="44"/>
        </w:rPr>
        <w:t xml:space="preserve"> advant</w:t>
      </w:r>
      <w:r>
        <w:rPr>
          <w:rFonts w:ascii="Calibri" w:eastAsia="Times New Roman" w:hAnsi="Calibri" w:cs="Calibri"/>
          <w:sz w:val="44"/>
          <w:szCs w:val="44"/>
        </w:rPr>
        <w:t>ages and disadvantages of the U. K.</w:t>
      </w:r>
      <w:r w:rsidRPr="00776645">
        <w:rPr>
          <w:rFonts w:ascii="Calibri" w:eastAsia="Times New Roman" w:hAnsi="Calibri" w:cs="Calibri"/>
          <w:sz w:val="44"/>
          <w:szCs w:val="44"/>
        </w:rPr>
        <w:t>’s separation of powers theory</w:t>
      </w:r>
      <w:r>
        <w:rPr>
          <w:rFonts w:ascii="Calibri" w:eastAsia="Times New Roman" w:hAnsi="Calibri" w:cs="Calibri"/>
          <w:sz w:val="44"/>
          <w:szCs w:val="44"/>
        </w:rPr>
        <w:t xml:space="preserve"> –</w:t>
      </w: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776645" w:rsidRDefault="00776645" w:rsidP="00A2181E">
      <w:pPr>
        <w:spacing w:after="0" w:line="240" w:lineRule="auto"/>
        <w:textAlignment w:val="baseline"/>
        <w:rPr>
          <w:rFonts w:ascii="Calibri" w:eastAsia="Times New Roman" w:hAnsi="Calibri" w:cs="Calibri"/>
          <w:color w:val="000000"/>
          <w:sz w:val="24"/>
          <w:szCs w:val="24"/>
        </w:rPr>
      </w:pPr>
    </w:p>
    <w:p w:rsidR="00A2181E" w:rsidRPr="00A2181E" w:rsidRDefault="00776645" w:rsidP="00A2181E">
      <w:pPr>
        <w:spacing w:after="0" w:line="240" w:lineRule="auto"/>
        <w:textAlignment w:val="baseline"/>
        <w:rPr>
          <w:rFonts w:ascii="Calibri" w:eastAsia="Times New Roman" w:hAnsi="Calibri" w:cs="Calibri"/>
          <w:color w:val="000000"/>
          <w:sz w:val="24"/>
          <w:szCs w:val="24"/>
        </w:rPr>
      </w:pPr>
      <w:r>
        <w:rPr>
          <w:rFonts w:ascii="Calibri" w:eastAsia="Times New Roman" w:hAnsi="Calibri" w:cs="Calibri"/>
          <w:color w:val="000000"/>
          <w:sz w:val="24"/>
          <w:szCs w:val="24"/>
        </w:rPr>
        <w:lastRenderedPageBreak/>
        <w:t xml:space="preserve">            Th</w:t>
      </w:r>
      <w:r w:rsidR="00A2181E" w:rsidRPr="00A2181E">
        <w:rPr>
          <w:rFonts w:ascii="Calibri" w:eastAsia="Times New Roman" w:hAnsi="Calibri" w:cs="Calibri"/>
          <w:color w:val="000000"/>
          <w:sz w:val="24"/>
          <w:szCs w:val="24"/>
        </w:rPr>
        <w:t xml:space="preserve">e United Kingdom's political structure has undergone significant changes due to devolution and constitutional reforms, creating a complex and evolving system of governance. The establishment of </w:t>
      </w:r>
      <w:r w:rsidR="00E12BD5">
        <w:rPr>
          <w:rFonts w:ascii="Calibri" w:eastAsia="Times New Roman" w:hAnsi="Calibri" w:cs="Calibri"/>
          <w:color w:val="000000"/>
          <w:sz w:val="24"/>
          <w:szCs w:val="24"/>
        </w:rPr>
        <w:t>decentralized legislative body</w:t>
      </w:r>
      <w:r w:rsidR="00A2181E" w:rsidRPr="00A2181E">
        <w:rPr>
          <w:rFonts w:ascii="Calibri" w:eastAsia="Times New Roman" w:hAnsi="Calibri" w:cs="Calibri"/>
          <w:color w:val="000000"/>
          <w:sz w:val="24"/>
          <w:szCs w:val="24"/>
        </w:rPr>
        <w:t xml:space="preserve"> such as the Scottish Parliament, the Welsh </w:t>
      </w:r>
      <w:proofErr w:type="spellStart"/>
      <w:r w:rsidR="00A2181E" w:rsidRPr="00A2181E">
        <w:rPr>
          <w:rFonts w:ascii="Calibri" w:eastAsia="Times New Roman" w:hAnsi="Calibri" w:cs="Calibri"/>
          <w:color w:val="000000"/>
          <w:sz w:val="24"/>
          <w:szCs w:val="24"/>
        </w:rPr>
        <w:t>Senedd</w:t>
      </w:r>
      <w:proofErr w:type="spellEnd"/>
      <w:r w:rsidR="00A2181E" w:rsidRPr="00A2181E">
        <w:rPr>
          <w:rFonts w:ascii="Calibri" w:eastAsia="Times New Roman" w:hAnsi="Calibri" w:cs="Calibri"/>
          <w:color w:val="000000"/>
          <w:sz w:val="24"/>
          <w:szCs w:val="24"/>
        </w:rPr>
        <w:t>, and the Northern Ireland Assembly has granted varying degrees of legislative and administrative autonomy to these regions, while ultimate authority remains with the UK Parliament in Westminster. This system reflects the UK's status as a unitary state rather than a federal one, as devolved powers can be revoked or amended by central government legislation</w:t>
      </w:r>
      <w:r w:rsidR="00DD295D">
        <w:rPr>
          <w:rFonts w:ascii="Calibri" w:eastAsia="Times New Roman" w:hAnsi="Calibri" w:cs="Calibri"/>
          <w:color w:val="000000"/>
          <w:sz w:val="24"/>
          <w:szCs w:val="24"/>
        </w:rPr>
        <w:t xml:space="preserve"> </w:t>
      </w:r>
      <w:r w:rsidR="00A2181E" w:rsidRPr="00A2181E">
        <w:rPr>
          <w:rFonts w:ascii="Calibri" w:eastAsia="Times New Roman" w:hAnsi="Calibri" w:cs="Calibri"/>
          <w:color w:val="000000"/>
          <w:sz w:val="24"/>
          <w:szCs w:val="24"/>
        </w:rPr>
        <w:t xml:space="preserve">(Kenny, 2024). The </w:t>
      </w:r>
      <w:r w:rsidR="00E12BD5">
        <w:rPr>
          <w:rFonts w:ascii="Calibri" w:eastAsia="Times New Roman" w:hAnsi="Calibri" w:cs="Calibri"/>
          <w:color w:val="000000"/>
          <w:sz w:val="24"/>
          <w:szCs w:val="24"/>
        </w:rPr>
        <w:t>doctrine</w:t>
      </w:r>
      <w:r w:rsidR="00A2181E" w:rsidRPr="00A2181E">
        <w:rPr>
          <w:rFonts w:ascii="Calibri" w:eastAsia="Times New Roman" w:hAnsi="Calibri" w:cs="Calibri"/>
          <w:color w:val="000000"/>
          <w:sz w:val="24"/>
          <w:szCs w:val="24"/>
        </w:rPr>
        <w:t xml:space="preserve"> of "separation of powers" implies that the cardinal organs of governance should operate with functional autonomy, preventing any single entity from wielding authority across multiple domains. This principle typically delineates three fundamental pillars of state: the executive, tasked with policy implementation; the legislature, </w:t>
      </w:r>
      <w:r w:rsidR="00E12BD5">
        <w:rPr>
          <w:rFonts w:ascii="Calibri" w:eastAsia="Times New Roman" w:hAnsi="Calibri" w:cs="Calibri"/>
          <w:color w:val="000000"/>
          <w:sz w:val="24"/>
          <w:szCs w:val="24"/>
        </w:rPr>
        <w:t>accountable for creating laws</w:t>
      </w:r>
      <w:r w:rsidR="00A2181E" w:rsidRPr="00A2181E">
        <w:rPr>
          <w:rFonts w:ascii="Calibri" w:eastAsia="Times New Roman" w:hAnsi="Calibri" w:cs="Calibri"/>
          <w:color w:val="000000"/>
          <w:sz w:val="24"/>
          <w:szCs w:val="24"/>
        </w:rPr>
        <w:t>; and the judiciary, entrusted with the interpretation and application of laws ( </w:t>
      </w:r>
      <w:hyperlink r:id="rId5" w:tgtFrame="_blank" w:tooltip="Original URL: https://www.parliament.uk/. Click or tap if you trust this link." w:history="1">
        <w:r w:rsidR="00A2181E" w:rsidRPr="00A2181E">
          <w:rPr>
            <w:rFonts w:ascii="Calibri" w:eastAsia="Times New Roman" w:hAnsi="Calibri" w:cs="Calibri"/>
            <w:color w:val="1155CC"/>
            <w:sz w:val="24"/>
            <w:szCs w:val="24"/>
            <w:u w:val="single"/>
          </w:rPr>
          <w:t>https://www.parliament.uk/</w:t>
        </w:r>
      </w:hyperlink>
      <w:r w:rsidR="00E12BD5">
        <w:rPr>
          <w:rFonts w:ascii="Calibri" w:eastAsia="Times New Roman" w:hAnsi="Calibri" w:cs="Calibri"/>
          <w:color w:val="000000"/>
          <w:sz w:val="24"/>
          <w:szCs w:val="24"/>
        </w:rPr>
        <w:t xml:space="preserve">, </w:t>
      </w:r>
      <w:r w:rsidR="00A2181E" w:rsidRPr="00A2181E">
        <w:rPr>
          <w:rFonts w:ascii="Calibri" w:eastAsia="Times New Roman" w:hAnsi="Calibri" w:cs="Calibri"/>
          <w:color w:val="000000"/>
          <w:sz w:val="24"/>
          <w:szCs w:val="24"/>
        </w:rPr>
        <w:t xml:space="preserve">2025). Taking into consideration the principle </w:t>
      </w:r>
      <w:proofErr w:type="gramStart"/>
      <w:r w:rsidR="00A2181E" w:rsidRPr="00A2181E">
        <w:rPr>
          <w:rFonts w:ascii="Calibri" w:eastAsia="Times New Roman" w:hAnsi="Calibri" w:cs="Calibri"/>
          <w:color w:val="000000"/>
          <w:sz w:val="24"/>
          <w:szCs w:val="24"/>
        </w:rPr>
        <w:t xml:space="preserve">of </w:t>
      </w:r>
      <w:r w:rsidR="00DD295D">
        <w:rPr>
          <w:rFonts w:ascii="Calibri" w:eastAsia="Times New Roman" w:hAnsi="Calibri" w:cs="Calibri"/>
          <w:color w:val="000000"/>
          <w:sz w:val="24"/>
          <w:szCs w:val="24"/>
        </w:rPr>
        <w:t xml:space="preserve"> </w:t>
      </w:r>
      <w:r w:rsidR="00A2181E" w:rsidRPr="00A2181E">
        <w:rPr>
          <w:rFonts w:ascii="Calibri" w:eastAsia="Times New Roman" w:hAnsi="Calibri" w:cs="Calibri"/>
          <w:color w:val="000000"/>
          <w:sz w:val="24"/>
          <w:szCs w:val="24"/>
        </w:rPr>
        <w:t>"</w:t>
      </w:r>
      <w:proofErr w:type="gramEnd"/>
      <w:r w:rsidR="00A2181E" w:rsidRPr="00A2181E">
        <w:rPr>
          <w:rFonts w:ascii="Calibri" w:eastAsia="Times New Roman" w:hAnsi="Calibri" w:cs="Calibri"/>
          <w:color w:val="000000"/>
          <w:sz w:val="24"/>
          <w:szCs w:val="24"/>
        </w:rPr>
        <w:t>separation of powers" and the overlapping of powers, in</w:t>
      </w:r>
      <w:r w:rsidR="00E12BD5">
        <w:rPr>
          <w:rFonts w:ascii="Calibri" w:eastAsia="Times New Roman" w:hAnsi="Calibri" w:cs="Calibri"/>
          <w:color w:val="000000"/>
          <w:sz w:val="24"/>
          <w:szCs w:val="24"/>
        </w:rPr>
        <w:t xml:space="preserve"> 2003, the </w:t>
      </w:r>
      <w:r w:rsidR="00DD295D">
        <w:rPr>
          <w:rFonts w:ascii="Calibri" w:eastAsia="Times New Roman" w:hAnsi="Calibri" w:cs="Calibri"/>
          <w:color w:val="000000"/>
          <w:sz w:val="24"/>
          <w:szCs w:val="24"/>
        </w:rPr>
        <w:t>Labor</w:t>
      </w:r>
      <w:r w:rsidR="00E12BD5">
        <w:rPr>
          <w:rFonts w:ascii="Calibri" w:eastAsia="Times New Roman" w:hAnsi="Calibri" w:cs="Calibri"/>
          <w:color w:val="000000"/>
          <w:sz w:val="24"/>
          <w:szCs w:val="24"/>
        </w:rPr>
        <w:t xml:space="preserve"> government led by Tony Blair</w:t>
      </w:r>
      <w:r w:rsidR="00A2181E" w:rsidRPr="00A2181E">
        <w:rPr>
          <w:rFonts w:ascii="Calibri" w:eastAsia="Times New Roman" w:hAnsi="Calibri" w:cs="Calibri"/>
          <w:color w:val="000000"/>
          <w:sz w:val="24"/>
          <w:szCs w:val="24"/>
        </w:rPr>
        <w:t xml:space="preserve"> decided to eliminate the role of Lord Chancellor in the judiciary </w:t>
      </w:r>
      <w:r w:rsidR="00E12BD5">
        <w:rPr>
          <w:rFonts w:ascii="Calibri" w:eastAsia="Times New Roman" w:hAnsi="Calibri" w:cs="Calibri"/>
          <w:color w:val="000000"/>
          <w:sz w:val="24"/>
          <w:szCs w:val="24"/>
        </w:rPr>
        <w:t xml:space="preserve">by preparing an Act of Parliament, </w:t>
      </w:r>
      <w:r w:rsidR="00A2181E" w:rsidRPr="00A2181E">
        <w:rPr>
          <w:rFonts w:ascii="Calibri" w:eastAsia="Times New Roman" w:hAnsi="Calibri" w:cs="Calibri"/>
          <w:color w:val="000000"/>
          <w:sz w:val="24"/>
          <w:szCs w:val="24"/>
        </w:rPr>
        <w:t xml:space="preserve">the Constitutional Reform Act 2005, </w:t>
      </w:r>
      <w:r w:rsidR="00E12BD5">
        <w:rPr>
          <w:rFonts w:ascii="Calibri" w:eastAsia="Times New Roman" w:hAnsi="Calibri" w:cs="Calibri"/>
          <w:color w:val="000000"/>
          <w:sz w:val="24"/>
          <w:szCs w:val="24"/>
        </w:rPr>
        <w:t xml:space="preserve">which </w:t>
      </w:r>
      <w:r w:rsidR="00A2181E" w:rsidRPr="00A2181E">
        <w:rPr>
          <w:rFonts w:ascii="Calibri" w:eastAsia="Times New Roman" w:hAnsi="Calibri" w:cs="Calibri"/>
          <w:color w:val="000000"/>
          <w:sz w:val="24"/>
          <w:szCs w:val="24"/>
        </w:rPr>
        <w:t>came as a protection of judicial independence(Wilson et al., 2020). </w:t>
      </w:r>
      <w:r w:rsidR="00DD295D">
        <w:rPr>
          <w:rFonts w:ascii="Calibri" w:eastAsia="Times New Roman" w:hAnsi="Calibri" w:cs="Calibri"/>
          <w:color w:val="000000"/>
          <w:sz w:val="24"/>
          <w:szCs w:val="24"/>
        </w:rPr>
        <w:t xml:space="preserve"> Going forward, o</w:t>
      </w:r>
      <w:r w:rsidR="00933BE2">
        <w:rPr>
          <w:rFonts w:ascii="Calibri" w:eastAsia="Times New Roman" w:hAnsi="Calibri" w:cs="Calibri"/>
          <w:color w:val="000000"/>
          <w:sz w:val="24"/>
          <w:szCs w:val="24"/>
        </w:rPr>
        <w:t>n</w:t>
      </w:r>
      <w:r w:rsidR="00A2181E" w:rsidRPr="00A2181E">
        <w:rPr>
          <w:rFonts w:ascii="Calibri" w:eastAsia="Times New Roman" w:hAnsi="Calibri" w:cs="Calibri"/>
          <w:color w:val="000000"/>
          <w:sz w:val="24"/>
          <w:szCs w:val="24"/>
        </w:rPr>
        <w:t xml:space="preserve"> the following, the </w:t>
      </w:r>
      <w:r w:rsidR="00E12BD5">
        <w:rPr>
          <w:rFonts w:ascii="Calibri" w:eastAsia="Times New Roman" w:hAnsi="Calibri" w:cs="Calibri"/>
          <w:color w:val="000000"/>
          <w:sz w:val="24"/>
          <w:szCs w:val="24"/>
        </w:rPr>
        <w:t>doctrine</w:t>
      </w:r>
      <w:r w:rsidR="00A2181E" w:rsidRPr="00A2181E">
        <w:rPr>
          <w:rFonts w:ascii="Calibri" w:eastAsia="Times New Roman" w:hAnsi="Calibri" w:cs="Calibri"/>
          <w:color w:val="000000"/>
          <w:sz w:val="24"/>
          <w:szCs w:val="24"/>
        </w:rPr>
        <w:t xml:space="preserve"> of separation of powers will be discussed, including details about the role of powers in the state of United Kingdom, before and after 2005, advantages and disadvantages of the changes brought by Constitutional Reform Act 2005, a proposal for reform and concluding whether the changes made in 2005 are beneficial to separating the powers in the state.</w:t>
      </w:r>
    </w:p>
    <w:p w:rsidR="00A2181E" w:rsidRPr="00A2181E" w:rsidRDefault="00873CFA" w:rsidP="00A2181E">
      <w:pPr>
        <w:spacing w:after="0" w:line="240" w:lineRule="auto"/>
        <w:textAlignment w:val="baseline"/>
        <w:rPr>
          <w:rFonts w:ascii="Calibri" w:eastAsia="Times New Roman" w:hAnsi="Calibri" w:cs="Calibri"/>
          <w:color w:val="000000"/>
          <w:sz w:val="24"/>
          <w:szCs w:val="24"/>
        </w:rPr>
      </w:pPr>
      <w:r>
        <w:rPr>
          <w:rFonts w:ascii="Calibri" w:eastAsia="Times New Roman" w:hAnsi="Calibri" w:cs="Calibri"/>
          <w:color w:val="000000"/>
          <w:sz w:val="24"/>
          <w:szCs w:val="24"/>
        </w:rPr>
        <w:t xml:space="preserve">            Before</w:t>
      </w:r>
      <w:r w:rsidR="00A2181E" w:rsidRPr="00A2181E">
        <w:rPr>
          <w:rFonts w:ascii="Calibri" w:eastAsia="Times New Roman" w:hAnsi="Calibri" w:cs="Calibri"/>
          <w:color w:val="000000"/>
          <w:sz w:val="24"/>
          <w:szCs w:val="24"/>
        </w:rPr>
        <w:t xml:space="preserve"> the</w:t>
      </w:r>
      <w:r>
        <w:rPr>
          <w:rFonts w:ascii="Calibri" w:eastAsia="Times New Roman" w:hAnsi="Calibri" w:cs="Calibri"/>
          <w:color w:val="000000"/>
          <w:sz w:val="24"/>
          <w:szCs w:val="24"/>
        </w:rPr>
        <w:t xml:space="preserve"> establishment of</w:t>
      </w:r>
      <w:r w:rsidR="00A2181E" w:rsidRPr="00A2181E">
        <w:rPr>
          <w:rFonts w:ascii="Calibri" w:eastAsia="Times New Roman" w:hAnsi="Calibri" w:cs="Calibri"/>
          <w:color w:val="000000"/>
          <w:sz w:val="24"/>
          <w:szCs w:val="24"/>
        </w:rPr>
        <w:t xml:space="preserve"> Constitutional Reform Act of 2005, the United Kingdom's highest court was not a separate institution but rather the Appellate Committee of the House of Lords, comprising the Law Lords. This unique arrangement allowed these senior judges to wear two hats: they served as the nation's top jurists while also retaining the right to participate in legislative activities as members of the House of Lords. This dual role created a complex situation where the same individuals could potentially shape laws in Parliament and then interpret those laws in their judicial capacity. While the Law Lords generally refrained from engaging in controversial legislative matters, their presence in both the judiciary and the legislature raised </w:t>
      </w:r>
      <w:r>
        <w:rPr>
          <w:rFonts w:ascii="Calibri" w:eastAsia="Times New Roman" w:hAnsi="Calibri" w:cs="Calibri"/>
          <w:color w:val="000000"/>
          <w:sz w:val="24"/>
          <w:szCs w:val="24"/>
        </w:rPr>
        <w:t xml:space="preserve">worries about the separation of </w:t>
      </w:r>
      <w:proofErr w:type="gramStart"/>
      <w:r>
        <w:rPr>
          <w:rFonts w:ascii="Calibri" w:eastAsia="Times New Roman" w:hAnsi="Calibri" w:cs="Calibri"/>
          <w:color w:val="000000"/>
          <w:sz w:val="24"/>
          <w:szCs w:val="24"/>
        </w:rPr>
        <w:t>powers</w:t>
      </w:r>
      <w:r w:rsidR="00A2181E" w:rsidRPr="00A2181E">
        <w:rPr>
          <w:rFonts w:ascii="Calibri" w:eastAsia="Times New Roman" w:hAnsi="Calibri" w:cs="Calibri"/>
          <w:color w:val="000000"/>
          <w:sz w:val="24"/>
          <w:szCs w:val="24"/>
        </w:rPr>
        <w:t>(</w:t>
      </w:r>
      <w:proofErr w:type="gramEnd"/>
      <w:r w:rsidR="00A2181E" w:rsidRPr="00A2181E">
        <w:rPr>
          <w:rFonts w:ascii="Calibri" w:eastAsia="Times New Roman" w:hAnsi="Calibri" w:cs="Calibri"/>
          <w:color w:val="000000"/>
          <w:sz w:val="24"/>
          <w:szCs w:val="24"/>
        </w:rPr>
        <w:t>Reed, 2021). Before the Constitutional Reform Act of 2005, the Lord Chancellor used to have multiple responsibilities and functions. The Lord Chancellor used to have an exclusive position in the Cabinet and also was in the components of the House of Lords, but, most importantly, the Lord Chancellor was the head of judiciary</w:t>
      </w:r>
      <w:r w:rsidR="0017263F">
        <w:rPr>
          <w:rFonts w:ascii="Calibri" w:eastAsia="Times New Roman" w:hAnsi="Calibri" w:cs="Calibri"/>
          <w:color w:val="000000"/>
          <w:sz w:val="24"/>
          <w:szCs w:val="24"/>
        </w:rPr>
        <w:t xml:space="preserve"> </w:t>
      </w:r>
      <w:r w:rsidR="00A2181E" w:rsidRPr="00A2181E">
        <w:rPr>
          <w:rFonts w:ascii="Calibri" w:eastAsia="Times New Roman" w:hAnsi="Calibri" w:cs="Calibri"/>
          <w:color w:val="000000"/>
          <w:sz w:val="24"/>
          <w:szCs w:val="24"/>
        </w:rPr>
        <w:t>(Wilson et al., 2020). </w:t>
      </w:r>
    </w:p>
    <w:p w:rsidR="00A2181E" w:rsidRPr="00A2181E" w:rsidRDefault="00A2181E" w:rsidP="00A2181E">
      <w:pPr>
        <w:spacing w:after="0" w:line="240" w:lineRule="auto"/>
        <w:textAlignment w:val="baseline"/>
        <w:rPr>
          <w:rFonts w:ascii="Calibri" w:eastAsia="Times New Roman" w:hAnsi="Calibri" w:cs="Calibri"/>
          <w:color w:val="000000"/>
          <w:sz w:val="24"/>
          <w:szCs w:val="24"/>
        </w:rPr>
      </w:pPr>
      <w:r w:rsidRPr="00A2181E">
        <w:rPr>
          <w:rFonts w:ascii="Calibri" w:eastAsia="Times New Roman" w:hAnsi="Calibri" w:cs="Calibri"/>
          <w:color w:val="000000"/>
          <w:sz w:val="24"/>
          <w:szCs w:val="24"/>
        </w:rPr>
        <w:t>            As an immediate result of the Constitutional Reform Act of 2005 the Lord Chancellor’s duty has been reduced in regards to nomination of judges with a settlement of a Judicial Appointments Commi</w:t>
      </w:r>
      <w:r w:rsidR="0017263F">
        <w:rPr>
          <w:rFonts w:ascii="Calibri" w:eastAsia="Times New Roman" w:hAnsi="Calibri" w:cs="Calibri"/>
          <w:color w:val="000000"/>
          <w:sz w:val="24"/>
          <w:szCs w:val="24"/>
        </w:rPr>
        <w:t>s</w:t>
      </w:r>
      <w:r w:rsidRPr="00A2181E">
        <w:rPr>
          <w:rFonts w:ascii="Calibri" w:eastAsia="Times New Roman" w:hAnsi="Calibri" w:cs="Calibri"/>
          <w:color w:val="000000"/>
          <w:sz w:val="24"/>
          <w:szCs w:val="24"/>
        </w:rPr>
        <w:t xml:space="preserve">sion. </w:t>
      </w:r>
      <w:r w:rsidR="00873CFA">
        <w:rPr>
          <w:rFonts w:ascii="Calibri" w:eastAsia="Times New Roman" w:hAnsi="Calibri" w:cs="Calibri"/>
          <w:color w:val="000000"/>
          <w:sz w:val="24"/>
          <w:szCs w:val="24"/>
        </w:rPr>
        <w:t>Year</w:t>
      </w:r>
      <w:r w:rsidRPr="00A2181E">
        <w:rPr>
          <w:rFonts w:ascii="Calibri" w:eastAsia="Times New Roman" w:hAnsi="Calibri" w:cs="Calibri"/>
          <w:color w:val="000000"/>
          <w:sz w:val="24"/>
          <w:szCs w:val="24"/>
        </w:rPr>
        <w:t xml:space="preserve"> 2009</w:t>
      </w:r>
      <w:r w:rsidR="00873CFA">
        <w:rPr>
          <w:rFonts w:ascii="Calibri" w:eastAsia="Times New Roman" w:hAnsi="Calibri" w:cs="Calibri"/>
          <w:color w:val="000000"/>
          <w:sz w:val="24"/>
          <w:szCs w:val="24"/>
        </w:rPr>
        <w:t xml:space="preserve"> brought the change of</w:t>
      </w:r>
      <w:r w:rsidRPr="00A2181E">
        <w:rPr>
          <w:rFonts w:ascii="Calibri" w:eastAsia="Times New Roman" w:hAnsi="Calibri" w:cs="Calibri"/>
          <w:color w:val="000000"/>
          <w:sz w:val="24"/>
          <w:szCs w:val="24"/>
        </w:rPr>
        <w:t xml:space="preserve"> the Appellate Committee of the House of Lords into the Supreme Court</w:t>
      </w:r>
      <w:r w:rsidR="00873CFA">
        <w:rPr>
          <w:rFonts w:ascii="Calibri" w:eastAsia="Times New Roman" w:hAnsi="Calibri" w:cs="Calibri"/>
          <w:color w:val="000000"/>
          <w:sz w:val="24"/>
          <w:szCs w:val="24"/>
        </w:rPr>
        <w:t>, in October</w:t>
      </w:r>
      <w:r w:rsidRPr="00A2181E">
        <w:rPr>
          <w:rFonts w:ascii="Calibri" w:eastAsia="Times New Roman" w:hAnsi="Calibri" w:cs="Calibri"/>
          <w:color w:val="000000"/>
          <w:sz w:val="24"/>
          <w:szCs w:val="24"/>
        </w:rPr>
        <w:t xml:space="preserve">. The Supreme Court has in his structure 12 judges with the highest professional qualifications. Even if the </w:t>
      </w:r>
      <w:r w:rsidR="00873CFA">
        <w:rPr>
          <w:rFonts w:ascii="Calibri" w:eastAsia="Times New Roman" w:hAnsi="Calibri" w:cs="Calibri"/>
          <w:color w:val="000000"/>
          <w:sz w:val="24"/>
          <w:szCs w:val="24"/>
        </w:rPr>
        <w:t xml:space="preserve">participation </w:t>
      </w:r>
      <w:r w:rsidRPr="00A2181E">
        <w:rPr>
          <w:rFonts w:ascii="Calibri" w:eastAsia="Times New Roman" w:hAnsi="Calibri" w:cs="Calibri"/>
          <w:color w:val="000000"/>
          <w:sz w:val="24"/>
          <w:szCs w:val="24"/>
        </w:rPr>
        <w:t xml:space="preserve">of the Lord Chancellor </w:t>
      </w:r>
      <w:r w:rsidR="00873CFA">
        <w:rPr>
          <w:rFonts w:ascii="Calibri" w:eastAsia="Times New Roman" w:hAnsi="Calibri" w:cs="Calibri"/>
          <w:color w:val="000000"/>
          <w:sz w:val="24"/>
          <w:szCs w:val="24"/>
        </w:rPr>
        <w:t>was</w:t>
      </w:r>
      <w:r w:rsidRPr="00A2181E">
        <w:rPr>
          <w:rFonts w:ascii="Calibri" w:eastAsia="Times New Roman" w:hAnsi="Calibri" w:cs="Calibri"/>
          <w:color w:val="000000"/>
          <w:sz w:val="24"/>
          <w:szCs w:val="24"/>
        </w:rPr>
        <w:t xml:space="preserve"> reduced, he will continue to suggest possible </w:t>
      </w:r>
      <w:r w:rsidR="00873CFA">
        <w:rPr>
          <w:rFonts w:ascii="Calibri" w:eastAsia="Times New Roman" w:hAnsi="Calibri" w:cs="Calibri"/>
          <w:color w:val="000000"/>
          <w:sz w:val="24"/>
          <w:szCs w:val="24"/>
        </w:rPr>
        <w:t>candidatures</w:t>
      </w:r>
      <w:r w:rsidRPr="00A2181E">
        <w:rPr>
          <w:rFonts w:ascii="Calibri" w:eastAsia="Times New Roman" w:hAnsi="Calibri" w:cs="Calibri"/>
          <w:color w:val="000000"/>
          <w:sz w:val="24"/>
          <w:szCs w:val="24"/>
        </w:rPr>
        <w:t xml:space="preserve"> for nomination to the judiciary to the King, on the </w:t>
      </w:r>
      <w:r w:rsidR="00873CFA">
        <w:rPr>
          <w:rFonts w:ascii="Calibri" w:eastAsia="Times New Roman" w:hAnsi="Calibri" w:cs="Calibri"/>
          <w:color w:val="000000"/>
          <w:sz w:val="24"/>
          <w:szCs w:val="24"/>
        </w:rPr>
        <w:t>last</w:t>
      </w:r>
      <w:r w:rsidRPr="00A2181E">
        <w:rPr>
          <w:rFonts w:ascii="Calibri" w:eastAsia="Times New Roman" w:hAnsi="Calibri" w:cs="Calibri"/>
          <w:color w:val="000000"/>
          <w:sz w:val="24"/>
          <w:szCs w:val="24"/>
        </w:rPr>
        <w:t xml:space="preserve"> level of decision. Even so, the Lord Chancel</w:t>
      </w:r>
      <w:r w:rsidR="00873CFA">
        <w:rPr>
          <w:rFonts w:ascii="Calibri" w:eastAsia="Times New Roman" w:hAnsi="Calibri" w:cs="Calibri"/>
          <w:color w:val="000000"/>
          <w:sz w:val="24"/>
          <w:szCs w:val="24"/>
        </w:rPr>
        <w:t>lor will not be anymore participating</w:t>
      </w:r>
      <w:r w:rsidRPr="00A2181E">
        <w:rPr>
          <w:rFonts w:ascii="Calibri" w:eastAsia="Times New Roman" w:hAnsi="Calibri" w:cs="Calibri"/>
          <w:color w:val="000000"/>
          <w:sz w:val="24"/>
          <w:szCs w:val="24"/>
        </w:rPr>
        <w:t xml:space="preserve"> in the hiring and </w:t>
      </w:r>
      <w:r w:rsidR="00873CFA">
        <w:rPr>
          <w:rFonts w:ascii="Calibri" w:eastAsia="Times New Roman" w:hAnsi="Calibri" w:cs="Calibri"/>
          <w:color w:val="000000"/>
          <w:sz w:val="24"/>
          <w:szCs w:val="24"/>
        </w:rPr>
        <w:t>hiring</w:t>
      </w:r>
      <w:r w:rsidRPr="00A2181E">
        <w:rPr>
          <w:rFonts w:ascii="Calibri" w:eastAsia="Times New Roman" w:hAnsi="Calibri" w:cs="Calibri"/>
          <w:color w:val="000000"/>
          <w:sz w:val="24"/>
          <w:szCs w:val="24"/>
        </w:rPr>
        <w:t xml:space="preserve"> process</w:t>
      </w:r>
      <w:r w:rsidR="0017263F">
        <w:rPr>
          <w:rFonts w:ascii="Calibri" w:eastAsia="Times New Roman" w:hAnsi="Calibri" w:cs="Calibri"/>
          <w:color w:val="000000"/>
          <w:sz w:val="24"/>
          <w:szCs w:val="24"/>
        </w:rPr>
        <w:t xml:space="preserve"> </w:t>
      </w:r>
      <w:r w:rsidRPr="00A2181E">
        <w:rPr>
          <w:rFonts w:ascii="Calibri" w:eastAsia="Times New Roman" w:hAnsi="Calibri" w:cs="Calibri"/>
          <w:color w:val="000000"/>
          <w:sz w:val="24"/>
          <w:szCs w:val="24"/>
        </w:rPr>
        <w:t>(Wilson et al., 2020).     </w:t>
      </w:r>
    </w:p>
    <w:p w:rsidR="00A2181E" w:rsidRPr="00A2181E" w:rsidRDefault="00A2181E" w:rsidP="00A2181E">
      <w:pPr>
        <w:spacing w:after="0" w:line="240" w:lineRule="auto"/>
        <w:textAlignment w:val="baseline"/>
        <w:rPr>
          <w:rFonts w:ascii="Calibri" w:eastAsia="Times New Roman" w:hAnsi="Calibri" w:cs="Calibri"/>
          <w:color w:val="000000"/>
          <w:sz w:val="24"/>
          <w:szCs w:val="24"/>
        </w:rPr>
      </w:pPr>
      <w:r w:rsidRPr="00A2181E">
        <w:rPr>
          <w:rFonts w:ascii="Calibri" w:eastAsia="Times New Roman" w:hAnsi="Calibri" w:cs="Calibri"/>
          <w:color w:val="000000"/>
          <w:sz w:val="24"/>
          <w:szCs w:val="24"/>
        </w:rPr>
        <w:t xml:space="preserve">            Another significant change made </w:t>
      </w:r>
      <w:r w:rsidR="00C26842">
        <w:rPr>
          <w:rFonts w:ascii="Calibri" w:eastAsia="Times New Roman" w:hAnsi="Calibri" w:cs="Calibri"/>
          <w:color w:val="000000"/>
          <w:sz w:val="24"/>
          <w:szCs w:val="24"/>
        </w:rPr>
        <w:t>with</w:t>
      </w:r>
      <w:r w:rsidRPr="00A2181E">
        <w:rPr>
          <w:rFonts w:ascii="Calibri" w:eastAsia="Times New Roman" w:hAnsi="Calibri" w:cs="Calibri"/>
          <w:color w:val="000000"/>
          <w:sz w:val="24"/>
          <w:szCs w:val="24"/>
        </w:rPr>
        <w:t xml:space="preserve"> section 137 of the Constitutional Reform Act of 2005, building more the theory of separation of powers, was that a </w:t>
      </w:r>
      <w:r w:rsidR="00C26842">
        <w:rPr>
          <w:rFonts w:ascii="Calibri" w:eastAsia="Times New Roman" w:hAnsi="Calibri" w:cs="Calibri"/>
          <w:color w:val="000000"/>
          <w:sz w:val="24"/>
          <w:szCs w:val="24"/>
        </w:rPr>
        <w:t>permanent job</w:t>
      </w:r>
      <w:r w:rsidRPr="00A2181E">
        <w:rPr>
          <w:rFonts w:ascii="Calibri" w:eastAsia="Times New Roman" w:hAnsi="Calibri" w:cs="Calibri"/>
          <w:color w:val="000000"/>
          <w:sz w:val="24"/>
          <w:szCs w:val="24"/>
        </w:rPr>
        <w:t xml:space="preserve"> member of </w:t>
      </w:r>
      <w:r w:rsidRPr="00A2181E">
        <w:rPr>
          <w:rFonts w:ascii="Calibri" w:eastAsia="Times New Roman" w:hAnsi="Calibri" w:cs="Calibri"/>
          <w:color w:val="000000"/>
          <w:sz w:val="24"/>
          <w:szCs w:val="24"/>
        </w:rPr>
        <w:lastRenderedPageBreak/>
        <w:t xml:space="preserve">the judiciary </w:t>
      </w:r>
      <w:r w:rsidR="00C26842">
        <w:rPr>
          <w:rFonts w:ascii="Calibri" w:eastAsia="Times New Roman" w:hAnsi="Calibri" w:cs="Calibri"/>
          <w:color w:val="000000"/>
          <w:sz w:val="24"/>
          <w:szCs w:val="24"/>
        </w:rPr>
        <w:t>is prohibited from</w:t>
      </w:r>
      <w:r w:rsidRPr="00A2181E">
        <w:rPr>
          <w:rFonts w:ascii="Calibri" w:eastAsia="Times New Roman" w:hAnsi="Calibri" w:cs="Calibri"/>
          <w:color w:val="000000"/>
          <w:sz w:val="24"/>
          <w:szCs w:val="24"/>
        </w:rPr>
        <w:t xml:space="preserve"> sit</w:t>
      </w:r>
      <w:r w:rsidR="00C26842">
        <w:rPr>
          <w:rFonts w:ascii="Calibri" w:eastAsia="Times New Roman" w:hAnsi="Calibri" w:cs="Calibri"/>
          <w:color w:val="000000"/>
          <w:sz w:val="24"/>
          <w:szCs w:val="24"/>
        </w:rPr>
        <w:t>ting</w:t>
      </w:r>
      <w:r w:rsidRPr="00A2181E">
        <w:rPr>
          <w:rFonts w:ascii="Calibri" w:eastAsia="Times New Roman" w:hAnsi="Calibri" w:cs="Calibri"/>
          <w:color w:val="000000"/>
          <w:sz w:val="24"/>
          <w:szCs w:val="24"/>
        </w:rPr>
        <w:t xml:space="preserve"> in either House of Parliament</w:t>
      </w:r>
      <w:r w:rsidR="00DD295D">
        <w:rPr>
          <w:rFonts w:ascii="Calibri" w:eastAsia="Times New Roman" w:hAnsi="Calibri" w:cs="Calibri"/>
          <w:color w:val="000000"/>
          <w:sz w:val="24"/>
          <w:szCs w:val="24"/>
        </w:rPr>
        <w:t xml:space="preserve"> </w:t>
      </w:r>
      <w:r w:rsidRPr="00A2181E">
        <w:rPr>
          <w:rFonts w:ascii="Calibri" w:eastAsia="Times New Roman" w:hAnsi="Calibri" w:cs="Calibri"/>
          <w:color w:val="000000"/>
          <w:sz w:val="24"/>
          <w:szCs w:val="24"/>
        </w:rPr>
        <w:t>(</w:t>
      </w:r>
      <w:hyperlink r:id="rId6" w:tgtFrame="_blank" w:tooltip="Original URL: https://www.legislation.gov.uk/. Click or tap if you trust this link." w:history="1">
        <w:r w:rsidRPr="00A2181E">
          <w:rPr>
            <w:rFonts w:ascii="Calibri" w:eastAsia="Times New Roman" w:hAnsi="Calibri" w:cs="Calibri"/>
            <w:color w:val="1155CC"/>
            <w:sz w:val="24"/>
            <w:szCs w:val="24"/>
            <w:u w:val="single"/>
          </w:rPr>
          <w:t>https://www.legislation.gov.uk/</w:t>
        </w:r>
      </w:hyperlink>
      <w:r w:rsidRPr="00A2181E">
        <w:rPr>
          <w:rFonts w:ascii="Calibri" w:eastAsia="Times New Roman" w:hAnsi="Calibri" w:cs="Calibri"/>
          <w:color w:val="000000"/>
          <w:sz w:val="24"/>
          <w:szCs w:val="24"/>
        </w:rPr>
        <w:t>, 2025). This has a big advantage on building separation of powers since this rule shows clearly independence from the legislature, since the members are not anymore members of both the judiciary and Parliament</w:t>
      </w:r>
      <w:r w:rsidR="00DD295D">
        <w:rPr>
          <w:rFonts w:ascii="Calibri" w:eastAsia="Times New Roman" w:hAnsi="Calibri" w:cs="Calibri"/>
          <w:color w:val="000000"/>
          <w:sz w:val="24"/>
          <w:szCs w:val="24"/>
        </w:rPr>
        <w:t xml:space="preserve"> (Gillespie </w:t>
      </w:r>
      <w:r w:rsidRPr="00A2181E">
        <w:rPr>
          <w:rFonts w:ascii="Calibri" w:eastAsia="Times New Roman" w:hAnsi="Calibri" w:cs="Calibri"/>
          <w:color w:val="000000"/>
          <w:sz w:val="24"/>
          <w:szCs w:val="24"/>
        </w:rPr>
        <w:t xml:space="preserve">and </w:t>
      </w:r>
      <w:proofErr w:type="spellStart"/>
      <w:r w:rsidRPr="00A2181E">
        <w:rPr>
          <w:rFonts w:ascii="Calibri" w:eastAsia="Times New Roman" w:hAnsi="Calibri" w:cs="Calibri"/>
          <w:color w:val="000000"/>
          <w:sz w:val="24"/>
          <w:szCs w:val="24"/>
        </w:rPr>
        <w:t>Weare</w:t>
      </w:r>
      <w:proofErr w:type="spellEnd"/>
      <w:r w:rsidRPr="00A2181E">
        <w:rPr>
          <w:rFonts w:ascii="Calibri" w:eastAsia="Times New Roman" w:hAnsi="Calibri" w:cs="Calibri"/>
          <w:color w:val="000000"/>
          <w:sz w:val="24"/>
          <w:szCs w:val="24"/>
        </w:rPr>
        <w:t>, 2021).</w:t>
      </w:r>
    </w:p>
    <w:p w:rsidR="00A2181E" w:rsidRPr="00A2181E" w:rsidRDefault="00A2181E" w:rsidP="00A2181E">
      <w:pPr>
        <w:spacing w:after="0" w:line="240" w:lineRule="auto"/>
        <w:textAlignment w:val="baseline"/>
        <w:rPr>
          <w:rFonts w:ascii="Calibri" w:eastAsia="Times New Roman" w:hAnsi="Calibri" w:cs="Calibri"/>
          <w:color w:val="000000"/>
          <w:sz w:val="24"/>
          <w:szCs w:val="24"/>
        </w:rPr>
      </w:pPr>
      <w:r w:rsidRPr="00A2181E">
        <w:rPr>
          <w:rFonts w:ascii="Calibri" w:eastAsia="Times New Roman" w:hAnsi="Calibri" w:cs="Calibri"/>
          <w:color w:val="000000"/>
          <w:sz w:val="24"/>
          <w:szCs w:val="24"/>
        </w:rPr>
        <w:t xml:space="preserve">            If we take into consideration independence of the judiciary referring to Courts as rule-makers, being themselves another source of law, then you can say that the Constitutional Reform Act of 2005 has a disadvantage since the judiciary becomes law maker and law </w:t>
      </w:r>
      <w:proofErr w:type="spellStart"/>
      <w:r w:rsidRPr="00A2181E">
        <w:rPr>
          <w:rFonts w:ascii="Calibri" w:eastAsia="Times New Roman" w:hAnsi="Calibri" w:cs="Calibri"/>
          <w:color w:val="000000"/>
          <w:sz w:val="24"/>
          <w:szCs w:val="24"/>
        </w:rPr>
        <w:t>applier</w:t>
      </w:r>
      <w:proofErr w:type="spellEnd"/>
      <w:r w:rsidRPr="00A2181E">
        <w:rPr>
          <w:rFonts w:ascii="Calibri" w:eastAsia="Times New Roman" w:hAnsi="Calibri" w:cs="Calibri"/>
          <w:color w:val="000000"/>
          <w:sz w:val="24"/>
          <w:szCs w:val="24"/>
        </w:rPr>
        <w:t xml:space="preserve"> at the same time</w:t>
      </w:r>
      <w:r w:rsidR="00DD295D">
        <w:rPr>
          <w:rFonts w:ascii="Calibri" w:eastAsia="Times New Roman" w:hAnsi="Calibri" w:cs="Calibri"/>
          <w:color w:val="000000"/>
          <w:sz w:val="24"/>
          <w:szCs w:val="24"/>
        </w:rPr>
        <w:t xml:space="preserve"> </w:t>
      </w:r>
      <w:proofErr w:type="gramStart"/>
      <w:r w:rsidRPr="00A2181E">
        <w:rPr>
          <w:rFonts w:ascii="Calibri" w:eastAsia="Times New Roman" w:hAnsi="Calibri" w:cs="Calibri"/>
          <w:color w:val="000000"/>
          <w:sz w:val="24"/>
          <w:szCs w:val="24"/>
        </w:rPr>
        <w:t>( </w:t>
      </w:r>
      <w:proofErr w:type="spellStart"/>
      <w:r w:rsidRPr="00A2181E">
        <w:rPr>
          <w:rFonts w:ascii="Calibri" w:eastAsia="Times New Roman" w:hAnsi="Calibri" w:cs="Calibri"/>
          <w:color w:val="000000"/>
          <w:sz w:val="24"/>
          <w:szCs w:val="24"/>
        </w:rPr>
        <w:t>Cownie</w:t>
      </w:r>
      <w:proofErr w:type="spellEnd"/>
      <w:proofErr w:type="gramEnd"/>
      <w:r w:rsidRPr="00A2181E">
        <w:rPr>
          <w:rFonts w:ascii="Calibri" w:eastAsia="Times New Roman" w:hAnsi="Calibri" w:cs="Calibri"/>
          <w:color w:val="000000"/>
          <w:sz w:val="24"/>
          <w:szCs w:val="24"/>
        </w:rPr>
        <w:t xml:space="preserve">, </w:t>
      </w:r>
      <w:proofErr w:type="spellStart"/>
      <w:r w:rsidRPr="00A2181E">
        <w:rPr>
          <w:rFonts w:ascii="Calibri" w:eastAsia="Times New Roman" w:hAnsi="Calibri" w:cs="Calibri"/>
          <w:color w:val="000000"/>
          <w:sz w:val="24"/>
          <w:szCs w:val="24"/>
        </w:rPr>
        <w:t>Bradney</w:t>
      </w:r>
      <w:proofErr w:type="spellEnd"/>
      <w:r w:rsidRPr="00A2181E">
        <w:rPr>
          <w:rFonts w:ascii="Calibri" w:eastAsia="Times New Roman" w:hAnsi="Calibri" w:cs="Calibri"/>
          <w:color w:val="000000"/>
          <w:sz w:val="24"/>
          <w:szCs w:val="24"/>
        </w:rPr>
        <w:t xml:space="preserve"> and Burton, 2013)</w:t>
      </w:r>
    </w:p>
    <w:p w:rsidR="00A2181E" w:rsidRPr="00A2181E" w:rsidRDefault="00A2181E" w:rsidP="00A2181E">
      <w:pPr>
        <w:spacing w:after="0" w:line="240" w:lineRule="auto"/>
        <w:textAlignment w:val="baseline"/>
        <w:rPr>
          <w:rFonts w:ascii="Calibri" w:eastAsia="Times New Roman" w:hAnsi="Calibri" w:cs="Calibri"/>
          <w:color w:val="000000"/>
          <w:sz w:val="24"/>
          <w:szCs w:val="24"/>
        </w:rPr>
      </w:pPr>
      <w:r w:rsidRPr="00A2181E">
        <w:rPr>
          <w:rFonts w:ascii="Calibri" w:eastAsia="Times New Roman" w:hAnsi="Calibri" w:cs="Calibri"/>
          <w:color w:val="000000"/>
          <w:sz w:val="24"/>
          <w:szCs w:val="24"/>
        </w:rPr>
        <w:t>            The Constitutional Reform Act of 2005 ushered in a new era of enhanced separation of powers in the UK government. This significant change necessitated the development of more structured and formalized processes to manage the interactions between the increasingly distinct governmental branches. The impact of this reform was particularly evident in several key areas of the judicial system. It led to substantial changes in how judges are appointed and how their professional conduct is overseen. Additionally, it brought about new approaches to court administration and the overall governance of the judiciary. While the Act itself directly established some of these new procedures, others evolved organically in the years following its implementation. This gradual development of new systems and protocols reflects the ongoing nature of constitutional reform and the need for governmental structures to adapt over time. The overarching goal of these changes was to create a more transparent and independent judiciary, better aligned with modern principles of governance. By formalizing the relationships between different branches of government, the Act aimed to reduce potential conflicts of interest and enhance public trust in the legal system</w:t>
      </w:r>
      <w:r w:rsidR="00DD295D">
        <w:rPr>
          <w:rFonts w:ascii="Calibri" w:eastAsia="Times New Roman" w:hAnsi="Calibri" w:cs="Calibri"/>
          <w:color w:val="000000"/>
          <w:sz w:val="24"/>
          <w:szCs w:val="24"/>
        </w:rPr>
        <w:t xml:space="preserve"> </w:t>
      </w:r>
      <w:proofErr w:type="gramStart"/>
      <w:r w:rsidRPr="00A2181E">
        <w:rPr>
          <w:rFonts w:ascii="Calibri" w:eastAsia="Times New Roman" w:hAnsi="Calibri" w:cs="Calibri"/>
          <w:color w:val="000000"/>
          <w:sz w:val="24"/>
          <w:szCs w:val="24"/>
        </w:rPr>
        <w:t>(</w:t>
      </w:r>
      <w:r w:rsidR="00DD295D">
        <w:rPr>
          <w:rFonts w:ascii="Calibri" w:eastAsia="Times New Roman" w:hAnsi="Calibri" w:cs="Calibri"/>
          <w:color w:val="000000"/>
          <w:sz w:val="24"/>
          <w:szCs w:val="24"/>
        </w:rPr>
        <w:t xml:space="preserve"> </w:t>
      </w:r>
      <w:r w:rsidRPr="00A2181E">
        <w:rPr>
          <w:rFonts w:ascii="Calibri" w:eastAsia="Times New Roman" w:hAnsi="Calibri" w:cs="Calibri"/>
          <w:color w:val="000000"/>
          <w:sz w:val="24"/>
          <w:szCs w:val="24"/>
        </w:rPr>
        <w:t>Gee</w:t>
      </w:r>
      <w:proofErr w:type="gramEnd"/>
      <w:r w:rsidRPr="00A2181E">
        <w:rPr>
          <w:rFonts w:ascii="Calibri" w:eastAsia="Times New Roman" w:hAnsi="Calibri" w:cs="Calibri"/>
          <w:color w:val="000000"/>
          <w:sz w:val="24"/>
          <w:szCs w:val="24"/>
        </w:rPr>
        <w:t xml:space="preserve"> et al. 2015). </w:t>
      </w:r>
      <w:r w:rsidR="00C26842">
        <w:rPr>
          <w:rFonts w:ascii="Calibri" w:eastAsia="Times New Roman" w:hAnsi="Calibri" w:cs="Calibri"/>
          <w:color w:val="000000"/>
          <w:sz w:val="24"/>
          <w:szCs w:val="24"/>
        </w:rPr>
        <w:t xml:space="preserve"> </w:t>
      </w:r>
      <w:r w:rsidRPr="00A2181E">
        <w:rPr>
          <w:rFonts w:ascii="Calibri" w:eastAsia="Times New Roman" w:hAnsi="Calibri" w:cs="Calibri"/>
          <w:color w:val="000000"/>
          <w:sz w:val="24"/>
          <w:szCs w:val="24"/>
        </w:rPr>
        <w:t xml:space="preserve">The Constitutional Reform Act 2005 (CRA) brought </w:t>
      </w:r>
      <w:r w:rsidR="00C26842">
        <w:rPr>
          <w:rFonts w:ascii="Calibri" w:eastAsia="Times New Roman" w:hAnsi="Calibri" w:cs="Calibri"/>
          <w:color w:val="000000"/>
          <w:sz w:val="24"/>
          <w:szCs w:val="24"/>
        </w:rPr>
        <w:t>very important</w:t>
      </w:r>
      <w:r w:rsidRPr="00A2181E">
        <w:rPr>
          <w:rFonts w:ascii="Calibri" w:eastAsia="Times New Roman" w:hAnsi="Calibri" w:cs="Calibri"/>
          <w:color w:val="000000"/>
          <w:sz w:val="24"/>
          <w:szCs w:val="24"/>
        </w:rPr>
        <w:t xml:space="preserve"> changes in the </w:t>
      </w:r>
      <w:r w:rsidR="00C26842">
        <w:rPr>
          <w:rFonts w:ascii="Calibri" w:eastAsia="Times New Roman" w:hAnsi="Calibri" w:cs="Calibri"/>
          <w:color w:val="000000"/>
          <w:sz w:val="24"/>
          <w:szCs w:val="24"/>
        </w:rPr>
        <w:t>con</w:t>
      </w:r>
      <w:r w:rsidR="00DD295D">
        <w:rPr>
          <w:rFonts w:ascii="Calibri" w:eastAsia="Times New Roman" w:hAnsi="Calibri" w:cs="Calibri"/>
          <w:color w:val="000000"/>
          <w:sz w:val="24"/>
          <w:szCs w:val="24"/>
        </w:rPr>
        <w:t>n</w:t>
      </w:r>
      <w:r w:rsidR="00C26842">
        <w:rPr>
          <w:rFonts w:ascii="Calibri" w:eastAsia="Times New Roman" w:hAnsi="Calibri" w:cs="Calibri"/>
          <w:color w:val="000000"/>
          <w:sz w:val="24"/>
          <w:szCs w:val="24"/>
        </w:rPr>
        <w:t>ection</w:t>
      </w:r>
      <w:r w:rsidRPr="00A2181E">
        <w:rPr>
          <w:rFonts w:ascii="Calibri" w:eastAsia="Times New Roman" w:hAnsi="Calibri" w:cs="Calibri"/>
          <w:color w:val="000000"/>
          <w:sz w:val="24"/>
          <w:szCs w:val="24"/>
        </w:rPr>
        <w:t xml:space="preserve"> between the political and judicial </w:t>
      </w:r>
      <w:r w:rsidR="00C26842">
        <w:rPr>
          <w:rFonts w:ascii="Calibri" w:eastAsia="Times New Roman" w:hAnsi="Calibri" w:cs="Calibri"/>
          <w:color w:val="000000"/>
          <w:sz w:val="24"/>
          <w:szCs w:val="24"/>
        </w:rPr>
        <w:t>divisions</w:t>
      </w:r>
      <w:r w:rsidRPr="00A2181E">
        <w:rPr>
          <w:rFonts w:ascii="Calibri" w:eastAsia="Times New Roman" w:hAnsi="Calibri" w:cs="Calibri"/>
          <w:color w:val="000000"/>
          <w:sz w:val="24"/>
          <w:szCs w:val="24"/>
        </w:rPr>
        <w:t xml:space="preserve"> of the UK government. Its primary aim was to enhance the formal separation of powers and diminish the executive's involvement in judicial affairs. This reform led to two notable trends: the gradual withdrawal of ministers from judiciary-related matters and the concurrent rise in importance of judicial leadership. As political figures stepped back, the judiciary stepped forward to fill the resulting void. The dynamics of political retreat and judicial advancement have manifested in various ways across different aspects o</w:t>
      </w:r>
      <w:r w:rsidR="00C26842">
        <w:rPr>
          <w:rFonts w:ascii="Calibri" w:eastAsia="Times New Roman" w:hAnsi="Calibri" w:cs="Calibri"/>
          <w:color w:val="000000"/>
          <w:sz w:val="24"/>
          <w:szCs w:val="24"/>
        </w:rPr>
        <w:t>f the judicial structure. For example</w:t>
      </w:r>
      <w:r w:rsidRPr="00A2181E">
        <w:rPr>
          <w:rFonts w:ascii="Calibri" w:eastAsia="Times New Roman" w:hAnsi="Calibri" w:cs="Calibri"/>
          <w:color w:val="000000"/>
          <w:sz w:val="24"/>
          <w:szCs w:val="24"/>
        </w:rPr>
        <w:t>, in areas like judicial discipline, which was previously under the exclusive purview of the Lord Chancellor, new structures and processes emerged to reflect the changing balance of power. This recalibration of responsibilities has reshaped the landscape of judicial governance, creating a more distinct separation between the political and judicial spheres while simultaneously empowering the judiciary to take a more active role in its own administration.</w:t>
      </w:r>
    </w:p>
    <w:p w:rsidR="00A2181E" w:rsidRPr="00A2181E" w:rsidRDefault="00A2181E" w:rsidP="00A2181E">
      <w:pPr>
        <w:spacing w:after="0" w:line="240" w:lineRule="auto"/>
        <w:textAlignment w:val="baseline"/>
        <w:rPr>
          <w:rFonts w:ascii="Calibri" w:eastAsia="Times New Roman" w:hAnsi="Calibri" w:cs="Calibri"/>
          <w:color w:val="000000"/>
          <w:sz w:val="24"/>
          <w:szCs w:val="24"/>
        </w:rPr>
      </w:pPr>
      <w:r w:rsidRPr="00A2181E">
        <w:rPr>
          <w:rFonts w:ascii="Calibri" w:eastAsia="Times New Roman" w:hAnsi="Calibri" w:cs="Calibri"/>
          <w:color w:val="000000"/>
          <w:sz w:val="24"/>
          <w:szCs w:val="24"/>
        </w:rPr>
        <w:t>            Going forward, in regards to judiciary as source of law, case-law, it can be mentioned that judicial decisions have the power to initiate significant legal changes. Through the interpretation and application of existing laws to new situations, courts can effectively reshape legal principles and practices. Case-law can lead to legal reform. The landmark case of R v R in 1991</w:t>
      </w:r>
      <w:r w:rsidR="00DD295D">
        <w:rPr>
          <w:rFonts w:ascii="Calibri" w:eastAsia="Times New Roman" w:hAnsi="Calibri" w:cs="Calibri"/>
          <w:color w:val="000000"/>
          <w:sz w:val="24"/>
          <w:szCs w:val="24"/>
        </w:rPr>
        <w:t xml:space="preserve"> </w:t>
      </w:r>
      <w:r w:rsidRPr="00A2181E">
        <w:rPr>
          <w:rFonts w:ascii="Calibri" w:eastAsia="Times New Roman" w:hAnsi="Calibri" w:cs="Calibri"/>
          <w:color w:val="000000"/>
          <w:sz w:val="24"/>
          <w:szCs w:val="24"/>
        </w:rPr>
        <w:t>(</w:t>
      </w:r>
      <w:hyperlink r:id="rId7" w:tgtFrame="_blank" w:tooltip="Original URL: https://www.lawteacher.net/. Click or tap if you trust this link." w:history="1">
        <w:r w:rsidRPr="00A2181E">
          <w:rPr>
            <w:rFonts w:ascii="Calibri" w:eastAsia="Times New Roman" w:hAnsi="Calibri" w:cs="Calibri"/>
            <w:color w:val="1155CC"/>
            <w:sz w:val="24"/>
            <w:szCs w:val="24"/>
            <w:u w:val="single"/>
          </w:rPr>
          <w:t>https://www.lawteacher.net</w:t>
        </w:r>
      </w:hyperlink>
      <w:r w:rsidRPr="00A2181E">
        <w:rPr>
          <w:rFonts w:ascii="Calibri" w:eastAsia="Times New Roman" w:hAnsi="Calibri" w:cs="Calibri"/>
          <w:color w:val="000000"/>
          <w:sz w:val="24"/>
          <w:szCs w:val="24"/>
        </w:rPr>
        <w:t xml:space="preserve">, 2025) marked a significant turning point in English law regarding marital rape. This House of Lords decision overturned centuries of legal precedent by </w:t>
      </w:r>
      <w:r w:rsidR="00DD295D">
        <w:rPr>
          <w:rFonts w:ascii="Calibri" w:eastAsia="Times New Roman" w:hAnsi="Calibri" w:cs="Calibri"/>
          <w:color w:val="000000"/>
          <w:sz w:val="24"/>
          <w:szCs w:val="24"/>
        </w:rPr>
        <w:t xml:space="preserve">declaring that a husband could, in fact, </w:t>
      </w:r>
      <w:r w:rsidRPr="00A2181E">
        <w:rPr>
          <w:rFonts w:ascii="Calibri" w:eastAsia="Times New Roman" w:hAnsi="Calibri" w:cs="Calibri"/>
          <w:color w:val="000000"/>
          <w:sz w:val="24"/>
          <w:szCs w:val="24"/>
        </w:rPr>
        <w:t>be</w:t>
      </w:r>
      <w:r w:rsidR="00DD295D">
        <w:rPr>
          <w:rFonts w:ascii="Calibri" w:eastAsia="Times New Roman" w:hAnsi="Calibri" w:cs="Calibri"/>
          <w:color w:val="000000"/>
          <w:sz w:val="24"/>
          <w:szCs w:val="24"/>
        </w:rPr>
        <w:t xml:space="preserve"> found</w:t>
      </w:r>
      <w:r w:rsidRPr="00A2181E">
        <w:rPr>
          <w:rFonts w:ascii="Calibri" w:eastAsia="Times New Roman" w:hAnsi="Calibri" w:cs="Calibri"/>
          <w:color w:val="000000"/>
          <w:sz w:val="24"/>
          <w:szCs w:val="24"/>
        </w:rPr>
        <w:t xml:space="preserve"> guilty of raping his wife. Prior to this ruling, the law on rape within marriage was based on an outdated 18th-century legal principle. This principle asserted that through marriage, a woman </w:t>
      </w:r>
      <w:r w:rsidR="00DD295D">
        <w:rPr>
          <w:rFonts w:ascii="Calibri" w:eastAsia="Times New Roman" w:hAnsi="Calibri" w:cs="Calibri"/>
          <w:color w:val="000000"/>
          <w:sz w:val="24"/>
          <w:szCs w:val="24"/>
        </w:rPr>
        <w:t>granted permanent</w:t>
      </w:r>
      <w:r w:rsidRPr="00A2181E">
        <w:rPr>
          <w:rFonts w:ascii="Calibri" w:eastAsia="Times New Roman" w:hAnsi="Calibri" w:cs="Calibri"/>
          <w:color w:val="000000"/>
          <w:sz w:val="24"/>
          <w:szCs w:val="24"/>
        </w:rPr>
        <w:t xml:space="preserve"> consent to sexual intercourse with her husband. For many years, this stance was considered increasingly </w:t>
      </w:r>
      <w:r w:rsidRPr="00A2181E">
        <w:rPr>
          <w:rFonts w:ascii="Calibri" w:eastAsia="Times New Roman" w:hAnsi="Calibri" w:cs="Calibri"/>
          <w:color w:val="000000"/>
          <w:sz w:val="24"/>
          <w:szCs w:val="24"/>
        </w:rPr>
        <w:lastRenderedPageBreak/>
        <w:t xml:space="preserve">problematic and out of touch with modern values. Although Parliament had the opportunity to address this issue during the debate on the Sexual Offences Act in 1976 (https://www.legislation.gov.uk, 2025), they chose not to make changes at that time. It wasn't until 1991 that the Court of Appeal, followed by the House of Lords, finally ruled that rape within marriage should be recognized as a criminal offense. In delivering the judgment, it was noted that the previous legal position reflected an outdated view of women's status within marriage. The court acknowledged that both the status of women and the nature of marital relationships had undergone significant changes since the original principle was established. The modern perspective of marriage as a partnership of equals meant that the notion of a wife giving permanent, irrevocable consent to sex with her husband was no longer tenable. The court emphasized that the common law had the capacity to evolve in response to societal changes, and it was the judiciary's responsibility to facilitate this evolution. This case demonstrates how judicial decisions can sometimes bring about important legal reforms, particularly when societal values have shifted significantly from those reflected in older legal </w:t>
      </w:r>
      <w:r w:rsidR="00DD295D" w:rsidRPr="00A2181E">
        <w:rPr>
          <w:rFonts w:ascii="Calibri" w:eastAsia="Times New Roman" w:hAnsi="Calibri" w:cs="Calibri"/>
          <w:color w:val="000000"/>
          <w:sz w:val="24"/>
          <w:szCs w:val="24"/>
        </w:rPr>
        <w:t>principles (</w:t>
      </w:r>
      <w:r w:rsidRPr="00A2181E">
        <w:rPr>
          <w:rFonts w:ascii="Calibri" w:eastAsia="Times New Roman" w:hAnsi="Calibri" w:cs="Calibri"/>
          <w:color w:val="000000"/>
          <w:sz w:val="24"/>
          <w:szCs w:val="24"/>
        </w:rPr>
        <w:t>Elliot and Quinn, 2015).</w:t>
      </w:r>
    </w:p>
    <w:p w:rsidR="00A2181E" w:rsidRPr="00A2181E" w:rsidRDefault="00A2181E" w:rsidP="00A2181E">
      <w:pPr>
        <w:spacing w:after="0" w:line="240" w:lineRule="auto"/>
        <w:textAlignment w:val="baseline"/>
        <w:rPr>
          <w:rFonts w:ascii="Calibri" w:eastAsia="Times New Roman" w:hAnsi="Calibri" w:cs="Calibri"/>
          <w:color w:val="000000"/>
          <w:sz w:val="24"/>
          <w:szCs w:val="24"/>
        </w:rPr>
      </w:pPr>
      <w:r w:rsidRPr="00A2181E">
        <w:rPr>
          <w:rFonts w:ascii="Calibri" w:eastAsia="Times New Roman" w:hAnsi="Calibri" w:cs="Calibri"/>
          <w:color w:val="000000"/>
          <w:sz w:val="24"/>
          <w:szCs w:val="24"/>
        </w:rPr>
        <w:t>            The United Kingdom stands out globally for its uncodified constitution, which results in a unique approach to the separation of powers. Unlike many nations, the UK does not maintain rigid boundaries between its legislative, executive, and judicial branches. Instead, these governmental organs have considerable overlap in their functions and responsibilities</w:t>
      </w:r>
      <w:r w:rsidR="00DD295D">
        <w:rPr>
          <w:rFonts w:ascii="Calibri" w:eastAsia="Times New Roman" w:hAnsi="Calibri" w:cs="Calibri"/>
          <w:color w:val="000000"/>
          <w:sz w:val="24"/>
          <w:szCs w:val="24"/>
        </w:rPr>
        <w:t xml:space="preserve"> </w:t>
      </w:r>
      <w:r w:rsidRPr="00A2181E">
        <w:rPr>
          <w:rFonts w:ascii="Calibri" w:eastAsia="Times New Roman" w:hAnsi="Calibri" w:cs="Calibri"/>
          <w:color w:val="000000"/>
          <w:sz w:val="24"/>
          <w:szCs w:val="24"/>
        </w:rPr>
        <w:t>(</w:t>
      </w:r>
      <w:proofErr w:type="spellStart"/>
      <w:r w:rsidRPr="00A2181E">
        <w:rPr>
          <w:rFonts w:ascii="Calibri" w:eastAsia="Times New Roman" w:hAnsi="Calibri" w:cs="Calibri"/>
          <w:color w:val="000000"/>
          <w:sz w:val="24"/>
          <w:szCs w:val="24"/>
        </w:rPr>
        <w:t>Iyer</w:t>
      </w:r>
      <w:proofErr w:type="spellEnd"/>
      <w:r w:rsidRPr="00A2181E">
        <w:rPr>
          <w:rFonts w:ascii="Calibri" w:eastAsia="Times New Roman" w:hAnsi="Calibri" w:cs="Calibri"/>
          <w:color w:val="000000"/>
          <w:sz w:val="24"/>
          <w:szCs w:val="24"/>
        </w:rPr>
        <w:t>, 2018).</w:t>
      </w:r>
    </w:p>
    <w:p w:rsidR="00A2181E" w:rsidRPr="00A2181E" w:rsidRDefault="00A2181E" w:rsidP="00A2181E">
      <w:pPr>
        <w:spacing w:after="0" w:line="240" w:lineRule="auto"/>
        <w:textAlignment w:val="baseline"/>
        <w:rPr>
          <w:rFonts w:ascii="Calibri" w:eastAsia="Times New Roman" w:hAnsi="Calibri" w:cs="Calibri"/>
          <w:color w:val="000000"/>
          <w:sz w:val="24"/>
          <w:szCs w:val="24"/>
        </w:rPr>
      </w:pPr>
    </w:p>
    <w:p w:rsidR="00461698" w:rsidRDefault="00AA4703"/>
    <w:p w:rsidR="0017263F" w:rsidRDefault="0017263F"/>
    <w:p w:rsidR="0017263F" w:rsidRDefault="0017263F"/>
    <w:p w:rsidR="0017263F" w:rsidRDefault="0017263F"/>
    <w:p w:rsidR="0017263F" w:rsidRDefault="0017263F"/>
    <w:p w:rsidR="0017263F" w:rsidRDefault="0017263F"/>
    <w:p w:rsidR="0017263F" w:rsidRDefault="0017263F"/>
    <w:p w:rsidR="0017263F" w:rsidRDefault="0017263F"/>
    <w:p w:rsidR="0017263F" w:rsidRDefault="0017263F"/>
    <w:p w:rsidR="0017263F" w:rsidRDefault="0017263F"/>
    <w:p w:rsidR="0017263F" w:rsidRDefault="0017263F"/>
    <w:p w:rsidR="0017263F" w:rsidRDefault="0017263F"/>
    <w:p w:rsidR="0017263F" w:rsidRDefault="0017263F"/>
    <w:p w:rsidR="00776645" w:rsidRPr="00776645" w:rsidRDefault="00776645" w:rsidP="00776645">
      <w:pPr>
        <w:pStyle w:val="Heading1"/>
        <w:rPr>
          <w:rFonts w:ascii="Arial" w:hAnsi="Arial" w:cs="Arial"/>
          <w:b w:val="0"/>
          <w:color w:val="auto"/>
          <w:sz w:val="24"/>
          <w:szCs w:val="24"/>
        </w:rPr>
      </w:pPr>
      <w:bookmarkStart w:id="0" w:name="_Toc165500654"/>
      <w:r w:rsidRPr="00776645">
        <w:rPr>
          <w:rFonts w:ascii="Arial" w:hAnsi="Arial" w:cs="Arial"/>
          <w:b w:val="0"/>
          <w:color w:val="auto"/>
          <w:sz w:val="24"/>
          <w:szCs w:val="24"/>
        </w:rPr>
        <w:lastRenderedPageBreak/>
        <w:t>References:</w:t>
      </w:r>
      <w:bookmarkEnd w:id="0"/>
    </w:p>
    <w:p w:rsidR="0017263F" w:rsidRPr="00776645" w:rsidRDefault="0017263F" w:rsidP="00776645">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proofErr w:type="spellStart"/>
      <w:r w:rsidRPr="00776645">
        <w:rPr>
          <w:rFonts w:ascii="Arial" w:eastAsia="Times New Roman" w:hAnsi="Arial" w:cs="Arial"/>
          <w:sz w:val="24"/>
          <w:szCs w:val="24"/>
        </w:rPr>
        <w:t>Benwell</w:t>
      </w:r>
      <w:proofErr w:type="spellEnd"/>
      <w:r w:rsidRPr="00776645">
        <w:rPr>
          <w:rFonts w:ascii="Arial" w:eastAsia="Times New Roman" w:hAnsi="Arial" w:cs="Arial"/>
          <w:sz w:val="24"/>
          <w:szCs w:val="24"/>
        </w:rPr>
        <w:t>, R. and Gay, O., The Separation of Powers, Section: Parliament and Constitution Centre, Available at: </w:t>
      </w:r>
      <w:hyperlink r:id="rId8" w:tgtFrame="_blank" w:tooltip="Original URL: https://researchbriefings.files.parliament.uk/documents/SN06053/SN06053.pdf. Click or tap if you trust this link." w:history="1">
        <w:r w:rsidRPr="00776645">
          <w:rPr>
            <w:rFonts w:ascii="Arial" w:eastAsia="Times New Roman" w:hAnsi="Arial" w:cs="Arial"/>
            <w:sz w:val="24"/>
            <w:szCs w:val="24"/>
            <w:u w:val="single"/>
          </w:rPr>
          <w:t>https://researchbriefings.files.parliament.uk/documents/SN06053/SN06053.pdf</w:t>
        </w:r>
      </w:hyperlink>
      <w:r w:rsidRPr="00776645">
        <w:rPr>
          <w:rFonts w:ascii="Arial" w:eastAsia="Times New Roman" w:hAnsi="Arial" w:cs="Arial"/>
          <w:sz w:val="24"/>
          <w:szCs w:val="24"/>
        </w:rPr>
        <w:t> (Accessed: 5 March 2025);</w:t>
      </w:r>
    </w:p>
    <w:p w:rsidR="0017263F"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sidRPr="00776645">
        <w:rPr>
          <w:rFonts w:ascii="Arial" w:eastAsia="Times New Roman" w:hAnsi="Arial" w:cs="Arial"/>
          <w:sz w:val="24"/>
          <w:szCs w:val="24"/>
        </w:rPr>
        <w:t xml:space="preserve"> Constitutional Reform Act of 2005 Available at </w:t>
      </w:r>
      <w:hyperlink r:id="rId9" w:tgtFrame="_blank" w:history="1">
        <w:r w:rsidRPr="00776645">
          <w:rPr>
            <w:rFonts w:ascii="Arial" w:eastAsia="Times New Roman" w:hAnsi="Arial" w:cs="Arial"/>
            <w:sz w:val="24"/>
            <w:szCs w:val="24"/>
            <w:u w:val="single"/>
          </w:rPr>
          <w:t>https://www.legislation.gov.uk/ukpga/2005/4/section/137(Accessed:</w:t>
        </w:r>
      </w:hyperlink>
      <w:r w:rsidRPr="00776645">
        <w:rPr>
          <w:rFonts w:ascii="Arial" w:eastAsia="Times New Roman" w:hAnsi="Arial" w:cs="Arial"/>
          <w:sz w:val="24"/>
          <w:szCs w:val="24"/>
        </w:rPr>
        <w:t> 4 March 2025)</w:t>
      </w:r>
    </w:p>
    <w:p w:rsidR="0017263F"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sidRPr="00AA4703">
        <w:rPr>
          <w:rFonts w:ascii="Arial" w:eastAsia="Times New Roman" w:hAnsi="Arial" w:cs="Arial"/>
          <w:sz w:val="24"/>
          <w:szCs w:val="24"/>
        </w:rPr>
        <w:t xml:space="preserve"> </w:t>
      </w:r>
      <w:proofErr w:type="spellStart"/>
      <w:r w:rsidRPr="00AA4703">
        <w:rPr>
          <w:rFonts w:ascii="Arial" w:eastAsia="Times New Roman" w:hAnsi="Arial" w:cs="Arial"/>
          <w:sz w:val="24"/>
          <w:szCs w:val="24"/>
        </w:rPr>
        <w:t>Cownie</w:t>
      </w:r>
      <w:proofErr w:type="spellEnd"/>
      <w:r w:rsidRPr="00AA4703">
        <w:rPr>
          <w:rFonts w:ascii="Arial" w:eastAsia="Times New Roman" w:hAnsi="Arial" w:cs="Arial"/>
          <w:sz w:val="24"/>
          <w:szCs w:val="24"/>
        </w:rPr>
        <w:t xml:space="preserve">, F., </w:t>
      </w:r>
      <w:proofErr w:type="spellStart"/>
      <w:r w:rsidRPr="00AA4703">
        <w:rPr>
          <w:rFonts w:ascii="Arial" w:eastAsia="Times New Roman" w:hAnsi="Arial" w:cs="Arial"/>
          <w:sz w:val="24"/>
          <w:szCs w:val="24"/>
        </w:rPr>
        <w:t>Bradney</w:t>
      </w:r>
      <w:proofErr w:type="spellEnd"/>
      <w:r w:rsidRPr="00AA4703">
        <w:rPr>
          <w:rFonts w:ascii="Arial" w:eastAsia="Times New Roman" w:hAnsi="Arial" w:cs="Arial"/>
          <w:sz w:val="24"/>
          <w:szCs w:val="24"/>
        </w:rPr>
        <w:t>, A. and Burton, M.(2013), English legal system in context, Sixth Edition, Oxford: Oxford: Oxford University Press;</w:t>
      </w:r>
    </w:p>
    <w:p w:rsidR="0017263F"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sidRPr="00AA4703">
        <w:rPr>
          <w:rFonts w:ascii="Arial" w:eastAsia="Times New Roman" w:hAnsi="Arial" w:cs="Arial"/>
          <w:sz w:val="24"/>
          <w:szCs w:val="24"/>
        </w:rPr>
        <w:t xml:space="preserve"> Elliot, C. and Quinn, F.(2015), English legal system, Sixteenth Edition, Harlow, England: Pearson Education;</w:t>
      </w:r>
    </w:p>
    <w:p w:rsidR="0017263F"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sidRPr="00AA4703">
        <w:rPr>
          <w:rFonts w:ascii="Arial" w:eastAsia="Times New Roman" w:hAnsi="Arial" w:cs="Arial"/>
          <w:sz w:val="24"/>
          <w:szCs w:val="24"/>
        </w:rPr>
        <w:t xml:space="preserve"> Gee, G., </w:t>
      </w:r>
      <w:proofErr w:type="spellStart"/>
      <w:r w:rsidRPr="00AA4703">
        <w:rPr>
          <w:rFonts w:ascii="Arial" w:eastAsia="Times New Roman" w:hAnsi="Arial" w:cs="Arial"/>
          <w:sz w:val="24"/>
          <w:szCs w:val="24"/>
        </w:rPr>
        <w:t>Hazell</w:t>
      </w:r>
      <w:proofErr w:type="spellEnd"/>
      <w:r w:rsidRPr="00AA4703">
        <w:rPr>
          <w:rFonts w:ascii="Arial" w:eastAsia="Times New Roman" w:hAnsi="Arial" w:cs="Arial"/>
          <w:sz w:val="24"/>
          <w:szCs w:val="24"/>
        </w:rPr>
        <w:t xml:space="preserve">, R., </w:t>
      </w:r>
      <w:proofErr w:type="spellStart"/>
      <w:r w:rsidRPr="00AA4703">
        <w:rPr>
          <w:rFonts w:ascii="Arial" w:eastAsia="Times New Roman" w:hAnsi="Arial" w:cs="Arial"/>
          <w:sz w:val="24"/>
          <w:szCs w:val="24"/>
        </w:rPr>
        <w:t>Malleson</w:t>
      </w:r>
      <w:proofErr w:type="spellEnd"/>
      <w:r w:rsidRPr="00AA4703">
        <w:rPr>
          <w:rFonts w:ascii="Arial" w:eastAsia="Times New Roman" w:hAnsi="Arial" w:cs="Arial"/>
          <w:sz w:val="24"/>
          <w:szCs w:val="24"/>
        </w:rPr>
        <w:t>, K. and O'Brien, P. (2015) </w:t>
      </w:r>
      <w:proofErr w:type="gramStart"/>
      <w:r w:rsidRPr="00AA4703">
        <w:rPr>
          <w:rFonts w:ascii="Arial" w:eastAsia="Times New Roman" w:hAnsi="Arial" w:cs="Arial"/>
          <w:i/>
          <w:iCs/>
          <w:sz w:val="24"/>
          <w:szCs w:val="24"/>
        </w:rPr>
        <w:t>The</w:t>
      </w:r>
      <w:proofErr w:type="gramEnd"/>
      <w:r w:rsidRPr="00AA4703">
        <w:rPr>
          <w:rFonts w:ascii="Arial" w:eastAsia="Times New Roman" w:hAnsi="Arial" w:cs="Arial"/>
          <w:i/>
          <w:iCs/>
          <w:sz w:val="24"/>
          <w:szCs w:val="24"/>
        </w:rPr>
        <w:t xml:space="preserve"> politics of judicial independence in the UK's changing constitution.</w:t>
      </w:r>
      <w:r w:rsidRPr="00AA4703">
        <w:rPr>
          <w:rFonts w:ascii="Arial" w:eastAsia="Times New Roman" w:hAnsi="Arial" w:cs="Arial"/>
          <w:sz w:val="24"/>
          <w:szCs w:val="24"/>
        </w:rPr>
        <w:t> Cambridge: Cambridge University Press;</w:t>
      </w:r>
    </w:p>
    <w:p w:rsidR="0017263F"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proofErr w:type="spellStart"/>
      <w:r w:rsidRPr="00AA4703">
        <w:rPr>
          <w:rFonts w:ascii="Arial" w:eastAsia="Times New Roman" w:hAnsi="Arial" w:cs="Arial"/>
          <w:sz w:val="24"/>
          <w:szCs w:val="24"/>
        </w:rPr>
        <w:t>Gillespie,A</w:t>
      </w:r>
      <w:proofErr w:type="spellEnd"/>
      <w:r w:rsidRPr="00AA4703">
        <w:rPr>
          <w:rFonts w:ascii="Arial" w:eastAsia="Times New Roman" w:hAnsi="Arial" w:cs="Arial"/>
          <w:sz w:val="24"/>
          <w:szCs w:val="24"/>
        </w:rPr>
        <w:t xml:space="preserve">. and </w:t>
      </w:r>
      <w:proofErr w:type="spellStart"/>
      <w:r w:rsidRPr="00AA4703">
        <w:rPr>
          <w:rFonts w:ascii="Arial" w:eastAsia="Times New Roman" w:hAnsi="Arial" w:cs="Arial"/>
          <w:sz w:val="24"/>
          <w:szCs w:val="24"/>
        </w:rPr>
        <w:t>Weare</w:t>
      </w:r>
      <w:proofErr w:type="spellEnd"/>
      <w:r w:rsidRPr="00AA4703">
        <w:rPr>
          <w:rFonts w:ascii="Arial" w:eastAsia="Times New Roman" w:hAnsi="Arial" w:cs="Arial"/>
          <w:sz w:val="24"/>
          <w:szCs w:val="24"/>
        </w:rPr>
        <w:t>, S.(2021)The English legal system, Eighth edition., Oxford: Oxford University Press</w:t>
      </w:r>
      <w:r w:rsidR="00AA4703">
        <w:rPr>
          <w:rFonts w:ascii="Arial" w:eastAsia="Times New Roman" w:hAnsi="Arial" w:cs="Arial"/>
          <w:sz w:val="24"/>
          <w:szCs w:val="24"/>
        </w:rPr>
        <w:t>;</w:t>
      </w:r>
    </w:p>
    <w:p w:rsidR="0017263F" w:rsidRPr="00AA4703"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sidRPr="00AA4703">
        <w:rPr>
          <w:rFonts w:ascii="Arial" w:eastAsia="Times New Roman" w:hAnsi="Arial" w:cs="Arial"/>
          <w:sz w:val="24"/>
          <w:szCs w:val="24"/>
        </w:rPr>
        <w:t xml:space="preserve"> </w:t>
      </w:r>
      <w:proofErr w:type="spellStart"/>
      <w:r w:rsidRPr="00AA4703">
        <w:rPr>
          <w:rFonts w:ascii="Arial" w:eastAsia="Times New Roman" w:hAnsi="Arial" w:cs="Arial"/>
          <w:sz w:val="24"/>
          <w:szCs w:val="24"/>
        </w:rPr>
        <w:t>Iyer</w:t>
      </w:r>
      <w:proofErr w:type="spellEnd"/>
      <w:r w:rsidRPr="00AA4703">
        <w:rPr>
          <w:rFonts w:ascii="Arial" w:eastAsia="Times New Roman" w:hAnsi="Arial" w:cs="Arial"/>
          <w:sz w:val="24"/>
          <w:szCs w:val="24"/>
        </w:rPr>
        <w:t>, V. (2018), SEPARATION OF POWERS: THE UK EXPERIENCE. </w:t>
      </w:r>
      <w:r w:rsidRPr="00AA4703">
        <w:rPr>
          <w:rFonts w:ascii="Arial" w:eastAsia="Times New Roman" w:hAnsi="Arial" w:cs="Arial"/>
          <w:i/>
          <w:iCs/>
          <w:sz w:val="24"/>
          <w:szCs w:val="24"/>
        </w:rPr>
        <w:t>Journal of International and Comparative Law</w:t>
      </w:r>
      <w:r w:rsidRPr="00AA4703">
        <w:rPr>
          <w:rFonts w:ascii="Arial" w:eastAsia="Times New Roman" w:hAnsi="Arial" w:cs="Arial"/>
          <w:sz w:val="24"/>
          <w:szCs w:val="24"/>
        </w:rPr>
        <w:t>, </w:t>
      </w:r>
      <w:r w:rsidRPr="00AA4703">
        <w:rPr>
          <w:rFonts w:ascii="Arial" w:eastAsia="Times New Roman" w:hAnsi="Arial" w:cs="Arial"/>
          <w:i/>
          <w:iCs/>
          <w:sz w:val="24"/>
          <w:szCs w:val="24"/>
        </w:rPr>
        <w:t>5</w:t>
      </w:r>
      <w:r w:rsidRPr="00AA4703">
        <w:rPr>
          <w:rFonts w:ascii="Arial" w:eastAsia="Times New Roman" w:hAnsi="Arial" w:cs="Arial"/>
          <w:sz w:val="24"/>
          <w:szCs w:val="24"/>
        </w:rPr>
        <w:t>(2), 507–527</w:t>
      </w:r>
      <w:proofErr w:type="gramStart"/>
      <w:r w:rsidRPr="00AA4703">
        <w:rPr>
          <w:rFonts w:ascii="Arial" w:eastAsia="Times New Roman" w:hAnsi="Arial" w:cs="Arial"/>
          <w:sz w:val="24"/>
          <w:szCs w:val="24"/>
        </w:rPr>
        <w:t>  article</w:t>
      </w:r>
      <w:proofErr w:type="gramEnd"/>
      <w:r w:rsidRPr="00AA4703">
        <w:rPr>
          <w:rFonts w:ascii="Arial" w:eastAsia="Times New Roman" w:hAnsi="Arial" w:cs="Arial"/>
          <w:sz w:val="24"/>
          <w:szCs w:val="24"/>
        </w:rPr>
        <w:t>, Available at: </w:t>
      </w:r>
      <w:hyperlink r:id="rId10" w:tgtFrame="_blank" w:history="1">
        <w:r w:rsidRPr="00AA4703">
          <w:rPr>
            <w:rFonts w:ascii="Arial" w:eastAsia="Times New Roman" w:hAnsi="Arial" w:cs="Arial"/>
            <w:sz w:val="24"/>
            <w:szCs w:val="24"/>
            <w:u w:val="single"/>
          </w:rPr>
          <w:t>https://www.proquest.com/docview/2215488197?accountid=130472&amp;parentSessionId=za8ElnZW%2FjrPtB%2BLJOY5wFo2eAkjOHTP5PjcDMDqjbs%3D&amp;pq-origsite=primo&amp;sourcetype=Scholarly%20Journals</w:t>
        </w:r>
      </w:hyperlink>
      <w:r w:rsidR="00AA4703">
        <w:rPr>
          <w:rFonts w:ascii="Arial" w:hAnsi="Arial" w:cs="Arial"/>
          <w:sz w:val="24"/>
          <w:szCs w:val="24"/>
        </w:rPr>
        <w:t>;</w:t>
      </w:r>
    </w:p>
    <w:p w:rsidR="0017263F"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sidRPr="00AA4703">
        <w:rPr>
          <w:rFonts w:ascii="Arial" w:eastAsia="Times New Roman" w:hAnsi="Arial" w:cs="Arial"/>
          <w:sz w:val="24"/>
          <w:szCs w:val="24"/>
        </w:rPr>
        <w:t>Kenny, M. (2024)Fractured Union: Politics, Sovereignty and the Fight to Save the UK (1st ed.), Oxford: Oxford University Press</w:t>
      </w:r>
      <w:r w:rsidR="00AA4703">
        <w:rPr>
          <w:rFonts w:ascii="Arial" w:eastAsia="Times New Roman" w:hAnsi="Arial" w:cs="Arial"/>
          <w:sz w:val="24"/>
          <w:szCs w:val="24"/>
        </w:rPr>
        <w:t>;</w:t>
      </w:r>
    </w:p>
    <w:p w:rsidR="0017263F" w:rsidRDefault="00AA4703"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Pr>
          <w:rFonts w:ascii="Arial" w:eastAsia="Times New Roman" w:hAnsi="Arial" w:cs="Arial"/>
          <w:sz w:val="24"/>
          <w:szCs w:val="24"/>
        </w:rPr>
        <w:t xml:space="preserve"> R v R - 1992 </w:t>
      </w:r>
      <w:r w:rsidR="0017263F" w:rsidRPr="00AA4703">
        <w:rPr>
          <w:rFonts w:ascii="Arial" w:eastAsia="Times New Roman" w:hAnsi="Arial" w:cs="Arial"/>
          <w:sz w:val="24"/>
          <w:szCs w:val="24"/>
        </w:rPr>
        <w:t xml:space="preserve">case </w:t>
      </w:r>
      <w:r>
        <w:rPr>
          <w:rFonts w:ascii="Arial" w:eastAsia="Times New Roman" w:hAnsi="Arial" w:cs="Arial"/>
          <w:sz w:val="24"/>
          <w:szCs w:val="24"/>
        </w:rPr>
        <w:t xml:space="preserve"> </w:t>
      </w:r>
      <w:r w:rsidR="0017263F" w:rsidRPr="00AA4703">
        <w:rPr>
          <w:rFonts w:ascii="Arial" w:eastAsia="Times New Roman" w:hAnsi="Arial" w:cs="Arial"/>
          <w:sz w:val="24"/>
          <w:szCs w:val="24"/>
        </w:rPr>
        <w:t>Available at: </w:t>
      </w:r>
      <w:hyperlink r:id="rId11" w:tgtFrame="_blank" w:history="1">
        <w:r w:rsidR="0017263F" w:rsidRPr="00AA4703">
          <w:rPr>
            <w:rFonts w:ascii="Arial" w:eastAsia="Times New Roman" w:hAnsi="Arial" w:cs="Arial"/>
            <w:sz w:val="24"/>
            <w:szCs w:val="24"/>
            <w:u w:val="single"/>
          </w:rPr>
          <w:t>https://www.lawteacher.net/cases/r-v-r-1992.php(Accessed:</w:t>
        </w:r>
      </w:hyperlink>
      <w:r w:rsidR="0017263F" w:rsidRPr="00AA4703">
        <w:rPr>
          <w:rFonts w:ascii="Arial" w:eastAsia="Times New Roman" w:hAnsi="Arial" w:cs="Arial"/>
          <w:sz w:val="24"/>
          <w:szCs w:val="24"/>
        </w:rPr>
        <w:t> 6 March 2025)</w:t>
      </w:r>
      <w:r>
        <w:rPr>
          <w:rFonts w:ascii="Arial" w:eastAsia="Times New Roman" w:hAnsi="Arial" w:cs="Arial"/>
          <w:sz w:val="24"/>
          <w:szCs w:val="24"/>
        </w:rPr>
        <w:t>;</w:t>
      </w:r>
    </w:p>
    <w:p w:rsidR="0017263F" w:rsidRPr="00AA4703"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sidRPr="00AA4703">
        <w:rPr>
          <w:rFonts w:ascii="Arial" w:eastAsia="Times New Roman" w:hAnsi="Arial" w:cs="Arial"/>
          <w:sz w:val="24"/>
          <w:szCs w:val="24"/>
        </w:rPr>
        <w:t xml:space="preserve"> Reed, L(2021)</w:t>
      </w:r>
      <w:r w:rsidR="00AA4703">
        <w:rPr>
          <w:rFonts w:ascii="Arial" w:eastAsia="Times New Roman" w:hAnsi="Arial" w:cs="Arial"/>
          <w:sz w:val="24"/>
          <w:szCs w:val="24"/>
        </w:rPr>
        <w:t xml:space="preserve"> The</w:t>
      </w:r>
      <w:r w:rsidRPr="00AA4703">
        <w:rPr>
          <w:rFonts w:ascii="Arial" w:eastAsia="Times New Roman" w:hAnsi="Arial" w:cs="Arial"/>
          <w:sz w:val="24"/>
          <w:szCs w:val="24"/>
        </w:rPr>
        <w:t xml:space="preserve"> UK S</w:t>
      </w:r>
      <w:r w:rsidR="00AA4703">
        <w:rPr>
          <w:rFonts w:ascii="Arial" w:eastAsia="Times New Roman" w:hAnsi="Arial" w:cs="Arial"/>
          <w:sz w:val="24"/>
          <w:szCs w:val="24"/>
        </w:rPr>
        <w:t>upreme Court</w:t>
      </w:r>
      <w:r w:rsidRPr="00AA4703">
        <w:rPr>
          <w:rFonts w:ascii="Arial" w:eastAsia="Times New Roman" w:hAnsi="Arial" w:cs="Arial"/>
          <w:sz w:val="24"/>
          <w:szCs w:val="24"/>
        </w:rPr>
        <w:t xml:space="preserve">: </w:t>
      </w:r>
      <w:r w:rsidR="00AA4703">
        <w:rPr>
          <w:rFonts w:ascii="Arial" w:eastAsia="Times New Roman" w:hAnsi="Arial" w:cs="Arial"/>
          <w:sz w:val="24"/>
          <w:szCs w:val="24"/>
        </w:rPr>
        <w:t>what is its role</w:t>
      </w:r>
      <w:r w:rsidRPr="00AA4703">
        <w:rPr>
          <w:rFonts w:ascii="Arial" w:eastAsia="Times New Roman" w:hAnsi="Arial" w:cs="Arial"/>
          <w:sz w:val="24"/>
          <w:szCs w:val="24"/>
        </w:rPr>
        <w:t xml:space="preserve">, </w:t>
      </w:r>
      <w:r w:rsidR="00AA4703">
        <w:rPr>
          <w:rFonts w:ascii="Arial" w:eastAsia="Times New Roman" w:hAnsi="Arial" w:cs="Arial"/>
          <w:sz w:val="24"/>
          <w:szCs w:val="24"/>
        </w:rPr>
        <w:t>and what is its</w:t>
      </w:r>
      <w:r w:rsidRPr="00AA4703">
        <w:rPr>
          <w:rFonts w:ascii="Arial" w:eastAsia="Times New Roman" w:hAnsi="Arial" w:cs="Arial"/>
          <w:sz w:val="24"/>
          <w:szCs w:val="24"/>
        </w:rPr>
        <w:t xml:space="preserve"> </w:t>
      </w:r>
      <w:r w:rsidR="00AA4703">
        <w:rPr>
          <w:rFonts w:ascii="Arial" w:eastAsia="Times New Roman" w:hAnsi="Arial" w:cs="Arial"/>
          <w:sz w:val="24"/>
          <w:szCs w:val="24"/>
        </w:rPr>
        <w:t>relationship with</w:t>
      </w:r>
      <w:r w:rsidRPr="00AA4703">
        <w:rPr>
          <w:rFonts w:ascii="Arial" w:eastAsia="Times New Roman" w:hAnsi="Arial" w:cs="Arial"/>
          <w:sz w:val="24"/>
          <w:szCs w:val="24"/>
        </w:rPr>
        <w:t xml:space="preserve"> </w:t>
      </w:r>
      <w:r w:rsidR="00AA4703">
        <w:rPr>
          <w:rFonts w:ascii="Arial" w:eastAsia="Times New Roman" w:hAnsi="Arial" w:cs="Arial"/>
          <w:sz w:val="24"/>
          <w:szCs w:val="24"/>
        </w:rPr>
        <w:t>the</w:t>
      </w:r>
      <w:r w:rsidRPr="00AA4703">
        <w:rPr>
          <w:rFonts w:ascii="Arial" w:eastAsia="Times New Roman" w:hAnsi="Arial" w:cs="Arial"/>
          <w:sz w:val="24"/>
          <w:szCs w:val="24"/>
        </w:rPr>
        <w:t xml:space="preserve"> UK P</w:t>
      </w:r>
      <w:r w:rsidR="00AA4703">
        <w:rPr>
          <w:rFonts w:ascii="Arial" w:eastAsia="Times New Roman" w:hAnsi="Arial" w:cs="Arial"/>
          <w:sz w:val="24"/>
          <w:szCs w:val="24"/>
        </w:rPr>
        <w:t>arliament</w:t>
      </w:r>
      <w:r w:rsidRPr="00AA4703">
        <w:rPr>
          <w:rFonts w:ascii="Arial" w:eastAsia="Times New Roman" w:hAnsi="Arial" w:cs="Arial"/>
          <w:sz w:val="24"/>
          <w:szCs w:val="24"/>
        </w:rPr>
        <w:t>(2021), Parliamentarian, 102(3), 272, article, Available at: </w:t>
      </w:r>
      <w:hyperlink r:id="rId12" w:tgtFrame="_blank" w:tooltip="Original URL: https://research-ebsco-com.ezproxy.uwtsd.ac.uk/c/onvpsy/viewer/pdf/gbxhqqtfyj. Click or tap if you trust this link." w:history="1">
        <w:r w:rsidRPr="00AA4703">
          <w:rPr>
            <w:rFonts w:ascii="Arial" w:eastAsia="Times New Roman" w:hAnsi="Arial" w:cs="Arial"/>
            <w:sz w:val="24"/>
            <w:szCs w:val="24"/>
            <w:u w:val="single"/>
          </w:rPr>
          <w:t>https://research-ebsco-com.ezproxy.uwtsd.ac.uk/c/onvpsy/viewer/pdf/gbxhqqtfyj</w:t>
        </w:r>
      </w:hyperlink>
      <w:r w:rsidR="00AA4703">
        <w:rPr>
          <w:rFonts w:ascii="Arial" w:hAnsi="Arial" w:cs="Arial"/>
          <w:sz w:val="24"/>
          <w:szCs w:val="24"/>
        </w:rPr>
        <w:t>;</w:t>
      </w:r>
    </w:p>
    <w:p w:rsidR="0017263F" w:rsidRPr="00AA4703"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sidRPr="00AA4703">
        <w:rPr>
          <w:rFonts w:ascii="Arial" w:eastAsia="Times New Roman" w:hAnsi="Arial" w:cs="Arial"/>
          <w:bCs/>
          <w:sz w:val="24"/>
          <w:szCs w:val="24"/>
        </w:rPr>
        <w:t>Sexual Offences (Amendment) Act 1976 Available at </w:t>
      </w:r>
      <w:hyperlink r:id="rId13" w:tgtFrame="_blank" w:history="1">
        <w:r w:rsidRPr="00AA4703">
          <w:rPr>
            <w:rFonts w:ascii="Arial" w:eastAsia="Times New Roman" w:hAnsi="Arial" w:cs="Arial"/>
            <w:bCs/>
            <w:sz w:val="24"/>
            <w:szCs w:val="24"/>
            <w:u w:val="single"/>
          </w:rPr>
          <w:t>https://www.legislation.gov.uk/ukpga/1976/82(Accessed:</w:t>
        </w:r>
      </w:hyperlink>
      <w:r w:rsidRPr="00AA4703">
        <w:rPr>
          <w:rFonts w:ascii="Arial" w:eastAsia="Times New Roman" w:hAnsi="Arial" w:cs="Arial"/>
          <w:bCs/>
          <w:sz w:val="24"/>
          <w:szCs w:val="24"/>
        </w:rPr>
        <w:t> 4 March 2025)</w:t>
      </w:r>
      <w:r w:rsidR="00AA4703">
        <w:rPr>
          <w:rFonts w:ascii="Arial" w:eastAsia="Times New Roman" w:hAnsi="Arial" w:cs="Arial"/>
          <w:bCs/>
          <w:sz w:val="24"/>
          <w:szCs w:val="24"/>
        </w:rPr>
        <w:t>;</w:t>
      </w:r>
    </w:p>
    <w:p w:rsidR="0017263F" w:rsidRPr="00AA4703" w:rsidRDefault="0017263F" w:rsidP="0017263F">
      <w:pPr>
        <w:pStyle w:val="ListParagraph"/>
        <w:numPr>
          <w:ilvl w:val="0"/>
          <w:numId w:val="1"/>
        </w:numPr>
        <w:shd w:val="clear" w:color="auto" w:fill="FFFFFF"/>
        <w:spacing w:after="0" w:line="240" w:lineRule="auto"/>
        <w:textAlignment w:val="baseline"/>
        <w:rPr>
          <w:rFonts w:ascii="Arial" w:eastAsia="Times New Roman" w:hAnsi="Arial" w:cs="Arial"/>
          <w:sz w:val="24"/>
          <w:szCs w:val="24"/>
        </w:rPr>
      </w:pPr>
      <w:r w:rsidRPr="00AA4703">
        <w:rPr>
          <w:rFonts w:ascii="Arial" w:eastAsia="Times New Roman" w:hAnsi="Arial" w:cs="Arial"/>
          <w:sz w:val="24"/>
          <w:szCs w:val="24"/>
        </w:rPr>
        <w:t xml:space="preserve">Wilson, S., Rutherford, H., Storey, T., </w:t>
      </w:r>
      <w:proofErr w:type="spellStart"/>
      <w:r w:rsidRPr="00AA4703">
        <w:rPr>
          <w:rFonts w:ascii="Arial" w:eastAsia="Times New Roman" w:hAnsi="Arial" w:cs="Arial"/>
          <w:sz w:val="24"/>
          <w:szCs w:val="24"/>
        </w:rPr>
        <w:t>Wortley</w:t>
      </w:r>
      <w:proofErr w:type="spellEnd"/>
      <w:r w:rsidRPr="00AA4703">
        <w:rPr>
          <w:rFonts w:ascii="Arial" w:eastAsia="Times New Roman" w:hAnsi="Arial" w:cs="Arial"/>
          <w:sz w:val="24"/>
          <w:szCs w:val="24"/>
        </w:rPr>
        <w:t xml:space="preserve">, N. and </w:t>
      </w:r>
      <w:proofErr w:type="spellStart"/>
      <w:r w:rsidRPr="00AA4703">
        <w:rPr>
          <w:rFonts w:ascii="Arial" w:eastAsia="Times New Roman" w:hAnsi="Arial" w:cs="Arial"/>
          <w:sz w:val="24"/>
          <w:szCs w:val="24"/>
        </w:rPr>
        <w:t>Kotecha</w:t>
      </w:r>
      <w:proofErr w:type="spellEnd"/>
      <w:r w:rsidRPr="00AA4703">
        <w:rPr>
          <w:rFonts w:ascii="Arial" w:eastAsia="Times New Roman" w:hAnsi="Arial" w:cs="Arial"/>
          <w:sz w:val="24"/>
          <w:szCs w:val="24"/>
        </w:rPr>
        <w:t>, B.(2020), English legal system, 4th edition, Oxford: Oxford University Press</w:t>
      </w:r>
      <w:r w:rsidR="00AA4703">
        <w:rPr>
          <w:rFonts w:ascii="Arial" w:eastAsia="Times New Roman" w:hAnsi="Arial" w:cs="Arial"/>
          <w:sz w:val="24"/>
          <w:szCs w:val="24"/>
        </w:rPr>
        <w:t>;</w:t>
      </w:r>
      <w:r w:rsidRPr="00AA4703">
        <w:rPr>
          <w:rFonts w:ascii="Arial" w:eastAsia="Times New Roman" w:hAnsi="Arial" w:cs="Arial"/>
          <w:sz w:val="24"/>
          <w:szCs w:val="24"/>
        </w:rPr>
        <w:t> </w:t>
      </w:r>
    </w:p>
    <w:p w:rsidR="0017263F" w:rsidRPr="00776645" w:rsidRDefault="0017263F">
      <w:pPr>
        <w:rPr>
          <w:rFonts w:ascii="Arial" w:hAnsi="Arial" w:cs="Arial"/>
          <w:sz w:val="24"/>
          <w:szCs w:val="24"/>
        </w:rPr>
      </w:pPr>
    </w:p>
    <w:sectPr w:rsidR="0017263F" w:rsidRPr="00776645" w:rsidSect="008F5474">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BDD4990"/>
    <w:multiLevelType w:val="hybridMultilevel"/>
    <w:tmpl w:val="ABD212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A2181E"/>
    <w:rsid w:val="0017263F"/>
    <w:rsid w:val="00190CAE"/>
    <w:rsid w:val="002163C6"/>
    <w:rsid w:val="003A5517"/>
    <w:rsid w:val="003E6CB1"/>
    <w:rsid w:val="00776645"/>
    <w:rsid w:val="00873CFA"/>
    <w:rsid w:val="008F5474"/>
    <w:rsid w:val="00933BE2"/>
    <w:rsid w:val="00993E2D"/>
    <w:rsid w:val="00A2181E"/>
    <w:rsid w:val="00AA4703"/>
    <w:rsid w:val="00B95969"/>
    <w:rsid w:val="00C26842"/>
    <w:rsid w:val="00DD295D"/>
    <w:rsid w:val="00E12BD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5474"/>
  </w:style>
  <w:style w:type="paragraph" w:styleId="Heading1">
    <w:name w:val="heading 1"/>
    <w:basedOn w:val="Normal"/>
    <w:next w:val="Normal"/>
    <w:link w:val="Heading1Char"/>
    <w:uiPriority w:val="9"/>
    <w:qFormat/>
    <w:rsid w:val="007766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2181E"/>
    <w:rPr>
      <w:color w:val="0000FF"/>
      <w:u w:val="single"/>
    </w:rPr>
  </w:style>
  <w:style w:type="paragraph" w:customStyle="1" w:styleId="yiv7228912334msonormal">
    <w:name w:val="yiv7228912334msonormal"/>
    <w:basedOn w:val="Normal"/>
    <w:rsid w:val="0077664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76645"/>
    <w:pPr>
      <w:ind w:left="720"/>
      <w:contextualSpacing/>
    </w:pPr>
  </w:style>
  <w:style w:type="character" w:customStyle="1" w:styleId="Heading1Char">
    <w:name w:val="Heading 1 Char"/>
    <w:basedOn w:val="DefaultParagraphFont"/>
    <w:link w:val="Heading1"/>
    <w:uiPriority w:val="9"/>
    <w:rsid w:val="00776645"/>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525022802">
      <w:bodyDiv w:val="1"/>
      <w:marLeft w:val="0"/>
      <w:marRight w:val="0"/>
      <w:marTop w:val="0"/>
      <w:marBottom w:val="0"/>
      <w:divBdr>
        <w:top w:val="none" w:sz="0" w:space="0" w:color="auto"/>
        <w:left w:val="none" w:sz="0" w:space="0" w:color="auto"/>
        <w:bottom w:val="none" w:sz="0" w:space="0" w:color="auto"/>
        <w:right w:val="none" w:sz="0" w:space="0" w:color="auto"/>
      </w:divBdr>
      <w:divsChild>
        <w:div w:id="497967800">
          <w:marLeft w:val="0"/>
          <w:marRight w:val="0"/>
          <w:marTop w:val="0"/>
          <w:marBottom w:val="0"/>
          <w:divBdr>
            <w:top w:val="none" w:sz="0" w:space="0" w:color="auto"/>
            <w:left w:val="none" w:sz="0" w:space="0" w:color="auto"/>
            <w:bottom w:val="none" w:sz="0" w:space="0" w:color="auto"/>
            <w:right w:val="none" w:sz="0" w:space="0" w:color="auto"/>
          </w:divBdr>
        </w:div>
        <w:div w:id="1201363949">
          <w:marLeft w:val="0"/>
          <w:marRight w:val="0"/>
          <w:marTop w:val="0"/>
          <w:marBottom w:val="0"/>
          <w:divBdr>
            <w:top w:val="none" w:sz="0" w:space="0" w:color="auto"/>
            <w:left w:val="none" w:sz="0" w:space="0" w:color="auto"/>
            <w:bottom w:val="none" w:sz="0" w:space="0" w:color="auto"/>
            <w:right w:val="none" w:sz="0" w:space="0" w:color="auto"/>
          </w:divBdr>
        </w:div>
        <w:div w:id="1035883383">
          <w:marLeft w:val="0"/>
          <w:marRight w:val="0"/>
          <w:marTop w:val="0"/>
          <w:marBottom w:val="0"/>
          <w:divBdr>
            <w:top w:val="none" w:sz="0" w:space="0" w:color="auto"/>
            <w:left w:val="none" w:sz="0" w:space="0" w:color="auto"/>
            <w:bottom w:val="none" w:sz="0" w:space="0" w:color="auto"/>
            <w:right w:val="none" w:sz="0" w:space="0" w:color="auto"/>
          </w:divBdr>
        </w:div>
        <w:div w:id="346948484">
          <w:marLeft w:val="0"/>
          <w:marRight w:val="0"/>
          <w:marTop w:val="0"/>
          <w:marBottom w:val="0"/>
          <w:divBdr>
            <w:top w:val="none" w:sz="0" w:space="0" w:color="auto"/>
            <w:left w:val="none" w:sz="0" w:space="0" w:color="auto"/>
            <w:bottom w:val="none" w:sz="0" w:space="0" w:color="auto"/>
            <w:right w:val="none" w:sz="0" w:space="0" w:color="auto"/>
          </w:divBdr>
        </w:div>
        <w:div w:id="1789084208">
          <w:marLeft w:val="0"/>
          <w:marRight w:val="0"/>
          <w:marTop w:val="0"/>
          <w:marBottom w:val="0"/>
          <w:divBdr>
            <w:top w:val="none" w:sz="0" w:space="0" w:color="auto"/>
            <w:left w:val="none" w:sz="0" w:space="0" w:color="auto"/>
            <w:bottom w:val="none" w:sz="0" w:space="0" w:color="auto"/>
            <w:right w:val="none" w:sz="0" w:space="0" w:color="auto"/>
          </w:divBdr>
        </w:div>
        <w:div w:id="1287151933">
          <w:marLeft w:val="0"/>
          <w:marRight w:val="0"/>
          <w:marTop w:val="0"/>
          <w:marBottom w:val="0"/>
          <w:divBdr>
            <w:top w:val="none" w:sz="0" w:space="0" w:color="auto"/>
            <w:left w:val="none" w:sz="0" w:space="0" w:color="auto"/>
            <w:bottom w:val="none" w:sz="0" w:space="0" w:color="auto"/>
            <w:right w:val="none" w:sz="0" w:space="0" w:color="auto"/>
          </w:divBdr>
        </w:div>
        <w:div w:id="161705299">
          <w:marLeft w:val="0"/>
          <w:marRight w:val="0"/>
          <w:marTop w:val="0"/>
          <w:marBottom w:val="0"/>
          <w:divBdr>
            <w:top w:val="none" w:sz="0" w:space="0" w:color="auto"/>
            <w:left w:val="none" w:sz="0" w:space="0" w:color="auto"/>
            <w:bottom w:val="none" w:sz="0" w:space="0" w:color="auto"/>
            <w:right w:val="none" w:sz="0" w:space="0" w:color="auto"/>
          </w:divBdr>
        </w:div>
        <w:div w:id="880629677">
          <w:marLeft w:val="0"/>
          <w:marRight w:val="0"/>
          <w:marTop w:val="0"/>
          <w:marBottom w:val="0"/>
          <w:divBdr>
            <w:top w:val="none" w:sz="0" w:space="0" w:color="auto"/>
            <w:left w:val="none" w:sz="0" w:space="0" w:color="auto"/>
            <w:bottom w:val="none" w:sz="0" w:space="0" w:color="auto"/>
            <w:right w:val="none" w:sz="0" w:space="0" w:color="auto"/>
          </w:divBdr>
        </w:div>
        <w:div w:id="504593146">
          <w:marLeft w:val="0"/>
          <w:marRight w:val="0"/>
          <w:marTop w:val="0"/>
          <w:marBottom w:val="0"/>
          <w:divBdr>
            <w:top w:val="none" w:sz="0" w:space="0" w:color="auto"/>
            <w:left w:val="none" w:sz="0" w:space="0" w:color="auto"/>
            <w:bottom w:val="none" w:sz="0" w:space="0" w:color="auto"/>
            <w:right w:val="none" w:sz="0" w:space="0" w:color="auto"/>
          </w:divBdr>
        </w:div>
        <w:div w:id="1743945300">
          <w:marLeft w:val="0"/>
          <w:marRight w:val="0"/>
          <w:marTop w:val="0"/>
          <w:marBottom w:val="0"/>
          <w:divBdr>
            <w:top w:val="none" w:sz="0" w:space="0" w:color="auto"/>
            <w:left w:val="none" w:sz="0" w:space="0" w:color="auto"/>
            <w:bottom w:val="none" w:sz="0" w:space="0" w:color="auto"/>
            <w:right w:val="none" w:sz="0" w:space="0" w:color="auto"/>
          </w:divBdr>
        </w:div>
        <w:div w:id="2115009222">
          <w:marLeft w:val="0"/>
          <w:marRight w:val="0"/>
          <w:marTop w:val="0"/>
          <w:marBottom w:val="0"/>
          <w:divBdr>
            <w:top w:val="none" w:sz="0" w:space="0" w:color="auto"/>
            <w:left w:val="none" w:sz="0" w:space="0" w:color="auto"/>
            <w:bottom w:val="none" w:sz="0" w:space="0" w:color="auto"/>
            <w:right w:val="none" w:sz="0" w:space="0" w:color="auto"/>
          </w:divBdr>
        </w:div>
        <w:div w:id="787696035">
          <w:marLeft w:val="0"/>
          <w:marRight w:val="0"/>
          <w:marTop w:val="0"/>
          <w:marBottom w:val="0"/>
          <w:divBdr>
            <w:top w:val="none" w:sz="0" w:space="0" w:color="auto"/>
            <w:left w:val="none" w:sz="0" w:space="0" w:color="auto"/>
            <w:bottom w:val="none" w:sz="0" w:space="0" w:color="auto"/>
            <w:right w:val="none" w:sz="0" w:space="0" w:color="auto"/>
          </w:divBdr>
        </w:div>
        <w:div w:id="204372996">
          <w:marLeft w:val="0"/>
          <w:marRight w:val="0"/>
          <w:marTop w:val="0"/>
          <w:marBottom w:val="0"/>
          <w:divBdr>
            <w:top w:val="none" w:sz="0" w:space="0" w:color="auto"/>
            <w:left w:val="none" w:sz="0" w:space="0" w:color="auto"/>
            <w:bottom w:val="none" w:sz="0" w:space="0" w:color="auto"/>
            <w:right w:val="none" w:sz="0" w:space="0" w:color="auto"/>
          </w:divBdr>
        </w:div>
        <w:div w:id="1155147100">
          <w:marLeft w:val="0"/>
          <w:marRight w:val="0"/>
          <w:marTop w:val="0"/>
          <w:marBottom w:val="0"/>
          <w:divBdr>
            <w:top w:val="none" w:sz="0" w:space="0" w:color="auto"/>
            <w:left w:val="none" w:sz="0" w:space="0" w:color="auto"/>
            <w:bottom w:val="none" w:sz="0" w:space="0" w:color="auto"/>
            <w:right w:val="none" w:sz="0" w:space="0" w:color="auto"/>
          </w:divBdr>
        </w:div>
        <w:div w:id="1122110378">
          <w:marLeft w:val="0"/>
          <w:marRight w:val="0"/>
          <w:marTop w:val="0"/>
          <w:marBottom w:val="0"/>
          <w:divBdr>
            <w:top w:val="none" w:sz="0" w:space="0" w:color="auto"/>
            <w:left w:val="none" w:sz="0" w:space="0" w:color="auto"/>
            <w:bottom w:val="none" w:sz="0" w:space="0" w:color="auto"/>
            <w:right w:val="none" w:sz="0" w:space="0" w:color="auto"/>
          </w:divBdr>
        </w:div>
        <w:div w:id="1930694634">
          <w:marLeft w:val="0"/>
          <w:marRight w:val="0"/>
          <w:marTop w:val="0"/>
          <w:marBottom w:val="0"/>
          <w:divBdr>
            <w:top w:val="none" w:sz="0" w:space="0" w:color="auto"/>
            <w:left w:val="none" w:sz="0" w:space="0" w:color="auto"/>
            <w:bottom w:val="none" w:sz="0" w:space="0" w:color="auto"/>
            <w:right w:val="none" w:sz="0" w:space="0" w:color="auto"/>
          </w:divBdr>
        </w:div>
      </w:divsChild>
    </w:div>
    <w:div w:id="609237295">
      <w:bodyDiv w:val="1"/>
      <w:marLeft w:val="0"/>
      <w:marRight w:val="0"/>
      <w:marTop w:val="0"/>
      <w:marBottom w:val="0"/>
      <w:divBdr>
        <w:top w:val="none" w:sz="0" w:space="0" w:color="auto"/>
        <w:left w:val="none" w:sz="0" w:space="0" w:color="auto"/>
        <w:bottom w:val="none" w:sz="0" w:space="0" w:color="auto"/>
        <w:right w:val="none" w:sz="0" w:space="0" w:color="auto"/>
      </w:divBdr>
      <w:divsChild>
        <w:div w:id="740710140">
          <w:marLeft w:val="720"/>
          <w:marRight w:val="0"/>
          <w:marTop w:val="0"/>
          <w:marBottom w:val="0"/>
          <w:divBdr>
            <w:top w:val="none" w:sz="0" w:space="0" w:color="auto"/>
            <w:left w:val="none" w:sz="0" w:space="0" w:color="auto"/>
            <w:bottom w:val="none" w:sz="0" w:space="0" w:color="auto"/>
            <w:right w:val="none" w:sz="0" w:space="0" w:color="auto"/>
          </w:divBdr>
        </w:div>
      </w:divsChild>
    </w:div>
    <w:div w:id="863903004">
      <w:bodyDiv w:val="1"/>
      <w:marLeft w:val="0"/>
      <w:marRight w:val="0"/>
      <w:marTop w:val="0"/>
      <w:marBottom w:val="0"/>
      <w:divBdr>
        <w:top w:val="none" w:sz="0" w:space="0" w:color="auto"/>
        <w:left w:val="none" w:sz="0" w:space="0" w:color="auto"/>
        <w:bottom w:val="none" w:sz="0" w:space="0" w:color="auto"/>
        <w:right w:val="none" w:sz="0" w:space="0" w:color="auto"/>
      </w:divBdr>
      <w:divsChild>
        <w:div w:id="683362882">
          <w:marLeft w:val="0"/>
          <w:marRight w:val="0"/>
          <w:marTop w:val="0"/>
          <w:marBottom w:val="0"/>
          <w:divBdr>
            <w:top w:val="none" w:sz="0" w:space="0" w:color="auto"/>
            <w:left w:val="none" w:sz="0" w:space="0" w:color="auto"/>
            <w:bottom w:val="none" w:sz="0" w:space="0" w:color="auto"/>
            <w:right w:val="none" w:sz="0" w:space="0" w:color="auto"/>
          </w:divBdr>
        </w:div>
        <w:div w:id="1672025114">
          <w:marLeft w:val="0"/>
          <w:marRight w:val="0"/>
          <w:marTop w:val="0"/>
          <w:marBottom w:val="0"/>
          <w:divBdr>
            <w:top w:val="none" w:sz="0" w:space="0" w:color="auto"/>
            <w:left w:val="none" w:sz="0" w:space="0" w:color="auto"/>
            <w:bottom w:val="none" w:sz="0" w:space="0" w:color="auto"/>
            <w:right w:val="none" w:sz="0" w:space="0" w:color="auto"/>
          </w:divBdr>
        </w:div>
        <w:div w:id="871110059">
          <w:marLeft w:val="0"/>
          <w:marRight w:val="0"/>
          <w:marTop w:val="0"/>
          <w:marBottom w:val="0"/>
          <w:divBdr>
            <w:top w:val="none" w:sz="0" w:space="0" w:color="auto"/>
            <w:left w:val="none" w:sz="0" w:space="0" w:color="auto"/>
            <w:bottom w:val="none" w:sz="0" w:space="0" w:color="auto"/>
            <w:right w:val="none" w:sz="0" w:space="0" w:color="auto"/>
          </w:divBdr>
        </w:div>
        <w:div w:id="1643776850">
          <w:marLeft w:val="0"/>
          <w:marRight w:val="0"/>
          <w:marTop w:val="0"/>
          <w:marBottom w:val="0"/>
          <w:divBdr>
            <w:top w:val="none" w:sz="0" w:space="0" w:color="auto"/>
            <w:left w:val="none" w:sz="0" w:space="0" w:color="auto"/>
            <w:bottom w:val="none" w:sz="0" w:space="0" w:color="auto"/>
            <w:right w:val="none" w:sz="0" w:space="0" w:color="auto"/>
          </w:divBdr>
        </w:div>
        <w:div w:id="1635864829">
          <w:marLeft w:val="0"/>
          <w:marRight w:val="0"/>
          <w:marTop w:val="0"/>
          <w:marBottom w:val="0"/>
          <w:divBdr>
            <w:top w:val="none" w:sz="0" w:space="0" w:color="auto"/>
            <w:left w:val="none" w:sz="0" w:space="0" w:color="auto"/>
            <w:bottom w:val="none" w:sz="0" w:space="0" w:color="auto"/>
            <w:right w:val="none" w:sz="0" w:space="0" w:color="auto"/>
          </w:divBdr>
        </w:div>
        <w:div w:id="197276823">
          <w:marLeft w:val="0"/>
          <w:marRight w:val="0"/>
          <w:marTop w:val="0"/>
          <w:marBottom w:val="0"/>
          <w:divBdr>
            <w:top w:val="none" w:sz="0" w:space="0" w:color="auto"/>
            <w:left w:val="none" w:sz="0" w:space="0" w:color="auto"/>
            <w:bottom w:val="none" w:sz="0" w:space="0" w:color="auto"/>
            <w:right w:val="none" w:sz="0" w:space="0" w:color="auto"/>
          </w:divBdr>
        </w:div>
        <w:div w:id="580407524">
          <w:marLeft w:val="0"/>
          <w:marRight w:val="0"/>
          <w:marTop w:val="0"/>
          <w:marBottom w:val="0"/>
          <w:divBdr>
            <w:top w:val="none" w:sz="0" w:space="0" w:color="auto"/>
            <w:left w:val="none" w:sz="0" w:space="0" w:color="auto"/>
            <w:bottom w:val="none" w:sz="0" w:space="0" w:color="auto"/>
            <w:right w:val="none" w:sz="0" w:space="0" w:color="auto"/>
          </w:divBdr>
        </w:div>
        <w:div w:id="1650161083">
          <w:marLeft w:val="0"/>
          <w:marRight w:val="0"/>
          <w:marTop w:val="0"/>
          <w:marBottom w:val="0"/>
          <w:divBdr>
            <w:top w:val="none" w:sz="0" w:space="0" w:color="auto"/>
            <w:left w:val="none" w:sz="0" w:space="0" w:color="auto"/>
            <w:bottom w:val="none" w:sz="0" w:space="0" w:color="auto"/>
            <w:right w:val="none" w:sz="0" w:space="0" w:color="auto"/>
          </w:divBdr>
        </w:div>
        <w:div w:id="780030610">
          <w:marLeft w:val="0"/>
          <w:marRight w:val="0"/>
          <w:marTop w:val="0"/>
          <w:marBottom w:val="0"/>
          <w:divBdr>
            <w:top w:val="none" w:sz="0" w:space="0" w:color="auto"/>
            <w:left w:val="none" w:sz="0" w:space="0" w:color="auto"/>
            <w:bottom w:val="none" w:sz="0" w:space="0" w:color="auto"/>
            <w:right w:val="none" w:sz="0" w:space="0" w:color="auto"/>
          </w:divBdr>
        </w:div>
        <w:div w:id="1287345644">
          <w:marLeft w:val="0"/>
          <w:marRight w:val="0"/>
          <w:marTop w:val="0"/>
          <w:marBottom w:val="0"/>
          <w:divBdr>
            <w:top w:val="none" w:sz="0" w:space="0" w:color="auto"/>
            <w:left w:val="none" w:sz="0" w:space="0" w:color="auto"/>
            <w:bottom w:val="none" w:sz="0" w:space="0" w:color="auto"/>
            <w:right w:val="none" w:sz="0" w:space="0" w:color="auto"/>
          </w:divBdr>
        </w:div>
        <w:div w:id="1779061125">
          <w:marLeft w:val="0"/>
          <w:marRight w:val="0"/>
          <w:marTop w:val="0"/>
          <w:marBottom w:val="0"/>
          <w:divBdr>
            <w:top w:val="none" w:sz="0" w:space="0" w:color="auto"/>
            <w:left w:val="none" w:sz="0" w:space="0" w:color="auto"/>
            <w:bottom w:val="none" w:sz="0" w:space="0" w:color="auto"/>
            <w:right w:val="none" w:sz="0" w:space="0" w:color="auto"/>
          </w:divBdr>
        </w:div>
        <w:div w:id="2142992608">
          <w:marLeft w:val="0"/>
          <w:marRight w:val="0"/>
          <w:marTop w:val="0"/>
          <w:marBottom w:val="0"/>
          <w:divBdr>
            <w:top w:val="none" w:sz="0" w:space="0" w:color="auto"/>
            <w:left w:val="none" w:sz="0" w:space="0" w:color="auto"/>
            <w:bottom w:val="none" w:sz="0" w:space="0" w:color="auto"/>
            <w:right w:val="none" w:sz="0" w:space="0" w:color="auto"/>
          </w:divBdr>
        </w:div>
      </w:divsChild>
    </w:div>
    <w:div w:id="1012489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researchbriefings.files.parliament.uk%2Fdocuments%2FSN06053%2FSN06053.pdf&amp;data=05%7C02%7C2322209%40student.uwtsd.ac.uk%7C2ce13ef52f8845a14e0508dd5ce133f6%7C4e0f11f9046e45059cb8db2152311e21%7C0%7C0%7C638768844487772350%7CUnknown%7CTWFpbGZsb3d8eyJFbXB0eU1hcGkiOnRydWUsIlYiOiIwLjAuMDAwMCIsIlAiOiJXaW4zMiIsIkFOIjoiTWFpbCIsIldUIjoyfQ%3D%3D%7C0%7C%7C%7C&amp;sdata=ZvNe5rLWwH4nU%2FB5nlBh3AT53DRzOyjg0I0%2FrCGSIzk%3D&amp;reserved=0" TargetMode="External"/><Relationship Id="rId13" Type="http://schemas.openxmlformats.org/officeDocument/2006/relationships/hyperlink" Target="https://www.legislation.gov.uk/ukpga/1976/82(Accessed:"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www.lawteacher.net%2F&amp;data=05%7C02%7C2322209%40student.uwtsd.ac.uk%7Cb9a0019dac2b4d3a001008dd5ca1438c%7C4e0f11f9046e45059cb8db2152311e21%7C0%7C0%7C638768569894437825%7CUnknown%7CTWFpbGZsb3d8eyJFbXB0eU1hcGkiOnRydWUsIlYiOiIwLjAuMDAwMCIsIlAiOiJXaW4zMiIsIkFOIjoiTWFpbCIsIldUIjoyfQ%3D%3D%7C0%7C%7C%7C&amp;sdata=Mj%2FGLX76WNEGAJnOAimlANQoGMUng9PSfkFS6oqaSF8%3D&amp;reserved=0" TargetMode="External"/><Relationship Id="rId12" Type="http://schemas.openxmlformats.org/officeDocument/2006/relationships/hyperlink" Target="https://eur01.safelinks.protection.outlook.com/?url=https%3A%2F%2Fresearch-ebsco-com.ezproxy.uwtsd.ac.uk%2Fc%2Fonvpsy%2Fviewer%2Fpdf%2Fgbxhqqtfyj&amp;data=05%7C02%7C2322209%40student.uwtsd.ac.uk%7C2ce13ef52f8845a14e0508dd5ce133f6%7C4e0f11f9046e45059cb8db2152311e21%7C0%7C0%7C638768844487793582%7CUnknown%7CTWFpbGZsb3d8eyJFbXB0eU1hcGkiOnRydWUsIlYiOiIwLjAuMDAwMCIsIlAiOiJXaW4zMiIsIkFOIjoiTWFpbCIsIldUIjoyfQ%3D%3D%7C0%7C%7C%7C&amp;sdata=ISd%2BpPDRq1%2FxEqy4qHxHJJT%2F9vdTmDEgMWhQnwaFi7U%3D&amp;reserve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s%3A%2F%2Fwww.legislation.gov.uk%2F&amp;data=05%7C02%7C2322209%40student.uwtsd.ac.uk%7Cb9a0019dac2b4d3a001008dd5ca1438c%7C4e0f11f9046e45059cb8db2152311e21%7C0%7C0%7C638768569894418517%7CUnknown%7CTWFpbGZsb3d8eyJFbXB0eU1hcGkiOnRydWUsIlYiOiIwLjAuMDAwMCIsIlAiOiJXaW4zMiIsIkFOIjoiTWFpbCIsIldUIjoyfQ%3D%3D%7C0%7C%7C%7C&amp;sdata=TMH89UkdZ%2B8UafPMJt9zLLw6s8TfIlAvjIwaLrVY4LE%3D&amp;reserved=0" TargetMode="External"/><Relationship Id="rId11" Type="http://schemas.openxmlformats.org/officeDocument/2006/relationships/hyperlink" Target="https://www.lawteacher.net/cases/r-v-r-1992.php(Accessed:" TargetMode="External"/><Relationship Id="rId5" Type="http://schemas.openxmlformats.org/officeDocument/2006/relationships/hyperlink" Target="https://eur01.safelinks.protection.outlook.com/?url=https%3A%2F%2Fwww.parliament.uk%2F&amp;data=05%7C02%7C2322209%40student.uwtsd.ac.uk%7Cb9a0019dac2b4d3a001008dd5ca1438c%7C4e0f11f9046e45059cb8db2152311e21%7C0%7C0%7C638768569894382020%7CUnknown%7CTWFpbGZsb3d8eyJFbXB0eU1hcGkiOnRydWUsIlYiOiIwLjAuMDAwMCIsIlAiOiJXaW4zMiIsIkFOIjoiTWFpbCIsIldUIjoyfQ%3D%3D%7C0%7C%7C%7C&amp;sdata=rZGAHC3xwRlbHcJ4zu1fmk4ihr6HXPeiDKa8lHBNHZc%3D&amp;reserved=0" TargetMode="External"/><Relationship Id="rId15" Type="http://schemas.openxmlformats.org/officeDocument/2006/relationships/theme" Target="theme/theme1.xml"/><Relationship Id="rId10" Type="http://schemas.openxmlformats.org/officeDocument/2006/relationships/hyperlink" Target="https://www.proquest.com/docview/2215488197?accountid=130472&amp;parentSessionId=za8ElnZW%2FjrPtB%2BLJOY5wFo2eAkjOHTP5PjcDMDqjbs%3D&amp;pq-origsite=primo&amp;sourcetype=Scholarly%20Journals" TargetMode="External"/><Relationship Id="rId4" Type="http://schemas.openxmlformats.org/officeDocument/2006/relationships/webSettings" Target="webSettings.xml"/><Relationship Id="rId9" Type="http://schemas.openxmlformats.org/officeDocument/2006/relationships/hyperlink" Target="https://www.legislation.gov.uk/ukpga/2005/4/section/137(Access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470</TotalTime>
  <Pages>5</Pages>
  <Words>2268</Words>
  <Characters>12932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 Cristian</dc:creator>
  <cp:lastModifiedBy>Nicu Cristian</cp:lastModifiedBy>
  <cp:revision>8</cp:revision>
  <dcterms:created xsi:type="dcterms:W3CDTF">2025-03-06T11:36:00Z</dcterms:created>
  <dcterms:modified xsi:type="dcterms:W3CDTF">2025-03-06T19:51:00Z</dcterms:modified>
</cp:coreProperties>
</file>