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591157117"/>
        <w:docPartObj>
          <w:docPartGallery w:val="Cover Pages"/>
          <w:docPartUnique/>
        </w:docPartObj>
      </w:sdtPr>
      <w:sdtEndPr/>
      <w:sdtContent>
        <w:p w14:paraId="5319977C" w14:textId="622A0EA5" w:rsidR="00127E57" w:rsidRPr="00FE2A0F" w:rsidRDefault="00127E57" w:rsidP="00FE2A0F">
          <w:pPr>
            <w:spacing w:line="360" w:lineRule="auto"/>
            <w:jc w:val="both"/>
            <w:rPr>
              <w:rFonts w:ascii="Arial" w:hAnsi="Arial" w:cs="Arial"/>
            </w:rPr>
          </w:pPr>
        </w:p>
        <w:p w14:paraId="6E70162E" w14:textId="3EA77F5B" w:rsidR="00127E57" w:rsidRPr="00FE2A0F" w:rsidRDefault="00A0183F" w:rsidP="00D70B86">
          <w:pPr>
            <w:spacing w:line="360" w:lineRule="auto"/>
            <w:jc w:val="center"/>
            <w:rPr>
              <w:rFonts w:ascii="Arial" w:hAnsi="Arial" w:cs="Arial"/>
            </w:rPr>
          </w:pPr>
          <w:r>
            <w:rPr>
              <w:noProof/>
            </w:rPr>
            <w:drawing>
              <wp:inline distT="0" distB="0" distL="0" distR="0" wp14:anchorId="761D1BEF" wp14:editId="55C59982">
                <wp:extent cx="1726387" cy="1487349"/>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1743306" cy="1501926"/>
                        </a:xfrm>
                        <a:prstGeom prst="rect">
                          <a:avLst/>
                        </a:prstGeom>
                      </pic:spPr>
                    </pic:pic>
                  </a:graphicData>
                </a:graphic>
              </wp:inline>
            </w:drawing>
          </w:r>
        </w:p>
        <w:p w14:paraId="460AF68C" w14:textId="77777777" w:rsidR="00127E57" w:rsidRPr="00FE2A0F" w:rsidRDefault="00127E57" w:rsidP="00FE2A0F">
          <w:pPr>
            <w:spacing w:line="360" w:lineRule="auto"/>
            <w:jc w:val="both"/>
            <w:rPr>
              <w:rFonts w:ascii="Arial" w:hAnsi="Arial" w:cs="Arial"/>
            </w:rPr>
          </w:pPr>
        </w:p>
        <w:p w14:paraId="685985D9" w14:textId="77777777" w:rsidR="00127E57" w:rsidRPr="009218B0" w:rsidRDefault="00127E57" w:rsidP="009218B0">
          <w:pPr>
            <w:spacing w:line="360" w:lineRule="auto"/>
            <w:jc w:val="center"/>
            <w:rPr>
              <w:rFonts w:ascii="Arial" w:hAnsi="Arial" w:cs="Arial"/>
              <w:b/>
              <w:bCs/>
              <w:sz w:val="32"/>
              <w:szCs w:val="32"/>
            </w:rPr>
          </w:pPr>
          <w:r w:rsidRPr="009218B0">
            <w:rPr>
              <w:rFonts w:ascii="Arial" w:hAnsi="Arial" w:cs="Arial"/>
              <w:b/>
              <w:bCs/>
              <w:sz w:val="32"/>
              <w:szCs w:val="32"/>
            </w:rPr>
            <w:t>Marketing Environmental Analysis for Pioneers and Followers in the Electric Vehicle (EV) Industry</w:t>
          </w:r>
        </w:p>
        <w:p w14:paraId="4D70CA32" w14:textId="77777777" w:rsidR="00127E57" w:rsidRPr="009218B0" w:rsidRDefault="00127E57" w:rsidP="009218B0">
          <w:pPr>
            <w:spacing w:line="360" w:lineRule="auto"/>
            <w:jc w:val="center"/>
            <w:rPr>
              <w:rFonts w:ascii="Arial" w:hAnsi="Arial" w:cs="Arial"/>
              <w:sz w:val="32"/>
              <w:szCs w:val="32"/>
            </w:rPr>
          </w:pPr>
          <w:r w:rsidRPr="009218B0">
            <w:rPr>
              <w:rFonts w:ascii="Arial" w:hAnsi="Arial" w:cs="Arial"/>
              <w:sz w:val="32"/>
              <w:szCs w:val="32"/>
            </w:rPr>
            <w:t>Module Title: Strategic Marketing Management</w:t>
          </w:r>
        </w:p>
        <w:p w14:paraId="7B09BD5F" w14:textId="27623EB2" w:rsidR="00127E57" w:rsidRPr="009218B0" w:rsidRDefault="00127E57" w:rsidP="009218B0">
          <w:pPr>
            <w:spacing w:line="360" w:lineRule="auto"/>
            <w:jc w:val="center"/>
            <w:rPr>
              <w:rFonts w:ascii="Arial" w:hAnsi="Arial" w:cs="Arial"/>
              <w:sz w:val="32"/>
              <w:szCs w:val="32"/>
            </w:rPr>
          </w:pPr>
          <w:r w:rsidRPr="009218B0">
            <w:rPr>
              <w:rFonts w:ascii="Arial" w:hAnsi="Arial" w:cs="Arial"/>
              <w:sz w:val="32"/>
              <w:szCs w:val="32"/>
            </w:rPr>
            <w:t>Module Code:</w:t>
          </w:r>
          <w:r w:rsidR="00DF6EA2">
            <w:rPr>
              <w:rFonts w:ascii="Arial" w:hAnsi="Arial" w:cs="Arial"/>
              <w:sz w:val="32"/>
              <w:szCs w:val="32"/>
            </w:rPr>
            <w:t xml:space="preserve"> LCMB</w:t>
          </w:r>
          <w:r w:rsidR="00D12C76">
            <w:rPr>
              <w:rFonts w:ascii="Arial" w:hAnsi="Arial" w:cs="Arial"/>
              <w:sz w:val="32"/>
              <w:szCs w:val="32"/>
            </w:rPr>
            <w:t>7024</w:t>
          </w:r>
        </w:p>
        <w:p w14:paraId="3FB2E437" w14:textId="77777777" w:rsidR="00127E57" w:rsidRPr="009218B0" w:rsidRDefault="00127E57" w:rsidP="009218B0">
          <w:pPr>
            <w:spacing w:line="360" w:lineRule="auto"/>
            <w:jc w:val="center"/>
            <w:rPr>
              <w:rFonts w:ascii="Arial" w:hAnsi="Arial" w:cs="Arial"/>
              <w:sz w:val="32"/>
              <w:szCs w:val="32"/>
            </w:rPr>
          </w:pPr>
          <w:r w:rsidRPr="009218B0">
            <w:rPr>
              <w:rFonts w:ascii="Arial" w:hAnsi="Arial" w:cs="Arial"/>
              <w:sz w:val="32"/>
              <w:szCs w:val="32"/>
            </w:rPr>
            <w:t>Assignment Title: Marketing Environmental Analysis for Pioneers and Followers</w:t>
          </w:r>
        </w:p>
        <w:p w14:paraId="4CE9F1D0" w14:textId="690E21B0" w:rsidR="00127E57" w:rsidRPr="009218B0" w:rsidRDefault="00127E57" w:rsidP="009218B0">
          <w:pPr>
            <w:spacing w:line="360" w:lineRule="auto"/>
            <w:jc w:val="center"/>
            <w:rPr>
              <w:rFonts w:ascii="Arial" w:hAnsi="Arial" w:cs="Arial"/>
              <w:sz w:val="32"/>
              <w:szCs w:val="32"/>
            </w:rPr>
          </w:pPr>
          <w:r w:rsidRPr="009218B0">
            <w:rPr>
              <w:rFonts w:ascii="Arial" w:hAnsi="Arial" w:cs="Arial"/>
              <w:sz w:val="32"/>
              <w:szCs w:val="32"/>
            </w:rPr>
            <w:t>Student Name:</w:t>
          </w:r>
          <w:r w:rsidR="002E7313">
            <w:rPr>
              <w:rFonts w:ascii="Arial" w:hAnsi="Arial" w:cs="Arial"/>
              <w:sz w:val="32"/>
              <w:szCs w:val="32"/>
            </w:rPr>
            <w:t xml:space="preserve"> Roshan Lal</w:t>
          </w:r>
        </w:p>
        <w:p w14:paraId="2EB2A0AA" w14:textId="3EFC8745" w:rsidR="00127E57" w:rsidRDefault="00127E57" w:rsidP="00270E25">
          <w:pPr>
            <w:spacing w:line="360" w:lineRule="auto"/>
            <w:jc w:val="center"/>
            <w:rPr>
              <w:rFonts w:ascii="Arial" w:hAnsi="Arial" w:cs="Arial"/>
              <w:sz w:val="32"/>
              <w:szCs w:val="32"/>
            </w:rPr>
          </w:pPr>
          <w:r w:rsidRPr="009218B0">
            <w:rPr>
              <w:rFonts w:ascii="Arial" w:hAnsi="Arial" w:cs="Arial"/>
              <w:sz w:val="32"/>
              <w:szCs w:val="32"/>
            </w:rPr>
            <w:t>Student ID:</w:t>
          </w:r>
          <w:r w:rsidR="002E7313">
            <w:rPr>
              <w:rFonts w:ascii="Arial" w:hAnsi="Arial" w:cs="Arial"/>
              <w:sz w:val="32"/>
              <w:szCs w:val="32"/>
            </w:rPr>
            <w:t xml:space="preserve"> </w:t>
          </w:r>
          <w:r w:rsidR="00437CB0">
            <w:rPr>
              <w:rFonts w:ascii="Arial" w:hAnsi="Arial" w:cs="Arial"/>
              <w:sz w:val="32"/>
              <w:szCs w:val="32"/>
            </w:rPr>
            <w:t>2430265</w:t>
          </w:r>
        </w:p>
        <w:p w14:paraId="2127D668" w14:textId="28763E4A" w:rsidR="00C5735B" w:rsidRPr="009218B0" w:rsidRDefault="00C5735B" w:rsidP="00270E25">
          <w:pPr>
            <w:spacing w:line="360" w:lineRule="auto"/>
            <w:jc w:val="center"/>
            <w:rPr>
              <w:rFonts w:ascii="Arial" w:hAnsi="Arial" w:cs="Arial"/>
              <w:sz w:val="32"/>
              <w:szCs w:val="32"/>
            </w:rPr>
          </w:pPr>
          <w:r>
            <w:rPr>
              <w:rFonts w:ascii="Arial" w:hAnsi="Arial" w:cs="Arial"/>
              <w:sz w:val="32"/>
              <w:szCs w:val="32"/>
            </w:rPr>
            <w:t>Group: 3</w:t>
          </w:r>
        </w:p>
        <w:p w14:paraId="54A3E674" w14:textId="77777777" w:rsidR="00AD279B" w:rsidRDefault="00AD279B" w:rsidP="00FE2A0F">
          <w:pPr>
            <w:spacing w:line="360" w:lineRule="auto"/>
            <w:jc w:val="both"/>
            <w:rPr>
              <w:rFonts w:ascii="Arial" w:hAnsi="Arial" w:cs="Arial"/>
            </w:rPr>
          </w:pPr>
        </w:p>
        <w:p w14:paraId="030B613D" w14:textId="77777777" w:rsidR="00AD279B" w:rsidRDefault="00AD279B">
          <w:pPr>
            <w:rPr>
              <w:rFonts w:ascii="Arial" w:hAnsi="Arial" w:cs="Arial"/>
            </w:rPr>
          </w:pPr>
          <w:r>
            <w:rPr>
              <w:rFonts w:ascii="Arial" w:hAnsi="Arial" w:cs="Arial"/>
            </w:rPr>
            <w:br w:type="page"/>
          </w:r>
        </w:p>
        <w:p w14:paraId="7F042DA2" w14:textId="77777777" w:rsidR="00AD279B" w:rsidRPr="00AD279B" w:rsidRDefault="00AD279B" w:rsidP="00AD279B">
          <w:pPr>
            <w:spacing w:line="360" w:lineRule="auto"/>
            <w:jc w:val="both"/>
            <w:rPr>
              <w:rFonts w:ascii="Arial" w:hAnsi="Arial" w:cs="Arial"/>
              <w:b/>
              <w:bCs/>
            </w:rPr>
          </w:pPr>
          <w:r w:rsidRPr="00AD279B">
            <w:rPr>
              <w:rFonts w:ascii="Arial" w:hAnsi="Arial" w:cs="Arial"/>
              <w:b/>
              <w:bCs/>
            </w:rPr>
            <w:lastRenderedPageBreak/>
            <w:t>Executive Summary</w:t>
          </w:r>
        </w:p>
        <w:p w14:paraId="56C762B4" w14:textId="5CE9F4A4" w:rsidR="00AD279B" w:rsidRDefault="00AD279B" w:rsidP="00FE2A0F">
          <w:pPr>
            <w:spacing w:line="360" w:lineRule="auto"/>
            <w:jc w:val="both"/>
            <w:rPr>
              <w:rFonts w:ascii="Arial" w:hAnsi="Arial" w:cs="Arial"/>
            </w:rPr>
          </w:pPr>
          <w:r w:rsidRPr="00AD279B">
            <w:rPr>
              <w:rFonts w:ascii="Arial" w:hAnsi="Arial" w:cs="Arial"/>
            </w:rPr>
            <w:t xml:space="preserve">This report reflects on the great macro marketing environment shaping the global industry of Electric Vehicles (for short, EV): pioneer (Tesla) versus follower (BYD). It uses PESTLE along with Consumer Culture Theory as well as strategy models such as Porter's, Blue Ocean, Ansoff, etc. in exploring how technological and socio-cultural phenomena create opportunities as well as threats. Tesla's strategy is innovation-led differentiation, while BYD follows accessibility through comparatively low pricing. This analysis holds that enduring competitive advantage relies on hybrid strategies—balancing technological foresight with cultural adaptability—anchored in agile, data-driven marketing. Insights inform managerial priorities in R&amp;D investment, global brand positioning, and authentic sustainability communication under market uncertainty. </w:t>
          </w:r>
        </w:p>
        <w:p w14:paraId="002DA67E" w14:textId="3FD1BADF" w:rsidR="00127E57" w:rsidRPr="00FE2A0F" w:rsidRDefault="00AD279B" w:rsidP="00AD279B">
          <w:pPr>
            <w:rPr>
              <w:rFonts w:ascii="Arial" w:hAnsi="Arial" w:cs="Arial"/>
            </w:rPr>
          </w:pPr>
          <w:r>
            <w:rPr>
              <w:rFonts w:ascii="Arial" w:hAnsi="Arial" w:cs="Arial"/>
            </w:rPr>
            <w:br w:type="page"/>
          </w:r>
        </w:p>
      </w:sdtContent>
    </w:sdt>
    <w:sdt>
      <w:sdtPr>
        <w:rPr>
          <w:rFonts w:asciiTheme="minorHAnsi" w:eastAsiaTheme="minorHAnsi" w:hAnsiTheme="minorHAnsi" w:cstheme="minorBidi"/>
          <w:color w:val="auto"/>
          <w:kern w:val="2"/>
          <w:sz w:val="24"/>
          <w:szCs w:val="24"/>
          <w14:ligatures w14:val="standardContextual"/>
        </w:rPr>
        <w:id w:val="-791905891"/>
        <w:docPartObj>
          <w:docPartGallery w:val="Table of Contents"/>
          <w:docPartUnique/>
        </w:docPartObj>
      </w:sdtPr>
      <w:sdtEndPr>
        <w:rPr>
          <w:b/>
          <w:bCs/>
          <w:noProof/>
        </w:rPr>
      </w:sdtEndPr>
      <w:sdtContent>
        <w:p w14:paraId="036EF3C5" w14:textId="6F3F3F25" w:rsidR="009218B0" w:rsidRDefault="009218B0">
          <w:pPr>
            <w:pStyle w:val="TOCHeading"/>
          </w:pPr>
          <w:r>
            <w:t>Table of Contents</w:t>
          </w:r>
        </w:p>
        <w:p w14:paraId="5982C511" w14:textId="57CC527B" w:rsidR="009218B0" w:rsidRDefault="009218B0">
          <w:pPr>
            <w:pStyle w:val="TOC1"/>
            <w:tabs>
              <w:tab w:val="right" w:leader="dot" w:pos="9350"/>
            </w:tabs>
            <w:rPr>
              <w:noProof/>
            </w:rPr>
          </w:pPr>
          <w:r>
            <w:fldChar w:fldCharType="begin"/>
          </w:r>
          <w:r>
            <w:instrText xml:space="preserve"> TOC \o "1-3" \h \z \u </w:instrText>
          </w:r>
          <w:r>
            <w:fldChar w:fldCharType="separate"/>
          </w:r>
          <w:hyperlink w:anchor="_Toc213708178" w:history="1">
            <w:r w:rsidRPr="00A0194E">
              <w:rPr>
                <w:rStyle w:val="Hyperlink"/>
                <w:noProof/>
              </w:rPr>
              <w:t>1. Introduction</w:t>
            </w:r>
            <w:r>
              <w:rPr>
                <w:noProof/>
                <w:webHidden/>
              </w:rPr>
              <w:tab/>
            </w:r>
            <w:r>
              <w:rPr>
                <w:noProof/>
                <w:webHidden/>
              </w:rPr>
              <w:fldChar w:fldCharType="begin"/>
            </w:r>
            <w:r>
              <w:rPr>
                <w:noProof/>
                <w:webHidden/>
              </w:rPr>
              <w:instrText xml:space="preserve"> PAGEREF _Toc213708178 \h </w:instrText>
            </w:r>
            <w:r>
              <w:rPr>
                <w:noProof/>
                <w:webHidden/>
              </w:rPr>
            </w:r>
            <w:r>
              <w:rPr>
                <w:noProof/>
                <w:webHidden/>
              </w:rPr>
              <w:fldChar w:fldCharType="separate"/>
            </w:r>
            <w:r>
              <w:rPr>
                <w:noProof/>
                <w:webHidden/>
              </w:rPr>
              <w:t>2</w:t>
            </w:r>
            <w:r>
              <w:rPr>
                <w:noProof/>
                <w:webHidden/>
              </w:rPr>
              <w:fldChar w:fldCharType="end"/>
            </w:r>
          </w:hyperlink>
        </w:p>
        <w:p w14:paraId="08CF14B1" w14:textId="12D65151" w:rsidR="009218B0" w:rsidRDefault="009218B0">
          <w:pPr>
            <w:pStyle w:val="TOC1"/>
            <w:tabs>
              <w:tab w:val="right" w:leader="dot" w:pos="9350"/>
            </w:tabs>
            <w:rPr>
              <w:noProof/>
            </w:rPr>
          </w:pPr>
          <w:hyperlink w:anchor="_Toc213708179" w:history="1">
            <w:r w:rsidRPr="00A0194E">
              <w:rPr>
                <w:rStyle w:val="Hyperlink"/>
                <w:noProof/>
              </w:rPr>
              <w:t>2. Theoretical and Conceptual Framework</w:t>
            </w:r>
            <w:r>
              <w:rPr>
                <w:noProof/>
                <w:webHidden/>
              </w:rPr>
              <w:tab/>
            </w:r>
            <w:r>
              <w:rPr>
                <w:noProof/>
                <w:webHidden/>
              </w:rPr>
              <w:fldChar w:fldCharType="begin"/>
            </w:r>
            <w:r>
              <w:rPr>
                <w:noProof/>
                <w:webHidden/>
              </w:rPr>
              <w:instrText xml:space="preserve"> PAGEREF _Toc213708179 \h </w:instrText>
            </w:r>
            <w:r>
              <w:rPr>
                <w:noProof/>
                <w:webHidden/>
              </w:rPr>
            </w:r>
            <w:r>
              <w:rPr>
                <w:noProof/>
                <w:webHidden/>
              </w:rPr>
              <w:fldChar w:fldCharType="separate"/>
            </w:r>
            <w:r>
              <w:rPr>
                <w:noProof/>
                <w:webHidden/>
              </w:rPr>
              <w:t>4</w:t>
            </w:r>
            <w:r>
              <w:rPr>
                <w:noProof/>
                <w:webHidden/>
              </w:rPr>
              <w:fldChar w:fldCharType="end"/>
            </w:r>
          </w:hyperlink>
        </w:p>
        <w:p w14:paraId="0B5972EA" w14:textId="173C78E2" w:rsidR="009218B0" w:rsidRDefault="009218B0">
          <w:pPr>
            <w:pStyle w:val="TOC1"/>
            <w:tabs>
              <w:tab w:val="right" w:leader="dot" w:pos="9350"/>
            </w:tabs>
            <w:rPr>
              <w:noProof/>
            </w:rPr>
          </w:pPr>
          <w:hyperlink w:anchor="_Toc213708180" w:history="1">
            <w:r w:rsidRPr="00A0194E">
              <w:rPr>
                <w:rStyle w:val="Hyperlink"/>
                <w:noProof/>
              </w:rPr>
              <w:t>3. Task 1 – Critical Analysis of the Macro Marketing Environment</w:t>
            </w:r>
            <w:r>
              <w:rPr>
                <w:noProof/>
                <w:webHidden/>
              </w:rPr>
              <w:tab/>
            </w:r>
            <w:r>
              <w:rPr>
                <w:noProof/>
                <w:webHidden/>
              </w:rPr>
              <w:fldChar w:fldCharType="begin"/>
            </w:r>
            <w:r>
              <w:rPr>
                <w:noProof/>
                <w:webHidden/>
              </w:rPr>
              <w:instrText xml:space="preserve"> PAGEREF _Toc213708180 \h </w:instrText>
            </w:r>
            <w:r>
              <w:rPr>
                <w:noProof/>
                <w:webHidden/>
              </w:rPr>
            </w:r>
            <w:r>
              <w:rPr>
                <w:noProof/>
                <w:webHidden/>
              </w:rPr>
              <w:fldChar w:fldCharType="separate"/>
            </w:r>
            <w:r>
              <w:rPr>
                <w:noProof/>
                <w:webHidden/>
              </w:rPr>
              <w:t>6</w:t>
            </w:r>
            <w:r>
              <w:rPr>
                <w:noProof/>
                <w:webHidden/>
              </w:rPr>
              <w:fldChar w:fldCharType="end"/>
            </w:r>
          </w:hyperlink>
        </w:p>
        <w:p w14:paraId="019A3FB9" w14:textId="531B3C9B" w:rsidR="009218B0" w:rsidRDefault="009218B0">
          <w:pPr>
            <w:pStyle w:val="TOC2"/>
            <w:tabs>
              <w:tab w:val="right" w:leader="dot" w:pos="9350"/>
            </w:tabs>
            <w:rPr>
              <w:noProof/>
            </w:rPr>
          </w:pPr>
          <w:hyperlink w:anchor="_Toc213708181" w:history="1">
            <w:r w:rsidRPr="00A0194E">
              <w:rPr>
                <w:rStyle w:val="Hyperlink"/>
                <w:noProof/>
              </w:rPr>
              <w:t>3.1 Industry Overview</w:t>
            </w:r>
            <w:r>
              <w:rPr>
                <w:noProof/>
                <w:webHidden/>
              </w:rPr>
              <w:tab/>
            </w:r>
            <w:r>
              <w:rPr>
                <w:noProof/>
                <w:webHidden/>
              </w:rPr>
              <w:fldChar w:fldCharType="begin"/>
            </w:r>
            <w:r>
              <w:rPr>
                <w:noProof/>
                <w:webHidden/>
              </w:rPr>
              <w:instrText xml:space="preserve"> PAGEREF _Toc213708181 \h </w:instrText>
            </w:r>
            <w:r>
              <w:rPr>
                <w:noProof/>
                <w:webHidden/>
              </w:rPr>
            </w:r>
            <w:r>
              <w:rPr>
                <w:noProof/>
                <w:webHidden/>
              </w:rPr>
              <w:fldChar w:fldCharType="separate"/>
            </w:r>
            <w:r>
              <w:rPr>
                <w:noProof/>
                <w:webHidden/>
              </w:rPr>
              <w:t>6</w:t>
            </w:r>
            <w:r>
              <w:rPr>
                <w:noProof/>
                <w:webHidden/>
              </w:rPr>
              <w:fldChar w:fldCharType="end"/>
            </w:r>
          </w:hyperlink>
        </w:p>
        <w:p w14:paraId="158B3EFA" w14:textId="714429F1" w:rsidR="009218B0" w:rsidRDefault="009218B0">
          <w:pPr>
            <w:pStyle w:val="TOC2"/>
            <w:tabs>
              <w:tab w:val="right" w:leader="dot" w:pos="9350"/>
            </w:tabs>
            <w:rPr>
              <w:noProof/>
            </w:rPr>
          </w:pPr>
          <w:hyperlink w:anchor="_Toc213708182" w:history="1">
            <w:r w:rsidRPr="00A0194E">
              <w:rPr>
                <w:rStyle w:val="Hyperlink"/>
                <w:noProof/>
              </w:rPr>
              <w:t>3.2 Macro Actor 1 – Technological Environment</w:t>
            </w:r>
            <w:r>
              <w:rPr>
                <w:noProof/>
                <w:webHidden/>
              </w:rPr>
              <w:tab/>
            </w:r>
            <w:r>
              <w:rPr>
                <w:noProof/>
                <w:webHidden/>
              </w:rPr>
              <w:fldChar w:fldCharType="begin"/>
            </w:r>
            <w:r>
              <w:rPr>
                <w:noProof/>
                <w:webHidden/>
              </w:rPr>
              <w:instrText xml:space="preserve"> PAGEREF _Toc213708182 \h </w:instrText>
            </w:r>
            <w:r>
              <w:rPr>
                <w:noProof/>
                <w:webHidden/>
              </w:rPr>
            </w:r>
            <w:r>
              <w:rPr>
                <w:noProof/>
                <w:webHidden/>
              </w:rPr>
              <w:fldChar w:fldCharType="separate"/>
            </w:r>
            <w:r>
              <w:rPr>
                <w:noProof/>
                <w:webHidden/>
              </w:rPr>
              <w:t>7</w:t>
            </w:r>
            <w:r>
              <w:rPr>
                <w:noProof/>
                <w:webHidden/>
              </w:rPr>
              <w:fldChar w:fldCharType="end"/>
            </w:r>
          </w:hyperlink>
        </w:p>
        <w:p w14:paraId="19FBBB17" w14:textId="1A69A248" w:rsidR="009218B0" w:rsidRDefault="009218B0">
          <w:pPr>
            <w:pStyle w:val="TOC2"/>
            <w:tabs>
              <w:tab w:val="right" w:leader="dot" w:pos="9350"/>
            </w:tabs>
            <w:rPr>
              <w:noProof/>
            </w:rPr>
          </w:pPr>
          <w:hyperlink w:anchor="_Toc213708183" w:history="1">
            <w:r w:rsidRPr="00A0194E">
              <w:rPr>
                <w:rStyle w:val="Hyperlink"/>
                <w:noProof/>
              </w:rPr>
              <w:t>Threats</w:t>
            </w:r>
            <w:r>
              <w:rPr>
                <w:noProof/>
                <w:webHidden/>
              </w:rPr>
              <w:tab/>
            </w:r>
            <w:r>
              <w:rPr>
                <w:noProof/>
                <w:webHidden/>
              </w:rPr>
              <w:fldChar w:fldCharType="begin"/>
            </w:r>
            <w:r>
              <w:rPr>
                <w:noProof/>
                <w:webHidden/>
              </w:rPr>
              <w:instrText xml:space="preserve"> PAGEREF _Toc213708183 \h </w:instrText>
            </w:r>
            <w:r>
              <w:rPr>
                <w:noProof/>
                <w:webHidden/>
              </w:rPr>
            </w:r>
            <w:r>
              <w:rPr>
                <w:noProof/>
                <w:webHidden/>
              </w:rPr>
              <w:fldChar w:fldCharType="separate"/>
            </w:r>
            <w:r>
              <w:rPr>
                <w:noProof/>
                <w:webHidden/>
              </w:rPr>
              <w:t>8</w:t>
            </w:r>
            <w:r>
              <w:rPr>
                <w:noProof/>
                <w:webHidden/>
              </w:rPr>
              <w:fldChar w:fldCharType="end"/>
            </w:r>
          </w:hyperlink>
        </w:p>
        <w:p w14:paraId="69451E28" w14:textId="0918B8C2" w:rsidR="009218B0" w:rsidRDefault="009218B0">
          <w:pPr>
            <w:pStyle w:val="TOC2"/>
            <w:tabs>
              <w:tab w:val="right" w:leader="dot" w:pos="9350"/>
            </w:tabs>
            <w:rPr>
              <w:noProof/>
            </w:rPr>
          </w:pPr>
          <w:hyperlink w:anchor="_Toc213708184" w:history="1">
            <w:r w:rsidRPr="00A0194E">
              <w:rPr>
                <w:rStyle w:val="Hyperlink"/>
                <w:noProof/>
              </w:rPr>
              <w:t>3.3 Macro Actor 2 – Socio-Cultural Environment</w:t>
            </w:r>
            <w:r>
              <w:rPr>
                <w:noProof/>
                <w:webHidden/>
              </w:rPr>
              <w:tab/>
            </w:r>
            <w:r>
              <w:rPr>
                <w:noProof/>
                <w:webHidden/>
              </w:rPr>
              <w:fldChar w:fldCharType="begin"/>
            </w:r>
            <w:r>
              <w:rPr>
                <w:noProof/>
                <w:webHidden/>
              </w:rPr>
              <w:instrText xml:space="preserve"> PAGEREF _Toc213708184 \h </w:instrText>
            </w:r>
            <w:r>
              <w:rPr>
                <w:noProof/>
                <w:webHidden/>
              </w:rPr>
            </w:r>
            <w:r>
              <w:rPr>
                <w:noProof/>
                <w:webHidden/>
              </w:rPr>
              <w:fldChar w:fldCharType="separate"/>
            </w:r>
            <w:r>
              <w:rPr>
                <w:noProof/>
                <w:webHidden/>
              </w:rPr>
              <w:t>8</w:t>
            </w:r>
            <w:r>
              <w:rPr>
                <w:noProof/>
                <w:webHidden/>
              </w:rPr>
              <w:fldChar w:fldCharType="end"/>
            </w:r>
          </w:hyperlink>
        </w:p>
        <w:p w14:paraId="1BA2E0F4" w14:textId="576F5BBC" w:rsidR="009218B0" w:rsidRDefault="009218B0">
          <w:pPr>
            <w:pStyle w:val="TOC1"/>
            <w:tabs>
              <w:tab w:val="right" w:leader="dot" w:pos="9350"/>
            </w:tabs>
            <w:rPr>
              <w:noProof/>
            </w:rPr>
          </w:pPr>
          <w:hyperlink w:anchor="_Toc213708185" w:history="1">
            <w:r w:rsidRPr="00A0194E">
              <w:rPr>
                <w:rStyle w:val="Hyperlink"/>
                <w:noProof/>
              </w:rPr>
              <w:t>4. Task 2 – Strategic Responses to Macro Environmental Factors</w:t>
            </w:r>
            <w:r>
              <w:rPr>
                <w:noProof/>
                <w:webHidden/>
              </w:rPr>
              <w:tab/>
            </w:r>
            <w:r>
              <w:rPr>
                <w:noProof/>
                <w:webHidden/>
              </w:rPr>
              <w:fldChar w:fldCharType="begin"/>
            </w:r>
            <w:r>
              <w:rPr>
                <w:noProof/>
                <w:webHidden/>
              </w:rPr>
              <w:instrText xml:space="preserve"> PAGEREF _Toc213708185 \h </w:instrText>
            </w:r>
            <w:r>
              <w:rPr>
                <w:noProof/>
                <w:webHidden/>
              </w:rPr>
            </w:r>
            <w:r>
              <w:rPr>
                <w:noProof/>
                <w:webHidden/>
              </w:rPr>
              <w:fldChar w:fldCharType="separate"/>
            </w:r>
            <w:r>
              <w:rPr>
                <w:noProof/>
                <w:webHidden/>
              </w:rPr>
              <w:t>10</w:t>
            </w:r>
            <w:r>
              <w:rPr>
                <w:noProof/>
                <w:webHidden/>
              </w:rPr>
              <w:fldChar w:fldCharType="end"/>
            </w:r>
          </w:hyperlink>
        </w:p>
        <w:p w14:paraId="529CA889" w14:textId="551B279D" w:rsidR="009218B0" w:rsidRDefault="009218B0">
          <w:pPr>
            <w:pStyle w:val="TOC2"/>
            <w:tabs>
              <w:tab w:val="right" w:leader="dot" w:pos="9350"/>
            </w:tabs>
            <w:rPr>
              <w:noProof/>
            </w:rPr>
          </w:pPr>
          <w:hyperlink w:anchor="_Toc213708186" w:history="1">
            <w:r w:rsidRPr="00A0194E">
              <w:rPr>
                <w:rStyle w:val="Hyperlink"/>
                <w:noProof/>
              </w:rPr>
              <w:t>4.1 Strategic Responses to Technological Change</w:t>
            </w:r>
            <w:r>
              <w:rPr>
                <w:noProof/>
                <w:webHidden/>
              </w:rPr>
              <w:tab/>
            </w:r>
            <w:r>
              <w:rPr>
                <w:noProof/>
                <w:webHidden/>
              </w:rPr>
              <w:fldChar w:fldCharType="begin"/>
            </w:r>
            <w:r>
              <w:rPr>
                <w:noProof/>
                <w:webHidden/>
              </w:rPr>
              <w:instrText xml:space="preserve"> PAGEREF _Toc213708186 \h </w:instrText>
            </w:r>
            <w:r>
              <w:rPr>
                <w:noProof/>
                <w:webHidden/>
              </w:rPr>
            </w:r>
            <w:r>
              <w:rPr>
                <w:noProof/>
                <w:webHidden/>
              </w:rPr>
              <w:fldChar w:fldCharType="separate"/>
            </w:r>
            <w:r>
              <w:rPr>
                <w:noProof/>
                <w:webHidden/>
              </w:rPr>
              <w:t>10</w:t>
            </w:r>
            <w:r>
              <w:rPr>
                <w:noProof/>
                <w:webHidden/>
              </w:rPr>
              <w:fldChar w:fldCharType="end"/>
            </w:r>
          </w:hyperlink>
        </w:p>
        <w:p w14:paraId="5EFA7CF0" w14:textId="566E2EC7" w:rsidR="009218B0" w:rsidRDefault="009218B0">
          <w:pPr>
            <w:pStyle w:val="TOC2"/>
            <w:tabs>
              <w:tab w:val="right" w:leader="dot" w:pos="9350"/>
            </w:tabs>
            <w:rPr>
              <w:noProof/>
            </w:rPr>
          </w:pPr>
          <w:hyperlink w:anchor="_Toc213708187" w:history="1">
            <w:r w:rsidRPr="00A0194E">
              <w:rPr>
                <w:rStyle w:val="Hyperlink"/>
                <w:noProof/>
              </w:rPr>
              <w:t>4.2 Strategic Responses to Socio-Cultural Shifts</w:t>
            </w:r>
            <w:r>
              <w:rPr>
                <w:noProof/>
                <w:webHidden/>
              </w:rPr>
              <w:tab/>
            </w:r>
            <w:r>
              <w:rPr>
                <w:noProof/>
                <w:webHidden/>
              </w:rPr>
              <w:fldChar w:fldCharType="begin"/>
            </w:r>
            <w:r>
              <w:rPr>
                <w:noProof/>
                <w:webHidden/>
              </w:rPr>
              <w:instrText xml:space="preserve"> PAGEREF _Toc213708187 \h </w:instrText>
            </w:r>
            <w:r>
              <w:rPr>
                <w:noProof/>
                <w:webHidden/>
              </w:rPr>
            </w:r>
            <w:r>
              <w:rPr>
                <w:noProof/>
                <w:webHidden/>
              </w:rPr>
              <w:fldChar w:fldCharType="separate"/>
            </w:r>
            <w:r>
              <w:rPr>
                <w:noProof/>
                <w:webHidden/>
              </w:rPr>
              <w:t>11</w:t>
            </w:r>
            <w:r>
              <w:rPr>
                <w:noProof/>
                <w:webHidden/>
              </w:rPr>
              <w:fldChar w:fldCharType="end"/>
            </w:r>
          </w:hyperlink>
        </w:p>
        <w:p w14:paraId="4A97F5FA" w14:textId="5578A530" w:rsidR="009218B0" w:rsidRDefault="009218B0">
          <w:pPr>
            <w:pStyle w:val="TOC2"/>
            <w:tabs>
              <w:tab w:val="right" w:leader="dot" w:pos="9350"/>
            </w:tabs>
            <w:rPr>
              <w:noProof/>
            </w:rPr>
          </w:pPr>
          <w:hyperlink w:anchor="_Toc213708188" w:history="1">
            <w:r w:rsidRPr="00A0194E">
              <w:rPr>
                <w:rStyle w:val="Hyperlink"/>
                <w:noProof/>
              </w:rPr>
              <w:t>4.3 Critical Synthesis</w:t>
            </w:r>
            <w:r>
              <w:rPr>
                <w:noProof/>
                <w:webHidden/>
              </w:rPr>
              <w:tab/>
            </w:r>
            <w:r>
              <w:rPr>
                <w:noProof/>
                <w:webHidden/>
              </w:rPr>
              <w:fldChar w:fldCharType="begin"/>
            </w:r>
            <w:r>
              <w:rPr>
                <w:noProof/>
                <w:webHidden/>
              </w:rPr>
              <w:instrText xml:space="preserve"> PAGEREF _Toc213708188 \h </w:instrText>
            </w:r>
            <w:r>
              <w:rPr>
                <w:noProof/>
                <w:webHidden/>
              </w:rPr>
            </w:r>
            <w:r>
              <w:rPr>
                <w:noProof/>
                <w:webHidden/>
              </w:rPr>
              <w:fldChar w:fldCharType="separate"/>
            </w:r>
            <w:r>
              <w:rPr>
                <w:noProof/>
                <w:webHidden/>
              </w:rPr>
              <w:t>12</w:t>
            </w:r>
            <w:r>
              <w:rPr>
                <w:noProof/>
                <w:webHidden/>
              </w:rPr>
              <w:fldChar w:fldCharType="end"/>
            </w:r>
          </w:hyperlink>
        </w:p>
        <w:p w14:paraId="42C45C26" w14:textId="3349E471" w:rsidR="009218B0" w:rsidRDefault="009218B0">
          <w:pPr>
            <w:pStyle w:val="TOC1"/>
            <w:tabs>
              <w:tab w:val="right" w:leader="dot" w:pos="9350"/>
            </w:tabs>
            <w:rPr>
              <w:noProof/>
            </w:rPr>
          </w:pPr>
          <w:hyperlink w:anchor="_Toc213708189" w:history="1">
            <w:r w:rsidRPr="00A0194E">
              <w:rPr>
                <w:rStyle w:val="Hyperlink"/>
                <w:noProof/>
              </w:rPr>
              <w:t>5. Discussions and Implications</w:t>
            </w:r>
            <w:r>
              <w:rPr>
                <w:noProof/>
                <w:webHidden/>
              </w:rPr>
              <w:tab/>
            </w:r>
            <w:r>
              <w:rPr>
                <w:noProof/>
                <w:webHidden/>
              </w:rPr>
              <w:fldChar w:fldCharType="begin"/>
            </w:r>
            <w:r>
              <w:rPr>
                <w:noProof/>
                <w:webHidden/>
              </w:rPr>
              <w:instrText xml:space="preserve"> PAGEREF _Toc213708189 \h </w:instrText>
            </w:r>
            <w:r>
              <w:rPr>
                <w:noProof/>
                <w:webHidden/>
              </w:rPr>
            </w:r>
            <w:r>
              <w:rPr>
                <w:noProof/>
                <w:webHidden/>
              </w:rPr>
              <w:fldChar w:fldCharType="separate"/>
            </w:r>
            <w:r>
              <w:rPr>
                <w:noProof/>
                <w:webHidden/>
              </w:rPr>
              <w:t>12</w:t>
            </w:r>
            <w:r>
              <w:rPr>
                <w:noProof/>
                <w:webHidden/>
              </w:rPr>
              <w:fldChar w:fldCharType="end"/>
            </w:r>
          </w:hyperlink>
        </w:p>
        <w:p w14:paraId="020FFFF7" w14:textId="4BEC6C53" w:rsidR="009218B0" w:rsidRDefault="009218B0">
          <w:pPr>
            <w:pStyle w:val="TOC1"/>
            <w:tabs>
              <w:tab w:val="right" w:leader="dot" w:pos="9350"/>
            </w:tabs>
            <w:rPr>
              <w:noProof/>
            </w:rPr>
          </w:pPr>
          <w:hyperlink w:anchor="_Toc213708190" w:history="1">
            <w:r w:rsidRPr="00A0194E">
              <w:rPr>
                <w:rStyle w:val="Hyperlink"/>
                <w:noProof/>
              </w:rPr>
              <w:t>6. Conclusion</w:t>
            </w:r>
            <w:r>
              <w:rPr>
                <w:noProof/>
                <w:webHidden/>
              </w:rPr>
              <w:tab/>
            </w:r>
            <w:r>
              <w:rPr>
                <w:noProof/>
                <w:webHidden/>
              </w:rPr>
              <w:fldChar w:fldCharType="begin"/>
            </w:r>
            <w:r>
              <w:rPr>
                <w:noProof/>
                <w:webHidden/>
              </w:rPr>
              <w:instrText xml:space="preserve"> PAGEREF _Toc213708190 \h </w:instrText>
            </w:r>
            <w:r>
              <w:rPr>
                <w:noProof/>
                <w:webHidden/>
              </w:rPr>
            </w:r>
            <w:r>
              <w:rPr>
                <w:noProof/>
                <w:webHidden/>
              </w:rPr>
              <w:fldChar w:fldCharType="separate"/>
            </w:r>
            <w:r>
              <w:rPr>
                <w:noProof/>
                <w:webHidden/>
              </w:rPr>
              <w:t>12</w:t>
            </w:r>
            <w:r>
              <w:rPr>
                <w:noProof/>
                <w:webHidden/>
              </w:rPr>
              <w:fldChar w:fldCharType="end"/>
            </w:r>
          </w:hyperlink>
        </w:p>
        <w:p w14:paraId="3ADB5842" w14:textId="6F1CA3E2" w:rsidR="009218B0" w:rsidRDefault="009218B0">
          <w:pPr>
            <w:pStyle w:val="TOC1"/>
            <w:tabs>
              <w:tab w:val="right" w:leader="dot" w:pos="9350"/>
            </w:tabs>
            <w:rPr>
              <w:noProof/>
            </w:rPr>
          </w:pPr>
          <w:hyperlink w:anchor="_Toc213708191" w:history="1">
            <w:r w:rsidRPr="00A0194E">
              <w:rPr>
                <w:rStyle w:val="Hyperlink"/>
                <w:noProof/>
              </w:rPr>
              <w:t>References</w:t>
            </w:r>
            <w:r>
              <w:rPr>
                <w:noProof/>
                <w:webHidden/>
              </w:rPr>
              <w:tab/>
            </w:r>
            <w:r>
              <w:rPr>
                <w:noProof/>
                <w:webHidden/>
              </w:rPr>
              <w:fldChar w:fldCharType="begin"/>
            </w:r>
            <w:r>
              <w:rPr>
                <w:noProof/>
                <w:webHidden/>
              </w:rPr>
              <w:instrText xml:space="preserve"> PAGEREF _Toc213708191 \h </w:instrText>
            </w:r>
            <w:r>
              <w:rPr>
                <w:noProof/>
                <w:webHidden/>
              </w:rPr>
            </w:r>
            <w:r>
              <w:rPr>
                <w:noProof/>
                <w:webHidden/>
              </w:rPr>
              <w:fldChar w:fldCharType="separate"/>
            </w:r>
            <w:r>
              <w:rPr>
                <w:noProof/>
                <w:webHidden/>
              </w:rPr>
              <w:t>14</w:t>
            </w:r>
            <w:r>
              <w:rPr>
                <w:noProof/>
                <w:webHidden/>
              </w:rPr>
              <w:fldChar w:fldCharType="end"/>
            </w:r>
          </w:hyperlink>
        </w:p>
        <w:p w14:paraId="528A8044" w14:textId="38C817A1" w:rsidR="009218B0" w:rsidRDefault="009218B0">
          <w:r>
            <w:rPr>
              <w:b/>
              <w:bCs/>
              <w:noProof/>
            </w:rPr>
            <w:fldChar w:fldCharType="end"/>
          </w:r>
        </w:p>
      </w:sdtContent>
    </w:sdt>
    <w:p w14:paraId="04ED46AA" w14:textId="77777777" w:rsidR="009218B0" w:rsidRDefault="009218B0" w:rsidP="009218B0"/>
    <w:p w14:paraId="0BB5D9F6" w14:textId="77777777" w:rsidR="009218B0" w:rsidRDefault="009218B0">
      <w:r>
        <w:t xml:space="preserve">List of figures </w:t>
      </w:r>
    </w:p>
    <w:p w14:paraId="2BD128FE" w14:textId="28A1A115" w:rsidR="009218B0" w:rsidRDefault="009218B0">
      <w:pPr>
        <w:pStyle w:val="TableofFigures"/>
        <w:tabs>
          <w:tab w:val="right" w:leader="dot" w:pos="9350"/>
        </w:tabs>
        <w:rPr>
          <w:rFonts w:eastAsiaTheme="minorEastAsia"/>
          <w:noProof/>
        </w:rPr>
      </w:pPr>
      <w:r>
        <w:fldChar w:fldCharType="begin"/>
      </w:r>
      <w:r>
        <w:instrText xml:space="preserve"> TOC \h \z \c "Figure" </w:instrText>
      </w:r>
      <w:r>
        <w:fldChar w:fldCharType="separate"/>
      </w:r>
      <w:hyperlink w:anchor="_Toc213708304" w:history="1">
        <w:r w:rsidRPr="00B043DE">
          <w:rPr>
            <w:rStyle w:val="Hyperlink"/>
            <w:noProof/>
          </w:rPr>
          <w:t>Figure 1</w:t>
        </w:r>
        <w:r w:rsidRPr="00B043DE">
          <w:rPr>
            <w:rStyle w:val="Hyperlink"/>
            <w:rFonts w:ascii="Arial" w:hAnsi="Arial" w:cs="Arial"/>
            <w:noProof/>
          </w:rPr>
          <w:t>: Global Electric-Vehicle Sales Growth 2010–2024</w:t>
        </w:r>
        <w:r>
          <w:rPr>
            <w:noProof/>
            <w:webHidden/>
          </w:rPr>
          <w:tab/>
        </w:r>
        <w:r>
          <w:rPr>
            <w:noProof/>
            <w:webHidden/>
          </w:rPr>
          <w:fldChar w:fldCharType="begin"/>
        </w:r>
        <w:r>
          <w:rPr>
            <w:noProof/>
            <w:webHidden/>
          </w:rPr>
          <w:instrText xml:space="preserve"> PAGEREF _Toc213708304 \h </w:instrText>
        </w:r>
        <w:r>
          <w:rPr>
            <w:noProof/>
            <w:webHidden/>
          </w:rPr>
        </w:r>
        <w:r>
          <w:rPr>
            <w:noProof/>
            <w:webHidden/>
          </w:rPr>
          <w:fldChar w:fldCharType="separate"/>
        </w:r>
        <w:r>
          <w:rPr>
            <w:noProof/>
            <w:webHidden/>
          </w:rPr>
          <w:t>3</w:t>
        </w:r>
        <w:r>
          <w:rPr>
            <w:noProof/>
            <w:webHidden/>
          </w:rPr>
          <w:fldChar w:fldCharType="end"/>
        </w:r>
      </w:hyperlink>
    </w:p>
    <w:p w14:paraId="121E5651" w14:textId="29283DCB" w:rsidR="009218B0" w:rsidRDefault="009218B0">
      <w:pPr>
        <w:pStyle w:val="TableofFigures"/>
        <w:tabs>
          <w:tab w:val="right" w:leader="dot" w:pos="9350"/>
        </w:tabs>
        <w:rPr>
          <w:rFonts w:eastAsiaTheme="minorEastAsia"/>
          <w:noProof/>
        </w:rPr>
      </w:pPr>
      <w:hyperlink w:anchor="_Toc213708305" w:history="1">
        <w:r w:rsidRPr="00B043DE">
          <w:rPr>
            <w:rStyle w:val="Hyperlink"/>
            <w:noProof/>
          </w:rPr>
          <w:t>Figure 2</w:t>
        </w:r>
        <w:r w:rsidRPr="00B043DE">
          <w:rPr>
            <w:rStyle w:val="Hyperlink"/>
            <w:rFonts w:ascii="Arial" w:hAnsi="Arial" w:cs="Arial"/>
            <w:noProof/>
          </w:rPr>
          <w:t>: Global Electric-Vehicle Market Share (2024)</w:t>
        </w:r>
        <w:r>
          <w:rPr>
            <w:noProof/>
            <w:webHidden/>
          </w:rPr>
          <w:tab/>
        </w:r>
        <w:r>
          <w:rPr>
            <w:noProof/>
            <w:webHidden/>
          </w:rPr>
          <w:fldChar w:fldCharType="begin"/>
        </w:r>
        <w:r>
          <w:rPr>
            <w:noProof/>
            <w:webHidden/>
          </w:rPr>
          <w:instrText xml:space="preserve"> PAGEREF _Toc213708305 \h </w:instrText>
        </w:r>
        <w:r>
          <w:rPr>
            <w:noProof/>
            <w:webHidden/>
          </w:rPr>
        </w:r>
        <w:r>
          <w:rPr>
            <w:noProof/>
            <w:webHidden/>
          </w:rPr>
          <w:fldChar w:fldCharType="separate"/>
        </w:r>
        <w:r>
          <w:rPr>
            <w:noProof/>
            <w:webHidden/>
          </w:rPr>
          <w:t>3</w:t>
        </w:r>
        <w:r>
          <w:rPr>
            <w:noProof/>
            <w:webHidden/>
          </w:rPr>
          <w:fldChar w:fldCharType="end"/>
        </w:r>
      </w:hyperlink>
    </w:p>
    <w:p w14:paraId="30E22430" w14:textId="6D4772D8" w:rsidR="009218B0" w:rsidRDefault="009218B0">
      <w:pPr>
        <w:pStyle w:val="TableofFigures"/>
        <w:tabs>
          <w:tab w:val="right" w:leader="dot" w:pos="9350"/>
        </w:tabs>
        <w:rPr>
          <w:rFonts w:eastAsiaTheme="minorEastAsia"/>
          <w:noProof/>
        </w:rPr>
      </w:pPr>
      <w:hyperlink w:anchor="_Toc213708306" w:history="1">
        <w:r w:rsidRPr="00B043DE">
          <w:rPr>
            <w:rStyle w:val="Hyperlink"/>
            <w:noProof/>
          </w:rPr>
          <w:t>Figure 3</w:t>
        </w:r>
        <w:r w:rsidRPr="00B043DE">
          <w:rPr>
            <w:rStyle w:val="Hyperlink"/>
            <w:rFonts w:ascii="Arial" w:hAnsi="Arial" w:cs="Arial"/>
            <w:noProof/>
          </w:rPr>
          <w:t>: Electric-Vehicle Ecosystem</w:t>
        </w:r>
        <w:r>
          <w:rPr>
            <w:noProof/>
            <w:webHidden/>
          </w:rPr>
          <w:tab/>
        </w:r>
        <w:r>
          <w:rPr>
            <w:noProof/>
            <w:webHidden/>
          </w:rPr>
          <w:fldChar w:fldCharType="begin"/>
        </w:r>
        <w:r>
          <w:rPr>
            <w:noProof/>
            <w:webHidden/>
          </w:rPr>
          <w:instrText xml:space="preserve"> PAGEREF _Toc213708306 \h </w:instrText>
        </w:r>
        <w:r>
          <w:rPr>
            <w:noProof/>
            <w:webHidden/>
          </w:rPr>
        </w:r>
        <w:r>
          <w:rPr>
            <w:noProof/>
            <w:webHidden/>
          </w:rPr>
          <w:fldChar w:fldCharType="separate"/>
        </w:r>
        <w:r>
          <w:rPr>
            <w:noProof/>
            <w:webHidden/>
          </w:rPr>
          <w:t>4</w:t>
        </w:r>
        <w:r>
          <w:rPr>
            <w:noProof/>
            <w:webHidden/>
          </w:rPr>
          <w:fldChar w:fldCharType="end"/>
        </w:r>
      </w:hyperlink>
    </w:p>
    <w:p w14:paraId="6E931934" w14:textId="4FF52A5F" w:rsidR="009218B0" w:rsidRDefault="009218B0">
      <w:pPr>
        <w:pStyle w:val="TableofFigures"/>
        <w:tabs>
          <w:tab w:val="right" w:leader="dot" w:pos="9350"/>
        </w:tabs>
        <w:rPr>
          <w:rFonts w:eastAsiaTheme="minorEastAsia"/>
          <w:noProof/>
        </w:rPr>
      </w:pPr>
      <w:hyperlink w:anchor="_Toc213708307" w:history="1">
        <w:r w:rsidRPr="00B043DE">
          <w:rPr>
            <w:rStyle w:val="Hyperlink"/>
            <w:noProof/>
          </w:rPr>
          <w:t>Figure 4</w:t>
        </w:r>
        <w:r w:rsidRPr="00B043DE">
          <w:rPr>
            <w:rStyle w:val="Hyperlink"/>
            <w:rFonts w:ascii="Arial" w:hAnsi="Arial" w:cs="Arial"/>
            <w:noProof/>
          </w:rPr>
          <w:t>: Global Electric Car Sales, 2014–2024</w:t>
        </w:r>
        <w:r>
          <w:rPr>
            <w:noProof/>
            <w:webHidden/>
          </w:rPr>
          <w:tab/>
        </w:r>
        <w:r>
          <w:rPr>
            <w:noProof/>
            <w:webHidden/>
          </w:rPr>
          <w:fldChar w:fldCharType="begin"/>
        </w:r>
        <w:r>
          <w:rPr>
            <w:noProof/>
            <w:webHidden/>
          </w:rPr>
          <w:instrText xml:space="preserve"> PAGEREF _Toc213708307 \h </w:instrText>
        </w:r>
        <w:r>
          <w:rPr>
            <w:noProof/>
            <w:webHidden/>
          </w:rPr>
        </w:r>
        <w:r>
          <w:rPr>
            <w:noProof/>
            <w:webHidden/>
          </w:rPr>
          <w:fldChar w:fldCharType="separate"/>
        </w:r>
        <w:r>
          <w:rPr>
            <w:noProof/>
            <w:webHidden/>
          </w:rPr>
          <w:t>7</w:t>
        </w:r>
        <w:r>
          <w:rPr>
            <w:noProof/>
            <w:webHidden/>
          </w:rPr>
          <w:fldChar w:fldCharType="end"/>
        </w:r>
      </w:hyperlink>
    </w:p>
    <w:p w14:paraId="653AB9E2" w14:textId="1C3AE2F1" w:rsidR="009218B0" w:rsidRDefault="009218B0">
      <w:pPr>
        <w:rPr>
          <w:rFonts w:ascii="Arial Black" w:eastAsiaTheme="majorEastAsia" w:hAnsi="Arial Black" w:cstheme="majorBidi"/>
          <w:b/>
          <w:color w:val="2F5496" w:themeColor="accent1" w:themeShade="BF"/>
          <w:sz w:val="32"/>
          <w:szCs w:val="40"/>
        </w:rPr>
      </w:pPr>
      <w:r>
        <w:fldChar w:fldCharType="end"/>
      </w:r>
      <w:r>
        <w:br w:type="page"/>
      </w:r>
    </w:p>
    <w:p w14:paraId="6F0F1B23" w14:textId="1DBC8B5A" w:rsidR="00283B08" w:rsidRPr="00FE2A0F" w:rsidRDefault="00283B08" w:rsidP="00FE2A0F">
      <w:pPr>
        <w:pStyle w:val="Heading1"/>
      </w:pPr>
      <w:bookmarkStart w:id="0" w:name="_Toc213708178"/>
      <w:r w:rsidRPr="00FE2A0F">
        <w:lastRenderedPageBreak/>
        <w:t>1. Introduction</w:t>
      </w:r>
      <w:bookmarkEnd w:id="0"/>
    </w:p>
    <w:p w14:paraId="0A6CC924" w14:textId="6FE35496" w:rsidR="00022A76" w:rsidRPr="00FE2A0F" w:rsidRDefault="00022A76" w:rsidP="00FE2A0F">
      <w:pPr>
        <w:spacing w:line="360" w:lineRule="auto"/>
        <w:jc w:val="both"/>
        <w:rPr>
          <w:rFonts w:ascii="Arial" w:hAnsi="Arial" w:cs="Arial"/>
        </w:rPr>
      </w:pPr>
      <w:r w:rsidRPr="00FE2A0F">
        <w:rPr>
          <w:rFonts w:ascii="Arial" w:hAnsi="Arial" w:cs="Arial"/>
        </w:rPr>
        <w:t>The macro marketing environment includes all the wide external forces of technology, sociocultural, economic, environmental, political, and legal factors that affect the operations of an organisation as well as its market performance. A strategic marketing management process that embarks on analyzing the forces through PEST graphs the external opportunities and threats on which competitive positioning and strategic agility in future will rely. Such emerging issues form a large part of the environment in which the electric-vehicle (EV) industry operates today; very much innovative and fast-developing, one defined by environmental policy, sustainability imperatives and digital transformation. According to the International Energy Agency (2025), "Globally, the number of electric vehicles sold has surpassed 17 million units already for the year 2024, marking a 25% increase from 2023; more than 20 million are projected for 2025 and will hold about 25% of global car sales". With such momentum, this can change completely the way consumers move, supply chains operate, and the way opening up space for marketing with regard to the globe.</w:t>
      </w:r>
    </w:p>
    <w:p w14:paraId="0A6D24AD" w14:textId="77777777" w:rsidR="00022A76" w:rsidRPr="00FE2A0F" w:rsidRDefault="00022A76" w:rsidP="00FE2A0F">
      <w:pPr>
        <w:spacing w:line="360" w:lineRule="auto"/>
        <w:jc w:val="both"/>
        <w:rPr>
          <w:rFonts w:ascii="Arial" w:hAnsi="Arial" w:cs="Arial"/>
        </w:rPr>
      </w:pPr>
      <w:r w:rsidRPr="00FE2A0F">
        <w:rPr>
          <w:rFonts w:ascii="Arial" w:hAnsi="Arial" w:cs="Arial"/>
        </w:rPr>
        <w:t>Two macro-actors play a major role in the EV marketing analysis:</w:t>
      </w:r>
    </w:p>
    <w:p w14:paraId="1824B5F9" w14:textId="45C82359" w:rsidR="00022A76" w:rsidRPr="00FE2A0F" w:rsidRDefault="00022A76" w:rsidP="00FE2A0F">
      <w:pPr>
        <w:pStyle w:val="ListParagraph"/>
        <w:numPr>
          <w:ilvl w:val="0"/>
          <w:numId w:val="5"/>
        </w:numPr>
        <w:spacing w:line="360" w:lineRule="auto"/>
        <w:jc w:val="both"/>
        <w:rPr>
          <w:rFonts w:ascii="Arial" w:hAnsi="Arial" w:cs="Arial"/>
        </w:rPr>
      </w:pPr>
      <w:r w:rsidRPr="00FE2A0F">
        <w:rPr>
          <w:rFonts w:ascii="Arial" w:hAnsi="Arial" w:cs="Arial"/>
        </w:rPr>
        <w:t>Technological factors, among these the breakthroughs in density of batteries, autonomous-driving AI, and charging-infrastructure integration; innovations that bring opportunity but can also put pressure to cost.</w:t>
      </w:r>
    </w:p>
    <w:p w14:paraId="48BD7DAF" w14:textId="622ECEB5" w:rsidR="00022A76" w:rsidRPr="00FE2A0F" w:rsidRDefault="00022A76" w:rsidP="00FE2A0F">
      <w:pPr>
        <w:pStyle w:val="ListParagraph"/>
        <w:numPr>
          <w:ilvl w:val="0"/>
          <w:numId w:val="5"/>
        </w:numPr>
        <w:spacing w:line="360" w:lineRule="auto"/>
        <w:jc w:val="both"/>
        <w:rPr>
          <w:rFonts w:ascii="Arial" w:hAnsi="Arial" w:cs="Arial"/>
        </w:rPr>
      </w:pPr>
      <w:r w:rsidRPr="00FE2A0F">
        <w:rPr>
          <w:rFonts w:ascii="Arial" w:hAnsi="Arial" w:cs="Arial"/>
        </w:rPr>
        <w:t>Socio-cultural factors-the increased environmental sensitivity, demand for ethical mobility, and lifestyle changes wanting low-emission transport redefine consumer expectations and brand narratives.</w:t>
      </w:r>
    </w:p>
    <w:p w14:paraId="3190F68A" w14:textId="1579C67C" w:rsidR="00283B08" w:rsidRPr="00FE2A0F" w:rsidRDefault="00022A76" w:rsidP="00FE2A0F">
      <w:pPr>
        <w:spacing w:line="360" w:lineRule="auto"/>
        <w:jc w:val="both"/>
        <w:rPr>
          <w:rFonts w:ascii="Arial" w:hAnsi="Arial" w:cs="Arial"/>
        </w:rPr>
      </w:pPr>
      <w:r w:rsidRPr="00FE2A0F">
        <w:rPr>
          <w:rFonts w:ascii="Arial" w:hAnsi="Arial" w:cs="Arial"/>
        </w:rPr>
        <w:t>Within that context, Tesla Inc. from the United States is the innovating pioneer, very much leveraging on innovation, mushrooming software ecosystems and first-mover stand-out branding, while BYD Auto Co. Ltd. from China uses scale economies, inexpensive pricing and localization as the follower strategy.  Thus, Task 1 of this report critically analyzes the degree to which technological and socio-cultural transitions create opportunities and threats for both Tesla and BYD. Task 2 looks into their strategic responses-spanning innovation management, ecosystem expansion and market positioning-in sustaining global competitiveness</w:t>
      </w:r>
      <w:r w:rsidR="00283B08" w:rsidRPr="00FE2A0F">
        <w:rPr>
          <w:rFonts w:ascii="Arial" w:hAnsi="Arial" w:cs="Arial"/>
        </w:rPr>
        <w:t>.</w:t>
      </w:r>
    </w:p>
    <w:p w14:paraId="434DB739" w14:textId="177ADBA7" w:rsidR="009218B0" w:rsidRDefault="009218B0" w:rsidP="00FE2A0F">
      <w:pPr>
        <w:spacing w:line="360" w:lineRule="auto"/>
        <w:jc w:val="both"/>
        <w:rPr>
          <w:rFonts w:ascii="Arial" w:hAnsi="Arial" w:cs="Arial"/>
          <w:i/>
          <w:iCs/>
        </w:rPr>
      </w:pPr>
      <w:r w:rsidRPr="00FE2A0F">
        <w:rPr>
          <w:rFonts w:ascii="Arial" w:hAnsi="Arial" w:cs="Arial"/>
          <w:noProof/>
        </w:rPr>
        <w:lastRenderedPageBreak/>
        <w:drawing>
          <wp:inline distT="0" distB="0" distL="0" distR="0" wp14:anchorId="5F495641" wp14:editId="3036EDA1">
            <wp:extent cx="5943600" cy="3298190"/>
            <wp:effectExtent l="0" t="0" r="0" b="0"/>
            <wp:docPr id="265752062" name="Picture 3" descr="Global EV Sales 2010–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lobal EV Sales 2010–202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298190"/>
                    </a:xfrm>
                    <a:prstGeom prst="rect">
                      <a:avLst/>
                    </a:prstGeom>
                    <a:noFill/>
                    <a:ln>
                      <a:noFill/>
                    </a:ln>
                  </pic:spPr>
                </pic:pic>
              </a:graphicData>
            </a:graphic>
          </wp:inline>
        </w:drawing>
      </w:r>
    </w:p>
    <w:p w14:paraId="089BE6A1" w14:textId="73416364" w:rsidR="009218B0" w:rsidRDefault="009218B0" w:rsidP="009218B0">
      <w:pPr>
        <w:pStyle w:val="Caption"/>
        <w:rPr>
          <w:rFonts w:ascii="Arial" w:hAnsi="Arial" w:cs="Arial"/>
        </w:rPr>
      </w:pPr>
      <w:bookmarkStart w:id="1" w:name="_Toc213708304"/>
      <w:r>
        <w:t xml:space="preserve">Figure </w:t>
      </w:r>
      <w:r>
        <w:fldChar w:fldCharType="begin"/>
      </w:r>
      <w:r>
        <w:instrText xml:space="preserve"> SEQ Figure \* ARABIC </w:instrText>
      </w:r>
      <w:r>
        <w:fldChar w:fldCharType="separate"/>
      </w:r>
      <w:r>
        <w:rPr>
          <w:noProof/>
        </w:rPr>
        <w:t>1</w:t>
      </w:r>
      <w:r>
        <w:rPr>
          <w:noProof/>
        </w:rPr>
        <w:fldChar w:fldCharType="end"/>
      </w:r>
      <w:r w:rsidR="00283B08" w:rsidRPr="00FE2A0F">
        <w:rPr>
          <w:rFonts w:ascii="Arial" w:hAnsi="Arial" w:cs="Arial"/>
        </w:rPr>
        <w:t>: Global Electric-Vehicle Sales Growth 2010–2024</w:t>
      </w:r>
      <w:bookmarkEnd w:id="1"/>
    </w:p>
    <w:p w14:paraId="6B85CB5E" w14:textId="561BEE90" w:rsidR="00283B08" w:rsidRPr="00FE2A0F" w:rsidRDefault="00283B08" w:rsidP="00FE2A0F">
      <w:pPr>
        <w:spacing w:line="360" w:lineRule="auto"/>
        <w:jc w:val="both"/>
        <w:rPr>
          <w:rFonts w:ascii="Arial" w:hAnsi="Arial" w:cs="Arial"/>
        </w:rPr>
      </w:pPr>
      <w:r w:rsidRPr="00FE2A0F">
        <w:rPr>
          <w:rFonts w:ascii="Arial" w:hAnsi="Arial" w:cs="Arial"/>
          <w:i/>
          <w:iCs/>
        </w:rPr>
        <w:t xml:space="preserve">Source: EV Boosters (2025) </w:t>
      </w:r>
    </w:p>
    <w:p w14:paraId="2DE4229C" w14:textId="77777777" w:rsidR="009218B0" w:rsidRDefault="00283B08" w:rsidP="009218B0">
      <w:pPr>
        <w:pStyle w:val="Caption"/>
      </w:pPr>
      <w:r w:rsidRPr="00FE2A0F">
        <w:rPr>
          <w:rFonts w:ascii="Arial" w:hAnsi="Arial" w:cs="Arial"/>
          <w:noProof/>
        </w:rPr>
        <w:drawing>
          <wp:inline distT="0" distB="0" distL="0" distR="0" wp14:anchorId="36B7BBD8" wp14:editId="18E1CEFD">
            <wp:extent cx="5943600" cy="3276600"/>
            <wp:effectExtent l="0" t="0" r="0" b="0"/>
            <wp:docPr id="2116112372" name="Picture 2" descr="Global EV Market 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lobal EV Market Sha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276600"/>
                    </a:xfrm>
                    <a:prstGeom prst="rect">
                      <a:avLst/>
                    </a:prstGeom>
                    <a:noFill/>
                    <a:ln>
                      <a:noFill/>
                    </a:ln>
                  </pic:spPr>
                </pic:pic>
              </a:graphicData>
            </a:graphic>
          </wp:inline>
        </w:drawing>
      </w:r>
      <w:r w:rsidRPr="00FE2A0F">
        <w:rPr>
          <w:rFonts w:ascii="Arial" w:hAnsi="Arial" w:cs="Arial"/>
        </w:rPr>
        <w:br/>
      </w:r>
    </w:p>
    <w:p w14:paraId="29CE7CFA" w14:textId="1E513ED5" w:rsidR="009218B0" w:rsidRPr="00FE2A0F" w:rsidRDefault="009218B0" w:rsidP="009218B0">
      <w:pPr>
        <w:pStyle w:val="Caption"/>
        <w:rPr>
          <w:rFonts w:ascii="Arial" w:hAnsi="Arial" w:cs="Arial"/>
        </w:rPr>
      </w:pPr>
      <w:bookmarkStart w:id="2" w:name="_Toc213708305"/>
      <w:r>
        <w:t xml:space="preserve">Figure </w:t>
      </w:r>
      <w:r>
        <w:fldChar w:fldCharType="begin"/>
      </w:r>
      <w:r>
        <w:instrText xml:space="preserve"> SEQ Figure \* ARABIC </w:instrText>
      </w:r>
      <w:r>
        <w:fldChar w:fldCharType="separate"/>
      </w:r>
      <w:r>
        <w:rPr>
          <w:noProof/>
        </w:rPr>
        <w:t>2</w:t>
      </w:r>
      <w:r>
        <w:rPr>
          <w:noProof/>
        </w:rPr>
        <w:fldChar w:fldCharType="end"/>
      </w:r>
      <w:r w:rsidRPr="00FE2A0F">
        <w:rPr>
          <w:rFonts w:ascii="Arial" w:hAnsi="Arial" w:cs="Arial"/>
        </w:rPr>
        <w:t>: Global Electric-Vehicle Market Share (2024)</w:t>
      </w:r>
      <w:bookmarkEnd w:id="2"/>
    </w:p>
    <w:p w14:paraId="1E800DB5" w14:textId="719D5E15" w:rsidR="00283B08" w:rsidRPr="00FE2A0F" w:rsidRDefault="00283B08" w:rsidP="00FE2A0F">
      <w:pPr>
        <w:spacing w:line="360" w:lineRule="auto"/>
        <w:jc w:val="both"/>
        <w:rPr>
          <w:rFonts w:ascii="Arial" w:hAnsi="Arial" w:cs="Arial"/>
        </w:rPr>
      </w:pPr>
      <w:r w:rsidRPr="00FE2A0F">
        <w:rPr>
          <w:rFonts w:ascii="Arial" w:hAnsi="Arial" w:cs="Arial"/>
          <w:i/>
          <w:iCs/>
        </w:rPr>
        <w:t xml:space="preserve">Source: Statista (2025) </w:t>
      </w:r>
    </w:p>
    <w:p w14:paraId="7EC57177" w14:textId="77777777" w:rsidR="009218B0" w:rsidRDefault="00283B08" w:rsidP="00FE2A0F">
      <w:pPr>
        <w:spacing w:line="360" w:lineRule="auto"/>
        <w:jc w:val="both"/>
        <w:rPr>
          <w:rFonts w:ascii="Arial" w:hAnsi="Arial" w:cs="Arial"/>
          <w:i/>
          <w:iCs/>
        </w:rPr>
      </w:pPr>
      <w:r w:rsidRPr="00FE2A0F">
        <w:rPr>
          <w:rFonts w:ascii="Arial" w:hAnsi="Arial" w:cs="Arial"/>
          <w:noProof/>
        </w:rPr>
        <w:lastRenderedPageBreak/>
        <w:drawing>
          <wp:inline distT="0" distB="0" distL="0" distR="0" wp14:anchorId="41AE2CA1" wp14:editId="7E39896D">
            <wp:extent cx="5943600" cy="2978785"/>
            <wp:effectExtent l="0" t="0" r="0" b="0"/>
            <wp:docPr id="1977693340" name="Picture 1" descr="EV Ecosystem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V Ecosystem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978785"/>
                    </a:xfrm>
                    <a:prstGeom prst="rect">
                      <a:avLst/>
                    </a:prstGeom>
                    <a:noFill/>
                    <a:ln>
                      <a:noFill/>
                    </a:ln>
                  </pic:spPr>
                </pic:pic>
              </a:graphicData>
            </a:graphic>
          </wp:inline>
        </w:drawing>
      </w:r>
    </w:p>
    <w:p w14:paraId="1C3396DF" w14:textId="059CC9B8" w:rsidR="009218B0" w:rsidRDefault="009218B0" w:rsidP="009218B0">
      <w:pPr>
        <w:pStyle w:val="Caption"/>
        <w:rPr>
          <w:rFonts w:ascii="Arial" w:hAnsi="Arial" w:cs="Arial"/>
        </w:rPr>
      </w:pPr>
      <w:bookmarkStart w:id="3" w:name="_Toc213708306"/>
      <w:r>
        <w:t xml:space="preserve">Figure </w:t>
      </w:r>
      <w:r>
        <w:fldChar w:fldCharType="begin"/>
      </w:r>
      <w:r>
        <w:instrText xml:space="preserve"> SEQ Figure \* ARABIC </w:instrText>
      </w:r>
      <w:r>
        <w:fldChar w:fldCharType="separate"/>
      </w:r>
      <w:r>
        <w:rPr>
          <w:noProof/>
        </w:rPr>
        <w:t>3</w:t>
      </w:r>
      <w:r>
        <w:rPr>
          <w:noProof/>
        </w:rPr>
        <w:fldChar w:fldCharType="end"/>
      </w:r>
      <w:r w:rsidRPr="00FE2A0F">
        <w:rPr>
          <w:rFonts w:ascii="Arial" w:hAnsi="Arial" w:cs="Arial"/>
        </w:rPr>
        <w:t>: Electric-Vehicle Ecosystem</w:t>
      </w:r>
      <w:bookmarkEnd w:id="3"/>
    </w:p>
    <w:p w14:paraId="49E82708" w14:textId="2F9C59F3" w:rsidR="00283B08" w:rsidRPr="00FE2A0F" w:rsidRDefault="00283B08" w:rsidP="00FE2A0F">
      <w:pPr>
        <w:spacing w:line="360" w:lineRule="auto"/>
        <w:jc w:val="both"/>
        <w:rPr>
          <w:rFonts w:ascii="Arial" w:hAnsi="Arial" w:cs="Arial"/>
        </w:rPr>
      </w:pPr>
      <w:r w:rsidRPr="00FE2A0F">
        <w:rPr>
          <w:rFonts w:ascii="Arial" w:hAnsi="Arial" w:cs="Arial"/>
          <w:i/>
          <w:iCs/>
        </w:rPr>
        <w:t xml:space="preserve">Source: ResearchGate (2024) </w:t>
      </w:r>
    </w:p>
    <w:p w14:paraId="449E6F75" w14:textId="77777777" w:rsidR="00283B08" w:rsidRPr="00FE2A0F" w:rsidRDefault="00283B08" w:rsidP="00FE2A0F">
      <w:pPr>
        <w:pStyle w:val="Heading1"/>
      </w:pPr>
      <w:bookmarkStart w:id="4" w:name="_Toc213708179"/>
      <w:r w:rsidRPr="00FE2A0F">
        <w:t>2. Theoretical and Conceptual Framework</w:t>
      </w:r>
      <w:bookmarkEnd w:id="4"/>
    </w:p>
    <w:p w14:paraId="1925431C" w14:textId="77777777" w:rsidR="00022A76" w:rsidRPr="00FE2A0F" w:rsidRDefault="00022A76" w:rsidP="00FE2A0F">
      <w:pPr>
        <w:spacing w:line="360" w:lineRule="auto"/>
        <w:jc w:val="both"/>
        <w:rPr>
          <w:rFonts w:ascii="Arial" w:hAnsi="Arial" w:cs="Arial"/>
        </w:rPr>
      </w:pPr>
      <w:r w:rsidRPr="00FE2A0F">
        <w:rPr>
          <w:rFonts w:ascii="Arial" w:hAnsi="Arial" w:cs="Arial"/>
        </w:rPr>
        <w:t>PESTLE is a framework through which one systematically categorises such external factors as Political, Economic, Social Technological Legal and Environmental, for use in macro-marketing environmental examination. Therefore the analysis domain rests on the most dynamic or most powerful and influential factors within marketing strategy in the Electric Vehicle (EV) industry: Technological and Socio-Cultural dimensions. PESTLE supports structured environmental scanning and comparative analysis; however, it has been noted by scholars for its diagnostic rather than predictive nature and its tendency to superficial application without deeper strategic interpretation (Johnson et al., 2022). These hitches are, however, here mitigated by considering advanced strategic theories and up-to-date market data in the analysis (International Energy Agency [IEA], 2025; McKinsey &amp; Company, 2025a).</w:t>
      </w:r>
    </w:p>
    <w:p w14:paraId="458C377A" w14:textId="77777777" w:rsidR="00022A76" w:rsidRPr="00FE2A0F" w:rsidRDefault="00022A76" w:rsidP="00FE2A0F">
      <w:pPr>
        <w:spacing w:line="360" w:lineRule="auto"/>
        <w:jc w:val="both"/>
        <w:rPr>
          <w:rFonts w:ascii="Arial" w:hAnsi="Arial" w:cs="Arial"/>
        </w:rPr>
      </w:pPr>
      <w:r w:rsidRPr="00FE2A0F">
        <w:rPr>
          <w:rFonts w:ascii="Arial" w:hAnsi="Arial" w:cs="Arial"/>
        </w:rPr>
        <w:t xml:space="preserve">First-Mover Advantage (FMA) Theory (Lieberman &amp; Montgomery, 1988) traces how pioneers temporary rents from innovation leadership through pre-emption of scarce assets and brand reputation. In EVs, Tesla represents the first mover building up an </w:t>
      </w:r>
      <w:r w:rsidRPr="00FE2A0F">
        <w:rPr>
          <w:rFonts w:ascii="Arial" w:hAnsi="Arial" w:cs="Arial"/>
        </w:rPr>
        <w:lastRenderedPageBreak/>
        <w:t xml:space="preserve">exclusive proprietary software ecosystem and charging network, which fuel customer lock-in. Yet, the theory allows that competitive advantages can erode very quickly upon standardization of technologies and acceleration of learning diffusion. Unlike First-Mover Advantage, Follower Strategy Models (Shankar et al., 1998) emphasize that late entrants, like BYD, are better off in terms of reduced R&amp;D risk and cost efficiencies besides acquiring and adapting learning to outperform pioneers as markets mature. </w:t>
      </w:r>
    </w:p>
    <w:p w14:paraId="2F3926E7" w14:textId="77777777" w:rsidR="00022A76" w:rsidRPr="00FE2A0F" w:rsidRDefault="00022A76" w:rsidP="00FE2A0F">
      <w:pPr>
        <w:spacing w:line="360" w:lineRule="auto"/>
        <w:jc w:val="both"/>
        <w:rPr>
          <w:rFonts w:ascii="Arial" w:hAnsi="Arial" w:cs="Arial"/>
        </w:rPr>
      </w:pPr>
      <w:r w:rsidRPr="00FE2A0F">
        <w:rPr>
          <w:rFonts w:ascii="Arial" w:hAnsi="Arial" w:cs="Arial"/>
        </w:rPr>
        <w:t xml:space="preserve">Dynamic Capabilities Theory (Teece, 2007) extends the FMA debate in that it describes how firms sustain advantage in turbulent times due to their sensing and seizing of emerging opportunities through innovation and reconfiguration of internal assets. Indeed, agility is an important factor in the EV industry as companies are required to continually recalibrate with changes in battery chemistry, AI-driven autonomy, and regulation (McKinsey &amp; Company, 2025b). </w:t>
      </w:r>
    </w:p>
    <w:p w14:paraId="3E962EC1" w14:textId="77777777" w:rsidR="00022A76" w:rsidRPr="00FE2A0F" w:rsidRDefault="00022A76" w:rsidP="00FE2A0F">
      <w:pPr>
        <w:spacing w:line="360" w:lineRule="auto"/>
        <w:jc w:val="both"/>
        <w:rPr>
          <w:rFonts w:ascii="Arial" w:hAnsi="Arial" w:cs="Arial"/>
        </w:rPr>
      </w:pPr>
      <w:r w:rsidRPr="00FE2A0F">
        <w:rPr>
          <w:rFonts w:ascii="Arial" w:hAnsi="Arial" w:cs="Arial"/>
        </w:rPr>
        <w:t xml:space="preserve">Finally, Diffusion of Innovations Theory (Rogers, 2003) elucidates adoption behavior over market segments. Factors such as perceived relative advantage, compatibility, and observability directly shape consumer uptake of EVs. Test-drive campaigns, charging-access partnerships, and digital education simultaneously fill the "early-majority gap" from one side while, on the opposing side, the linear adoption model of diffusion theory downplays policy interventions or shocks across supply chains (IEA, 2025). </w:t>
      </w:r>
    </w:p>
    <w:p w14:paraId="6993C04A" w14:textId="029E8FC4" w:rsidR="00283B08" w:rsidRPr="00FE2A0F" w:rsidRDefault="00022A76" w:rsidP="00FE2A0F">
      <w:pPr>
        <w:spacing w:line="360" w:lineRule="auto"/>
        <w:jc w:val="both"/>
        <w:rPr>
          <w:rFonts w:ascii="Arial" w:hAnsi="Arial" w:cs="Arial"/>
        </w:rPr>
      </w:pPr>
      <w:r w:rsidRPr="00FE2A0F">
        <w:rPr>
          <w:rFonts w:ascii="Arial" w:hAnsi="Arial" w:cs="Arial"/>
        </w:rPr>
        <w:t>In synthesis, PESTLE identifies what external forces matter; it is FMA and Follower Strategy that define who benefits from timing; Dynamic Capabilities explains how firms will sustain responsiveness; and Diffusion of Innovations clarify how fast change propagates through markets. Together, these frameworks provide a multidimensional basis against which to analytically engage how Tesla and BYD manoeuvre around technological disruption and socio-cultural shifts in the global EV landscape</w:t>
      </w:r>
      <w:r w:rsidR="00283B08" w:rsidRPr="00FE2A0F">
        <w:rPr>
          <w:rFonts w:ascii="Arial" w:hAnsi="Arial" w:cs="Arial"/>
        </w:rPr>
        <w:t>.</w:t>
      </w:r>
    </w:p>
    <w:p w14:paraId="6DC62364" w14:textId="77777777" w:rsidR="0005653C" w:rsidRPr="00FE2A0F" w:rsidRDefault="0005653C" w:rsidP="00FE2A0F">
      <w:pPr>
        <w:pStyle w:val="Heading1"/>
      </w:pPr>
      <w:bookmarkStart w:id="5" w:name="_Toc213708180"/>
      <w:r w:rsidRPr="00FE2A0F">
        <w:lastRenderedPageBreak/>
        <w:t>3. Task 1 – Critical Analysis of the Macro Marketing Environment</w:t>
      </w:r>
      <w:bookmarkEnd w:id="5"/>
    </w:p>
    <w:p w14:paraId="6548B301" w14:textId="1B63D35D" w:rsidR="0005653C" w:rsidRPr="00FE2A0F" w:rsidRDefault="0005653C" w:rsidP="00FE2A0F">
      <w:pPr>
        <w:pStyle w:val="Heading2"/>
      </w:pPr>
      <w:bookmarkStart w:id="6" w:name="_Toc213708181"/>
      <w:r w:rsidRPr="00FE2A0F">
        <w:rPr>
          <w:szCs w:val="28"/>
        </w:rPr>
        <w:t>3.1 Industry Overview</w:t>
      </w:r>
      <w:bookmarkEnd w:id="6"/>
      <w:r w:rsidRPr="00FE2A0F">
        <w:rPr>
          <w:szCs w:val="28"/>
        </w:rPr>
        <w:t xml:space="preserve"> </w:t>
      </w:r>
    </w:p>
    <w:p w14:paraId="0C6FA492" w14:textId="4CD85112" w:rsidR="00022A76" w:rsidRPr="00FE2A0F" w:rsidRDefault="00022A76" w:rsidP="00FE2A0F">
      <w:pPr>
        <w:spacing w:line="360" w:lineRule="auto"/>
        <w:jc w:val="both"/>
        <w:rPr>
          <w:rFonts w:ascii="Arial" w:hAnsi="Arial" w:cs="Arial"/>
        </w:rPr>
      </w:pPr>
      <w:r w:rsidRPr="00FE2A0F">
        <w:rPr>
          <w:rFonts w:ascii="Arial" w:hAnsi="Arial" w:cs="Arial"/>
        </w:rPr>
        <w:t>The global electric vehicle (EV) market has now entered the phase of mass adoption and strategic repositioning. According to the International Energy Agency (IEA, 2025), worldwide sales of EVs exceeded 17 million units in 2024, which marked a rise of 25 % from the previous year, and the number is projected to hit over 20 million units in 2025, thereby making up more than a quarter of new-car sales. China remains the principal contributor to this phenomenon, capturing close to 11 million of the units in 2024, while Europe and North America are envisioning a steady but policy-dependent market growth. It is also estimated that market value will rapidly increase from US $280 billion in 2021 to almost US $1.5 trillion by the year 2030, driven by battery technology innovation, public charging infrastructure, and government subsidies (IEA, 2025).</w:t>
      </w:r>
    </w:p>
    <w:p w14:paraId="5EDCCBD6" w14:textId="4A3ACD07" w:rsidR="0005653C" w:rsidRPr="00FE2A0F" w:rsidRDefault="00022A76" w:rsidP="00FE2A0F">
      <w:pPr>
        <w:spacing w:line="360" w:lineRule="auto"/>
        <w:jc w:val="both"/>
        <w:rPr>
          <w:rFonts w:ascii="Arial" w:hAnsi="Arial" w:cs="Arial"/>
        </w:rPr>
      </w:pPr>
      <w:r w:rsidRPr="00FE2A0F">
        <w:rPr>
          <w:rFonts w:ascii="Arial" w:hAnsi="Arial" w:cs="Arial"/>
        </w:rPr>
        <w:t>Several major players in the electric vehicle (EV) market include Tesla, BYD, Volkswagen, Rivian, and NIO, each with differentiated strategies based on premium and mass-market consumer segments. Demand expansion is driven by net-zero commitments, stringent emission standards, and declining battery prices-more than 80% since 2010 (McKinsey &amp; Company, 2025a). Nevertheless, China's price wars and subsidy volatility in Europe reveal the vulnerability of margins. In this context, Tesla Inc. is the groundbreaker, leveraging first-mover advantages in software-defined vehicles, autonomous AI, and the proprietary North American Charging Standard (NACS); BYD Auto Co. Ltd., the displayer of a follower strategy developing rapidly through vertical integration, cost leadership, and adaptive innovation. These two, accordingly, typify the opposing strategic archetypes underpinning the depicition of this study</w:t>
      </w:r>
      <w:r w:rsidR="0005653C" w:rsidRPr="00FE2A0F">
        <w:rPr>
          <w:rFonts w:ascii="Arial" w:hAnsi="Arial" w:cs="Arial"/>
        </w:rPr>
        <w:t>.</w:t>
      </w:r>
    </w:p>
    <w:p w14:paraId="5784B525" w14:textId="59FDDE2C" w:rsidR="0005653C" w:rsidRPr="00FE2A0F" w:rsidRDefault="0005653C" w:rsidP="00FE2A0F">
      <w:pPr>
        <w:spacing w:line="360" w:lineRule="auto"/>
        <w:jc w:val="both"/>
        <w:rPr>
          <w:rFonts w:ascii="Arial" w:hAnsi="Arial" w:cs="Arial"/>
        </w:rPr>
      </w:pPr>
      <w:r w:rsidRPr="00FE2A0F">
        <w:rPr>
          <w:rFonts w:ascii="Arial" w:hAnsi="Arial" w:cs="Arial"/>
          <w:noProof/>
        </w:rPr>
        <w:lastRenderedPageBreak/>
        <w:drawing>
          <wp:inline distT="0" distB="0" distL="0" distR="0" wp14:anchorId="7B4119B1" wp14:editId="1FD0D049">
            <wp:extent cx="5943600" cy="3046730"/>
            <wp:effectExtent l="0" t="0" r="0" b="1270"/>
            <wp:docPr id="1598778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778140" name=""/>
                    <pic:cNvPicPr/>
                  </pic:nvPicPr>
                  <pic:blipFill>
                    <a:blip r:embed="rId11"/>
                    <a:stretch>
                      <a:fillRect/>
                    </a:stretch>
                  </pic:blipFill>
                  <pic:spPr>
                    <a:xfrm>
                      <a:off x="0" y="0"/>
                      <a:ext cx="5943600" cy="3046730"/>
                    </a:xfrm>
                    <a:prstGeom prst="rect">
                      <a:avLst/>
                    </a:prstGeom>
                  </pic:spPr>
                </pic:pic>
              </a:graphicData>
            </a:graphic>
          </wp:inline>
        </w:drawing>
      </w:r>
    </w:p>
    <w:p w14:paraId="4921D559" w14:textId="77777777" w:rsidR="009218B0" w:rsidRDefault="009218B0" w:rsidP="009218B0">
      <w:pPr>
        <w:pStyle w:val="Caption"/>
        <w:rPr>
          <w:rFonts w:ascii="Arial" w:hAnsi="Arial" w:cs="Arial"/>
        </w:rPr>
      </w:pPr>
      <w:bookmarkStart w:id="7" w:name="_Toc213708307"/>
      <w:r>
        <w:t xml:space="preserve">Figure </w:t>
      </w:r>
      <w:r>
        <w:fldChar w:fldCharType="begin"/>
      </w:r>
      <w:r>
        <w:instrText xml:space="preserve"> SEQ Figure \* ARABIC </w:instrText>
      </w:r>
      <w:r>
        <w:fldChar w:fldCharType="separate"/>
      </w:r>
      <w:r>
        <w:rPr>
          <w:noProof/>
        </w:rPr>
        <w:t>4</w:t>
      </w:r>
      <w:r>
        <w:rPr>
          <w:noProof/>
        </w:rPr>
        <w:fldChar w:fldCharType="end"/>
      </w:r>
      <w:r w:rsidR="0033768B" w:rsidRPr="00FE2A0F">
        <w:rPr>
          <w:rFonts w:ascii="Arial" w:hAnsi="Arial" w:cs="Arial"/>
        </w:rPr>
        <w:t>: Global Electric Car Sales, 2014–2024</w:t>
      </w:r>
      <w:bookmarkEnd w:id="7"/>
      <w:r w:rsidR="0033768B" w:rsidRPr="00FE2A0F">
        <w:rPr>
          <w:rFonts w:ascii="Arial" w:hAnsi="Arial" w:cs="Arial"/>
        </w:rPr>
        <w:fldChar w:fldCharType="begin"/>
      </w:r>
      <w:r w:rsidR="0033768B" w:rsidRPr="00FE2A0F">
        <w:rPr>
          <w:rFonts w:ascii="Arial" w:hAnsi="Arial" w:cs="Arial"/>
        </w:rPr>
        <w:instrText xml:space="preserve"> INCLUDEPICTURE "" \* MERGEFORMATINET </w:instrText>
      </w:r>
      <w:r w:rsidR="0033768B" w:rsidRPr="00FE2A0F">
        <w:rPr>
          <w:rFonts w:ascii="Arial" w:hAnsi="Arial" w:cs="Arial"/>
        </w:rPr>
        <w:fldChar w:fldCharType="separate"/>
      </w:r>
      <w:r w:rsidR="0033768B" w:rsidRPr="00FE2A0F">
        <w:rPr>
          <w:rFonts w:ascii="Arial" w:hAnsi="Arial" w:cs="Arial"/>
        </w:rPr>
        <w:fldChar w:fldCharType="end"/>
      </w:r>
    </w:p>
    <w:p w14:paraId="67E3F19F" w14:textId="3D2B81DD" w:rsidR="0033768B" w:rsidRPr="00FE2A0F" w:rsidRDefault="0033768B" w:rsidP="009218B0">
      <w:pPr>
        <w:pStyle w:val="Caption"/>
        <w:rPr>
          <w:rFonts w:ascii="Arial" w:hAnsi="Arial" w:cs="Arial"/>
        </w:rPr>
      </w:pPr>
      <w:r w:rsidRPr="00FE2A0F">
        <w:rPr>
          <w:rFonts w:ascii="Arial" w:hAnsi="Arial" w:cs="Arial"/>
        </w:rPr>
        <w:t xml:space="preserve">Source: International Energy Agency (IEA) (2025) </w:t>
      </w:r>
    </w:p>
    <w:p w14:paraId="19263592" w14:textId="7FFC8D4C" w:rsidR="0005653C" w:rsidRPr="00FE2A0F" w:rsidRDefault="0005653C" w:rsidP="00FE2A0F">
      <w:pPr>
        <w:pStyle w:val="Heading2"/>
      </w:pPr>
      <w:bookmarkStart w:id="8" w:name="_Toc213708182"/>
      <w:r w:rsidRPr="00FE2A0F">
        <w:t>3.2 Macro Actor 1 – Technological Environment</w:t>
      </w:r>
      <w:bookmarkEnd w:id="8"/>
      <w:r w:rsidRPr="00FE2A0F">
        <w:t xml:space="preserve"> </w:t>
      </w:r>
    </w:p>
    <w:p w14:paraId="69E1CF72" w14:textId="77777777" w:rsidR="0005653C" w:rsidRPr="00FE2A0F" w:rsidRDefault="0005653C" w:rsidP="00FE2A0F">
      <w:pPr>
        <w:spacing w:line="360" w:lineRule="auto"/>
        <w:jc w:val="both"/>
        <w:rPr>
          <w:rFonts w:ascii="Arial" w:hAnsi="Arial" w:cs="Arial"/>
          <w:b/>
          <w:bCs/>
          <w:u w:val="single"/>
        </w:rPr>
      </w:pPr>
      <w:r w:rsidRPr="00FE2A0F">
        <w:rPr>
          <w:rFonts w:ascii="Arial" w:hAnsi="Arial" w:cs="Arial"/>
          <w:b/>
          <w:bCs/>
          <w:u w:val="single"/>
        </w:rPr>
        <w:t>Opportunities</w:t>
      </w:r>
    </w:p>
    <w:p w14:paraId="53109EEB" w14:textId="427989EC" w:rsidR="00022A76" w:rsidRPr="00FE2A0F" w:rsidRDefault="00022A76" w:rsidP="00FE2A0F">
      <w:pPr>
        <w:spacing w:line="360" w:lineRule="auto"/>
        <w:jc w:val="both"/>
        <w:rPr>
          <w:rFonts w:ascii="Arial" w:hAnsi="Arial" w:cs="Arial"/>
        </w:rPr>
      </w:pPr>
      <w:r w:rsidRPr="00FE2A0F">
        <w:rPr>
          <w:rFonts w:ascii="Arial" w:hAnsi="Arial" w:cs="Arial"/>
        </w:rPr>
        <w:t xml:space="preserve">(a) Software and ecosystems. Tesla's burgeoning software-as-product model perpetuates emotional innovations through OTA updates and an in-house autonomous-driving AI, thus confirming the validity of customer theory. Another features opening up its Supercharging network under NACS to other players such as Honda and Porsche, with the firm reaping the benefits of platform leadership evolving into an ecosystem advantage, thereby providing enhancement to the Tesla brand equity and network effects. ( Electrive, 2025).  </w:t>
      </w:r>
    </w:p>
    <w:p w14:paraId="7B2AF6A6" w14:textId="4BAD0856" w:rsidR="00022A76" w:rsidRPr="00FE2A0F" w:rsidRDefault="00022A76" w:rsidP="00FE2A0F">
      <w:pPr>
        <w:spacing w:line="360" w:lineRule="auto"/>
        <w:jc w:val="both"/>
        <w:rPr>
          <w:rFonts w:ascii="Arial" w:hAnsi="Arial" w:cs="Arial"/>
        </w:rPr>
      </w:pPr>
      <w:r w:rsidRPr="00FE2A0F">
        <w:rPr>
          <w:rFonts w:ascii="Arial" w:hAnsi="Arial" w:cs="Arial"/>
        </w:rPr>
        <w:t>(b) Battery innovation at scale. BYD's new-age Blade Battery focuses on lithium-iron- phosphate (LFP), which aims to maximize safety, durability, and reduced costs to allow high-scale production of affordable EVs. The latest 2024 upgrade saw a 10% improvement in efficiency and range, alongside an 8% drop in cost over the cell (Carsauce, 2024). BYD's control over both LFP and sodium-ion chemistry allows the company to address several pricing market segments while insulating against raw-material price volatility (BYD Auto Co., 2024). </w:t>
      </w:r>
    </w:p>
    <w:p w14:paraId="3A4547CC" w14:textId="77777777" w:rsidR="00022A76" w:rsidRPr="00FE2A0F" w:rsidRDefault="00022A76" w:rsidP="00FE2A0F">
      <w:pPr>
        <w:spacing w:line="360" w:lineRule="auto"/>
        <w:jc w:val="both"/>
        <w:rPr>
          <w:rFonts w:ascii="Arial" w:hAnsi="Arial" w:cs="Arial"/>
        </w:rPr>
      </w:pPr>
      <w:r w:rsidRPr="00FE2A0F">
        <w:rPr>
          <w:rFonts w:ascii="Arial" w:hAnsi="Arial" w:cs="Arial"/>
        </w:rPr>
        <w:lastRenderedPageBreak/>
        <w:t xml:space="preserve">(c) R&amp;D intensity and capability renewal. Tesla's R&amp;D expenditures of US$4.5 billion in 2024, for continued upgrades to product platforms, while the firm spent US$3.9 billion on battery and AI research (Macrotrends, 2025). The increase also enables the frequent design iteration, which repeatedly feeds the marketing campaigns, highlighting the cadence of innovation and freshness of products. </w:t>
      </w:r>
    </w:p>
    <w:p w14:paraId="4C74C542" w14:textId="77777777" w:rsidR="00022A76" w:rsidRPr="00FE2A0F" w:rsidRDefault="00022A76" w:rsidP="00FE2A0F">
      <w:pPr>
        <w:pStyle w:val="Heading2"/>
      </w:pPr>
      <w:bookmarkStart w:id="9" w:name="_Toc213708183"/>
      <w:r w:rsidRPr="00FE2A0F">
        <w:t>Threats</w:t>
      </w:r>
      <w:bookmarkEnd w:id="9"/>
    </w:p>
    <w:p w14:paraId="097746CB" w14:textId="2571C273" w:rsidR="00022A76" w:rsidRPr="00FE2A0F" w:rsidRDefault="00022A76" w:rsidP="00FE2A0F">
      <w:pPr>
        <w:spacing w:line="360" w:lineRule="auto"/>
        <w:jc w:val="both"/>
        <w:rPr>
          <w:rFonts w:ascii="Arial" w:hAnsi="Arial" w:cs="Arial"/>
        </w:rPr>
      </w:pPr>
      <w:r w:rsidRPr="00FE2A0F">
        <w:rPr>
          <w:rFonts w:ascii="Arial" w:hAnsi="Arial" w:cs="Arial"/>
        </w:rPr>
        <w:t>(a) Patenting and rapid obsolescence. Innovation cycles are compressing; battery and ADAS technologies could become obsolete in 24 months. For Tesla, this dilemma is to protect the current platforms or to risk having them cannibalised by next-generation designs. Any change in standard—for instance, harmonisation of charging protocols—will diminish that differentiation or impose costly retrofits (McKinsey &amp; Company, 2025b). </w:t>
      </w:r>
    </w:p>
    <w:p w14:paraId="175D1901" w14:textId="5F3F9631" w:rsidR="00022A76" w:rsidRPr="00FE2A0F" w:rsidRDefault="00022A76" w:rsidP="00FE2A0F">
      <w:pPr>
        <w:spacing w:line="360" w:lineRule="auto"/>
        <w:jc w:val="both"/>
        <w:rPr>
          <w:rFonts w:ascii="Arial" w:hAnsi="Arial" w:cs="Arial"/>
        </w:rPr>
      </w:pPr>
      <w:r w:rsidRPr="00FE2A0F">
        <w:rPr>
          <w:rFonts w:ascii="Arial" w:hAnsi="Arial" w:cs="Arial"/>
        </w:rPr>
        <w:t>(b) Supply-chain shakiness. In 2024, even though some troubles started to dissipate, there was still an air of uncertainty over lithium and nickel price volatility, as well as geopolitical bottlenecks, which still threatened the production schedule and all of this challenged marketers relying on predictable launch calendars (IEA, 2025).</w:t>
      </w:r>
    </w:p>
    <w:p w14:paraId="349DE4EA" w14:textId="6E07C292" w:rsidR="0033768B" w:rsidRPr="00FE2A0F" w:rsidRDefault="0033768B" w:rsidP="00FE2A0F">
      <w:pPr>
        <w:pStyle w:val="Heading2"/>
      </w:pPr>
      <w:bookmarkStart w:id="10" w:name="_Toc213708184"/>
      <w:r w:rsidRPr="00FE2A0F">
        <w:t>3.3 Macro Actor 2 – Socio-Cultural Environment</w:t>
      </w:r>
      <w:bookmarkEnd w:id="10"/>
      <w:r w:rsidRPr="00FE2A0F">
        <w:t xml:space="preserve"> </w:t>
      </w:r>
    </w:p>
    <w:p w14:paraId="2863B722" w14:textId="77777777" w:rsidR="0033768B" w:rsidRPr="00FE2A0F" w:rsidRDefault="0033768B" w:rsidP="00FE2A0F">
      <w:pPr>
        <w:spacing w:line="360" w:lineRule="auto"/>
        <w:jc w:val="both"/>
        <w:rPr>
          <w:rFonts w:ascii="Arial" w:hAnsi="Arial" w:cs="Arial"/>
        </w:rPr>
      </w:pPr>
      <w:r w:rsidRPr="00FE2A0F">
        <w:rPr>
          <w:rFonts w:ascii="Arial" w:hAnsi="Arial" w:cs="Arial"/>
        </w:rPr>
        <w:t>The socio-cultural environment represents the collective attitudes, beliefs and lifestyle shifts shaping consumption behaviour and brand engagement. In the EV market, socio-cultural change is arguably as decisive as technology: rising eco-awareness, status signalling, and digital lifestyle integration influence what mobility symbolises in society.</w:t>
      </w:r>
    </w:p>
    <w:p w14:paraId="6204750A" w14:textId="09D8DDCC" w:rsidR="00022A76" w:rsidRPr="00FE2A0F" w:rsidRDefault="0033768B" w:rsidP="00FE2A0F">
      <w:pPr>
        <w:spacing w:line="360" w:lineRule="auto"/>
        <w:jc w:val="both"/>
        <w:rPr>
          <w:rFonts w:ascii="Arial" w:hAnsi="Arial" w:cs="Arial"/>
        </w:rPr>
      </w:pPr>
      <w:r w:rsidRPr="00FE2A0F">
        <w:rPr>
          <w:rFonts w:ascii="Arial" w:hAnsi="Arial" w:cs="Arial"/>
          <w:b/>
          <w:bCs/>
          <w:u w:val="single"/>
        </w:rPr>
        <w:t>Opportunities.</w:t>
      </w:r>
      <w:r w:rsidRPr="00FE2A0F">
        <w:rPr>
          <w:rFonts w:ascii="Arial" w:hAnsi="Arial" w:cs="Arial"/>
        </w:rPr>
        <w:br/>
      </w:r>
      <w:r w:rsidR="00022A76" w:rsidRPr="00FE2A0F">
        <w:rPr>
          <w:rFonts w:ascii="Arial" w:hAnsi="Arial" w:cs="Arial"/>
        </w:rPr>
        <w:t xml:space="preserve">Sustainability is significantly aiding EV adoption across various markets. As per the 2025 McKinsey EV Consumer Survey, 71% of respondents considered sustainability to be their primary reason for being interested in purchasing an electric vehicle while 64% said EV ownership meant a personal contribution toward the net-zero goal (McKinsey &amp; Company, 2025a). Governments have given a cultural push by making subsidies available and investing in green infrastructure so that EVs are a part of aspirational eco-citizenship identities. </w:t>
      </w:r>
    </w:p>
    <w:p w14:paraId="1E40850B" w14:textId="5BDB5F03" w:rsidR="00022A76" w:rsidRPr="00FE2A0F" w:rsidRDefault="00022A76" w:rsidP="00FE2A0F">
      <w:pPr>
        <w:spacing w:line="360" w:lineRule="auto"/>
        <w:jc w:val="both"/>
        <w:rPr>
          <w:rFonts w:ascii="Arial" w:hAnsi="Arial" w:cs="Arial"/>
        </w:rPr>
      </w:pPr>
      <w:r w:rsidRPr="00FE2A0F">
        <w:rPr>
          <w:rFonts w:ascii="Arial" w:hAnsi="Arial" w:cs="Arial"/>
        </w:rPr>
        <w:lastRenderedPageBreak/>
        <w:t>The aspirational lifestyle brand model has been adopted by Tesla, placing sustainability in the realm of luxury and performance rather than sacrifice. For Tesla, marketing fuses environmental ethics with technological prestige to cultivate a tech-elite community around symbolic capital vis-a-vis innovation ownership. In contrast, BYD built itself around the idea of affordability and accessibility as cultural values especially in Asia, Africa, and Latin America, where the mobility narratives tend to cocktail more with inclusion rather than luxury symbolism. BYD's Electric for Everyone marketing campaign (BYD Auto Co., 2024) stands for democratised green consumption that speaks to the Social Equity pillar of the TBL framework (Elkington, 1998).</w:t>
      </w:r>
    </w:p>
    <w:p w14:paraId="2C3CA754" w14:textId="77777777" w:rsidR="00022A76" w:rsidRPr="00FE2A0F" w:rsidRDefault="00022A76" w:rsidP="00FE2A0F">
      <w:pPr>
        <w:rPr>
          <w:rFonts w:ascii="Arial" w:hAnsi="Arial" w:cs="Arial"/>
          <w:b/>
          <w:bCs/>
        </w:rPr>
      </w:pPr>
      <w:r w:rsidRPr="00FE2A0F">
        <w:rPr>
          <w:rFonts w:ascii="Arial" w:hAnsi="Arial" w:cs="Arial"/>
          <w:b/>
          <w:bCs/>
        </w:rPr>
        <w:t>Threats.</w:t>
      </w:r>
    </w:p>
    <w:p w14:paraId="510B5B78" w14:textId="00732191" w:rsidR="00022A76" w:rsidRPr="00FE2A0F" w:rsidRDefault="00022A76" w:rsidP="00FE2A0F">
      <w:pPr>
        <w:spacing w:line="360" w:lineRule="auto"/>
        <w:jc w:val="both"/>
        <w:rPr>
          <w:rFonts w:ascii="Arial" w:hAnsi="Arial" w:cs="Arial"/>
        </w:rPr>
      </w:pPr>
      <w:r w:rsidRPr="00FE2A0F">
        <w:rPr>
          <w:rFonts w:ascii="Arial" w:hAnsi="Arial" w:cs="Arial"/>
        </w:rPr>
        <w:t>However, the loss of consumer trust remains a hurdle in consumer acceptance. The growing watchfulness of greenwashing—making exaggerated claims regarding the environmental benefits of a product—jeopardises the companies' credibility, especially in their Western markets, where they are held under high scrutiny for such claims. Consumers also show regional heterogeneity, as sustainability and brand ethics in Europe are emphasized, while Asia's buyers weigh price against reliability to function (IEA, 2025). Tesla's premium positioning may risk not appealing to price-sensitive consumers, whereas BYD's mass-market image may be perceived as downgrading their technological sophistication in more affluent economies.</w:t>
      </w:r>
    </w:p>
    <w:p w14:paraId="3BC0EF73" w14:textId="77777777" w:rsidR="00022A76" w:rsidRPr="00FE2A0F" w:rsidRDefault="00022A76" w:rsidP="00FE2A0F">
      <w:pPr>
        <w:spacing w:line="360" w:lineRule="auto"/>
        <w:jc w:val="both"/>
        <w:rPr>
          <w:rFonts w:ascii="Arial" w:hAnsi="Arial" w:cs="Arial"/>
        </w:rPr>
      </w:pPr>
      <w:r w:rsidRPr="00FE2A0F">
        <w:rPr>
          <w:rFonts w:ascii="Arial" w:hAnsi="Arial" w:cs="Arial"/>
        </w:rPr>
        <w:t xml:space="preserve">From the CCT perspective (Arnould &amp; Thompson, 2018), one brand position indicates empowerment through the individual innovativeness represented by Tesla, while the BYD brand conveys the notion of collective advancement through accessibility. Both these strategies convert cars into cultural artefacts that express morality and modernity. Still, the eco-luxury narrative the Tesla brand espouses appears elitist in a Western context, while BYD's rhetoric on affordability may generate no aspirational carryover in emerging markets. </w:t>
      </w:r>
    </w:p>
    <w:p w14:paraId="60B0468E" w14:textId="77777777" w:rsidR="00277A3B" w:rsidRPr="00FE2A0F" w:rsidRDefault="00277A3B" w:rsidP="00FE2A0F">
      <w:pPr>
        <w:pStyle w:val="Heading1"/>
      </w:pPr>
      <w:bookmarkStart w:id="11" w:name="_Toc213708185"/>
      <w:r w:rsidRPr="00FE2A0F">
        <w:lastRenderedPageBreak/>
        <w:t>4. Task 2 – Strategic Responses to Macro Environmental Factors</w:t>
      </w:r>
      <w:bookmarkEnd w:id="11"/>
    </w:p>
    <w:p w14:paraId="658F8EC0" w14:textId="5FB066CF" w:rsidR="00277A3B" w:rsidRPr="00FE2A0F" w:rsidRDefault="00277A3B" w:rsidP="00FE2A0F">
      <w:pPr>
        <w:pStyle w:val="Heading2"/>
      </w:pPr>
      <w:bookmarkStart w:id="12" w:name="_Toc213708186"/>
      <w:r w:rsidRPr="00FE2A0F">
        <w:t>4.1 Strategic Responses to Technological Change</w:t>
      </w:r>
      <w:bookmarkEnd w:id="12"/>
      <w:r w:rsidRPr="00FE2A0F">
        <w:t xml:space="preserve"> </w:t>
      </w:r>
    </w:p>
    <w:p w14:paraId="43507545" w14:textId="68FB5420" w:rsidR="00A869D9" w:rsidRPr="00FE2A0F" w:rsidRDefault="00A869D9" w:rsidP="00FE2A0F">
      <w:pPr>
        <w:spacing w:line="360" w:lineRule="auto"/>
        <w:jc w:val="both"/>
        <w:rPr>
          <w:rFonts w:ascii="Arial" w:hAnsi="Arial" w:cs="Arial"/>
        </w:rPr>
      </w:pPr>
      <w:r w:rsidRPr="00FE2A0F">
        <w:rPr>
          <w:rFonts w:ascii="Arial" w:hAnsi="Arial" w:cs="Arial"/>
        </w:rPr>
        <w:t>In view of the rapidly evolving technology, firms in the EV marketplace have to choose strategic postures that would create the balance between the innovation risk, cost structure, and market-entry timing. These postures represent two contrasting but complementary archetypes: the pioneer Tesla, Inc. and the following BYD Auto Co., Ltd.</w:t>
      </w:r>
    </w:p>
    <w:p w14:paraId="6EF586B3" w14:textId="0CD7324F" w:rsidR="00A869D9" w:rsidRPr="00FE2A0F" w:rsidRDefault="00A869D9" w:rsidP="00FE2A0F">
      <w:pPr>
        <w:spacing w:line="360" w:lineRule="auto"/>
        <w:jc w:val="both"/>
        <w:rPr>
          <w:rFonts w:ascii="Arial" w:hAnsi="Arial" w:cs="Arial"/>
        </w:rPr>
      </w:pPr>
      <w:r w:rsidRPr="00FE2A0F">
        <w:rPr>
          <w:rFonts w:ascii="Arial" w:hAnsi="Arial" w:cs="Arial"/>
        </w:rPr>
        <w:t xml:space="preserve">Strategy A: Through strategic management theory, Tesla is pursuing differentiation and drawing from the concept of a blue ocean of creating new market space. The company makes huge R&amp;D expenses (~US $4.5 bn in 2023) while putting focus on software-as-a-service, OTA updates, limited charging ecosystem (Supercharger/NACS), and autonomy stacks (Panmore, 2024; VestedFinance, 2024). In this way, it tries to establish high switching costs and platform lock-in, whereby the vehicle no longer is an end purchase but rather becomes part of an evolving ecosystem. The bigger issue for Tesla lies in maintaining premium margins as hardware costs come down and clones go rampant with core features (Forbes, 2024). Unless software/service levels are built-in deep, Tesla's premier model runs the risk of getting commoditised. </w:t>
      </w:r>
    </w:p>
    <w:p w14:paraId="5C3D8533" w14:textId="36B1BCA5" w:rsidR="00A869D9" w:rsidRPr="00FE2A0F" w:rsidRDefault="00A869D9" w:rsidP="00FE2A0F">
      <w:pPr>
        <w:spacing w:line="360" w:lineRule="auto"/>
        <w:jc w:val="both"/>
        <w:rPr>
          <w:rFonts w:ascii="Arial" w:hAnsi="Arial" w:cs="Arial"/>
        </w:rPr>
      </w:pPr>
      <w:r w:rsidRPr="00FE2A0F">
        <w:rPr>
          <w:rFonts w:ascii="Arial" w:hAnsi="Arial" w:cs="Arial"/>
        </w:rPr>
        <w:t xml:space="preserve">BYD's strategy, on the other hand, is a combination of market development and cost leadership. By vertically integrating battery, electric motor and vehicle manufacturing, BYD reduces unit costs and shortens innovation lead-time (AInvest, 2025; GlobalSources, 2024). This price-aggressive stance bears models with cost-of-production ~30% lower than that of Tesla (AInvest, 2025), enabling market entry at the low end with emerging markets. </w:t>
      </w:r>
    </w:p>
    <w:p w14:paraId="12DB2B7D" w14:textId="5B9EC568" w:rsidR="00A869D9" w:rsidRPr="00FE2A0F" w:rsidRDefault="00A869D9" w:rsidP="00FE2A0F">
      <w:pPr>
        <w:spacing w:line="360" w:lineRule="auto"/>
        <w:jc w:val="both"/>
        <w:rPr>
          <w:rFonts w:ascii="Arial" w:hAnsi="Arial" w:cs="Arial"/>
        </w:rPr>
      </w:pPr>
      <w:r w:rsidRPr="00FE2A0F">
        <w:rPr>
          <w:rFonts w:ascii="Arial" w:hAnsi="Arial" w:cs="Arial"/>
        </w:rPr>
        <w:t xml:space="preserve">While pioneers such as Tesla may create and hold brand and technology leadership, followers may become much more sustainable in the longer run, as they can secure cost advantage and scale attractiveness fairly quick-especially in a converging technology environment that narrows differentiation. But to such an extent, the followers miss having the luxury premium and ecosystem lock-in that the pioneers acquired; therefore, profitability may depend much more on operational efficiency and global scale. For global </w:t>
      </w:r>
      <w:r w:rsidRPr="00FE2A0F">
        <w:rPr>
          <w:rFonts w:ascii="Arial" w:hAnsi="Arial" w:cs="Arial"/>
        </w:rPr>
        <w:lastRenderedPageBreak/>
        <w:t xml:space="preserve">expansion, IP rights and standardization (e.g., Tesla’s NACS vs. industry CCS) present barriers. While Tesla protects its ecosystem, BYD has to invest not just in cost but also in perceived brand credibility. The long-term competitiveness might be determined by the success of hybrid strategies: Tesla would dilute costs per unit without cutting brand prestige, while BYD would have to add brand prestige on top of cost scale. </w:t>
      </w:r>
    </w:p>
    <w:p w14:paraId="7D2027A8" w14:textId="77777777" w:rsidR="00A869D9" w:rsidRPr="00FE2A0F" w:rsidRDefault="00A869D9" w:rsidP="00FE2A0F">
      <w:pPr>
        <w:pStyle w:val="Heading2"/>
      </w:pPr>
      <w:bookmarkStart w:id="13" w:name="_Toc213708187"/>
      <w:r w:rsidRPr="00FE2A0F">
        <w:t>4.2 Strategic Responses to Socio-Cultural Shifts</w:t>
      </w:r>
      <w:bookmarkEnd w:id="13"/>
      <w:r w:rsidRPr="00FE2A0F">
        <w:t xml:space="preserve"> </w:t>
      </w:r>
    </w:p>
    <w:p w14:paraId="559E62A6" w14:textId="77777777" w:rsidR="00A869D9" w:rsidRPr="00FE2A0F" w:rsidRDefault="00A869D9" w:rsidP="00FE2A0F">
      <w:pPr>
        <w:spacing w:line="360" w:lineRule="auto"/>
        <w:jc w:val="both"/>
        <w:rPr>
          <w:rFonts w:ascii="Arial" w:hAnsi="Arial" w:cs="Arial"/>
        </w:rPr>
      </w:pPr>
      <w:r w:rsidRPr="00FE2A0F">
        <w:rPr>
          <w:rFonts w:ascii="Arial" w:hAnsi="Arial" w:cs="Arial"/>
        </w:rPr>
        <w:t>Tekh few Sonic And Culture are Variables resculpting Mobility and Meaning of The Brand. This calls for the firms to respond not only technologically but also materially and symbolically in how they attach identity and meaning to what they offer.</w:t>
      </w:r>
    </w:p>
    <w:p w14:paraId="7B4FB748" w14:textId="4E2F4F64" w:rsidR="00A869D9" w:rsidRPr="00FE2A0F" w:rsidRDefault="00A869D9" w:rsidP="00FE2A0F">
      <w:pPr>
        <w:spacing w:line="360" w:lineRule="auto"/>
        <w:jc w:val="both"/>
        <w:rPr>
          <w:rFonts w:ascii="Arial" w:hAnsi="Arial" w:cs="Arial"/>
        </w:rPr>
      </w:pPr>
      <w:r w:rsidRPr="00FE2A0F">
        <w:rPr>
          <w:rFonts w:ascii="Arial" w:hAnsi="Arial" w:cs="Arial"/>
        </w:rPr>
        <w:t xml:space="preserve">Tesla's branding is aimed at the purpose of "accelerating the world transition to sustainable energy". This branding approach fosters a community-based attachment generating brand policies, social media chatter, and network positive feedback. Early adopters who desire both luxury and environmental credentials create Tesla's segments; innovation, performance, and green luxury become salient on Tesla's positioning. From segmentation-targeting-positioning (STP) point of view, Tesla targets affluent tech-savvy consumers to position its vehicles as premium lifestyle choices (Aeternus, 2024). In terms of CSR, Tesla emphasize low emission standing, integration in an energy ecosystem, that combines solar with storage, and their direct sale model as socially interesting. </w:t>
      </w:r>
      <w:r w:rsidR="00FE2A0F" w:rsidRPr="00FE2A0F">
        <w:rPr>
          <w:rFonts w:ascii="Arial" w:hAnsi="Arial" w:cs="Arial"/>
        </w:rPr>
        <w:t xml:space="preserve"> </w:t>
      </w:r>
      <w:r w:rsidRPr="00FE2A0F">
        <w:rPr>
          <w:rFonts w:ascii="Arial" w:hAnsi="Arial" w:cs="Arial"/>
        </w:rPr>
        <w:t xml:space="preserve">BYD, instead, foregrounds affordability, accessibility, and localisation. BYD Campaigns in emerging markets place an emphasis on “electric for everyone”, manufacturing locally, and inclusive mobility—securing relevance culturally in price-sensitive segments (CKGSB, 2025). Using STP, BYD targets mass-market segments, positioning itself competitively around value rather than exclusivity. Incorporating job creation, affordability, and vertical integration as sustainability enablers rather than just emissions' reduction stands in BYD's CSR plan. </w:t>
      </w:r>
    </w:p>
    <w:p w14:paraId="0EEFD387" w14:textId="1F626BFD" w:rsidR="00277A3B" w:rsidRPr="00FE2A0F" w:rsidRDefault="00A869D9" w:rsidP="00FE2A0F">
      <w:pPr>
        <w:spacing w:line="360" w:lineRule="auto"/>
        <w:jc w:val="both"/>
        <w:rPr>
          <w:rFonts w:ascii="Arial" w:hAnsi="Arial" w:cs="Arial"/>
        </w:rPr>
      </w:pPr>
      <w:r w:rsidRPr="00FE2A0F">
        <w:rPr>
          <w:rFonts w:ascii="Arial" w:hAnsi="Arial" w:cs="Arial"/>
        </w:rPr>
        <w:t xml:space="preserve">Tesla's luxury-green narrative denies high margins, but backlash may arise if price premiums become untenable or trust crumbles (Forbes, 2024). BYD's inclusive narrative commands volume growth but may run into difficulties conversing premium brand equity in developed markets. Future brand loyalty and resilience of reputation shall require </w:t>
      </w:r>
      <w:r w:rsidRPr="00FE2A0F">
        <w:rPr>
          <w:rFonts w:ascii="Arial" w:hAnsi="Arial" w:cs="Arial"/>
        </w:rPr>
        <w:lastRenderedPageBreak/>
        <w:t xml:space="preserve">companies to earn trust, manage authenticity, and swiftly adapt to regional cultural frameworks. </w:t>
      </w:r>
    </w:p>
    <w:p w14:paraId="2192A0FC" w14:textId="0237C179" w:rsidR="00277A3B" w:rsidRPr="00FE2A0F" w:rsidRDefault="00277A3B" w:rsidP="00FE2A0F">
      <w:pPr>
        <w:pStyle w:val="Heading2"/>
      </w:pPr>
      <w:bookmarkStart w:id="14" w:name="_Toc213708188"/>
      <w:r w:rsidRPr="00FE2A0F">
        <w:t>4.3 Critical Synthesis</w:t>
      </w:r>
      <w:bookmarkEnd w:id="14"/>
      <w:r w:rsidRPr="00FE2A0F">
        <w:t xml:space="preserve"> </w:t>
      </w:r>
    </w:p>
    <w:p w14:paraId="29811E09" w14:textId="77777777" w:rsidR="00A869D9" w:rsidRPr="00FE2A0F" w:rsidRDefault="00A869D9" w:rsidP="00FE2A0F">
      <w:pPr>
        <w:spacing w:line="360" w:lineRule="auto"/>
        <w:jc w:val="both"/>
        <w:rPr>
          <w:rFonts w:ascii="Arial" w:hAnsi="Arial" w:cs="Arial"/>
        </w:rPr>
      </w:pPr>
      <w:r w:rsidRPr="00FE2A0F">
        <w:rPr>
          <w:rFonts w:ascii="Arial" w:hAnsi="Arial" w:cs="Arial"/>
        </w:rPr>
        <w:t>Innovation leadership (Tesla) versus adaptive efficiency (BYD) creates an evolving competitive landscape. While Tesla benefits from being first and an ecosystem player, BYD capitalizes on a combination of scale, cost and rapid deployment. In the future, competitiveness will favor hybrid-strategy companies: pioneers that scale down on cost and amplify service ecosystems, and followers that build brand equity and technology while exercising cost discipline. Without marrying tech foresight to cultural and operational adaptability, "companies risk obsolescence" is increasingly becoming a viral phrase in an EV market where speed to market, global fragmentation, and socio-cultural fit count equally.</w:t>
      </w:r>
    </w:p>
    <w:p w14:paraId="5969F9F0" w14:textId="77777777" w:rsidR="00A869D9" w:rsidRPr="00FE2A0F" w:rsidRDefault="00A869D9" w:rsidP="009218B0">
      <w:pPr>
        <w:pStyle w:val="Heading1"/>
      </w:pPr>
      <w:bookmarkStart w:id="15" w:name="_Toc213708189"/>
      <w:r w:rsidRPr="00FE2A0F">
        <w:t>5. Discussions and Implications</w:t>
      </w:r>
      <w:bookmarkEnd w:id="15"/>
      <w:r w:rsidRPr="00FE2A0F">
        <w:t xml:space="preserve"> </w:t>
      </w:r>
    </w:p>
    <w:p w14:paraId="7423DD57" w14:textId="513EA9F2" w:rsidR="00A869D9" w:rsidRPr="00FE2A0F" w:rsidRDefault="00A869D9" w:rsidP="00FE2A0F">
      <w:pPr>
        <w:spacing w:line="360" w:lineRule="auto"/>
        <w:jc w:val="both"/>
        <w:rPr>
          <w:rFonts w:ascii="Arial" w:hAnsi="Arial" w:cs="Arial"/>
        </w:rPr>
      </w:pPr>
      <w:r w:rsidRPr="00FE2A0F">
        <w:rPr>
          <w:rFonts w:ascii="Arial" w:hAnsi="Arial" w:cs="Arial"/>
        </w:rPr>
        <w:t xml:space="preserve">This analysis shows the mutual, interdependent nature of technological and socio-cultural forces behind global competition in the EV realm. Cultural acceptance accelerates, or lack thereof constrains, technology diffusion: consumers must accept digital ecosystems, data sharing, and sustainability narratives before innovations can reach any reasonable scale. While Tesla's premium "tech-luxury" positioning and BYD's friendly "mass-green" strategy highlight that the acceptance of technology follows social legitimacy. For managers, this calls for agile marketing and adaptive foresight. Firms need to engage in innovative cross-border segmentation, applying analytics to identify shifting cultural signals and responding with customized choices of price, promotion, and purpose that are regionally contingent. Meanwhile, strategic foresight should bridge PESTLE scanning with real-time consumer insight that act to counterbalance the speed of innovation with authenticity. </w:t>
      </w:r>
    </w:p>
    <w:p w14:paraId="5C2F190E" w14:textId="77777777" w:rsidR="00A869D9" w:rsidRPr="00FE2A0F" w:rsidRDefault="00A869D9" w:rsidP="009218B0">
      <w:pPr>
        <w:pStyle w:val="Heading1"/>
      </w:pPr>
      <w:bookmarkStart w:id="16" w:name="_Toc213708190"/>
      <w:r w:rsidRPr="00FE2A0F">
        <w:t>6. Conclusion</w:t>
      </w:r>
      <w:bookmarkEnd w:id="16"/>
      <w:r w:rsidRPr="00FE2A0F">
        <w:t xml:space="preserve"> </w:t>
      </w:r>
    </w:p>
    <w:p w14:paraId="3E50738E" w14:textId="58ED36F6" w:rsidR="00277A3B" w:rsidRPr="00FE2A0F" w:rsidRDefault="00A869D9" w:rsidP="00FE2A0F">
      <w:pPr>
        <w:spacing w:line="360" w:lineRule="auto"/>
        <w:jc w:val="both"/>
        <w:rPr>
          <w:rFonts w:ascii="Arial" w:hAnsi="Arial" w:cs="Arial"/>
        </w:rPr>
      </w:pPr>
      <w:r w:rsidRPr="00FE2A0F">
        <w:rPr>
          <w:rFonts w:ascii="Arial" w:hAnsi="Arial" w:cs="Arial"/>
        </w:rPr>
        <w:t xml:space="preserve">The dual drivers of technology and culture are the very foundation of the modern EV marketing strategy. Technological innovations in AI, batteries, and digital connectivity </w:t>
      </w:r>
      <w:r w:rsidRPr="00FE2A0F">
        <w:rPr>
          <w:rFonts w:ascii="Arial" w:hAnsi="Arial" w:cs="Arial"/>
        </w:rPr>
        <w:lastRenderedPageBreak/>
        <w:t xml:space="preserve">provide differentiation, whereas socio-cultural dynamics define adoption speed and trust. The lead in innovation sustains Tesla's competitiveness through its leadership in innovation and integration of the ecosystem, while BYD flourishes as a follower through competitive pricing, localization, and adaptable innovation. Both roles together are essential for industry maturity: pioneers push the boundary, while followers democratize access. The future of competitiveness lies in hybrid strategic agility, where inclusion is blended with foresight and data-driven efficiency with cultural authenticity. Sustainable marketing success in a world of climate accountability and digital transparency will require constant environmental scanning, stakeholder input, and responsiveness to change. </w:t>
      </w:r>
    </w:p>
    <w:p w14:paraId="60E60258" w14:textId="77777777" w:rsidR="00277A3B" w:rsidRPr="00FE2A0F" w:rsidRDefault="00277A3B" w:rsidP="00FE2A0F">
      <w:pPr>
        <w:spacing w:line="360" w:lineRule="auto"/>
        <w:jc w:val="both"/>
        <w:rPr>
          <w:rFonts w:ascii="Arial" w:hAnsi="Arial" w:cs="Arial"/>
        </w:rPr>
      </w:pPr>
    </w:p>
    <w:p w14:paraId="2644CA4B" w14:textId="77777777" w:rsidR="00CE6F03" w:rsidRPr="00FE2A0F" w:rsidRDefault="00CE6F03" w:rsidP="00FE2A0F">
      <w:pPr>
        <w:spacing w:line="360" w:lineRule="auto"/>
        <w:jc w:val="both"/>
        <w:rPr>
          <w:rFonts w:ascii="Arial" w:hAnsi="Arial" w:cs="Arial"/>
        </w:rPr>
      </w:pPr>
    </w:p>
    <w:p w14:paraId="4ABA0B21" w14:textId="77777777" w:rsidR="00A869D9" w:rsidRPr="00FE2A0F" w:rsidRDefault="00A869D9" w:rsidP="00FE2A0F">
      <w:pPr>
        <w:spacing w:line="360" w:lineRule="auto"/>
        <w:jc w:val="both"/>
        <w:rPr>
          <w:rFonts w:ascii="Arial" w:hAnsi="Arial" w:cs="Arial"/>
        </w:rPr>
      </w:pPr>
    </w:p>
    <w:p w14:paraId="221A5340" w14:textId="77777777" w:rsidR="00FE2A0F" w:rsidRDefault="00FE2A0F" w:rsidP="00FE2A0F">
      <w:pPr>
        <w:spacing w:line="360" w:lineRule="auto"/>
        <w:jc w:val="both"/>
        <w:rPr>
          <w:rFonts w:ascii="Arial" w:hAnsi="Arial" w:cs="Arial"/>
        </w:rPr>
      </w:pPr>
    </w:p>
    <w:p w14:paraId="7A01B339" w14:textId="77777777" w:rsidR="00FE2A0F" w:rsidRDefault="00FE2A0F" w:rsidP="00FE2A0F">
      <w:pPr>
        <w:spacing w:line="360" w:lineRule="auto"/>
        <w:jc w:val="both"/>
        <w:rPr>
          <w:rFonts w:ascii="Arial" w:hAnsi="Arial" w:cs="Arial"/>
        </w:rPr>
      </w:pPr>
    </w:p>
    <w:p w14:paraId="3E714404" w14:textId="77777777" w:rsidR="00FE2A0F" w:rsidRDefault="00FE2A0F" w:rsidP="00FE2A0F">
      <w:pPr>
        <w:spacing w:line="360" w:lineRule="auto"/>
        <w:jc w:val="both"/>
        <w:rPr>
          <w:rFonts w:ascii="Arial" w:hAnsi="Arial" w:cs="Arial"/>
        </w:rPr>
      </w:pPr>
    </w:p>
    <w:p w14:paraId="4DCAF577" w14:textId="77777777" w:rsidR="00FE2A0F" w:rsidRDefault="00FE2A0F" w:rsidP="00FE2A0F">
      <w:pPr>
        <w:spacing w:line="360" w:lineRule="auto"/>
        <w:jc w:val="both"/>
        <w:rPr>
          <w:rFonts w:ascii="Arial" w:hAnsi="Arial" w:cs="Arial"/>
        </w:rPr>
      </w:pPr>
    </w:p>
    <w:p w14:paraId="38A9DCE0" w14:textId="77777777" w:rsidR="00FE2A0F" w:rsidRPr="00FE2A0F" w:rsidRDefault="00FE2A0F" w:rsidP="00FE2A0F">
      <w:pPr>
        <w:spacing w:line="360" w:lineRule="auto"/>
        <w:jc w:val="both"/>
        <w:rPr>
          <w:rFonts w:ascii="Arial" w:hAnsi="Arial" w:cs="Arial"/>
        </w:rPr>
      </w:pPr>
    </w:p>
    <w:p w14:paraId="6803F224" w14:textId="77777777" w:rsidR="00FE2A0F" w:rsidRPr="00FE2A0F" w:rsidRDefault="00FE2A0F" w:rsidP="00FE2A0F">
      <w:pPr>
        <w:spacing w:line="360" w:lineRule="auto"/>
        <w:jc w:val="both"/>
        <w:rPr>
          <w:rFonts w:ascii="Arial" w:hAnsi="Arial" w:cs="Arial"/>
        </w:rPr>
      </w:pPr>
    </w:p>
    <w:p w14:paraId="1D0BD18D" w14:textId="77777777" w:rsidR="009218B0" w:rsidRDefault="009218B0" w:rsidP="00FE2A0F">
      <w:pPr>
        <w:spacing w:line="360" w:lineRule="auto"/>
        <w:jc w:val="both"/>
        <w:rPr>
          <w:rFonts w:ascii="Arial" w:hAnsi="Arial" w:cs="Arial"/>
        </w:rPr>
      </w:pPr>
    </w:p>
    <w:p w14:paraId="7233050F" w14:textId="77777777" w:rsidR="009218B0" w:rsidRDefault="009218B0" w:rsidP="00FE2A0F">
      <w:pPr>
        <w:spacing w:line="360" w:lineRule="auto"/>
        <w:jc w:val="both"/>
        <w:rPr>
          <w:rFonts w:ascii="Arial" w:hAnsi="Arial" w:cs="Arial"/>
        </w:rPr>
      </w:pPr>
    </w:p>
    <w:p w14:paraId="4187B6E6" w14:textId="77777777" w:rsidR="009218B0" w:rsidRDefault="009218B0" w:rsidP="00FE2A0F">
      <w:pPr>
        <w:spacing w:line="360" w:lineRule="auto"/>
        <w:jc w:val="both"/>
        <w:rPr>
          <w:rFonts w:ascii="Arial" w:hAnsi="Arial" w:cs="Arial"/>
        </w:rPr>
      </w:pPr>
    </w:p>
    <w:p w14:paraId="71665A0A" w14:textId="77777777" w:rsidR="009218B0" w:rsidRDefault="009218B0" w:rsidP="00FE2A0F">
      <w:pPr>
        <w:spacing w:line="360" w:lineRule="auto"/>
        <w:jc w:val="both"/>
        <w:rPr>
          <w:rFonts w:ascii="Arial" w:hAnsi="Arial" w:cs="Arial"/>
        </w:rPr>
      </w:pPr>
    </w:p>
    <w:p w14:paraId="55A99575" w14:textId="77777777" w:rsidR="009218B0" w:rsidRDefault="009218B0" w:rsidP="00FE2A0F">
      <w:pPr>
        <w:spacing w:line="360" w:lineRule="auto"/>
        <w:jc w:val="both"/>
        <w:rPr>
          <w:rFonts w:ascii="Arial" w:hAnsi="Arial" w:cs="Arial"/>
        </w:rPr>
      </w:pPr>
    </w:p>
    <w:p w14:paraId="18DF0CBF" w14:textId="77777777" w:rsidR="009218B0" w:rsidRDefault="009218B0" w:rsidP="00FE2A0F">
      <w:pPr>
        <w:spacing w:line="360" w:lineRule="auto"/>
        <w:jc w:val="both"/>
        <w:rPr>
          <w:rFonts w:ascii="Arial" w:hAnsi="Arial" w:cs="Arial"/>
        </w:rPr>
      </w:pPr>
    </w:p>
    <w:p w14:paraId="42F45EF9" w14:textId="77777777" w:rsidR="009218B0" w:rsidRDefault="009218B0" w:rsidP="00FE2A0F">
      <w:pPr>
        <w:spacing w:line="360" w:lineRule="auto"/>
        <w:jc w:val="both"/>
        <w:rPr>
          <w:rFonts w:ascii="Arial" w:hAnsi="Arial" w:cs="Arial"/>
        </w:rPr>
      </w:pPr>
    </w:p>
    <w:p w14:paraId="71C9AAEE" w14:textId="3FF8B2E9" w:rsidR="00277A3B" w:rsidRPr="00FE2A0F" w:rsidRDefault="00277A3B" w:rsidP="009218B0">
      <w:pPr>
        <w:pStyle w:val="Heading1"/>
      </w:pPr>
      <w:bookmarkStart w:id="17" w:name="_Toc213708191"/>
      <w:r w:rsidRPr="00FE2A0F">
        <w:lastRenderedPageBreak/>
        <w:t>References</w:t>
      </w:r>
      <w:bookmarkEnd w:id="17"/>
      <w:r w:rsidRPr="00FE2A0F">
        <w:t xml:space="preserve"> </w:t>
      </w:r>
    </w:p>
    <w:p w14:paraId="60AF677E" w14:textId="77777777" w:rsidR="00277A3B" w:rsidRPr="00FE2A0F" w:rsidRDefault="00277A3B" w:rsidP="00FE2A0F">
      <w:pPr>
        <w:spacing w:line="360" w:lineRule="auto"/>
        <w:jc w:val="both"/>
        <w:rPr>
          <w:rFonts w:ascii="Arial" w:hAnsi="Arial" w:cs="Arial"/>
        </w:rPr>
      </w:pPr>
      <w:r w:rsidRPr="00FE2A0F">
        <w:rPr>
          <w:rFonts w:ascii="Arial" w:hAnsi="Arial" w:cs="Arial"/>
        </w:rPr>
        <w:t xml:space="preserve">AInvest (2025) </w:t>
      </w:r>
      <w:r w:rsidRPr="00FE2A0F">
        <w:rPr>
          <w:rFonts w:ascii="Arial" w:hAnsi="Arial" w:cs="Arial"/>
          <w:i/>
          <w:iCs/>
        </w:rPr>
        <w:t>‘BYD’s Vertical Integration Delivers Cost Advantage in Global EV Race.’</w:t>
      </w:r>
      <w:r w:rsidRPr="00FE2A0F">
        <w:rPr>
          <w:rFonts w:ascii="Arial" w:hAnsi="Arial" w:cs="Arial"/>
        </w:rPr>
        <w:t xml:space="preserve"> AInvest Research Insights [Online]. Available at: https://www.ainvest.com/articles/byd-vertical-integration-cost-advantage (Accessed: 9 November 2025).</w:t>
      </w:r>
    </w:p>
    <w:p w14:paraId="44223081" w14:textId="77777777" w:rsidR="00277A3B" w:rsidRPr="00FE2A0F" w:rsidRDefault="00277A3B" w:rsidP="00FE2A0F">
      <w:pPr>
        <w:spacing w:line="360" w:lineRule="auto"/>
        <w:jc w:val="both"/>
        <w:rPr>
          <w:rFonts w:ascii="Arial" w:hAnsi="Arial" w:cs="Arial"/>
        </w:rPr>
      </w:pPr>
      <w:r w:rsidRPr="00FE2A0F">
        <w:rPr>
          <w:rFonts w:ascii="Arial" w:hAnsi="Arial" w:cs="Arial"/>
        </w:rPr>
        <w:t xml:space="preserve">Aeternus (2024) </w:t>
      </w:r>
      <w:r w:rsidRPr="00FE2A0F">
        <w:rPr>
          <w:rFonts w:ascii="Arial" w:hAnsi="Arial" w:cs="Arial"/>
          <w:i/>
          <w:iCs/>
        </w:rPr>
        <w:t>‘Tesla’s Brand Positioning: How Mission-Driven Marketing Shapes Consumer Loyalty.’</w:t>
      </w:r>
      <w:r w:rsidRPr="00FE2A0F">
        <w:rPr>
          <w:rFonts w:ascii="Arial" w:hAnsi="Arial" w:cs="Arial"/>
        </w:rPr>
        <w:t xml:space="preserve"> Aeternus Marketing Review [Online]. Available at: https://www.aeternusglobal.com/insights/tesla-brand-positioning-mission-marketing (Accessed: 9 November 2025).</w:t>
      </w:r>
    </w:p>
    <w:p w14:paraId="6EAB95A2" w14:textId="77777777" w:rsidR="00277A3B" w:rsidRPr="00FE2A0F" w:rsidRDefault="00277A3B" w:rsidP="00FE2A0F">
      <w:pPr>
        <w:spacing w:line="360" w:lineRule="auto"/>
        <w:jc w:val="both"/>
        <w:rPr>
          <w:rFonts w:ascii="Arial" w:hAnsi="Arial" w:cs="Arial"/>
        </w:rPr>
      </w:pPr>
      <w:r w:rsidRPr="00FE2A0F">
        <w:rPr>
          <w:rFonts w:ascii="Arial" w:hAnsi="Arial" w:cs="Arial"/>
        </w:rPr>
        <w:t xml:space="preserve">Arnould, E. J. and Thompson, C. J. (2018) ‘Consumer Culture Theory: Ten Years Gone (and Beyond).’ </w:t>
      </w:r>
      <w:r w:rsidRPr="00FE2A0F">
        <w:rPr>
          <w:rFonts w:ascii="Arial" w:hAnsi="Arial" w:cs="Arial"/>
          <w:i/>
          <w:iCs/>
        </w:rPr>
        <w:t>Journal of Consumer Research,</w:t>
      </w:r>
      <w:r w:rsidRPr="00FE2A0F">
        <w:rPr>
          <w:rFonts w:ascii="Arial" w:hAnsi="Arial" w:cs="Arial"/>
        </w:rPr>
        <w:t xml:space="preserve"> 44 (4), pp. 870–882. DOI: 10.1093/jcr/ucy051.</w:t>
      </w:r>
    </w:p>
    <w:p w14:paraId="479860B6" w14:textId="77777777" w:rsidR="00277A3B" w:rsidRPr="00FE2A0F" w:rsidRDefault="00277A3B" w:rsidP="00FE2A0F">
      <w:pPr>
        <w:spacing w:line="360" w:lineRule="auto"/>
        <w:jc w:val="both"/>
        <w:rPr>
          <w:rFonts w:ascii="Arial" w:hAnsi="Arial" w:cs="Arial"/>
        </w:rPr>
      </w:pPr>
      <w:r w:rsidRPr="00FE2A0F">
        <w:rPr>
          <w:rFonts w:ascii="Arial" w:hAnsi="Arial" w:cs="Arial"/>
        </w:rPr>
        <w:t xml:space="preserve">BYD Auto Co., Ltd. (2024) </w:t>
      </w:r>
      <w:r w:rsidRPr="00FE2A0F">
        <w:rPr>
          <w:rFonts w:ascii="Arial" w:hAnsi="Arial" w:cs="Arial"/>
          <w:i/>
          <w:iCs/>
        </w:rPr>
        <w:t>‘BYD’s New Blade Battery Set to Redefine EV Safety Standards.’</w:t>
      </w:r>
      <w:r w:rsidRPr="00FE2A0F">
        <w:rPr>
          <w:rFonts w:ascii="Arial" w:hAnsi="Arial" w:cs="Arial"/>
        </w:rPr>
        <w:t xml:space="preserve"> BYD News [Online]. Available at: </w:t>
      </w:r>
      <w:hyperlink r:id="rId12" w:tgtFrame="_new" w:history="1">
        <w:r w:rsidRPr="00FE2A0F">
          <w:rPr>
            <w:rStyle w:val="Hyperlink"/>
            <w:rFonts w:ascii="Arial" w:hAnsi="Arial" w:cs="Arial"/>
          </w:rPr>
          <w:t>https://en.byd.com/news/byds-new-blade-battery-set-to-redefine-ev-safety-standards/</w:t>
        </w:r>
      </w:hyperlink>
      <w:r w:rsidRPr="00FE2A0F">
        <w:rPr>
          <w:rFonts w:ascii="Arial" w:hAnsi="Arial" w:cs="Arial"/>
        </w:rPr>
        <w:t xml:space="preserve"> (Accessed: 9 November 2025).</w:t>
      </w:r>
    </w:p>
    <w:p w14:paraId="3BC2FF82" w14:textId="77777777" w:rsidR="00277A3B" w:rsidRPr="00FE2A0F" w:rsidRDefault="00277A3B" w:rsidP="00FE2A0F">
      <w:pPr>
        <w:spacing w:line="360" w:lineRule="auto"/>
        <w:jc w:val="both"/>
        <w:rPr>
          <w:rFonts w:ascii="Arial" w:hAnsi="Arial" w:cs="Arial"/>
        </w:rPr>
      </w:pPr>
      <w:r w:rsidRPr="00FE2A0F">
        <w:rPr>
          <w:rFonts w:ascii="Arial" w:hAnsi="Arial" w:cs="Arial"/>
        </w:rPr>
        <w:t xml:space="preserve">BYD Auto Co., Ltd. (2024b) </w:t>
      </w:r>
      <w:r w:rsidRPr="00FE2A0F">
        <w:rPr>
          <w:rFonts w:ascii="Arial" w:hAnsi="Arial" w:cs="Arial"/>
          <w:i/>
          <w:iCs/>
        </w:rPr>
        <w:t>‘BYD Launches “Electric for Everyone” Campaign.’</w:t>
      </w:r>
      <w:r w:rsidRPr="00FE2A0F">
        <w:rPr>
          <w:rFonts w:ascii="Arial" w:hAnsi="Arial" w:cs="Arial"/>
        </w:rPr>
        <w:t xml:space="preserve"> BYD News [Online]. Available at: https://en.byd.com/news/byd-launches-electric-for-everyone-campaign/ (Accessed: 9 November 2025).</w:t>
      </w:r>
    </w:p>
    <w:p w14:paraId="42D0EC74" w14:textId="77777777" w:rsidR="00277A3B" w:rsidRPr="00FE2A0F" w:rsidRDefault="00277A3B" w:rsidP="00FE2A0F">
      <w:pPr>
        <w:spacing w:line="360" w:lineRule="auto"/>
        <w:jc w:val="both"/>
        <w:rPr>
          <w:rFonts w:ascii="Arial" w:hAnsi="Arial" w:cs="Arial"/>
        </w:rPr>
      </w:pPr>
      <w:r w:rsidRPr="00FE2A0F">
        <w:rPr>
          <w:rFonts w:ascii="Arial" w:hAnsi="Arial" w:cs="Arial"/>
        </w:rPr>
        <w:t xml:space="preserve">Carsauce (2024) </w:t>
      </w:r>
      <w:r w:rsidRPr="00FE2A0F">
        <w:rPr>
          <w:rFonts w:ascii="Arial" w:hAnsi="Arial" w:cs="Arial"/>
          <w:i/>
          <w:iCs/>
        </w:rPr>
        <w:t>‘2024 BYD Blade Battery Update: Enhanced Efficiency and Extended Range Announced.’</w:t>
      </w:r>
      <w:r w:rsidRPr="00FE2A0F">
        <w:rPr>
          <w:rFonts w:ascii="Arial" w:hAnsi="Arial" w:cs="Arial"/>
        </w:rPr>
        <w:t xml:space="preserve"> Carsauce [Online]. Available at: </w:t>
      </w:r>
      <w:hyperlink r:id="rId13" w:tgtFrame="_new" w:history="1">
        <w:r w:rsidRPr="00FE2A0F">
          <w:rPr>
            <w:rStyle w:val="Hyperlink"/>
            <w:rFonts w:ascii="Arial" w:hAnsi="Arial" w:cs="Arial"/>
          </w:rPr>
          <w:t>https://www.carsauce.com/car-news/2024-byd-blade-battery-update-enhanced-efficiency-and-extended-range-announced</w:t>
        </w:r>
      </w:hyperlink>
      <w:r w:rsidRPr="00FE2A0F">
        <w:rPr>
          <w:rFonts w:ascii="Arial" w:hAnsi="Arial" w:cs="Arial"/>
        </w:rPr>
        <w:t xml:space="preserve"> (Accessed: 9 November 2025).</w:t>
      </w:r>
    </w:p>
    <w:p w14:paraId="640BE9E4" w14:textId="77777777" w:rsidR="00277A3B" w:rsidRPr="00FE2A0F" w:rsidRDefault="00277A3B" w:rsidP="00FE2A0F">
      <w:pPr>
        <w:spacing w:line="360" w:lineRule="auto"/>
        <w:jc w:val="both"/>
        <w:rPr>
          <w:rFonts w:ascii="Arial" w:hAnsi="Arial" w:cs="Arial"/>
        </w:rPr>
      </w:pPr>
      <w:r w:rsidRPr="00FE2A0F">
        <w:rPr>
          <w:rFonts w:ascii="Arial" w:hAnsi="Arial" w:cs="Arial"/>
        </w:rPr>
        <w:t xml:space="preserve">Cheung Kong Graduate School of Business (CKGSB) (2025) </w:t>
      </w:r>
      <w:r w:rsidRPr="00FE2A0F">
        <w:rPr>
          <w:rFonts w:ascii="Arial" w:hAnsi="Arial" w:cs="Arial"/>
          <w:i/>
          <w:iCs/>
        </w:rPr>
        <w:t>‘BYD’s Global Expansion and Cultural Positioning Strategy.’</w:t>
      </w:r>
      <w:r w:rsidRPr="00FE2A0F">
        <w:rPr>
          <w:rFonts w:ascii="Arial" w:hAnsi="Arial" w:cs="Arial"/>
        </w:rPr>
        <w:t xml:space="preserve"> CKGSB Knowledge [Online]. Available at: https://english.ckgsb.edu.cn/knowledge/byd-global-expansion-strategy/ (Accessed: 9 November 2025).</w:t>
      </w:r>
    </w:p>
    <w:p w14:paraId="3818C22B" w14:textId="77777777" w:rsidR="00277A3B" w:rsidRPr="00FE2A0F" w:rsidRDefault="00277A3B" w:rsidP="00FE2A0F">
      <w:pPr>
        <w:spacing w:line="360" w:lineRule="auto"/>
        <w:jc w:val="both"/>
        <w:rPr>
          <w:rFonts w:ascii="Arial" w:hAnsi="Arial" w:cs="Arial"/>
        </w:rPr>
      </w:pPr>
      <w:r w:rsidRPr="00FE2A0F">
        <w:rPr>
          <w:rFonts w:ascii="Arial" w:hAnsi="Arial" w:cs="Arial"/>
        </w:rPr>
        <w:t xml:space="preserve">Elkington, J. (1998) </w:t>
      </w:r>
      <w:r w:rsidRPr="00FE2A0F">
        <w:rPr>
          <w:rFonts w:ascii="Arial" w:hAnsi="Arial" w:cs="Arial"/>
          <w:i/>
          <w:iCs/>
        </w:rPr>
        <w:t>Cannibals with Forks: The Triple Bottom Line of 21st-Century Business.</w:t>
      </w:r>
      <w:r w:rsidRPr="00FE2A0F">
        <w:rPr>
          <w:rFonts w:ascii="Arial" w:hAnsi="Arial" w:cs="Arial"/>
        </w:rPr>
        <w:t xml:space="preserve"> Oxford: Capstone Publishing.</w:t>
      </w:r>
    </w:p>
    <w:p w14:paraId="28DDCC81" w14:textId="77777777" w:rsidR="00277A3B" w:rsidRPr="00FE2A0F" w:rsidRDefault="00277A3B" w:rsidP="00FE2A0F">
      <w:pPr>
        <w:spacing w:line="360" w:lineRule="auto"/>
        <w:jc w:val="both"/>
        <w:rPr>
          <w:rFonts w:ascii="Arial" w:hAnsi="Arial" w:cs="Arial"/>
        </w:rPr>
      </w:pPr>
      <w:r w:rsidRPr="00FE2A0F">
        <w:rPr>
          <w:rFonts w:ascii="Arial" w:hAnsi="Arial" w:cs="Arial"/>
        </w:rPr>
        <w:lastRenderedPageBreak/>
        <w:t xml:space="preserve">Electrive (2025) </w:t>
      </w:r>
      <w:r w:rsidRPr="00FE2A0F">
        <w:rPr>
          <w:rFonts w:ascii="Arial" w:hAnsi="Arial" w:cs="Arial"/>
          <w:i/>
          <w:iCs/>
        </w:rPr>
        <w:t>‘BYD Has Already Produced Its First Solid-State Cells.’</w:t>
      </w:r>
      <w:r w:rsidRPr="00FE2A0F">
        <w:rPr>
          <w:rFonts w:ascii="Arial" w:hAnsi="Arial" w:cs="Arial"/>
        </w:rPr>
        <w:t xml:space="preserve"> Electrive.net [Online]. Available at: </w:t>
      </w:r>
      <w:hyperlink r:id="rId14" w:tgtFrame="_new" w:history="1">
        <w:r w:rsidRPr="00FE2A0F">
          <w:rPr>
            <w:rStyle w:val="Hyperlink"/>
            <w:rFonts w:ascii="Arial" w:hAnsi="Arial" w:cs="Arial"/>
          </w:rPr>
          <w:t>https://www.electrive.com/2025/02/17/byd-has-already-produced-its-first-solid-state-cells/</w:t>
        </w:r>
      </w:hyperlink>
      <w:r w:rsidRPr="00FE2A0F">
        <w:rPr>
          <w:rFonts w:ascii="Arial" w:hAnsi="Arial" w:cs="Arial"/>
        </w:rPr>
        <w:t xml:space="preserve"> (Accessed: 9 November 2025).</w:t>
      </w:r>
    </w:p>
    <w:p w14:paraId="5FFB4561" w14:textId="77777777" w:rsidR="00277A3B" w:rsidRPr="00FE2A0F" w:rsidRDefault="00277A3B" w:rsidP="00FE2A0F">
      <w:pPr>
        <w:spacing w:line="360" w:lineRule="auto"/>
        <w:jc w:val="both"/>
        <w:rPr>
          <w:rFonts w:ascii="Arial" w:hAnsi="Arial" w:cs="Arial"/>
        </w:rPr>
      </w:pPr>
      <w:r w:rsidRPr="00FE2A0F">
        <w:rPr>
          <w:rFonts w:ascii="Arial" w:hAnsi="Arial" w:cs="Arial"/>
        </w:rPr>
        <w:t xml:space="preserve">Forbes (2024) </w:t>
      </w:r>
      <w:r w:rsidRPr="00FE2A0F">
        <w:rPr>
          <w:rFonts w:ascii="Arial" w:hAnsi="Arial" w:cs="Arial"/>
          <w:i/>
          <w:iCs/>
        </w:rPr>
        <w:t>‘Tesla’s EV Dominance Faces New Challenges from BYD and Legacy Automakers.’</w:t>
      </w:r>
      <w:r w:rsidRPr="00FE2A0F">
        <w:rPr>
          <w:rFonts w:ascii="Arial" w:hAnsi="Arial" w:cs="Arial"/>
        </w:rPr>
        <w:t xml:space="preserve"> Forbes Business [Online]. Available at: https://www.forbes.com/sites/greatspeculations/2024/08/14/teslas-ev-dominance-faces-new-challenges-from-byd (Accessed: 9 November 2025).</w:t>
      </w:r>
    </w:p>
    <w:p w14:paraId="45A1963F" w14:textId="77777777" w:rsidR="00277A3B" w:rsidRPr="00FE2A0F" w:rsidRDefault="00277A3B" w:rsidP="00FE2A0F">
      <w:pPr>
        <w:spacing w:line="360" w:lineRule="auto"/>
        <w:jc w:val="both"/>
        <w:rPr>
          <w:rFonts w:ascii="Arial" w:hAnsi="Arial" w:cs="Arial"/>
        </w:rPr>
      </w:pPr>
      <w:r w:rsidRPr="00FE2A0F">
        <w:rPr>
          <w:rFonts w:ascii="Arial" w:hAnsi="Arial" w:cs="Arial"/>
        </w:rPr>
        <w:t xml:space="preserve">GlobalSources (2024) </w:t>
      </w:r>
      <w:r w:rsidRPr="00FE2A0F">
        <w:rPr>
          <w:rFonts w:ascii="Arial" w:hAnsi="Arial" w:cs="Arial"/>
          <w:i/>
          <w:iCs/>
        </w:rPr>
        <w:t>‘Inside BYD’s Cost Leadership and Vertical Manufacturing Advantage.’</w:t>
      </w:r>
      <w:r w:rsidRPr="00FE2A0F">
        <w:rPr>
          <w:rFonts w:ascii="Arial" w:hAnsi="Arial" w:cs="Arial"/>
        </w:rPr>
        <w:t xml:space="preserve"> GlobalSources Automotive [Online]. Available at: https://www.globalsources.com/automotive/byd-vertical-manufacturing-advantage.html (Accessed: 9 November 2025).</w:t>
      </w:r>
    </w:p>
    <w:p w14:paraId="630DB9F7" w14:textId="77777777" w:rsidR="00277A3B" w:rsidRPr="00FE2A0F" w:rsidRDefault="00277A3B" w:rsidP="00FE2A0F">
      <w:pPr>
        <w:spacing w:line="360" w:lineRule="auto"/>
        <w:jc w:val="both"/>
        <w:rPr>
          <w:rFonts w:ascii="Arial" w:hAnsi="Arial" w:cs="Arial"/>
        </w:rPr>
      </w:pPr>
      <w:r w:rsidRPr="00FE2A0F">
        <w:rPr>
          <w:rFonts w:ascii="Arial" w:hAnsi="Arial" w:cs="Arial"/>
        </w:rPr>
        <w:t xml:space="preserve">International Energy Agency (IEA) (2025) </w:t>
      </w:r>
      <w:r w:rsidRPr="00FE2A0F">
        <w:rPr>
          <w:rFonts w:ascii="Arial" w:hAnsi="Arial" w:cs="Arial"/>
          <w:i/>
          <w:iCs/>
        </w:rPr>
        <w:t>Global EV Outlook 2025: Driving the Transition to Sustainable Mobility.</w:t>
      </w:r>
      <w:r w:rsidRPr="00FE2A0F">
        <w:rPr>
          <w:rFonts w:ascii="Arial" w:hAnsi="Arial" w:cs="Arial"/>
        </w:rPr>
        <w:t xml:space="preserve"> Paris: IEA. Available at: </w:t>
      </w:r>
      <w:hyperlink r:id="rId15" w:tgtFrame="_new" w:history="1">
        <w:r w:rsidRPr="00FE2A0F">
          <w:rPr>
            <w:rStyle w:val="Hyperlink"/>
            <w:rFonts w:ascii="Arial" w:hAnsi="Arial" w:cs="Arial"/>
          </w:rPr>
          <w:t>https://www.iea.org/reports/global-ev-outlook-2025</w:t>
        </w:r>
      </w:hyperlink>
      <w:r w:rsidRPr="00FE2A0F">
        <w:rPr>
          <w:rFonts w:ascii="Arial" w:hAnsi="Arial" w:cs="Arial"/>
        </w:rPr>
        <w:t xml:space="preserve"> (Accessed: 9 November 2025).</w:t>
      </w:r>
    </w:p>
    <w:p w14:paraId="20A412B9" w14:textId="77777777" w:rsidR="00277A3B" w:rsidRPr="00FE2A0F" w:rsidRDefault="00277A3B" w:rsidP="00FE2A0F">
      <w:pPr>
        <w:spacing w:line="360" w:lineRule="auto"/>
        <w:jc w:val="both"/>
        <w:rPr>
          <w:rFonts w:ascii="Arial" w:hAnsi="Arial" w:cs="Arial"/>
        </w:rPr>
      </w:pPr>
      <w:r w:rsidRPr="00FE2A0F">
        <w:rPr>
          <w:rFonts w:ascii="Arial" w:hAnsi="Arial" w:cs="Arial"/>
        </w:rPr>
        <w:t xml:space="preserve">Macrotrends (2025) </w:t>
      </w:r>
      <w:r w:rsidRPr="00FE2A0F">
        <w:rPr>
          <w:rFonts w:ascii="Arial" w:hAnsi="Arial" w:cs="Arial"/>
          <w:i/>
          <w:iCs/>
        </w:rPr>
        <w:t>‘Tesla Research and Development Expenses 2011–2025.’</w:t>
      </w:r>
      <w:r w:rsidRPr="00FE2A0F">
        <w:rPr>
          <w:rFonts w:ascii="Arial" w:hAnsi="Arial" w:cs="Arial"/>
        </w:rPr>
        <w:t xml:space="preserve"> Macrotrends [Online]. Available at: </w:t>
      </w:r>
      <w:hyperlink r:id="rId16" w:tgtFrame="_new" w:history="1">
        <w:r w:rsidRPr="00FE2A0F">
          <w:rPr>
            <w:rStyle w:val="Hyperlink"/>
            <w:rFonts w:ascii="Arial" w:hAnsi="Arial" w:cs="Arial"/>
          </w:rPr>
          <w:t>https://www.macrotrends.net/stocks/charts/TSLA/tesla/research-development-expenses</w:t>
        </w:r>
      </w:hyperlink>
      <w:r w:rsidRPr="00FE2A0F">
        <w:rPr>
          <w:rFonts w:ascii="Arial" w:hAnsi="Arial" w:cs="Arial"/>
        </w:rPr>
        <w:t xml:space="preserve"> (Accessed: 9 November 2025).</w:t>
      </w:r>
    </w:p>
    <w:p w14:paraId="516EFC74" w14:textId="77777777" w:rsidR="00277A3B" w:rsidRPr="00FE2A0F" w:rsidRDefault="00277A3B" w:rsidP="00FE2A0F">
      <w:pPr>
        <w:spacing w:line="360" w:lineRule="auto"/>
        <w:jc w:val="both"/>
        <w:rPr>
          <w:rFonts w:ascii="Arial" w:hAnsi="Arial" w:cs="Arial"/>
        </w:rPr>
      </w:pPr>
      <w:r w:rsidRPr="00FE2A0F">
        <w:rPr>
          <w:rFonts w:ascii="Arial" w:hAnsi="Arial" w:cs="Arial"/>
        </w:rPr>
        <w:t xml:space="preserve">McKinsey &amp; Company (2025a) </w:t>
      </w:r>
      <w:r w:rsidRPr="00FE2A0F">
        <w:rPr>
          <w:rFonts w:ascii="Arial" w:hAnsi="Arial" w:cs="Arial"/>
          <w:i/>
          <w:iCs/>
        </w:rPr>
        <w:t>‘New Twists in the Electric-Vehicle Transition: A Consumer Perspective.’</w:t>
      </w:r>
      <w:r w:rsidRPr="00FE2A0F">
        <w:rPr>
          <w:rFonts w:ascii="Arial" w:hAnsi="Arial" w:cs="Arial"/>
        </w:rPr>
        <w:t xml:space="preserve"> McKinsey Center for Future Mobility Insights [Online]. Available at: </w:t>
      </w:r>
      <w:hyperlink r:id="rId17" w:tgtFrame="_new" w:history="1">
        <w:r w:rsidRPr="00FE2A0F">
          <w:rPr>
            <w:rStyle w:val="Hyperlink"/>
            <w:rFonts w:ascii="Arial" w:hAnsi="Arial" w:cs="Arial"/>
          </w:rPr>
          <w:t>https://www.mckinsey.com/features/mckinsey-center-for-future-mobility/our-insights/new-twists-in-the-electric-vehicle-transition-a-consumer-perspective</w:t>
        </w:r>
      </w:hyperlink>
      <w:r w:rsidRPr="00FE2A0F">
        <w:rPr>
          <w:rFonts w:ascii="Arial" w:hAnsi="Arial" w:cs="Arial"/>
        </w:rPr>
        <w:t xml:space="preserve"> (Accessed: 9 November 2025).</w:t>
      </w:r>
    </w:p>
    <w:p w14:paraId="29D7BF4A" w14:textId="77777777" w:rsidR="00277A3B" w:rsidRPr="00FE2A0F" w:rsidRDefault="00277A3B" w:rsidP="00FE2A0F">
      <w:pPr>
        <w:spacing w:line="360" w:lineRule="auto"/>
        <w:jc w:val="both"/>
        <w:rPr>
          <w:rFonts w:ascii="Arial" w:hAnsi="Arial" w:cs="Arial"/>
        </w:rPr>
      </w:pPr>
      <w:r w:rsidRPr="00FE2A0F">
        <w:rPr>
          <w:rFonts w:ascii="Arial" w:hAnsi="Arial" w:cs="Arial"/>
        </w:rPr>
        <w:t xml:space="preserve">McKinsey &amp; Company (2025b) </w:t>
      </w:r>
      <w:r w:rsidRPr="00FE2A0F">
        <w:rPr>
          <w:rFonts w:ascii="Arial" w:hAnsi="Arial" w:cs="Arial"/>
          <w:i/>
          <w:iCs/>
        </w:rPr>
        <w:t>‘The Hidden Trends in Battery Supply and Demand: A Regional Analysis.’</w:t>
      </w:r>
      <w:r w:rsidRPr="00FE2A0F">
        <w:rPr>
          <w:rFonts w:ascii="Arial" w:hAnsi="Arial" w:cs="Arial"/>
        </w:rPr>
        <w:t xml:space="preserve"> McKinsey Insights [Online]. Available at: </w:t>
      </w:r>
      <w:hyperlink r:id="rId18" w:tgtFrame="_new" w:history="1">
        <w:r w:rsidRPr="00FE2A0F">
          <w:rPr>
            <w:rStyle w:val="Hyperlink"/>
            <w:rFonts w:ascii="Arial" w:hAnsi="Arial" w:cs="Arial"/>
          </w:rPr>
          <w:t>https://www.mckinsey.com/features/mckinsey-center-for-future-mobility/our-insights/the-hidden-trends-in-battery-supply-and-demand-a-regional-analysis</w:t>
        </w:r>
      </w:hyperlink>
      <w:r w:rsidRPr="00FE2A0F">
        <w:rPr>
          <w:rFonts w:ascii="Arial" w:hAnsi="Arial" w:cs="Arial"/>
        </w:rPr>
        <w:t xml:space="preserve"> (Accessed: 9 November 2025).</w:t>
      </w:r>
    </w:p>
    <w:p w14:paraId="54D248DB" w14:textId="77777777" w:rsidR="00277A3B" w:rsidRPr="00FE2A0F" w:rsidRDefault="00277A3B" w:rsidP="00FE2A0F">
      <w:pPr>
        <w:spacing w:line="360" w:lineRule="auto"/>
        <w:jc w:val="both"/>
        <w:rPr>
          <w:rFonts w:ascii="Arial" w:hAnsi="Arial" w:cs="Arial"/>
        </w:rPr>
      </w:pPr>
      <w:r w:rsidRPr="00FE2A0F">
        <w:rPr>
          <w:rFonts w:ascii="Arial" w:hAnsi="Arial" w:cs="Arial"/>
        </w:rPr>
        <w:lastRenderedPageBreak/>
        <w:t xml:space="preserve">Panmore Institute (2024) </w:t>
      </w:r>
      <w:r w:rsidRPr="00FE2A0F">
        <w:rPr>
          <w:rFonts w:ascii="Arial" w:hAnsi="Arial" w:cs="Arial"/>
          <w:i/>
          <w:iCs/>
        </w:rPr>
        <w:t>‘Tesla Inc. Generic Strategy and Intensive Growth Strategies.’</w:t>
      </w:r>
      <w:r w:rsidRPr="00FE2A0F">
        <w:rPr>
          <w:rFonts w:ascii="Arial" w:hAnsi="Arial" w:cs="Arial"/>
        </w:rPr>
        <w:t xml:space="preserve"> Panmore Institute [Online]. Available at: https://panmore.com/tesla-inc-generic-strategy-intensive-growth-strategies (Accessed: 9 November 2025).</w:t>
      </w:r>
    </w:p>
    <w:p w14:paraId="2241E4A2" w14:textId="77777777" w:rsidR="00277A3B" w:rsidRPr="00FE2A0F" w:rsidRDefault="00277A3B" w:rsidP="00FE2A0F">
      <w:pPr>
        <w:spacing w:line="360" w:lineRule="auto"/>
        <w:jc w:val="both"/>
        <w:rPr>
          <w:rFonts w:ascii="Arial" w:hAnsi="Arial" w:cs="Arial"/>
        </w:rPr>
      </w:pPr>
      <w:r w:rsidRPr="00FE2A0F">
        <w:rPr>
          <w:rFonts w:ascii="Arial" w:hAnsi="Arial" w:cs="Arial"/>
        </w:rPr>
        <w:t xml:space="preserve">ResearchGate (2023) </w:t>
      </w:r>
      <w:r w:rsidRPr="00FE2A0F">
        <w:rPr>
          <w:rFonts w:ascii="Arial" w:hAnsi="Arial" w:cs="Arial"/>
          <w:i/>
          <w:iCs/>
        </w:rPr>
        <w:t>‘Research and Development Investment of Tesla and Its Competitors.’</w:t>
      </w:r>
      <w:r w:rsidRPr="00FE2A0F">
        <w:rPr>
          <w:rFonts w:ascii="Arial" w:hAnsi="Arial" w:cs="Arial"/>
        </w:rPr>
        <w:t xml:space="preserve"> ResearchGate [Online]. Available at: </w:t>
      </w:r>
      <w:hyperlink r:id="rId19" w:tgtFrame="_new" w:history="1">
        <w:r w:rsidRPr="00FE2A0F">
          <w:rPr>
            <w:rStyle w:val="Hyperlink"/>
            <w:rFonts w:ascii="Arial" w:hAnsi="Arial" w:cs="Arial"/>
          </w:rPr>
          <w:t>https://www.researchgate.net/figure/Research-and-Development-Investment-of-Tesla-and-its-competitors_fig2_369690928</w:t>
        </w:r>
      </w:hyperlink>
      <w:r w:rsidRPr="00FE2A0F">
        <w:rPr>
          <w:rFonts w:ascii="Arial" w:hAnsi="Arial" w:cs="Arial"/>
        </w:rPr>
        <w:t xml:space="preserve"> (Accessed: 9 November 2025).</w:t>
      </w:r>
    </w:p>
    <w:p w14:paraId="33FA2302" w14:textId="3CA3217D" w:rsidR="00277A3B" w:rsidRPr="00FE2A0F" w:rsidRDefault="00277A3B" w:rsidP="00FE2A0F">
      <w:pPr>
        <w:spacing w:line="360" w:lineRule="auto"/>
        <w:jc w:val="both"/>
        <w:rPr>
          <w:rFonts w:ascii="Arial" w:hAnsi="Arial" w:cs="Arial"/>
        </w:rPr>
      </w:pPr>
      <w:r w:rsidRPr="00FE2A0F">
        <w:rPr>
          <w:rFonts w:ascii="Arial" w:hAnsi="Arial" w:cs="Arial"/>
        </w:rPr>
        <w:t xml:space="preserve">VestedFinance (2024) </w:t>
      </w:r>
      <w:r w:rsidRPr="00FE2A0F">
        <w:rPr>
          <w:rFonts w:ascii="Arial" w:hAnsi="Arial" w:cs="Arial"/>
          <w:i/>
          <w:iCs/>
        </w:rPr>
        <w:t>‘Tesla’s Business Model 2024: Software, Data, and Ecosystem Advantage.’</w:t>
      </w:r>
      <w:r w:rsidRPr="00FE2A0F">
        <w:rPr>
          <w:rFonts w:ascii="Arial" w:hAnsi="Arial" w:cs="Arial"/>
        </w:rPr>
        <w:t xml:space="preserve"> Vested Finance Insights [Online]. Available at: https://vestedfinance.com/blog/tesla-business-model-2024/ (Accessed: 9 November 2025).</w:t>
      </w:r>
    </w:p>
    <w:sectPr w:rsidR="00277A3B" w:rsidRPr="00FE2A0F" w:rsidSect="00127E5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67182A"/>
    <w:multiLevelType w:val="multilevel"/>
    <w:tmpl w:val="5B8A2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537AB8"/>
    <w:multiLevelType w:val="hybridMultilevel"/>
    <w:tmpl w:val="7E16A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1130BE"/>
    <w:multiLevelType w:val="hybridMultilevel"/>
    <w:tmpl w:val="CF50D7DC"/>
    <w:lvl w:ilvl="0" w:tplc="B5FAAE1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8C2E77"/>
    <w:multiLevelType w:val="multilevel"/>
    <w:tmpl w:val="A022B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B00D46"/>
    <w:multiLevelType w:val="hybridMultilevel"/>
    <w:tmpl w:val="AE2EB79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6EDE7BE1"/>
    <w:multiLevelType w:val="hybridMultilevel"/>
    <w:tmpl w:val="5F2C84D2"/>
    <w:lvl w:ilvl="0" w:tplc="B5FAAE1A">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84957280">
    <w:abstractNumId w:val="0"/>
  </w:num>
  <w:num w:numId="2" w16cid:durableId="780489480">
    <w:abstractNumId w:val="3"/>
  </w:num>
  <w:num w:numId="3" w16cid:durableId="215049988">
    <w:abstractNumId w:val="4"/>
  </w:num>
  <w:num w:numId="4" w16cid:durableId="2004820297">
    <w:abstractNumId w:val="1"/>
  </w:num>
  <w:num w:numId="5" w16cid:durableId="323511631">
    <w:abstractNumId w:val="2"/>
  </w:num>
  <w:num w:numId="6" w16cid:durableId="4001024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B08"/>
    <w:rsid w:val="00022A76"/>
    <w:rsid w:val="0005653C"/>
    <w:rsid w:val="00127E57"/>
    <w:rsid w:val="00132BDB"/>
    <w:rsid w:val="00270E25"/>
    <w:rsid w:val="00277A3B"/>
    <w:rsid w:val="00283B08"/>
    <w:rsid w:val="002E7313"/>
    <w:rsid w:val="0033768B"/>
    <w:rsid w:val="003473E7"/>
    <w:rsid w:val="003B3E07"/>
    <w:rsid w:val="003C5608"/>
    <w:rsid w:val="00437CB0"/>
    <w:rsid w:val="004617E9"/>
    <w:rsid w:val="00634002"/>
    <w:rsid w:val="00680C61"/>
    <w:rsid w:val="00771127"/>
    <w:rsid w:val="007D2B33"/>
    <w:rsid w:val="00916E99"/>
    <w:rsid w:val="009218B0"/>
    <w:rsid w:val="00933DA2"/>
    <w:rsid w:val="00966A24"/>
    <w:rsid w:val="00A0183F"/>
    <w:rsid w:val="00A869D9"/>
    <w:rsid w:val="00AD279B"/>
    <w:rsid w:val="00B34C93"/>
    <w:rsid w:val="00BB708F"/>
    <w:rsid w:val="00C5735B"/>
    <w:rsid w:val="00CC1DD6"/>
    <w:rsid w:val="00CE6F03"/>
    <w:rsid w:val="00D12C76"/>
    <w:rsid w:val="00D70B86"/>
    <w:rsid w:val="00DF13A6"/>
    <w:rsid w:val="00DF6EA2"/>
    <w:rsid w:val="00F15850"/>
    <w:rsid w:val="00FE2A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BB7B4"/>
  <w15:chartTrackingRefBased/>
  <w15:docId w15:val="{B8991666-939E-441E-9CF0-3B1D2A409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2A0F"/>
    <w:pPr>
      <w:keepNext/>
      <w:keepLines/>
      <w:spacing w:before="360" w:after="80"/>
      <w:outlineLvl w:val="0"/>
    </w:pPr>
    <w:rPr>
      <w:rFonts w:ascii="Arial Black" w:eastAsiaTheme="majorEastAsia" w:hAnsi="Arial Black"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FE2A0F"/>
    <w:pPr>
      <w:keepNext/>
      <w:keepLines/>
      <w:spacing w:before="160" w:after="80"/>
      <w:outlineLvl w:val="1"/>
    </w:pPr>
    <w:rPr>
      <w:rFonts w:asciiTheme="majorHAnsi" w:eastAsiaTheme="majorEastAsia" w:hAnsiTheme="majorHAnsi" w:cstheme="majorBidi"/>
      <w:b/>
      <w:color w:val="2F5496" w:themeColor="accent1" w:themeShade="BF"/>
      <w:sz w:val="28"/>
      <w:szCs w:val="32"/>
    </w:rPr>
  </w:style>
  <w:style w:type="paragraph" w:styleId="Heading3">
    <w:name w:val="heading 3"/>
    <w:basedOn w:val="Normal"/>
    <w:next w:val="Normal"/>
    <w:link w:val="Heading3Char"/>
    <w:uiPriority w:val="9"/>
    <w:semiHidden/>
    <w:unhideWhenUsed/>
    <w:qFormat/>
    <w:rsid w:val="00283B0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83B0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83B0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83B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3B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3B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3B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A0F"/>
    <w:rPr>
      <w:rFonts w:ascii="Arial Black" w:eastAsiaTheme="majorEastAsia" w:hAnsi="Arial Black" w:cstheme="majorBidi"/>
      <w:b/>
      <w:color w:val="2F5496" w:themeColor="accent1" w:themeShade="BF"/>
      <w:sz w:val="32"/>
      <w:szCs w:val="40"/>
    </w:rPr>
  </w:style>
  <w:style w:type="character" w:customStyle="1" w:styleId="Heading2Char">
    <w:name w:val="Heading 2 Char"/>
    <w:basedOn w:val="DefaultParagraphFont"/>
    <w:link w:val="Heading2"/>
    <w:uiPriority w:val="9"/>
    <w:rsid w:val="00FE2A0F"/>
    <w:rPr>
      <w:rFonts w:asciiTheme="majorHAnsi" w:eastAsiaTheme="majorEastAsia" w:hAnsiTheme="majorHAnsi" w:cstheme="majorBidi"/>
      <w:b/>
      <w:color w:val="2F5496" w:themeColor="accent1" w:themeShade="BF"/>
      <w:sz w:val="28"/>
      <w:szCs w:val="32"/>
    </w:rPr>
  </w:style>
  <w:style w:type="character" w:customStyle="1" w:styleId="Heading3Char">
    <w:name w:val="Heading 3 Char"/>
    <w:basedOn w:val="DefaultParagraphFont"/>
    <w:link w:val="Heading3"/>
    <w:uiPriority w:val="9"/>
    <w:semiHidden/>
    <w:rsid w:val="00283B0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83B0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83B0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83B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3B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3B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3B08"/>
    <w:rPr>
      <w:rFonts w:eastAsiaTheme="majorEastAsia" w:cstheme="majorBidi"/>
      <w:color w:val="272727" w:themeColor="text1" w:themeTint="D8"/>
    </w:rPr>
  </w:style>
  <w:style w:type="paragraph" w:styleId="Title">
    <w:name w:val="Title"/>
    <w:basedOn w:val="Normal"/>
    <w:next w:val="Normal"/>
    <w:link w:val="TitleChar"/>
    <w:uiPriority w:val="10"/>
    <w:qFormat/>
    <w:rsid w:val="00283B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3B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3B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3B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3B08"/>
    <w:pPr>
      <w:spacing w:before="160"/>
      <w:jc w:val="center"/>
    </w:pPr>
    <w:rPr>
      <w:i/>
      <w:iCs/>
      <w:color w:val="404040" w:themeColor="text1" w:themeTint="BF"/>
    </w:rPr>
  </w:style>
  <w:style w:type="character" w:customStyle="1" w:styleId="QuoteChar">
    <w:name w:val="Quote Char"/>
    <w:basedOn w:val="DefaultParagraphFont"/>
    <w:link w:val="Quote"/>
    <w:uiPriority w:val="29"/>
    <w:rsid w:val="00283B08"/>
    <w:rPr>
      <w:i/>
      <w:iCs/>
      <w:color w:val="404040" w:themeColor="text1" w:themeTint="BF"/>
    </w:rPr>
  </w:style>
  <w:style w:type="paragraph" w:styleId="ListParagraph">
    <w:name w:val="List Paragraph"/>
    <w:basedOn w:val="Normal"/>
    <w:uiPriority w:val="34"/>
    <w:qFormat/>
    <w:rsid w:val="00283B08"/>
    <w:pPr>
      <w:ind w:left="720"/>
      <w:contextualSpacing/>
    </w:pPr>
  </w:style>
  <w:style w:type="character" w:styleId="IntenseEmphasis">
    <w:name w:val="Intense Emphasis"/>
    <w:basedOn w:val="DefaultParagraphFont"/>
    <w:uiPriority w:val="21"/>
    <w:qFormat/>
    <w:rsid w:val="00283B08"/>
    <w:rPr>
      <w:i/>
      <w:iCs/>
      <w:color w:val="2F5496" w:themeColor="accent1" w:themeShade="BF"/>
    </w:rPr>
  </w:style>
  <w:style w:type="paragraph" w:styleId="IntenseQuote">
    <w:name w:val="Intense Quote"/>
    <w:basedOn w:val="Normal"/>
    <w:next w:val="Normal"/>
    <w:link w:val="IntenseQuoteChar"/>
    <w:uiPriority w:val="30"/>
    <w:qFormat/>
    <w:rsid w:val="00283B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83B08"/>
    <w:rPr>
      <w:i/>
      <w:iCs/>
      <w:color w:val="2F5496" w:themeColor="accent1" w:themeShade="BF"/>
    </w:rPr>
  </w:style>
  <w:style w:type="character" w:styleId="IntenseReference">
    <w:name w:val="Intense Reference"/>
    <w:basedOn w:val="DefaultParagraphFont"/>
    <w:uiPriority w:val="32"/>
    <w:qFormat/>
    <w:rsid w:val="00283B08"/>
    <w:rPr>
      <w:b/>
      <w:bCs/>
      <w:smallCaps/>
      <w:color w:val="2F5496" w:themeColor="accent1" w:themeShade="BF"/>
      <w:spacing w:val="5"/>
    </w:rPr>
  </w:style>
  <w:style w:type="character" w:styleId="Hyperlink">
    <w:name w:val="Hyperlink"/>
    <w:basedOn w:val="DefaultParagraphFont"/>
    <w:uiPriority w:val="99"/>
    <w:unhideWhenUsed/>
    <w:rsid w:val="00283B08"/>
    <w:rPr>
      <w:color w:val="0563C1" w:themeColor="hyperlink"/>
      <w:u w:val="single"/>
    </w:rPr>
  </w:style>
  <w:style w:type="character" w:styleId="UnresolvedMention">
    <w:name w:val="Unresolved Mention"/>
    <w:basedOn w:val="DefaultParagraphFont"/>
    <w:uiPriority w:val="99"/>
    <w:semiHidden/>
    <w:unhideWhenUsed/>
    <w:rsid w:val="00283B08"/>
    <w:rPr>
      <w:color w:val="605E5C"/>
      <w:shd w:val="clear" w:color="auto" w:fill="E1DFDD"/>
    </w:rPr>
  </w:style>
  <w:style w:type="table" w:styleId="PlainTable1">
    <w:name w:val="Plain Table 1"/>
    <w:basedOn w:val="TableNormal"/>
    <w:uiPriority w:val="41"/>
    <w:rsid w:val="0033768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127E57"/>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127E57"/>
    <w:rPr>
      <w:rFonts w:eastAsiaTheme="minorEastAsia"/>
      <w:kern w:val="0"/>
      <w:sz w:val="22"/>
      <w:szCs w:val="22"/>
      <w14:ligatures w14:val="none"/>
    </w:rPr>
  </w:style>
  <w:style w:type="paragraph" w:styleId="TOCHeading">
    <w:name w:val="TOC Heading"/>
    <w:basedOn w:val="Heading1"/>
    <w:next w:val="Normal"/>
    <w:uiPriority w:val="39"/>
    <w:unhideWhenUsed/>
    <w:qFormat/>
    <w:rsid w:val="009218B0"/>
    <w:pPr>
      <w:spacing w:before="240" w:after="0" w:line="259" w:lineRule="auto"/>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9218B0"/>
    <w:pPr>
      <w:spacing w:after="100"/>
    </w:pPr>
  </w:style>
  <w:style w:type="paragraph" w:styleId="TOC2">
    <w:name w:val="toc 2"/>
    <w:basedOn w:val="Normal"/>
    <w:next w:val="Normal"/>
    <w:autoRedefine/>
    <w:uiPriority w:val="39"/>
    <w:unhideWhenUsed/>
    <w:rsid w:val="009218B0"/>
    <w:pPr>
      <w:spacing w:after="100"/>
      <w:ind w:left="240"/>
    </w:pPr>
  </w:style>
  <w:style w:type="paragraph" w:styleId="Caption">
    <w:name w:val="caption"/>
    <w:basedOn w:val="Normal"/>
    <w:next w:val="Normal"/>
    <w:uiPriority w:val="35"/>
    <w:unhideWhenUsed/>
    <w:qFormat/>
    <w:rsid w:val="009218B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218B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carsauce.com/car-news/2024-byd-blade-battery-update-enhanced-efficiency-and-extended-range-announced?utm_source=chatgpt.com" TargetMode="External"/><Relationship Id="rId18" Type="http://schemas.openxmlformats.org/officeDocument/2006/relationships/hyperlink" Target="https://www.mckinsey.com/features/mckinsey-center-for-future-mobility/our-insights/the-hidden-trends-in-battery-supply-and-demand-a-regional-analysis?utm_source=chatgp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studentcrowd.com/university-of-wales-trinity-saint-david/mechanical-engineering-beng-hons-c59900" TargetMode="External"/><Relationship Id="rId12" Type="http://schemas.openxmlformats.org/officeDocument/2006/relationships/hyperlink" Target="https://en.byd.com/news/byds-new-blade-battery-set-to-redefine-ev-safety-standards/?utm_source=chatgpt.com" TargetMode="External"/><Relationship Id="rId17" Type="http://schemas.openxmlformats.org/officeDocument/2006/relationships/hyperlink" Target="https://www.mckinsey.com/features/mckinsey-center-for-future-mobility/our-insights/new-twists-in-the-electric-vehicle-transition-a-consumer-perspective?utm_source=chatgpt.com" TargetMode="External"/><Relationship Id="rId2" Type="http://schemas.openxmlformats.org/officeDocument/2006/relationships/numbering" Target="numbering.xml"/><Relationship Id="rId16" Type="http://schemas.openxmlformats.org/officeDocument/2006/relationships/hyperlink" Target="https://www.macrotrends.net/stocks/charts/TSLA/tesla/research-development-expenses?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www.iea.org/reports/global-ev-outlook-2025?utm_source=chatgpt.com" TargetMode="External"/><Relationship Id="rId10" Type="http://schemas.openxmlformats.org/officeDocument/2006/relationships/image" Target="media/image4.png"/><Relationship Id="rId19" Type="http://schemas.openxmlformats.org/officeDocument/2006/relationships/hyperlink" Target="https://www.researchgate.net/figure/Research-and-Development-Investment-of-Tesla-and-its-competitors_fig2_369690928?utm_source=chatgpt.com"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www.electrive.com/2025/02/17/byd-has-already-produced-its-first-solid-state-cell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19EC99-D6A3-48E2-B2C7-031E80C85E9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4347</Words>
  <Characters>24781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Office User</cp:lastModifiedBy>
  <cp:revision>2</cp:revision>
  <dcterms:created xsi:type="dcterms:W3CDTF">2025-11-11T13:18:00Z</dcterms:created>
  <dcterms:modified xsi:type="dcterms:W3CDTF">2025-11-11T13:18:00Z</dcterms:modified>
</cp:coreProperties>
</file>