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35014" w14:textId="7E04EDBF" w:rsidR="00201B96" w:rsidRPr="00963259" w:rsidRDefault="00201B96" w:rsidP="00201B9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Quantitative </w:t>
      </w:r>
      <w:r w:rsidRPr="00963259">
        <w:rPr>
          <w:rFonts w:ascii="Times New Roman" w:hAnsi="Times New Roman" w:cs="Times New Roman"/>
          <w:b/>
          <w:bCs/>
          <w:sz w:val="24"/>
          <w:szCs w:val="24"/>
        </w:rPr>
        <w:t>Research</w:t>
      </w:r>
      <w:r w:rsidR="00332710">
        <w:rPr>
          <w:rFonts w:ascii="Times New Roman" w:hAnsi="Times New Roman" w:cs="Times New Roman"/>
          <w:b/>
          <w:bCs/>
          <w:sz w:val="24"/>
          <w:szCs w:val="24"/>
        </w:rPr>
        <w:t xml:space="preserve"> Methods</w:t>
      </w:r>
      <w:r w:rsidRPr="00963259">
        <w:rPr>
          <w:rFonts w:ascii="Times New Roman" w:hAnsi="Times New Roman" w:cs="Times New Roman"/>
          <w:b/>
          <w:bCs/>
          <w:sz w:val="24"/>
          <w:szCs w:val="24"/>
        </w:rPr>
        <w:t>:</w:t>
      </w:r>
    </w:p>
    <w:p w14:paraId="0773D2B4" w14:textId="7E45A363" w:rsidR="00201B96" w:rsidRPr="00750379" w:rsidRDefault="00201B96" w:rsidP="00750379">
      <w:pPr>
        <w:spacing w:before="100" w:beforeAutospacing="1" w:after="100" w:afterAutospacing="1" w:line="240" w:lineRule="auto"/>
        <w:rPr>
          <w:rFonts w:ascii="Times New Roman" w:eastAsia="Times New Roman" w:hAnsi="Times New Roman" w:cs="Times New Roman"/>
          <w:sz w:val="24"/>
          <w:szCs w:val="24"/>
          <w:lang w:eastAsia="sv-SE"/>
        </w:rPr>
      </w:pPr>
      <w:r w:rsidRPr="00963259">
        <w:rPr>
          <w:rFonts w:ascii="Times New Roman" w:hAnsi="Times New Roman" w:cs="Times New Roman"/>
          <w:b/>
          <w:bCs/>
          <w:sz w:val="24"/>
          <w:szCs w:val="24"/>
        </w:rPr>
        <w:t>Title:</w:t>
      </w:r>
      <w:r w:rsidR="00750379" w:rsidRPr="00750379">
        <w:rPr>
          <w:rFonts w:ascii="Times New Roman" w:eastAsia="Times New Roman" w:hAnsi="Times New Roman" w:cs="Times New Roman"/>
          <w:sz w:val="24"/>
          <w:szCs w:val="24"/>
          <w:lang w:eastAsia="sv-SE"/>
        </w:rPr>
        <w:t xml:space="preserve"> Disability Type and Participation in Post-Secondary Education: A Quantitative Analysis of Educational Transitions in Sweden</w:t>
      </w:r>
      <w:r w:rsidR="00750379">
        <w:rPr>
          <w:rFonts w:ascii="Times New Roman" w:eastAsia="Times New Roman" w:hAnsi="Times New Roman" w:cs="Times New Roman"/>
          <w:sz w:val="24"/>
          <w:szCs w:val="24"/>
          <w:lang w:eastAsia="sv-SE"/>
        </w:rPr>
        <w:t xml:space="preserve"> between 2018-2020</w:t>
      </w:r>
    </w:p>
    <w:p w14:paraId="01670927" w14:textId="77777777" w:rsidR="00201B96" w:rsidRPr="00963259" w:rsidRDefault="00201B96" w:rsidP="00201B96">
      <w:pPr>
        <w:spacing w:line="360" w:lineRule="auto"/>
        <w:jc w:val="both"/>
        <w:rPr>
          <w:rFonts w:ascii="Times New Roman" w:hAnsi="Times New Roman" w:cs="Times New Roman"/>
          <w:b/>
          <w:bCs/>
          <w:sz w:val="24"/>
          <w:szCs w:val="24"/>
        </w:rPr>
      </w:pPr>
      <w:r w:rsidRPr="00963259">
        <w:rPr>
          <w:rFonts w:ascii="Times New Roman" w:hAnsi="Times New Roman" w:cs="Times New Roman"/>
          <w:b/>
          <w:bCs/>
          <w:sz w:val="24"/>
          <w:szCs w:val="24"/>
        </w:rPr>
        <w:t xml:space="preserve">Name: </w:t>
      </w:r>
      <w:r w:rsidRPr="00963259">
        <w:rPr>
          <w:rFonts w:ascii="Times New Roman" w:hAnsi="Times New Roman" w:cs="Times New Roman"/>
          <w:sz w:val="24"/>
          <w:szCs w:val="24"/>
        </w:rPr>
        <w:t>Arthur Emmanuel Nkalubo</w:t>
      </w:r>
    </w:p>
    <w:p w14:paraId="68D6D4C3" w14:textId="77777777" w:rsidR="00201B96" w:rsidRPr="00963259" w:rsidRDefault="00201B96" w:rsidP="00201B96">
      <w:pPr>
        <w:spacing w:line="360" w:lineRule="auto"/>
        <w:jc w:val="both"/>
        <w:rPr>
          <w:rFonts w:ascii="Times New Roman" w:hAnsi="Times New Roman" w:cs="Times New Roman"/>
          <w:b/>
          <w:bCs/>
          <w:sz w:val="24"/>
          <w:szCs w:val="24"/>
        </w:rPr>
      </w:pPr>
      <w:r w:rsidRPr="00963259">
        <w:rPr>
          <w:rFonts w:ascii="Times New Roman" w:hAnsi="Times New Roman" w:cs="Times New Roman"/>
          <w:b/>
          <w:bCs/>
          <w:sz w:val="24"/>
          <w:szCs w:val="24"/>
        </w:rPr>
        <w:t xml:space="preserve">Student number: </w:t>
      </w:r>
      <w:r w:rsidRPr="00963259">
        <w:rPr>
          <w:rFonts w:ascii="Times New Roman" w:hAnsi="Times New Roman" w:cs="Times New Roman"/>
          <w:sz w:val="24"/>
          <w:szCs w:val="24"/>
        </w:rPr>
        <w:t>2211172</w:t>
      </w:r>
    </w:p>
    <w:p w14:paraId="2C4B2782" w14:textId="064F0BB8" w:rsidR="0053434A" w:rsidRPr="00EF49F9" w:rsidRDefault="00201B96" w:rsidP="00382E37">
      <w:pPr>
        <w:spacing w:line="360" w:lineRule="auto"/>
        <w:jc w:val="both"/>
        <w:rPr>
          <w:rFonts w:ascii="Times New Roman" w:hAnsi="Times New Roman" w:cs="Times New Roman"/>
          <w:b/>
          <w:bCs/>
          <w:sz w:val="24"/>
          <w:szCs w:val="24"/>
        </w:rPr>
      </w:pPr>
      <w:r w:rsidRPr="00963259">
        <w:rPr>
          <w:rFonts w:ascii="Times New Roman" w:hAnsi="Times New Roman" w:cs="Times New Roman"/>
          <w:b/>
          <w:bCs/>
          <w:sz w:val="24"/>
          <w:szCs w:val="24"/>
        </w:rPr>
        <w:t xml:space="preserve">Course: </w:t>
      </w:r>
      <w:r w:rsidR="00332710">
        <w:rPr>
          <w:rFonts w:ascii="Times New Roman" w:hAnsi="Times New Roman" w:cs="Times New Roman"/>
          <w:sz w:val="24"/>
          <w:szCs w:val="24"/>
        </w:rPr>
        <w:t>Quantitative Research Methods</w:t>
      </w:r>
      <w:r w:rsidRPr="00963259">
        <w:rPr>
          <w:rFonts w:ascii="Times New Roman" w:hAnsi="Times New Roman" w:cs="Times New Roman"/>
          <w:sz w:val="24"/>
          <w:szCs w:val="24"/>
        </w:rPr>
        <w:t xml:space="preserve"> (BMDP700</w:t>
      </w:r>
      <w:r w:rsidR="00332710">
        <w:rPr>
          <w:rFonts w:ascii="Times New Roman" w:hAnsi="Times New Roman" w:cs="Times New Roman"/>
          <w:sz w:val="24"/>
          <w:szCs w:val="24"/>
        </w:rPr>
        <w:t>9</w:t>
      </w:r>
      <w:r w:rsidRPr="00963259">
        <w:rPr>
          <w:rFonts w:ascii="Times New Roman" w:hAnsi="Times New Roman" w:cs="Times New Roman"/>
          <w:sz w:val="24"/>
          <w:szCs w:val="24"/>
        </w:rPr>
        <w:t>)</w:t>
      </w:r>
    </w:p>
    <w:p w14:paraId="5A561D7E" w14:textId="77777777" w:rsidR="00382E37" w:rsidRPr="00382E37" w:rsidRDefault="00382E37" w:rsidP="00382E37">
      <w:pPr>
        <w:spacing w:line="360" w:lineRule="auto"/>
        <w:jc w:val="both"/>
        <w:rPr>
          <w:rFonts w:ascii="Times New Roman" w:hAnsi="Times New Roman" w:cs="Times New Roman"/>
          <w:sz w:val="24"/>
          <w:szCs w:val="24"/>
        </w:rPr>
      </w:pPr>
    </w:p>
    <w:p w14:paraId="62C65398" w14:textId="77777777" w:rsidR="00B9317B" w:rsidRDefault="00332710" w:rsidP="00B9317B">
      <w:pPr>
        <w:rPr>
          <w:rFonts w:ascii="Times New Roman" w:hAnsi="Times New Roman" w:cs="Times New Roman"/>
          <w:b/>
          <w:bCs/>
          <w:sz w:val="24"/>
          <w:szCs w:val="24"/>
        </w:rPr>
      </w:pPr>
      <w:r w:rsidRPr="00382E37">
        <w:rPr>
          <w:rFonts w:ascii="Times New Roman" w:hAnsi="Times New Roman" w:cs="Times New Roman"/>
          <w:b/>
          <w:bCs/>
          <w:sz w:val="24"/>
          <w:szCs w:val="24"/>
        </w:rPr>
        <w:t>Abstract</w:t>
      </w:r>
    </w:p>
    <w:p w14:paraId="1082FE73" w14:textId="77777777" w:rsidR="00FB7309" w:rsidRDefault="009B6E4D" w:rsidP="008D2525">
      <w:pPr>
        <w:pStyle w:val="isselectedend"/>
        <w:spacing w:line="360" w:lineRule="auto"/>
        <w:jc w:val="both"/>
        <w:rPr>
          <w:lang w:val="en-GB"/>
        </w:rPr>
      </w:pPr>
      <w:r w:rsidRPr="009B6E4D">
        <w:rPr>
          <w:lang w:val="en-GB"/>
        </w:rPr>
        <w:t xml:space="preserve">Despite increased efforts to widen participation in post-secondary education, inequalities in educational participation among disabled students persist. Although inclusion policies have sought to promote equal educational opportunities, limited research has examined how post-secondary participation varies according to disability status, disability type, gender, and the period following completion of secondary education. This study therefore examines patterns and differences in post-secondary education participation among students with and without disabilities in Sweden between 2018 and 2020. The main research question is: How did post-secondary education participation vary by disability status or type and gender between 2018 and 2020? </w:t>
      </w:r>
    </w:p>
    <w:p w14:paraId="52F3CF3C" w14:textId="0D62E995" w:rsidR="008D2525" w:rsidRDefault="000E7B27" w:rsidP="008D2525">
      <w:pPr>
        <w:pStyle w:val="isselectedend"/>
        <w:spacing w:line="360" w:lineRule="auto"/>
        <w:jc w:val="both"/>
        <w:rPr>
          <w:lang w:val="en-GB"/>
        </w:rPr>
      </w:pPr>
      <w:r>
        <w:rPr>
          <w:lang w:val="en-GB"/>
        </w:rPr>
        <w:t>Further</w:t>
      </w:r>
      <w:r w:rsidR="008D2525">
        <w:rPr>
          <w:lang w:val="en-GB"/>
        </w:rPr>
        <w:t xml:space="preserve">, the study adopts the capability approach as the theoretical framework adopting a </w:t>
      </w:r>
      <w:r w:rsidR="009B6E4D" w:rsidRPr="009B6E4D">
        <w:rPr>
          <w:lang w:val="en-GB"/>
        </w:rPr>
        <w:t xml:space="preserve">quantitative research design using data on students who participated in post-secondary education during the period 2018-2020. Descriptive statistics were used to examine participation patterns by disability status, type, gender, and year. Inferential statistical analyses, including one-way ANOVA and a paired-samples </w:t>
      </w:r>
      <w:r w:rsidR="009B6E4D" w:rsidRPr="009B6E4D">
        <w:rPr>
          <w:rStyle w:val="Betoning"/>
          <w:lang w:val="en-GB"/>
        </w:rPr>
        <w:t>t</w:t>
      </w:r>
      <w:r w:rsidR="009B6E4D" w:rsidRPr="009B6E4D">
        <w:rPr>
          <w:lang w:val="en-GB"/>
        </w:rPr>
        <w:t>-test, were used to examine differences in participation across the first three years following completion of secondary education and changes between the first and third years.</w:t>
      </w:r>
    </w:p>
    <w:p w14:paraId="494E546A" w14:textId="47D68B7B" w:rsidR="009B6E4D" w:rsidRPr="009B6E4D" w:rsidRDefault="009B6E4D" w:rsidP="008D2525">
      <w:pPr>
        <w:pStyle w:val="isselectedend"/>
        <w:spacing w:line="360" w:lineRule="auto"/>
        <w:jc w:val="both"/>
        <w:rPr>
          <w:lang w:val="en-GB"/>
        </w:rPr>
      </w:pPr>
      <w:r w:rsidRPr="009B6E4D">
        <w:rPr>
          <w:lang w:val="en-GB"/>
        </w:rPr>
        <w:t xml:space="preserve">The findings indicate that participation in post-secondary education increased across the disability and gender groups examined between 2018 and 2020. Participation was consistently higher among students without disabilities than among disabled students, while female students generally recorded higher participation rates than male students. The one-way ANOVA showed that differences in participation across the first, second, and third years following completion of secondary education were not statistically significant, </w:t>
      </w:r>
      <w:r w:rsidRPr="009B6E4D">
        <w:rPr>
          <w:rStyle w:val="Betoning"/>
          <w:lang w:val="en-GB"/>
        </w:rPr>
        <w:t>F</w:t>
      </w:r>
      <w:r w:rsidRPr="009B6E4D">
        <w:rPr>
          <w:lang w:val="en-GB"/>
        </w:rPr>
        <w:t xml:space="preserve">(2, 15) = 2.20, </w:t>
      </w:r>
      <w:r w:rsidRPr="009B6E4D">
        <w:rPr>
          <w:rStyle w:val="Betoning"/>
          <w:lang w:val="en-GB"/>
        </w:rPr>
        <w:t>p</w:t>
      </w:r>
      <w:r w:rsidRPr="009B6E4D">
        <w:rPr>
          <w:lang w:val="en-GB"/>
        </w:rPr>
        <w:t xml:space="preserve"> = .145. However, </w:t>
      </w:r>
      <w:r w:rsidRPr="009B6E4D">
        <w:rPr>
          <w:lang w:val="en-GB"/>
        </w:rPr>
        <w:lastRenderedPageBreak/>
        <w:t xml:space="preserve">the paired-samples </w:t>
      </w:r>
      <w:r w:rsidRPr="009B6E4D">
        <w:rPr>
          <w:rStyle w:val="Betoning"/>
          <w:lang w:val="en-GB"/>
        </w:rPr>
        <w:t>t</w:t>
      </w:r>
      <w:r w:rsidRPr="009B6E4D">
        <w:rPr>
          <w:lang w:val="en-GB"/>
        </w:rPr>
        <w:t xml:space="preserve">-test indicated a statistically significant increase in participation between the first and third years, </w:t>
      </w:r>
      <w:r w:rsidRPr="009B6E4D">
        <w:rPr>
          <w:rStyle w:val="Betoning"/>
          <w:lang w:val="en-GB"/>
        </w:rPr>
        <w:t>t</w:t>
      </w:r>
      <w:r w:rsidRPr="009B6E4D">
        <w:rPr>
          <w:lang w:val="en-GB"/>
        </w:rPr>
        <w:t xml:space="preserve">(13) = −6.93, </w:t>
      </w:r>
      <w:r w:rsidRPr="009B6E4D">
        <w:rPr>
          <w:rStyle w:val="Betoning"/>
          <w:lang w:val="en-GB"/>
        </w:rPr>
        <w:t>p</w:t>
      </w:r>
      <w:r w:rsidRPr="009B6E4D">
        <w:rPr>
          <w:lang w:val="en-GB"/>
        </w:rPr>
        <w:t xml:space="preserve"> &lt; .001. Descriptive comparisons further revealed variation in participation across disability types and gender</w:t>
      </w:r>
      <w:r w:rsidR="00422D33">
        <w:rPr>
          <w:lang w:val="en-GB"/>
        </w:rPr>
        <w:t xml:space="preserve"> with</w:t>
      </w:r>
      <w:r w:rsidRPr="009B6E4D">
        <w:rPr>
          <w:lang w:val="en-GB"/>
        </w:rPr>
        <w:t xml:space="preserve"> gender differences differing across disability categories. Overall, the findings highlight persistent disparities in post-secondary participation and demonstrate the importance of considering disability status, disability type, gender, and the timing of educational transition when examining inequalities in post-secondary education participation.</w:t>
      </w:r>
    </w:p>
    <w:p w14:paraId="35027227" w14:textId="7EE5C59D" w:rsidR="00C71F79" w:rsidRPr="007B51DA" w:rsidRDefault="007A77EC">
      <w:pPr>
        <w:rPr>
          <w:rFonts w:ascii="Times New Roman" w:hAnsi="Times New Roman" w:cs="Times New Roman"/>
          <w:b/>
          <w:bCs/>
          <w:sz w:val="24"/>
          <w:szCs w:val="24"/>
        </w:rPr>
      </w:pPr>
      <w:r w:rsidRPr="007B51DA">
        <w:rPr>
          <w:rFonts w:ascii="Times New Roman" w:hAnsi="Times New Roman" w:cs="Times New Roman"/>
          <w:b/>
          <w:bCs/>
          <w:sz w:val="24"/>
          <w:szCs w:val="24"/>
        </w:rPr>
        <w:t>Introduction</w:t>
      </w:r>
    </w:p>
    <w:p w14:paraId="15B2DFF4" w14:textId="6DD1BEAA" w:rsidR="0054560B" w:rsidRPr="0054560B" w:rsidRDefault="0054560B" w:rsidP="007D074E">
      <w:pPr>
        <w:pStyle w:val="isselectedend"/>
        <w:spacing w:line="360" w:lineRule="auto"/>
        <w:jc w:val="both"/>
        <w:rPr>
          <w:lang w:val="en-GB"/>
        </w:rPr>
      </w:pPr>
      <w:r w:rsidRPr="0054560B">
        <w:rPr>
          <w:lang w:val="en-GB"/>
        </w:rPr>
        <w:t xml:space="preserve">Disability has historically contributed to educational exclusion across countries, largely due to inadequate access, support, and accommodation at different levels of education (Lid, 2026). Although efforts to widen educational participation have increased through inclusive education policies and initiatives, disabled students </w:t>
      </w:r>
      <w:r w:rsidR="002C474F">
        <w:rPr>
          <w:lang w:val="en-GB"/>
        </w:rPr>
        <w:t xml:space="preserve">still </w:t>
      </w:r>
      <w:r w:rsidRPr="0054560B">
        <w:rPr>
          <w:lang w:val="en-GB"/>
        </w:rPr>
        <w:t>experience barriers restrict</w:t>
      </w:r>
      <w:r w:rsidR="00A937A8">
        <w:rPr>
          <w:lang w:val="en-GB"/>
        </w:rPr>
        <w:t>ing</w:t>
      </w:r>
      <w:r w:rsidRPr="0054560B">
        <w:rPr>
          <w:lang w:val="en-GB"/>
        </w:rPr>
        <w:t xml:space="preserve"> their opportunities to participate and progress in education (Stefánsdóttir &amp; Björnsdóttir, 2016). Participation in post-secondary education is particularly important because access to further education can enhance opportunities for employment, independence</w:t>
      </w:r>
      <w:r w:rsidR="004449DB">
        <w:rPr>
          <w:lang w:val="en-GB"/>
        </w:rPr>
        <w:t xml:space="preserve"> and </w:t>
      </w:r>
      <w:r w:rsidRPr="0054560B">
        <w:rPr>
          <w:lang w:val="en-GB"/>
        </w:rPr>
        <w:t xml:space="preserve"> social participation for persons with disabilities (Pandey, 2021). Consequently, widening participation should involve not only formal access to education but also creating conditions that enable disabled students to participate on an equitable basis.</w:t>
      </w:r>
    </w:p>
    <w:p w14:paraId="0A463EF4" w14:textId="52A54EAC" w:rsidR="0054560B" w:rsidRPr="0054560B" w:rsidRDefault="0054560B" w:rsidP="007D074E">
      <w:pPr>
        <w:pStyle w:val="isselectedend"/>
        <w:spacing w:line="360" w:lineRule="auto"/>
        <w:jc w:val="both"/>
        <w:rPr>
          <w:lang w:val="en-GB"/>
        </w:rPr>
      </w:pPr>
      <w:r w:rsidRPr="0054560B">
        <w:rPr>
          <w:lang w:val="en-GB"/>
        </w:rPr>
        <w:t>Disability is a complex and multidimensional phenomenon understood and constructed differently across social, cultural, and historical contexts (Moriña &amp; Carnerero, 2020). The understanding of disability has increasingly moved beyond an individual or medical focus towards recognition of the social and environmental barriers that can restrict participation. A person with a disability may experience physical, social, institutional, or attitudinal barriers that hinder full participation in society on an equal basis with others (</w:t>
      </w:r>
      <w:r w:rsidR="00D50217" w:rsidRPr="0054560B">
        <w:rPr>
          <w:lang w:val="en-GB"/>
        </w:rPr>
        <w:t>Moriña &amp; Carnerero, 2020</w:t>
      </w:r>
      <w:r w:rsidR="00D50217">
        <w:rPr>
          <w:lang w:val="en-GB"/>
        </w:rPr>
        <w:t xml:space="preserve">, </w:t>
      </w:r>
      <w:r w:rsidRPr="0054560B">
        <w:rPr>
          <w:lang w:val="en-GB"/>
        </w:rPr>
        <w:t>Lid, 2026). Disability discrimination includes distinctions, exclusions, or restrictions based on disability that limit the equal enjoyment of human rights and fundamental freedoms, as well as failures to provide reasonable accommodation (Lid, 2026). From this perspective, inequalities in educational participation cannot be understood solely in terms of individual impairments; they must also be considered in relation to the opportunities and barriers within educatio</w:t>
      </w:r>
      <w:r w:rsidR="00014923">
        <w:rPr>
          <w:lang w:val="en-GB"/>
        </w:rPr>
        <w:t>n</w:t>
      </w:r>
      <w:r w:rsidRPr="0054560B">
        <w:rPr>
          <w:lang w:val="en-GB"/>
        </w:rPr>
        <w:t xml:space="preserve"> and </w:t>
      </w:r>
      <w:r w:rsidR="00014923">
        <w:rPr>
          <w:lang w:val="en-GB"/>
        </w:rPr>
        <w:t xml:space="preserve">the </w:t>
      </w:r>
      <w:r w:rsidRPr="0054560B">
        <w:rPr>
          <w:lang w:val="en-GB"/>
        </w:rPr>
        <w:t>wider society.</w:t>
      </w:r>
    </w:p>
    <w:p w14:paraId="43E9C9AB" w14:textId="63A28A45" w:rsidR="0054560B" w:rsidRPr="007D074E" w:rsidRDefault="0054560B" w:rsidP="00D75634">
      <w:pPr>
        <w:pStyle w:val="isselectedend"/>
        <w:spacing w:line="360" w:lineRule="auto"/>
        <w:jc w:val="both"/>
        <w:rPr>
          <w:lang w:val="en-GB"/>
        </w:rPr>
      </w:pPr>
      <w:r w:rsidRPr="0054560B">
        <w:rPr>
          <w:lang w:val="en-GB"/>
        </w:rPr>
        <w:lastRenderedPageBreak/>
        <w:t xml:space="preserve">The right to education provides an important basis for addressing these inequalities. Internationally, Article 24 of the United Nations Convention on the Rights of Persons with Disabilities recognises the right of persons with disabilities to education without discrimination (Skolverket, 2026; Lid, 2026). In Sweden, inclusion, equality, respect for diversity, and protection from discrimination are central principles within the school curriculum. </w:t>
      </w:r>
      <w:r w:rsidRPr="007D074E">
        <w:rPr>
          <w:lang w:val="en-GB"/>
        </w:rPr>
        <w:t xml:space="preserve">Schools are expected to promote understanding of others, develop students' capacity for empathy, and ensure that learners, including those with disabilities, are treated with dignity and respect. The curriculum also requires schools to counteract discrimination based on disability or functional impairment and to create an inclusive educational environment (Skolverket, 2026). These principles are particularly important during the transition from secondary education to post-school activities, including education, employment, independent living, and </w:t>
      </w:r>
      <w:r w:rsidR="002551C0">
        <w:rPr>
          <w:lang w:val="en-GB"/>
        </w:rPr>
        <w:t>social</w:t>
      </w:r>
      <w:r w:rsidRPr="007D074E">
        <w:rPr>
          <w:lang w:val="en-GB"/>
        </w:rPr>
        <w:t xml:space="preserve"> participation (Pandey, 2021).</w:t>
      </w:r>
    </w:p>
    <w:p w14:paraId="7AEA7358" w14:textId="0CD913C2" w:rsidR="0054560B" w:rsidRPr="007D074E" w:rsidRDefault="0054560B" w:rsidP="00251645">
      <w:pPr>
        <w:pStyle w:val="isselectedend"/>
        <w:spacing w:line="360" w:lineRule="auto"/>
        <w:jc w:val="both"/>
        <w:rPr>
          <w:lang w:val="en-GB"/>
        </w:rPr>
      </w:pPr>
      <w:r w:rsidRPr="007D074E">
        <w:rPr>
          <w:lang w:val="en-GB"/>
        </w:rPr>
        <w:t xml:space="preserve">Despite these policy commitments, inequalities in educational participation remain. Existing research has often focused on perceptions, stigma, and the experiences of disabled people within educational settings, while comparatively less attention has been given to differences in participation across disability categories and the factors associated with these differences (Akin &amp; Huang, 2019). </w:t>
      </w:r>
      <w:r w:rsidR="003B0261">
        <w:rPr>
          <w:lang w:val="en-GB"/>
        </w:rPr>
        <w:t>However, it is</w:t>
      </w:r>
      <w:r w:rsidR="003F744F">
        <w:rPr>
          <w:lang w:val="en-GB"/>
        </w:rPr>
        <w:t xml:space="preserve"> </w:t>
      </w:r>
      <w:r w:rsidRPr="007D074E">
        <w:rPr>
          <w:lang w:val="en-GB"/>
        </w:rPr>
        <w:t>important</w:t>
      </w:r>
      <w:r w:rsidR="003F744F">
        <w:rPr>
          <w:lang w:val="en-GB"/>
        </w:rPr>
        <w:t xml:space="preserve"> to note that </w:t>
      </w:r>
      <w:r w:rsidRPr="007D074E">
        <w:rPr>
          <w:lang w:val="en-GB"/>
        </w:rPr>
        <w:t>disability is not a homogeneous category. Students with different types of disabilities may encounter different educational barriers and require different forms of support. Consequently, examining disability only as a single category may obscure important differences in educational participation. In addition, gender may intersect with disability and contribute to different patterns of participation</w:t>
      </w:r>
      <w:r w:rsidR="008D6792">
        <w:rPr>
          <w:lang w:val="en-GB"/>
        </w:rPr>
        <w:t xml:space="preserve"> </w:t>
      </w:r>
      <w:r w:rsidR="008D6792" w:rsidRPr="0054560B">
        <w:rPr>
          <w:lang w:val="en-GB"/>
        </w:rPr>
        <w:t xml:space="preserve">(Moriña &amp; Carnerero, 2020). </w:t>
      </w:r>
      <w:r w:rsidR="008D6792">
        <w:rPr>
          <w:lang w:val="en-GB"/>
        </w:rPr>
        <w:t xml:space="preserve"> </w:t>
      </w:r>
      <w:r w:rsidRPr="007D074E">
        <w:rPr>
          <w:lang w:val="en-GB"/>
        </w:rPr>
        <w:t>Understanding these variations is therefore important for identifying inequalities that may remain hidden when disabled students are considered a homogeneous group.</w:t>
      </w:r>
    </w:p>
    <w:p w14:paraId="0F57E916" w14:textId="6B6BDC83" w:rsidR="0054560B" w:rsidRPr="007D074E" w:rsidRDefault="0054560B" w:rsidP="00AF73A3">
      <w:pPr>
        <w:pStyle w:val="isselectedend"/>
        <w:spacing w:line="360" w:lineRule="auto"/>
        <w:jc w:val="both"/>
        <w:rPr>
          <w:lang w:val="en-GB"/>
        </w:rPr>
      </w:pPr>
      <w:r w:rsidRPr="007D074E">
        <w:rPr>
          <w:lang w:val="en-GB"/>
        </w:rPr>
        <w:t xml:space="preserve">The scale of disability further demonstrates the importance of this issue. People with disabilities constitute approximately 16% of the global population (Xu et al., 2024), while persons with disabilities account for approximately 26% of the population within the European Union (Lid, 2026). Ensuring equitable educational opportunities for this substantial population is therefore not only an educational concern but also </w:t>
      </w:r>
      <w:r w:rsidR="0053758A">
        <w:rPr>
          <w:lang w:val="en-GB"/>
        </w:rPr>
        <w:t xml:space="preserve">extends to </w:t>
      </w:r>
      <w:r w:rsidRPr="007D074E">
        <w:rPr>
          <w:lang w:val="en-GB"/>
        </w:rPr>
        <w:t>social justice. Nevertheless, despite increasing policy attention to inclusion, knowledge about the participation and educational trajectories of disabled students remains limited, particularly in relation to differences between disability categories and educational transitions (Madaus et al., 2018).</w:t>
      </w:r>
    </w:p>
    <w:p w14:paraId="3A95BD0C" w14:textId="3D8C7C8D" w:rsidR="0054560B" w:rsidRPr="007D074E" w:rsidRDefault="0054560B" w:rsidP="00ED03F7">
      <w:pPr>
        <w:pStyle w:val="isselectedend"/>
        <w:spacing w:line="360" w:lineRule="auto"/>
        <w:jc w:val="both"/>
        <w:rPr>
          <w:lang w:val="en-GB"/>
        </w:rPr>
      </w:pPr>
      <w:r w:rsidRPr="007D074E">
        <w:rPr>
          <w:lang w:val="en-GB"/>
        </w:rPr>
        <w:lastRenderedPageBreak/>
        <w:t>The</w:t>
      </w:r>
      <w:r w:rsidR="00017555">
        <w:rPr>
          <w:lang w:val="en-GB"/>
        </w:rPr>
        <w:t>refore, the</w:t>
      </w:r>
      <w:r w:rsidRPr="007D074E">
        <w:rPr>
          <w:lang w:val="en-GB"/>
        </w:rPr>
        <w:t xml:space="preserve"> </w:t>
      </w:r>
      <w:r w:rsidRPr="00017555">
        <w:rPr>
          <w:rStyle w:val="Stark"/>
          <w:b w:val="0"/>
          <w:bCs w:val="0"/>
          <w:lang w:val="en-GB"/>
        </w:rPr>
        <w:t>capability approach</w:t>
      </w:r>
      <w:r w:rsidRPr="007D074E">
        <w:rPr>
          <w:lang w:val="en-GB"/>
        </w:rPr>
        <w:t xml:space="preserve">, associated with Amartya Sen and Martha Nussbaum, provides a useful theoretical perspective for examining these inequalities. Rather than focusing only on whether students have access to educational resources, the capability approach considers whether individuals have genuine opportunities to achieve outcomes that they have reason to value (Keung &amp; Ho, 2020). Sen distinguishes between </w:t>
      </w:r>
      <w:r w:rsidRPr="00B46633">
        <w:rPr>
          <w:rStyle w:val="Betoning"/>
          <w:i w:val="0"/>
          <w:iCs w:val="0"/>
          <w:lang w:val="en-GB"/>
        </w:rPr>
        <w:t>functionings</w:t>
      </w:r>
      <w:r w:rsidRPr="007D074E">
        <w:rPr>
          <w:lang w:val="en-GB"/>
        </w:rPr>
        <w:t xml:space="preserve">, which refer to what a person </w:t>
      </w:r>
      <w:r w:rsidR="00B46633" w:rsidRPr="007D074E">
        <w:rPr>
          <w:lang w:val="en-GB"/>
        </w:rPr>
        <w:t>does</w:t>
      </w:r>
      <w:r w:rsidRPr="007D074E">
        <w:rPr>
          <w:lang w:val="en-GB"/>
        </w:rPr>
        <w:t xml:space="preserve"> or is, and </w:t>
      </w:r>
      <w:r w:rsidRPr="00B46633">
        <w:rPr>
          <w:rStyle w:val="Betoning"/>
          <w:i w:val="0"/>
          <w:iCs w:val="0"/>
          <w:lang w:val="en-GB"/>
        </w:rPr>
        <w:t>capabilities</w:t>
      </w:r>
      <w:r w:rsidRPr="00B46633">
        <w:rPr>
          <w:i/>
          <w:iCs/>
          <w:lang w:val="en-GB"/>
        </w:rPr>
        <w:t>,</w:t>
      </w:r>
      <w:r w:rsidRPr="007D074E">
        <w:rPr>
          <w:lang w:val="en-GB"/>
        </w:rPr>
        <w:t xml:space="preserve"> which refer to the real opportunities or freedoms a person </w:t>
      </w:r>
      <w:r w:rsidR="00B46633" w:rsidRPr="007D074E">
        <w:rPr>
          <w:lang w:val="en-GB"/>
        </w:rPr>
        <w:t>must</w:t>
      </w:r>
      <w:r w:rsidRPr="007D074E">
        <w:rPr>
          <w:lang w:val="en-GB"/>
        </w:rPr>
        <w:t xml:space="preserve"> achieve</w:t>
      </w:r>
      <w:r w:rsidR="00BE4B36">
        <w:rPr>
          <w:lang w:val="en-GB"/>
        </w:rPr>
        <w:t xml:space="preserve"> </w:t>
      </w:r>
      <w:r w:rsidRPr="007D074E">
        <w:rPr>
          <w:lang w:val="en-GB"/>
        </w:rPr>
        <w:t>(Jandhyala, 2021). Capabilities therefore concern substantive freedoms and opportunities to live a life that individuals have reason to value (Barros &amp; Diniz, 2025).</w:t>
      </w:r>
    </w:p>
    <w:p w14:paraId="1D8236D9" w14:textId="4EBD5F10" w:rsidR="0054560B" w:rsidRPr="007D074E" w:rsidRDefault="0054560B" w:rsidP="00B46633">
      <w:pPr>
        <w:pStyle w:val="isselectedend"/>
        <w:spacing w:line="360" w:lineRule="auto"/>
        <w:jc w:val="both"/>
        <w:rPr>
          <w:lang w:val="en-GB"/>
        </w:rPr>
      </w:pPr>
      <w:r w:rsidRPr="007D074E">
        <w:rPr>
          <w:lang w:val="en-GB"/>
        </w:rPr>
        <w:t>Thi</w:t>
      </w:r>
      <w:r w:rsidR="0053758A">
        <w:rPr>
          <w:lang w:val="en-GB"/>
        </w:rPr>
        <w:t xml:space="preserve">s </w:t>
      </w:r>
      <w:r w:rsidR="004506AA">
        <w:rPr>
          <w:lang w:val="en-GB"/>
        </w:rPr>
        <w:t xml:space="preserve">capability approach </w:t>
      </w:r>
      <w:r w:rsidR="0053758A">
        <w:rPr>
          <w:lang w:val="en-GB"/>
        </w:rPr>
        <w:t>theory</w:t>
      </w:r>
      <w:r w:rsidRPr="007D074E">
        <w:rPr>
          <w:lang w:val="en-GB"/>
        </w:rPr>
        <w:t xml:space="preserve"> is particularly relevant to disabled students because equal provision of educational resources does not necessarily result in equal opportunities to partic</w:t>
      </w:r>
      <w:r w:rsidR="000B555D">
        <w:rPr>
          <w:lang w:val="en-GB"/>
        </w:rPr>
        <w:t xml:space="preserve">ipate </w:t>
      </w:r>
      <w:r w:rsidR="00DA1185" w:rsidRPr="00DA1185">
        <w:rPr>
          <w:lang w:val="en-GB"/>
        </w:rPr>
        <w:t>(Nef et al., 2023).</w:t>
      </w:r>
      <w:r w:rsidR="000B555D">
        <w:rPr>
          <w:lang w:val="en-GB"/>
        </w:rPr>
        <w:t xml:space="preserve"> </w:t>
      </w:r>
      <w:r w:rsidRPr="007D074E">
        <w:rPr>
          <w:lang w:val="en-GB"/>
        </w:rPr>
        <w:t>Students may differ in how they are able to convert available resources into educational opportunities (Keung &amp; Ho, 2020). Mutanga and Walker (2015) similarly emphasi</w:t>
      </w:r>
      <w:r w:rsidR="00D33C8F">
        <w:rPr>
          <w:lang w:val="en-GB"/>
        </w:rPr>
        <w:t>z</w:t>
      </w:r>
      <w:r w:rsidRPr="007D074E">
        <w:rPr>
          <w:lang w:val="en-GB"/>
        </w:rPr>
        <w:t>e the importance of examining intersecting socio-cultural barriers that can restrict students with disabilities from accessing and participating in higher education. Social inclusion can also be understood in capability terms as the opportunity to participate fully in social, intellectual, cultural, and personal life and to experience belonging within a community (Rasse &amp; Sevilla, 2023). Thus, examining participation rates across disability status, disability type, gender, and the period following secondary education provides an opportunity to identify differences in the educational opportunities available to different groups.</w:t>
      </w:r>
    </w:p>
    <w:p w14:paraId="6110E4F6" w14:textId="640CCA38" w:rsidR="00337B3B" w:rsidRPr="00724E61" w:rsidRDefault="0054560B" w:rsidP="00724E61">
      <w:pPr>
        <w:pStyle w:val="Normalwebb"/>
        <w:spacing w:line="360" w:lineRule="auto"/>
        <w:jc w:val="both"/>
        <w:rPr>
          <w:lang w:val="en-GB"/>
        </w:rPr>
      </w:pPr>
      <w:r w:rsidRPr="007D074E">
        <w:rPr>
          <w:lang w:val="en-GB"/>
        </w:rPr>
        <w:t xml:space="preserve">Against this background, this study examines patterns and differences in post-secondary education participation among students with and without disabilities in Sweden between 2018 and 2020. </w:t>
      </w:r>
      <w:r w:rsidR="00FF1050" w:rsidRPr="00FF1050">
        <w:rPr>
          <w:lang w:val="en-GB"/>
        </w:rPr>
        <w:t xml:space="preserve">Further, the study </w:t>
      </w:r>
      <w:r w:rsidR="00875770">
        <w:rPr>
          <w:lang w:val="en-GB"/>
        </w:rPr>
        <w:t xml:space="preserve">specifically </w:t>
      </w:r>
      <w:r w:rsidR="00FF1050" w:rsidRPr="00FF1050">
        <w:rPr>
          <w:lang w:val="en-GB"/>
        </w:rPr>
        <w:t>examines differences by disability status, disability type, gender, and year of participation</w:t>
      </w:r>
      <w:r w:rsidR="00505317" w:rsidRPr="00505317">
        <w:rPr>
          <w:lang w:val="en-GB"/>
        </w:rPr>
        <w:t xml:space="preserve"> </w:t>
      </w:r>
      <w:r w:rsidR="00505317">
        <w:rPr>
          <w:lang w:val="en-GB"/>
        </w:rPr>
        <w:t>following completion of secondary school</w:t>
      </w:r>
      <w:r w:rsidR="00FF1050" w:rsidRPr="00FF1050">
        <w:rPr>
          <w:lang w:val="en-GB"/>
        </w:rPr>
        <w:t xml:space="preserve"> through the lens of the </w:t>
      </w:r>
      <w:r w:rsidR="008331FA">
        <w:rPr>
          <w:lang w:val="en-GB"/>
        </w:rPr>
        <w:t>c</w:t>
      </w:r>
      <w:r w:rsidR="00FF1050" w:rsidRPr="00FF1050">
        <w:rPr>
          <w:lang w:val="en-GB"/>
        </w:rPr>
        <w:t xml:space="preserve">apability </w:t>
      </w:r>
      <w:r w:rsidR="008331FA">
        <w:rPr>
          <w:lang w:val="en-GB"/>
        </w:rPr>
        <w:t>a</w:t>
      </w:r>
      <w:r w:rsidR="00FF1050" w:rsidRPr="00FF1050">
        <w:rPr>
          <w:lang w:val="en-GB"/>
        </w:rPr>
        <w:t>pproach</w:t>
      </w:r>
      <w:r w:rsidR="00AF10D4">
        <w:rPr>
          <w:lang w:val="en-GB"/>
        </w:rPr>
        <w:t xml:space="preserve"> theory</w:t>
      </w:r>
      <w:r w:rsidR="00FF1050" w:rsidRPr="00FF1050">
        <w:rPr>
          <w:lang w:val="en-GB"/>
        </w:rPr>
        <w:t>.</w:t>
      </w:r>
    </w:p>
    <w:p w14:paraId="05BFCC7C" w14:textId="77777777" w:rsidR="00D22F44" w:rsidRPr="00D22F44" w:rsidRDefault="00D22F44" w:rsidP="00D22F44">
      <w:pPr>
        <w:spacing w:line="360" w:lineRule="auto"/>
        <w:jc w:val="both"/>
        <w:rPr>
          <w:rFonts w:ascii="Times New Roman" w:eastAsia="Times New Roman" w:hAnsi="Times New Roman" w:cs="Times New Roman"/>
          <w:b/>
          <w:bCs/>
          <w:sz w:val="24"/>
          <w:szCs w:val="24"/>
          <w:lang w:eastAsia="sv-SE"/>
        </w:rPr>
      </w:pPr>
      <w:r w:rsidRPr="00D22F44">
        <w:rPr>
          <w:rFonts w:ascii="Times New Roman" w:eastAsia="Times New Roman" w:hAnsi="Times New Roman" w:cs="Times New Roman"/>
          <w:b/>
          <w:bCs/>
          <w:sz w:val="24"/>
          <w:szCs w:val="24"/>
          <w:lang w:eastAsia="sv-SE"/>
        </w:rPr>
        <w:t>Theoretical Framework</w:t>
      </w:r>
    </w:p>
    <w:p w14:paraId="7E8B3004" w14:textId="0FD89201" w:rsidR="009921B2" w:rsidRPr="009921B2" w:rsidRDefault="009921B2" w:rsidP="009921B2">
      <w:pPr>
        <w:pStyle w:val="isselectedend"/>
        <w:spacing w:line="360" w:lineRule="auto"/>
        <w:jc w:val="both"/>
        <w:rPr>
          <w:lang w:val="en-GB"/>
        </w:rPr>
      </w:pPr>
      <w:r>
        <w:rPr>
          <w:lang w:val="en-GB"/>
        </w:rPr>
        <w:t>T</w:t>
      </w:r>
      <w:r w:rsidRPr="009921B2">
        <w:rPr>
          <w:lang w:val="en-GB"/>
        </w:rPr>
        <w:t xml:space="preserve">his study is grounded in the </w:t>
      </w:r>
      <w:r>
        <w:rPr>
          <w:lang w:val="en-GB"/>
        </w:rPr>
        <w:t>c</w:t>
      </w:r>
      <w:r w:rsidRPr="009921B2">
        <w:rPr>
          <w:lang w:val="en-GB"/>
        </w:rPr>
        <w:t xml:space="preserve">apability </w:t>
      </w:r>
      <w:r>
        <w:rPr>
          <w:lang w:val="en-GB"/>
        </w:rPr>
        <w:t>a</w:t>
      </w:r>
      <w:r w:rsidRPr="009921B2">
        <w:rPr>
          <w:lang w:val="en-GB"/>
        </w:rPr>
        <w:t>pproach</w:t>
      </w:r>
      <w:r w:rsidR="00757653">
        <w:rPr>
          <w:lang w:val="en-GB"/>
        </w:rPr>
        <w:t xml:space="preserve"> theory</w:t>
      </w:r>
      <w:r w:rsidRPr="009921B2">
        <w:rPr>
          <w:lang w:val="en-GB"/>
        </w:rPr>
        <w:t xml:space="preserve">, primarily associated with Amartya Sen and Martha Nussbaum. The approach provides a critical framework for examining educational inequality by shifting attention from equal </w:t>
      </w:r>
      <w:r w:rsidR="007762C8">
        <w:rPr>
          <w:lang w:val="en-GB"/>
        </w:rPr>
        <w:t xml:space="preserve">resource </w:t>
      </w:r>
      <w:r w:rsidRPr="009921B2">
        <w:rPr>
          <w:lang w:val="en-GB"/>
        </w:rPr>
        <w:t xml:space="preserve">access towards whether individuals have genuine opportunities to achieve outcomes they value (Jandhyala, 2021). </w:t>
      </w:r>
      <w:r w:rsidR="00A85138">
        <w:rPr>
          <w:lang w:val="en-GB"/>
        </w:rPr>
        <w:t xml:space="preserve">This theory </w:t>
      </w:r>
      <w:r w:rsidRPr="009921B2">
        <w:rPr>
          <w:lang w:val="en-GB"/>
        </w:rPr>
        <w:t xml:space="preserve">recognises that people differ in their ability to convert available resources into meaningful opportunities because of social, cultural, institutional, and circumstances (Keung &amp; </w:t>
      </w:r>
      <w:r w:rsidRPr="009921B2">
        <w:rPr>
          <w:lang w:val="en-GB"/>
        </w:rPr>
        <w:lastRenderedPageBreak/>
        <w:t>Ho, 2020). This perspective is particularly relevant to disability research, where formal equality does not necessarily guarantee equitable educational participation.</w:t>
      </w:r>
    </w:p>
    <w:p w14:paraId="3CBDFCFE" w14:textId="3870EE91" w:rsidR="009921B2" w:rsidRPr="009921B2" w:rsidRDefault="009921B2" w:rsidP="007147C1">
      <w:pPr>
        <w:pStyle w:val="isselectedend"/>
        <w:spacing w:line="360" w:lineRule="auto"/>
        <w:jc w:val="both"/>
        <w:rPr>
          <w:lang w:val="en-GB"/>
        </w:rPr>
      </w:pPr>
      <w:r w:rsidRPr="009921B2">
        <w:rPr>
          <w:lang w:val="en-GB"/>
        </w:rPr>
        <w:t xml:space="preserve">A central distinction within the </w:t>
      </w:r>
      <w:r w:rsidR="0044262E">
        <w:rPr>
          <w:lang w:val="en-GB"/>
        </w:rPr>
        <w:t>c</w:t>
      </w:r>
      <w:r w:rsidRPr="009921B2">
        <w:rPr>
          <w:lang w:val="en-GB"/>
        </w:rPr>
        <w:t xml:space="preserve">apability </w:t>
      </w:r>
      <w:r w:rsidR="0044262E">
        <w:rPr>
          <w:lang w:val="en-GB"/>
        </w:rPr>
        <w:t>a</w:t>
      </w:r>
      <w:r w:rsidRPr="009921B2">
        <w:rPr>
          <w:lang w:val="en-GB"/>
        </w:rPr>
        <w:t xml:space="preserve">pproach is between capabilities and functionings. </w:t>
      </w:r>
      <w:r w:rsidR="00B748AB">
        <w:rPr>
          <w:lang w:val="en-GB"/>
        </w:rPr>
        <w:t>Whereas f</w:t>
      </w:r>
      <w:r w:rsidRPr="009921B2">
        <w:rPr>
          <w:lang w:val="en-GB"/>
        </w:rPr>
        <w:t xml:space="preserve">unctionings refer to what individuals achieve or </w:t>
      </w:r>
      <w:r w:rsidR="00AE118B">
        <w:rPr>
          <w:lang w:val="en-GB"/>
        </w:rPr>
        <w:t xml:space="preserve">they </w:t>
      </w:r>
      <w:r w:rsidRPr="009921B2">
        <w:rPr>
          <w:lang w:val="en-GB"/>
        </w:rPr>
        <w:t>are,</w:t>
      </w:r>
      <w:r w:rsidR="00B748AB">
        <w:rPr>
          <w:lang w:val="en-GB"/>
        </w:rPr>
        <w:t xml:space="preserve"> </w:t>
      </w:r>
      <w:r w:rsidRPr="009921B2">
        <w:rPr>
          <w:lang w:val="en-GB"/>
        </w:rPr>
        <w:t>capabilities represent the substantive freedoms and genuine opportunities available to pursue different combinations of valued functionings (Jandhyala, 2021; Barros &amp; Diniz, 2025). In education, this distinction highlights that formal access to post-secondary education does not necessarily mean that students possess equal opportunities to participate, succeed, and progress</w:t>
      </w:r>
      <w:r w:rsidR="00565A19">
        <w:rPr>
          <w:lang w:val="en-GB"/>
        </w:rPr>
        <w:t>.</w:t>
      </w:r>
      <w:r w:rsidRPr="009921B2">
        <w:rPr>
          <w:lang w:val="en-GB"/>
        </w:rPr>
        <w:t xml:space="preserve"> Educational participation may therefore reflect not only individual choices or abilities but also the conditions that enable or constrain those choices</w:t>
      </w:r>
      <w:r w:rsidR="00565A19">
        <w:rPr>
          <w:lang w:val="en-GB"/>
        </w:rPr>
        <w:t xml:space="preserve"> </w:t>
      </w:r>
      <w:r w:rsidR="00565A19" w:rsidRPr="009921B2">
        <w:rPr>
          <w:lang w:val="en-GB"/>
        </w:rPr>
        <w:t>(Rasse &amp; Sevilla, 2023).</w:t>
      </w:r>
    </w:p>
    <w:p w14:paraId="5F9F79B5" w14:textId="1B693D8D" w:rsidR="009921B2" w:rsidRPr="009921B2" w:rsidRDefault="009921B2" w:rsidP="007147C1">
      <w:pPr>
        <w:pStyle w:val="isselectedend"/>
        <w:spacing w:line="360" w:lineRule="auto"/>
        <w:jc w:val="both"/>
        <w:rPr>
          <w:lang w:val="en-GB"/>
        </w:rPr>
      </w:pPr>
      <w:r w:rsidRPr="009921B2">
        <w:rPr>
          <w:lang w:val="en-GB"/>
        </w:rPr>
        <w:t xml:space="preserve">Sen views education as a means of expanding capabilities, agency, and freedom rather than simply providing educational resources (Keung &amp; Ho, 2020). Nussbaum further develops this perspective through her framework of central human capabilities, </w:t>
      </w:r>
      <w:r w:rsidR="00A769DD">
        <w:rPr>
          <w:lang w:val="en-GB"/>
        </w:rPr>
        <w:t>stressing</w:t>
      </w:r>
      <w:r w:rsidRPr="009921B2">
        <w:rPr>
          <w:lang w:val="en-GB"/>
        </w:rPr>
        <w:t xml:space="preserve"> government</w:t>
      </w:r>
      <w:r w:rsidR="00AF5A18">
        <w:rPr>
          <w:lang w:val="en-GB"/>
        </w:rPr>
        <w:t xml:space="preserve">s’ </w:t>
      </w:r>
      <w:r w:rsidRPr="009921B2">
        <w:rPr>
          <w:lang w:val="en-GB"/>
        </w:rPr>
        <w:t>responsibility to secure minimum capability thresholds consistent with human dignity (Jandhyala, 2021). Together, these perspectives provide a basis for understanding equitable educational participation as an issue of social justice rather than merely formal access (Hart &amp; Brando, 2018).</w:t>
      </w:r>
    </w:p>
    <w:p w14:paraId="040D0201" w14:textId="5444540F" w:rsidR="009921B2" w:rsidRPr="009921B2" w:rsidRDefault="009921B2" w:rsidP="007D3C5B">
      <w:pPr>
        <w:pStyle w:val="isselectedend"/>
        <w:spacing w:line="360" w:lineRule="auto"/>
        <w:jc w:val="both"/>
        <w:rPr>
          <w:lang w:val="en-GB"/>
        </w:rPr>
      </w:pPr>
      <w:r w:rsidRPr="009921B2">
        <w:rPr>
          <w:lang w:val="en-GB"/>
        </w:rPr>
        <w:t xml:space="preserve">The </w:t>
      </w:r>
      <w:r w:rsidR="00BC2344">
        <w:rPr>
          <w:lang w:val="en-GB"/>
        </w:rPr>
        <w:t>c</w:t>
      </w:r>
      <w:r w:rsidRPr="009921B2">
        <w:rPr>
          <w:lang w:val="en-GB"/>
        </w:rPr>
        <w:t xml:space="preserve">apability </w:t>
      </w:r>
      <w:r w:rsidR="00BC2344">
        <w:rPr>
          <w:lang w:val="en-GB"/>
        </w:rPr>
        <w:t>a</w:t>
      </w:r>
      <w:r w:rsidRPr="009921B2">
        <w:rPr>
          <w:lang w:val="en-GB"/>
        </w:rPr>
        <w:t xml:space="preserve">pproach is particularly applicable to post-secondary educational transitions. Keung and Ho (2020) identify contextual capability, self-study effort, and academic ability as capabilities supporting progression into further education. However, these opportunities are not equally distributed, and individual participation cannot be understood independently of wider institutional and social conditions. For disabled students, barriers to converting resources into educational opportunities may arise through inaccessible environments, limited support, and institutional practices (Madaus et al., 2018). Mutanga and Walker (2015) similarly emphasise the importance of examining the structural barriers that restrict disabled students' access to and participation in higher education. Consequently, differences in participation should not automatically be attributed to disability itself but understood </w:t>
      </w:r>
      <w:r w:rsidR="0085569D">
        <w:rPr>
          <w:lang w:val="en-GB"/>
        </w:rPr>
        <w:t xml:space="preserve">together with </w:t>
      </w:r>
      <w:r w:rsidRPr="009921B2">
        <w:rPr>
          <w:lang w:val="en-GB"/>
        </w:rPr>
        <w:t>the conditions shaping students' opportunities</w:t>
      </w:r>
      <w:r w:rsidR="008F2805">
        <w:rPr>
          <w:lang w:val="en-GB"/>
        </w:rPr>
        <w:t xml:space="preserve"> and inclusion</w:t>
      </w:r>
      <w:r w:rsidRPr="009921B2">
        <w:rPr>
          <w:lang w:val="en-GB"/>
        </w:rPr>
        <w:t xml:space="preserve"> (Barros &amp; Diniz, 2025).</w:t>
      </w:r>
    </w:p>
    <w:p w14:paraId="02128D66" w14:textId="3B9558D0" w:rsidR="009921B2" w:rsidRPr="009921B2" w:rsidRDefault="009921B2" w:rsidP="00D07C7C">
      <w:pPr>
        <w:pStyle w:val="isselectedend"/>
        <w:spacing w:line="360" w:lineRule="auto"/>
        <w:jc w:val="both"/>
        <w:rPr>
          <w:lang w:val="en-GB"/>
        </w:rPr>
      </w:pPr>
      <w:r w:rsidRPr="009921B2">
        <w:rPr>
          <w:lang w:val="en-GB"/>
        </w:rPr>
        <w:t xml:space="preserve">Social inclusion is closely connected to the </w:t>
      </w:r>
      <w:r w:rsidR="008F2805">
        <w:rPr>
          <w:lang w:val="en-GB"/>
        </w:rPr>
        <w:t>c</w:t>
      </w:r>
      <w:r w:rsidRPr="009921B2">
        <w:rPr>
          <w:lang w:val="en-GB"/>
        </w:rPr>
        <w:t xml:space="preserve">apability </w:t>
      </w:r>
      <w:r w:rsidR="008F2805">
        <w:rPr>
          <w:lang w:val="en-GB"/>
        </w:rPr>
        <w:t>a</w:t>
      </w:r>
      <w:r w:rsidRPr="009921B2">
        <w:rPr>
          <w:lang w:val="en-GB"/>
        </w:rPr>
        <w:t xml:space="preserve">pproach, encompassing opportunities for full participation, belonging, and engagement in intellectual, cultural, and social life (Biagiotti et al., 2026; Rasse &amp; Sevilla, 2023). Participation in post-secondary education can </w:t>
      </w:r>
      <w:r w:rsidRPr="009921B2">
        <w:rPr>
          <w:lang w:val="en-GB"/>
        </w:rPr>
        <w:lastRenderedPageBreak/>
        <w:t>therefore represent an important dimension of inclusion and a pathway towards valued educational and future life outcomes</w:t>
      </w:r>
      <w:r w:rsidR="0000797D">
        <w:rPr>
          <w:lang w:val="en-GB"/>
        </w:rPr>
        <w:t xml:space="preserve"> </w:t>
      </w:r>
      <w:r w:rsidRPr="009921B2">
        <w:rPr>
          <w:lang w:val="en-GB"/>
        </w:rPr>
        <w:t>(Keung &amp; Ho, 2020).</w:t>
      </w:r>
    </w:p>
    <w:p w14:paraId="1CC73BE7" w14:textId="1DFC3B85" w:rsidR="009921B2" w:rsidRPr="009921B2" w:rsidRDefault="009921B2" w:rsidP="00EC5501">
      <w:pPr>
        <w:pStyle w:val="Normalwebb"/>
        <w:spacing w:line="360" w:lineRule="auto"/>
        <w:jc w:val="both"/>
        <w:rPr>
          <w:lang w:val="en-GB"/>
        </w:rPr>
      </w:pPr>
      <w:r w:rsidRPr="009921B2">
        <w:rPr>
          <w:lang w:val="en-GB"/>
        </w:rPr>
        <w:t xml:space="preserve">In this study, the </w:t>
      </w:r>
      <w:r w:rsidR="00AF5A18">
        <w:rPr>
          <w:lang w:val="en-GB"/>
        </w:rPr>
        <w:t>c</w:t>
      </w:r>
      <w:r w:rsidRPr="009921B2">
        <w:rPr>
          <w:lang w:val="en-GB"/>
        </w:rPr>
        <w:t xml:space="preserve">apability </w:t>
      </w:r>
      <w:r w:rsidR="00AF5A18">
        <w:rPr>
          <w:lang w:val="en-GB"/>
        </w:rPr>
        <w:t>a</w:t>
      </w:r>
      <w:r w:rsidRPr="009921B2">
        <w:rPr>
          <w:lang w:val="en-GB"/>
        </w:rPr>
        <w:t>pproach is used as a theoretical lens rather than as a direct measurement framework. Participation rates are not treated as direct measures of individual capabilities; instead, they are interpreted as indicators of potentially unequal educational opportunities. Th</w:t>
      </w:r>
      <w:r w:rsidR="00F74D49">
        <w:rPr>
          <w:lang w:val="en-GB"/>
        </w:rPr>
        <w:t>is</w:t>
      </w:r>
      <w:r w:rsidRPr="009921B2">
        <w:rPr>
          <w:lang w:val="en-GB"/>
        </w:rPr>
        <w:t xml:space="preserve"> framework therefore supports examin</w:t>
      </w:r>
      <w:r w:rsidR="00842AEC">
        <w:rPr>
          <w:lang w:val="en-GB"/>
        </w:rPr>
        <w:t>ing</w:t>
      </w:r>
      <w:r w:rsidRPr="009921B2">
        <w:rPr>
          <w:lang w:val="en-GB"/>
        </w:rPr>
        <w:t xml:space="preserve"> differences by disability status, disability type, gender, and the period following secondary education, while drawing attention to the broader social and educational conditions that may enable or constrain post-secondary participation.</w:t>
      </w:r>
    </w:p>
    <w:p w14:paraId="482EFDED" w14:textId="17B6753E" w:rsidR="00850B53" w:rsidRPr="00DE630C" w:rsidRDefault="00850B53" w:rsidP="00914099">
      <w:pPr>
        <w:spacing w:before="100" w:beforeAutospacing="1" w:after="100" w:afterAutospacing="1" w:line="240" w:lineRule="auto"/>
        <w:rPr>
          <w:rFonts w:ascii="Times New Roman" w:eastAsia="Times New Roman" w:hAnsi="Times New Roman" w:cs="Times New Roman"/>
          <w:b/>
          <w:bCs/>
          <w:sz w:val="24"/>
          <w:szCs w:val="24"/>
          <w:lang w:eastAsia="sv-SE"/>
        </w:rPr>
      </w:pPr>
      <w:r w:rsidRPr="00DE630C">
        <w:rPr>
          <w:rFonts w:ascii="Times New Roman" w:eastAsia="Times New Roman" w:hAnsi="Times New Roman" w:cs="Times New Roman"/>
          <w:b/>
          <w:bCs/>
          <w:sz w:val="24"/>
          <w:szCs w:val="24"/>
          <w:lang w:eastAsia="sv-SE"/>
        </w:rPr>
        <w:t>Resear</w:t>
      </w:r>
      <w:r w:rsidR="00AF05BE" w:rsidRPr="00DE630C">
        <w:rPr>
          <w:rFonts w:ascii="Times New Roman" w:eastAsia="Times New Roman" w:hAnsi="Times New Roman" w:cs="Times New Roman"/>
          <w:b/>
          <w:bCs/>
          <w:sz w:val="24"/>
          <w:szCs w:val="24"/>
          <w:lang w:eastAsia="sv-SE"/>
        </w:rPr>
        <w:t>ch Problem</w:t>
      </w:r>
      <w:r w:rsidRPr="00DE630C">
        <w:rPr>
          <w:rFonts w:ascii="Times New Roman" w:eastAsia="Times New Roman" w:hAnsi="Times New Roman" w:cs="Times New Roman"/>
          <w:b/>
          <w:bCs/>
          <w:sz w:val="24"/>
          <w:szCs w:val="24"/>
          <w:lang w:eastAsia="sv-SE"/>
        </w:rPr>
        <w:t>:</w:t>
      </w:r>
    </w:p>
    <w:p w14:paraId="5C8407B0" w14:textId="1E4CDEB4" w:rsidR="00E86346" w:rsidRPr="00794494" w:rsidRDefault="0095665D" w:rsidP="00C92C21">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94494">
        <w:rPr>
          <w:rFonts w:ascii="Times New Roman" w:eastAsia="Times New Roman" w:hAnsi="Times New Roman" w:cs="Times New Roman"/>
          <w:sz w:val="24"/>
          <w:szCs w:val="24"/>
          <w:lang w:eastAsia="sv-SE"/>
        </w:rPr>
        <w:t>Despite efforts to promote inclusive access to post-secondary education, disabled students may continue to experience inequalities in educational participation compared with students without disabilities</w:t>
      </w:r>
      <w:r w:rsidR="00D148C2" w:rsidRPr="00794494">
        <w:rPr>
          <w:rFonts w:ascii="Times New Roman" w:eastAsia="Times New Roman" w:hAnsi="Times New Roman" w:cs="Times New Roman"/>
          <w:sz w:val="24"/>
          <w:szCs w:val="24"/>
          <w:lang w:eastAsia="sv-SE"/>
        </w:rPr>
        <w:t xml:space="preserve"> (Stefánsdóttir &amp; Björnsdóttir, 2016</w:t>
      </w:r>
      <w:r w:rsidR="00F755AD" w:rsidRPr="00794494">
        <w:rPr>
          <w:rFonts w:ascii="Times New Roman" w:eastAsia="Times New Roman" w:hAnsi="Times New Roman" w:cs="Times New Roman"/>
          <w:sz w:val="24"/>
          <w:szCs w:val="24"/>
          <w:lang w:eastAsia="sv-SE"/>
        </w:rPr>
        <w:t>, Carballo et al., 2019).</w:t>
      </w:r>
      <w:r w:rsidRPr="00794494">
        <w:rPr>
          <w:rFonts w:ascii="Times New Roman" w:eastAsia="Times New Roman" w:hAnsi="Times New Roman" w:cs="Times New Roman"/>
          <w:sz w:val="24"/>
          <w:szCs w:val="24"/>
          <w:lang w:eastAsia="sv-SE"/>
        </w:rPr>
        <w:t xml:space="preserve"> However, limited attention has been given to how participation varies across disability status, disability type, gender, and the period following completion of secondary education. Examining these patterns is important because differences in participation may reflect unequal educational opportunities and barriers to further education. This study therefore investigates patterns and statistically significant differences in post-secondary education participation across disability and gender groups </w:t>
      </w:r>
      <w:r w:rsidR="009D3F58">
        <w:rPr>
          <w:rFonts w:ascii="Times New Roman" w:eastAsia="Times New Roman" w:hAnsi="Times New Roman" w:cs="Times New Roman"/>
          <w:sz w:val="24"/>
          <w:szCs w:val="24"/>
          <w:lang w:eastAsia="sv-SE"/>
        </w:rPr>
        <w:t>in</w:t>
      </w:r>
      <w:r w:rsidRPr="00794494">
        <w:rPr>
          <w:rFonts w:ascii="Times New Roman" w:eastAsia="Times New Roman" w:hAnsi="Times New Roman" w:cs="Times New Roman"/>
          <w:sz w:val="24"/>
          <w:szCs w:val="24"/>
          <w:lang w:eastAsia="sv-SE"/>
        </w:rPr>
        <w:t xml:space="preserve"> the first three years </w:t>
      </w:r>
      <w:r w:rsidR="00073679">
        <w:rPr>
          <w:rFonts w:ascii="Times New Roman" w:eastAsia="Times New Roman" w:hAnsi="Times New Roman" w:cs="Times New Roman"/>
          <w:sz w:val="24"/>
          <w:szCs w:val="24"/>
          <w:lang w:eastAsia="sv-SE"/>
        </w:rPr>
        <w:t>after</w:t>
      </w:r>
      <w:r w:rsidRPr="00794494">
        <w:rPr>
          <w:rFonts w:ascii="Times New Roman" w:eastAsia="Times New Roman" w:hAnsi="Times New Roman" w:cs="Times New Roman"/>
          <w:sz w:val="24"/>
          <w:szCs w:val="24"/>
          <w:lang w:eastAsia="sv-SE"/>
        </w:rPr>
        <w:t xml:space="preserve"> secondary education.</w:t>
      </w:r>
    </w:p>
    <w:p w14:paraId="78827ED1" w14:textId="51CDBACC" w:rsidR="0087451F" w:rsidRPr="00794494" w:rsidRDefault="0087451F" w:rsidP="00C92C21">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794494">
        <w:rPr>
          <w:rFonts w:ascii="Times New Roman" w:eastAsia="Times New Roman" w:hAnsi="Times New Roman" w:cs="Times New Roman"/>
          <w:b/>
          <w:bCs/>
          <w:sz w:val="24"/>
          <w:szCs w:val="24"/>
          <w:lang w:eastAsia="sv-SE"/>
        </w:rPr>
        <w:t>Aim</w:t>
      </w:r>
    </w:p>
    <w:p w14:paraId="61DFF92E" w14:textId="12CD1ED2" w:rsidR="0095665D" w:rsidRPr="0087451F" w:rsidRDefault="00904857" w:rsidP="00C92C21">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F05F5">
        <w:t>T</w:t>
      </w:r>
      <w:r w:rsidR="0095665D" w:rsidRPr="007F05F5">
        <w:rPr>
          <w:rFonts w:ascii="Times New Roman" w:eastAsia="Times New Roman" w:hAnsi="Times New Roman" w:cs="Times New Roman"/>
          <w:sz w:val="24"/>
          <w:szCs w:val="24"/>
          <w:lang w:eastAsia="sv-SE"/>
        </w:rPr>
        <w:t>h</w:t>
      </w:r>
      <w:r w:rsidR="002126AD" w:rsidRPr="007F05F5">
        <w:rPr>
          <w:rFonts w:ascii="Times New Roman" w:eastAsia="Times New Roman" w:hAnsi="Times New Roman" w:cs="Times New Roman"/>
          <w:sz w:val="24"/>
          <w:szCs w:val="24"/>
          <w:lang w:eastAsia="sv-SE"/>
        </w:rPr>
        <w:t>is study</w:t>
      </w:r>
      <w:r w:rsidR="0095665D" w:rsidRPr="007F05F5">
        <w:rPr>
          <w:rFonts w:ascii="Times New Roman" w:eastAsia="Times New Roman" w:hAnsi="Times New Roman" w:cs="Times New Roman"/>
          <w:sz w:val="24"/>
          <w:szCs w:val="24"/>
          <w:lang w:eastAsia="sv-SE"/>
        </w:rPr>
        <w:t xml:space="preserve"> aim</w:t>
      </w:r>
      <w:r w:rsidR="002126AD" w:rsidRPr="007F05F5">
        <w:rPr>
          <w:rFonts w:ascii="Times New Roman" w:eastAsia="Times New Roman" w:hAnsi="Times New Roman" w:cs="Times New Roman"/>
          <w:sz w:val="24"/>
          <w:szCs w:val="24"/>
          <w:lang w:eastAsia="sv-SE"/>
        </w:rPr>
        <w:t>s at</w:t>
      </w:r>
      <w:r w:rsidR="0095665D" w:rsidRPr="007F05F5">
        <w:rPr>
          <w:rFonts w:ascii="Times New Roman" w:eastAsia="Times New Roman" w:hAnsi="Times New Roman" w:cs="Times New Roman"/>
          <w:sz w:val="24"/>
          <w:szCs w:val="24"/>
          <w:lang w:eastAsia="sv-SE"/>
        </w:rPr>
        <w:t xml:space="preserve"> examin</w:t>
      </w:r>
      <w:r w:rsidR="002126AD" w:rsidRPr="007F05F5">
        <w:rPr>
          <w:rFonts w:ascii="Times New Roman" w:eastAsia="Times New Roman" w:hAnsi="Times New Roman" w:cs="Times New Roman"/>
          <w:sz w:val="24"/>
          <w:szCs w:val="24"/>
          <w:lang w:eastAsia="sv-SE"/>
        </w:rPr>
        <w:t>ing</w:t>
      </w:r>
      <w:r w:rsidR="0095665D" w:rsidRPr="007F05F5">
        <w:rPr>
          <w:rFonts w:ascii="Times New Roman" w:eastAsia="Times New Roman" w:hAnsi="Times New Roman" w:cs="Times New Roman"/>
          <w:sz w:val="24"/>
          <w:szCs w:val="24"/>
          <w:lang w:eastAsia="sv-SE"/>
        </w:rPr>
        <w:t xml:space="preserve"> patterns and differences in post-secondary education participation among students with and without disabilities in Sweden between 2018 and 2020. Specifically, the study examines variation in participation by disability status, disability type, and gender, as well as changes in participation during the first three years following completion of secondary education.</w:t>
      </w:r>
    </w:p>
    <w:p w14:paraId="1B4EEEF3" w14:textId="77777777" w:rsidR="00904857" w:rsidRDefault="00904857" w:rsidP="0095665D">
      <w:pPr>
        <w:spacing w:before="100" w:beforeAutospacing="1" w:after="100" w:afterAutospacing="1" w:line="240" w:lineRule="auto"/>
        <w:rPr>
          <w:rFonts w:ascii="Times New Roman" w:eastAsia="Times New Roman" w:hAnsi="Times New Roman" w:cs="Times New Roman"/>
          <w:b/>
          <w:bCs/>
          <w:sz w:val="24"/>
          <w:szCs w:val="24"/>
          <w:lang w:eastAsia="sv-SE"/>
        </w:rPr>
      </w:pPr>
    </w:p>
    <w:p w14:paraId="0FF559AB" w14:textId="77777777" w:rsidR="00904857" w:rsidRDefault="00904857" w:rsidP="0095665D">
      <w:pPr>
        <w:spacing w:before="100" w:beforeAutospacing="1" w:after="100" w:afterAutospacing="1" w:line="240" w:lineRule="auto"/>
        <w:rPr>
          <w:rFonts w:ascii="Times New Roman" w:eastAsia="Times New Roman" w:hAnsi="Times New Roman" w:cs="Times New Roman"/>
          <w:b/>
          <w:bCs/>
          <w:sz w:val="24"/>
          <w:szCs w:val="24"/>
          <w:lang w:eastAsia="sv-SE"/>
        </w:rPr>
      </w:pPr>
    </w:p>
    <w:p w14:paraId="103E69CA" w14:textId="77777777" w:rsidR="001B2124" w:rsidRDefault="001B2124" w:rsidP="0095665D">
      <w:pPr>
        <w:spacing w:before="100" w:beforeAutospacing="1" w:after="100" w:afterAutospacing="1" w:line="240" w:lineRule="auto"/>
        <w:rPr>
          <w:rFonts w:ascii="Times New Roman" w:eastAsia="Times New Roman" w:hAnsi="Times New Roman" w:cs="Times New Roman"/>
          <w:b/>
          <w:bCs/>
          <w:sz w:val="24"/>
          <w:szCs w:val="24"/>
          <w:lang w:eastAsia="sv-SE"/>
        </w:rPr>
      </w:pPr>
    </w:p>
    <w:p w14:paraId="49CB60B5" w14:textId="77777777" w:rsidR="0076564B" w:rsidRDefault="0076564B" w:rsidP="0095665D">
      <w:pPr>
        <w:spacing w:before="100" w:beforeAutospacing="1" w:after="100" w:afterAutospacing="1" w:line="240" w:lineRule="auto"/>
        <w:rPr>
          <w:rFonts w:ascii="Times New Roman" w:eastAsia="Times New Roman" w:hAnsi="Times New Roman" w:cs="Times New Roman"/>
          <w:b/>
          <w:bCs/>
          <w:sz w:val="24"/>
          <w:szCs w:val="24"/>
          <w:lang w:eastAsia="sv-SE"/>
        </w:rPr>
      </w:pPr>
    </w:p>
    <w:p w14:paraId="6B0E1EFE" w14:textId="435FB5B9" w:rsidR="0087451F" w:rsidRPr="0087451F" w:rsidRDefault="0087451F" w:rsidP="0095665D">
      <w:pPr>
        <w:spacing w:before="100" w:beforeAutospacing="1" w:after="100" w:afterAutospacing="1" w:line="240" w:lineRule="auto"/>
        <w:rPr>
          <w:rFonts w:ascii="Times New Roman" w:eastAsia="Times New Roman" w:hAnsi="Times New Roman" w:cs="Times New Roman"/>
          <w:b/>
          <w:bCs/>
          <w:sz w:val="24"/>
          <w:szCs w:val="24"/>
          <w:lang w:eastAsia="sv-SE"/>
        </w:rPr>
      </w:pPr>
      <w:r w:rsidRPr="0087451F">
        <w:rPr>
          <w:rFonts w:ascii="Times New Roman" w:eastAsia="Times New Roman" w:hAnsi="Times New Roman" w:cs="Times New Roman"/>
          <w:b/>
          <w:bCs/>
          <w:sz w:val="24"/>
          <w:szCs w:val="24"/>
          <w:lang w:eastAsia="sv-SE"/>
        </w:rPr>
        <w:lastRenderedPageBreak/>
        <w:t>Research question</w:t>
      </w:r>
    </w:p>
    <w:p w14:paraId="5EBA8236" w14:textId="1D88D7E3" w:rsidR="002707FA" w:rsidRDefault="0095665D" w:rsidP="002707FA">
      <w:pPr>
        <w:spacing w:before="100" w:beforeAutospacing="1" w:after="100" w:afterAutospacing="1" w:line="240" w:lineRule="auto"/>
        <w:rPr>
          <w:rFonts w:ascii="Times New Roman" w:eastAsia="Times New Roman" w:hAnsi="Times New Roman" w:cs="Times New Roman"/>
          <w:sz w:val="24"/>
          <w:szCs w:val="24"/>
          <w:lang w:eastAsia="sv-SE"/>
        </w:rPr>
      </w:pPr>
      <w:r w:rsidRPr="0095665D">
        <w:rPr>
          <w:rFonts w:ascii="Times New Roman" w:eastAsia="Times New Roman" w:hAnsi="Times New Roman" w:cs="Times New Roman"/>
          <w:sz w:val="24"/>
          <w:szCs w:val="24"/>
          <w:lang w:eastAsia="sv-SE"/>
        </w:rPr>
        <w:t>How did post-secondary education participation var</w:t>
      </w:r>
      <w:r w:rsidR="000A6F02">
        <w:rPr>
          <w:rFonts w:ascii="Times New Roman" w:eastAsia="Times New Roman" w:hAnsi="Times New Roman" w:cs="Times New Roman"/>
          <w:sz w:val="24"/>
          <w:szCs w:val="24"/>
          <w:lang w:eastAsia="sv-SE"/>
        </w:rPr>
        <w:t>y</w:t>
      </w:r>
      <w:r w:rsidRPr="0095665D">
        <w:rPr>
          <w:rFonts w:ascii="Times New Roman" w:eastAsia="Times New Roman" w:hAnsi="Times New Roman" w:cs="Times New Roman"/>
          <w:sz w:val="24"/>
          <w:szCs w:val="24"/>
          <w:lang w:eastAsia="sv-SE"/>
        </w:rPr>
        <w:t xml:space="preserve"> by disability status</w:t>
      </w:r>
      <w:r w:rsidR="002707FA">
        <w:rPr>
          <w:rFonts w:ascii="Times New Roman" w:eastAsia="Times New Roman" w:hAnsi="Times New Roman" w:cs="Times New Roman"/>
          <w:sz w:val="24"/>
          <w:szCs w:val="24"/>
          <w:lang w:eastAsia="sv-SE"/>
        </w:rPr>
        <w:t xml:space="preserve"> or </w:t>
      </w:r>
      <w:r w:rsidRPr="0095665D">
        <w:rPr>
          <w:rFonts w:ascii="Times New Roman" w:eastAsia="Times New Roman" w:hAnsi="Times New Roman" w:cs="Times New Roman"/>
          <w:sz w:val="24"/>
          <w:szCs w:val="24"/>
          <w:lang w:eastAsia="sv-SE"/>
        </w:rPr>
        <w:t>type, and gender between 2018 and 2020</w:t>
      </w:r>
      <w:r w:rsidR="002707FA">
        <w:rPr>
          <w:rFonts w:ascii="Times New Roman" w:eastAsia="Times New Roman" w:hAnsi="Times New Roman" w:cs="Times New Roman"/>
          <w:sz w:val="24"/>
          <w:szCs w:val="24"/>
          <w:lang w:eastAsia="sv-SE"/>
        </w:rPr>
        <w:t>?</w:t>
      </w:r>
    </w:p>
    <w:p w14:paraId="2A40207D" w14:textId="2A7738E8" w:rsidR="0087451F" w:rsidRPr="002707FA" w:rsidRDefault="0087451F" w:rsidP="002707FA">
      <w:pPr>
        <w:spacing w:before="100" w:beforeAutospacing="1" w:after="100" w:afterAutospacing="1" w:line="240" w:lineRule="auto"/>
        <w:rPr>
          <w:rFonts w:ascii="Times New Roman" w:eastAsia="Times New Roman" w:hAnsi="Times New Roman" w:cs="Times New Roman"/>
          <w:b/>
          <w:bCs/>
          <w:sz w:val="24"/>
          <w:szCs w:val="24"/>
          <w:lang w:eastAsia="sv-SE"/>
        </w:rPr>
      </w:pPr>
      <w:r w:rsidRPr="002707FA">
        <w:rPr>
          <w:rFonts w:ascii="Times New Roman" w:eastAsia="Times New Roman" w:hAnsi="Times New Roman" w:cs="Times New Roman"/>
          <w:b/>
          <w:bCs/>
          <w:sz w:val="27"/>
          <w:szCs w:val="27"/>
          <w:lang w:val="sv-SE" w:eastAsia="sv-SE"/>
        </w:rPr>
        <w:t xml:space="preserve">Secondary </w:t>
      </w:r>
      <w:r w:rsidR="002707FA" w:rsidRPr="002707FA">
        <w:rPr>
          <w:rFonts w:ascii="Times New Roman" w:eastAsia="Times New Roman" w:hAnsi="Times New Roman" w:cs="Times New Roman"/>
          <w:b/>
          <w:bCs/>
          <w:sz w:val="27"/>
          <w:szCs w:val="27"/>
          <w:lang w:val="sv-SE" w:eastAsia="sv-SE"/>
        </w:rPr>
        <w:t>Research Questions</w:t>
      </w:r>
    </w:p>
    <w:p w14:paraId="0B54B478" w14:textId="77777777" w:rsidR="0095665D" w:rsidRPr="0095665D" w:rsidRDefault="0095665D" w:rsidP="002816EE">
      <w:pPr>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sv-SE"/>
        </w:rPr>
      </w:pPr>
      <w:r w:rsidRPr="0095665D">
        <w:rPr>
          <w:rFonts w:ascii="Times New Roman" w:eastAsia="Times New Roman" w:hAnsi="Times New Roman" w:cs="Times New Roman"/>
          <w:sz w:val="24"/>
          <w:szCs w:val="24"/>
          <w:lang w:eastAsia="sv-SE"/>
        </w:rPr>
        <w:t>Did post-secondary education participation differ significantly across the first three years following completion of secondary education?</w:t>
      </w:r>
    </w:p>
    <w:p w14:paraId="4B9C17A4" w14:textId="77777777" w:rsidR="0095665D" w:rsidRPr="0095665D" w:rsidRDefault="0095665D" w:rsidP="002816EE">
      <w:pPr>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sv-SE"/>
        </w:rPr>
      </w:pPr>
      <w:r w:rsidRPr="0095665D">
        <w:rPr>
          <w:rFonts w:ascii="Times New Roman" w:eastAsia="Times New Roman" w:hAnsi="Times New Roman" w:cs="Times New Roman"/>
          <w:sz w:val="24"/>
          <w:szCs w:val="24"/>
          <w:lang w:eastAsia="sv-SE"/>
        </w:rPr>
        <w:t>Did post-secondary education participation change significantly between the first and third years following completion of secondary education?</w:t>
      </w:r>
    </w:p>
    <w:p w14:paraId="3E43C353" w14:textId="77777777" w:rsidR="0095665D" w:rsidRPr="0095665D" w:rsidRDefault="0095665D" w:rsidP="002816EE">
      <w:pPr>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sv-SE"/>
        </w:rPr>
      </w:pPr>
      <w:r w:rsidRPr="0095665D">
        <w:rPr>
          <w:rFonts w:ascii="Times New Roman" w:eastAsia="Times New Roman" w:hAnsi="Times New Roman" w:cs="Times New Roman"/>
          <w:sz w:val="24"/>
          <w:szCs w:val="24"/>
          <w:lang w:eastAsia="sv-SE"/>
        </w:rPr>
        <w:t>How did post-secondary education participation vary across different disability types?</w:t>
      </w:r>
    </w:p>
    <w:p w14:paraId="3C281264" w14:textId="5C01D787" w:rsidR="0095665D" w:rsidRPr="00514FC7" w:rsidRDefault="0095665D" w:rsidP="00590B5E">
      <w:pPr>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sv-SE"/>
        </w:rPr>
      </w:pPr>
      <w:r w:rsidRPr="0095665D">
        <w:rPr>
          <w:rFonts w:ascii="Times New Roman" w:eastAsia="Times New Roman" w:hAnsi="Times New Roman" w:cs="Times New Roman"/>
          <w:sz w:val="24"/>
          <w:szCs w:val="24"/>
          <w:lang w:eastAsia="sv-SE"/>
        </w:rPr>
        <w:t>What patterns of disparity in post-secondary education participation can be identified across disability types and gender</w:t>
      </w:r>
      <w:r w:rsidRPr="0095665D">
        <w:rPr>
          <w:rFonts w:ascii="Times New Roman" w:eastAsia="Times New Roman" w:hAnsi="Times New Roman" w:cs="Times New Roman"/>
          <w:b/>
          <w:bCs/>
          <w:sz w:val="24"/>
          <w:szCs w:val="24"/>
          <w:lang w:eastAsia="sv-SE"/>
        </w:rPr>
        <w:t>?</w:t>
      </w:r>
    </w:p>
    <w:p w14:paraId="0EF2B65A" w14:textId="1DF4982E" w:rsidR="002D7203" w:rsidRPr="00C759F0" w:rsidRDefault="007114FD" w:rsidP="00C759F0">
      <w:pPr>
        <w:spacing w:before="100" w:beforeAutospacing="1" w:after="100" w:afterAutospacing="1" w:line="240" w:lineRule="auto"/>
        <w:rPr>
          <w:rFonts w:ascii="Times New Roman" w:eastAsia="Times New Roman" w:hAnsi="Times New Roman" w:cs="Times New Roman"/>
          <w:b/>
          <w:bCs/>
          <w:sz w:val="24"/>
          <w:szCs w:val="24"/>
          <w:lang w:eastAsia="sv-SE"/>
        </w:rPr>
      </w:pPr>
      <w:r w:rsidRPr="00ED26DA">
        <w:rPr>
          <w:rFonts w:ascii="Times New Roman" w:eastAsia="Times New Roman" w:hAnsi="Times New Roman" w:cs="Times New Roman"/>
          <w:b/>
          <w:bCs/>
          <w:sz w:val="24"/>
          <w:szCs w:val="24"/>
          <w:lang w:eastAsia="sv-SE"/>
        </w:rPr>
        <w:t xml:space="preserve">Literature </w:t>
      </w:r>
      <w:r w:rsidR="004B7AA5" w:rsidRPr="00ED26DA">
        <w:rPr>
          <w:rFonts w:ascii="Times New Roman" w:eastAsia="Times New Roman" w:hAnsi="Times New Roman" w:cs="Times New Roman"/>
          <w:b/>
          <w:bCs/>
          <w:sz w:val="24"/>
          <w:szCs w:val="24"/>
          <w:lang w:eastAsia="sv-SE"/>
        </w:rPr>
        <w:t>Review</w:t>
      </w:r>
    </w:p>
    <w:p w14:paraId="535BA9AB" w14:textId="77777777" w:rsidR="0031336A" w:rsidRDefault="00C759F0" w:rsidP="0031336A">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A433B9">
        <w:rPr>
          <w:rFonts w:ascii="Times New Roman" w:eastAsia="Times New Roman" w:hAnsi="Times New Roman" w:cs="Times New Roman"/>
          <w:b/>
          <w:bCs/>
          <w:sz w:val="24"/>
          <w:szCs w:val="24"/>
          <w:lang w:eastAsia="sv-SE"/>
        </w:rPr>
        <w:t>The Capability Approach and Educational Participation</w:t>
      </w:r>
    </w:p>
    <w:p w14:paraId="240DF99D" w14:textId="120DE40E" w:rsidR="00A433B9" w:rsidRPr="0031336A" w:rsidRDefault="00A433B9" w:rsidP="0031336A">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A433B9">
        <w:rPr>
          <w:rFonts w:ascii="Times New Roman" w:eastAsia="Times New Roman" w:hAnsi="Times New Roman" w:cs="Times New Roman"/>
          <w:sz w:val="24"/>
          <w:szCs w:val="24"/>
          <w:lang w:eastAsia="sv-SE"/>
        </w:rPr>
        <w:t xml:space="preserve">Swedish educational policy emphasizes equal educational opportunities and inclusion for students with diverse needs (Skolverket, 2026). </w:t>
      </w:r>
      <w:r w:rsidRPr="0031336A">
        <w:rPr>
          <w:rFonts w:ascii="Times New Roman" w:eastAsia="Times New Roman" w:hAnsi="Times New Roman" w:cs="Times New Roman"/>
          <w:sz w:val="24"/>
          <w:szCs w:val="24"/>
          <w:lang w:eastAsia="sv-SE"/>
        </w:rPr>
        <w:t xml:space="preserve">However, formal commitments to equality do not necessarily ensure equal opportunities to participate in post-secondary education. Disabled students may encounter different educational, social, and institutional conditions </w:t>
      </w:r>
      <w:r w:rsidR="00CB743B">
        <w:rPr>
          <w:rFonts w:ascii="Times New Roman" w:eastAsia="Times New Roman" w:hAnsi="Times New Roman" w:cs="Times New Roman"/>
          <w:sz w:val="24"/>
          <w:szCs w:val="24"/>
          <w:lang w:eastAsia="sv-SE"/>
        </w:rPr>
        <w:t>which</w:t>
      </w:r>
      <w:r w:rsidRPr="0031336A">
        <w:rPr>
          <w:rFonts w:ascii="Times New Roman" w:eastAsia="Times New Roman" w:hAnsi="Times New Roman" w:cs="Times New Roman"/>
          <w:sz w:val="24"/>
          <w:szCs w:val="24"/>
          <w:lang w:eastAsia="sv-SE"/>
        </w:rPr>
        <w:t xml:space="preserve"> affect their ability to access and benefit from further education (Rasse &amp; Sevilla, 2023). The capability approach, associated primarily with Amartya Sen and Martha Nussbaum, offers a useful framework for examining these differences because it shifts attention from the equal distribution of resources to whether individuals have genuine opportunities to convert those resources into valued outcomes (Jandhyala, 2021).</w:t>
      </w:r>
    </w:p>
    <w:p w14:paraId="472DB488" w14:textId="772648C7" w:rsidR="00A433B9" w:rsidRPr="0031336A" w:rsidRDefault="00A433B9" w:rsidP="00E6090D">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t xml:space="preserve">A central principle of the capability approach is that individuals do not necessarily benefit from the same resources in the same way (Nef et al., 2023). Keung and Ho (2020) argue that educational expectations and transitions are shaped by structural and contextual factors influencing students' opportunities to pursue post-secondary education. From this perspective, educational inequality cannot be assessed simply by whether opportunities are formally available. Attention </w:t>
      </w:r>
      <w:r w:rsidR="00E6090D">
        <w:rPr>
          <w:rFonts w:ascii="Times New Roman" w:eastAsia="Times New Roman" w:hAnsi="Times New Roman" w:cs="Times New Roman"/>
          <w:sz w:val="24"/>
          <w:szCs w:val="24"/>
          <w:lang w:eastAsia="sv-SE"/>
        </w:rPr>
        <w:t>should</w:t>
      </w:r>
      <w:r w:rsidRPr="0031336A">
        <w:rPr>
          <w:rFonts w:ascii="Times New Roman" w:eastAsia="Times New Roman" w:hAnsi="Times New Roman" w:cs="Times New Roman"/>
          <w:sz w:val="24"/>
          <w:szCs w:val="24"/>
          <w:lang w:eastAsia="sv-SE"/>
        </w:rPr>
        <w:t xml:space="preserve"> be given to the conditions that enable or constrain students' ability to use them (Keung &amp; Ho, 2020). This is particularly relevant for disabled students, whose participation may be shaped by institutional practices, social attitudes, accessibility, and available support (Lid, 2026).</w:t>
      </w:r>
    </w:p>
    <w:p w14:paraId="3F739D99" w14:textId="4AFBAFDC" w:rsidR="00A433B9" w:rsidRPr="0031336A" w:rsidRDefault="00A433B9" w:rsidP="00E6090D">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lastRenderedPageBreak/>
        <w:t>Sen distinguishes between capabilities and functionings</w:t>
      </w:r>
      <w:r w:rsidR="00341505">
        <w:rPr>
          <w:rFonts w:ascii="Times New Roman" w:eastAsia="Times New Roman" w:hAnsi="Times New Roman" w:cs="Times New Roman"/>
          <w:sz w:val="24"/>
          <w:szCs w:val="24"/>
          <w:lang w:eastAsia="sv-SE"/>
        </w:rPr>
        <w:t xml:space="preserve"> where </w:t>
      </w:r>
      <w:r w:rsidR="004842E5">
        <w:rPr>
          <w:rFonts w:ascii="Times New Roman" w:eastAsia="Times New Roman" w:hAnsi="Times New Roman" w:cs="Times New Roman"/>
          <w:sz w:val="24"/>
          <w:szCs w:val="24"/>
          <w:lang w:eastAsia="sv-SE"/>
        </w:rPr>
        <w:t>they define c</w:t>
      </w:r>
      <w:r w:rsidRPr="0031336A">
        <w:rPr>
          <w:rFonts w:ascii="Times New Roman" w:eastAsia="Times New Roman" w:hAnsi="Times New Roman" w:cs="Times New Roman"/>
          <w:sz w:val="24"/>
          <w:szCs w:val="24"/>
          <w:lang w:eastAsia="sv-SE"/>
        </w:rPr>
        <w:t xml:space="preserve">apabilities </w:t>
      </w:r>
      <w:r w:rsidR="004842E5">
        <w:rPr>
          <w:rFonts w:ascii="Times New Roman" w:eastAsia="Times New Roman" w:hAnsi="Times New Roman" w:cs="Times New Roman"/>
          <w:sz w:val="24"/>
          <w:szCs w:val="24"/>
          <w:lang w:eastAsia="sv-SE"/>
        </w:rPr>
        <w:t>as</w:t>
      </w:r>
      <w:r w:rsidRPr="0031336A">
        <w:rPr>
          <w:rFonts w:ascii="Times New Roman" w:eastAsia="Times New Roman" w:hAnsi="Times New Roman" w:cs="Times New Roman"/>
          <w:sz w:val="24"/>
          <w:szCs w:val="24"/>
          <w:lang w:eastAsia="sv-SE"/>
        </w:rPr>
        <w:t xml:space="preserve"> the genuine opportunities or freedoms individuals </w:t>
      </w:r>
      <w:r w:rsidR="00B96BE8">
        <w:rPr>
          <w:rFonts w:ascii="Times New Roman" w:eastAsia="Times New Roman" w:hAnsi="Times New Roman" w:cs="Times New Roman"/>
          <w:sz w:val="24"/>
          <w:szCs w:val="24"/>
          <w:lang w:eastAsia="sv-SE"/>
        </w:rPr>
        <w:t>need</w:t>
      </w:r>
      <w:r w:rsidRPr="0031336A">
        <w:rPr>
          <w:rFonts w:ascii="Times New Roman" w:eastAsia="Times New Roman" w:hAnsi="Times New Roman" w:cs="Times New Roman"/>
          <w:sz w:val="24"/>
          <w:szCs w:val="24"/>
          <w:lang w:eastAsia="sv-SE"/>
        </w:rPr>
        <w:t xml:space="preserve"> to achieve valued outcomes</w:t>
      </w:r>
      <w:r w:rsidR="00095CF3">
        <w:rPr>
          <w:rFonts w:ascii="Times New Roman" w:eastAsia="Times New Roman" w:hAnsi="Times New Roman" w:cs="Times New Roman"/>
          <w:sz w:val="24"/>
          <w:szCs w:val="24"/>
          <w:lang w:eastAsia="sv-SE"/>
        </w:rPr>
        <w:t xml:space="preserve"> while</w:t>
      </w:r>
      <w:r w:rsidRPr="0031336A">
        <w:rPr>
          <w:rFonts w:ascii="Times New Roman" w:eastAsia="Times New Roman" w:hAnsi="Times New Roman" w:cs="Times New Roman"/>
          <w:sz w:val="24"/>
          <w:szCs w:val="24"/>
          <w:lang w:eastAsia="sv-SE"/>
        </w:rPr>
        <w:t xml:space="preserve"> functionings </w:t>
      </w:r>
      <w:r w:rsidR="00095CF3">
        <w:rPr>
          <w:rFonts w:ascii="Times New Roman" w:eastAsia="Times New Roman" w:hAnsi="Times New Roman" w:cs="Times New Roman"/>
          <w:sz w:val="24"/>
          <w:szCs w:val="24"/>
          <w:lang w:eastAsia="sv-SE"/>
        </w:rPr>
        <w:t>are</w:t>
      </w:r>
      <w:r w:rsidRPr="0031336A">
        <w:rPr>
          <w:rFonts w:ascii="Times New Roman" w:eastAsia="Times New Roman" w:hAnsi="Times New Roman" w:cs="Times New Roman"/>
          <w:sz w:val="24"/>
          <w:szCs w:val="24"/>
          <w:lang w:eastAsia="sv-SE"/>
        </w:rPr>
        <w:t xml:space="preserve"> what </w:t>
      </w:r>
      <w:r w:rsidR="00983C69">
        <w:rPr>
          <w:rFonts w:ascii="Times New Roman" w:eastAsia="Times New Roman" w:hAnsi="Times New Roman" w:cs="Times New Roman"/>
          <w:sz w:val="24"/>
          <w:szCs w:val="24"/>
          <w:lang w:eastAsia="sv-SE"/>
        </w:rPr>
        <w:t>individuals</w:t>
      </w:r>
      <w:r w:rsidRPr="0031336A">
        <w:rPr>
          <w:rFonts w:ascii="Times New Roman" w:eastAsia="Times New Roman" w:hAnsi="Times New Roman" w:cs="Times New Roman"/>
          <w:sz w:val="24"/>
          <w:szCs w:val="24"/>
          <w:lang w:eastAsia="sv-SE"/>
        </w:rPr>
        <w:t xml:space="preserve"> </w:t>
      </w:r>
      <w:r w:rsidR="00DA5376" w:rsidRPr="0031336A">
        <w:rPr>
          <w:rFonts w:ascii="Times New Roman" w:eastAsia="Times New Roman" w:hAnsi="Times New Roman" w:cs="Times New Roman"/>
          <w:sz w:val="24"/>
          <w:szCs w:val="24"/>
          <w:lang w:eastAsia="sv-SE"/>
        </w:rPr>
        <w:t>achieve</w:t>
      </w:r>
      <w:r w:rsidRPr="0031336A">
        <w:rPr>
          <w:rFonts w:ascii="Times New Roman" w:eastAsia="Times New Roman" w:hAnsi="Times New Roman" w:cs="Times New Roman"/>
          <w:sz w:val="24"/>
          <w:szCs w:val="24"/>
          <w:lang w:eastAsia="sv-SE"/>
        </w:rPr>
        <w:t xml:space="preserve"> or do (Keung &amp; Ho, 2020; Jandhyala, 2021). Applied to post-secondary education, participation can therefore be understood as a functioning, while the capability to participate concerns whether students </w:t>
      </w:r>
      <w:r w:rsidR="00C61604">
        <w:rPr>
          <w:rFonts w:ascii="Times New Roman" w:eastAsia="Times New Roman" w:hAnsi="Times New Roman" w:cs="Times New Roman"/>
          <w:sz w:val="24"/>
          <w:szCs w:val="24"/>
          <w:lang w:eastAsia="sv-SE"/>
        </w:rPr>
        <w:t xml:space="preserve">are </w:t>
      </w:r>
      <w:r w:rsidRPr="0031336A">
        <w:rPr>
          <w:rFonts w:ascii="Times New Roman" w:eastAsia="Times New Roman" w:hAnsi="Times New Roman" w:cs="Times New Roman"/>
          <w:sz w:val="24"/>
          <w:szCs w:val="24"/>
          <w:lang w:eastAsia="sv-SE"/>
        </w:rPr>
        <w:t>genuinely</w:t>
      </w:r>
      <w:r w:rsidR="00F97BD2">
        <w:rPr>
          <w:rFonts w:ascii="Times New Roman" w:eastAsia="Times New Roman" w:hAnsi="Times New Roman" w:cs="Times New Roman"/>
          <w:sz w:val="24"/>
          <w:szCs w:val="24"/>
          <w:lang w:eastAsia="sv-SE"/>
        </w:rPr>
        <w:t xml:space="preserve"> endowed with</w:t>
      </w:r>
      <w:r w:rsidRPr="0031336A">
        <w:rPr>
          <w:rFonts w:ascii="Times New Roman" w:eastAsia="Times New Roman" w:hAnsi="Times New Roman" w:cs="Times New Roman"/>
          <w:sz w:val="24"/>
          <w:szCs w:val="24"/>
          <w:lang w:eastAsia="sv-SE"/>
        </w:rPr>
        <w:t xml:space="preserve"> </w:t>
      </w:r>
      <w:r w:rsidR="00E73E2F">
        <w:rPr>
          <w:rFonts w:ascii="Times New Roman" w:eastAsia="Times New Roman" w:hAnsi="Times New Roman" w:cs="Times New Roman"/>
          <w:sz w:val="24"/>
          <w:szCs w:val="24"/>
          <w:lang w:eastAsia="sv-SE"/>
        </w:rPr>
        <w:t xml:space="preserve">the </w:t>
      </w:r>
      <w:r w:rsidRPr="0031336A">
        <w:rPr>
          <w:rFonts w:ascii="Times New Roman" w:eastAsia="Times New Roman" w:hAnsi="Times New Roman" w:cs="Times New Roman"/>
          <w:sz w:val="24"/>
          <w:szCs w:val="24"/>
          <w:lang w:eastAsia="sv-SE"/>
        </w:rPr>
        <w:t>opportunity to enter and engage in further education (Rasse &amp; Sevilla, 2023).</w:t>
      </w:r>
    </w:p>
    <w:p w14:paraId="5171C867" w14:textId="27174CC5" w:rsidR="00A433B9" w:rsidRPr="0031336A" w:rsidRDefault="00A433B9" w:rsidP="006D7841">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t xml:space="preserve">Nussbaum extends this perspective by arguing that individuals should have access to a minimum threshold of central capabilities necessary for a life consistent with human dignity (Jandhyala, 2021). Her perspective is particularly relevant to disability because it challenges the assumption that equal treatment necessarily produces equitable outcomes. Riddle (2020) similarly highlights historical inequities experienced by persons with disabilities while emphasizing their potential to realise important capabilities. Consequently, lower participation rates among disabled students should not automatically be interpreted as evidence of lower aspirations or individual limitations. They may instead reflect differences in the conditions through which educational capabilities are developed and converted into </w:t>
      </w:r>
      <w:r w:rsidR="007A46F0">
        <w:rPr>
          <w:rFonts w:ascii="Times New Roman" w:eastAsia="Times New Roman" w:hAnsi="Times New Roman" w:cs="Times New Roman"/>
          <w:sz w:val="24"/>
          <w:szCs w:val="24"/>
          <w:lang w:eastAsia="sv-SE"/>
        </w:rPr>
        <w:t xml:space="preserve">participation </w:t>
      </w:r>
      <w:r w:rsidR="001D080B" w:rsidRPr="001D080B">
        <w:rPr>
          <w:rFonts w:ascii="Times New Roman" w:eastAsia="Times New Roman" w:hAnsi="Times New Roman" w:cs="Times New Roman"/>
          <w:sz w:val="24"/>
          <w:szCs w:val="24"/>
          <w:lang w:eastAsia="sv-SE"/>
        </w:rPr>
        <w:t>Keung and Ho (2020)</w:t>
      </w:r>
      <w:r w:rsidRPr="0031336A">
        <w:rPr>
          <w:rFonts w:ascii="Times New Roman" w:eastAsia="Times New Roman" w:hAnsi="Times New Roman" w:cs="Times New Roman"/>
          <w:sz w:val="24"/>
          <w:szCs w:val="24"/>
          <w:lang w:eastAsia="sv-SE"/>
        </w:rPr>
        <w:t>.</w:t>
      </w:r>
    </w:p>
    <w:p w14:paraId="1521FEBF" w14:textId="3CA5B425" w:rsidR="00A433B9" w:rsidRPr="0031336A" w:rsidRDefault="007A46F0" w:rsidP="006D7841">
      <w:pPr>
        <w:spacing w:before="100" w:beforeAutospacing="1" w:after="100" w:afterAutospacing="1"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Further, t</w:t>
      </w:r>
      <w:r w:rsidR="00A433B9" w:rsidRPr="0031336A">
        <w:rPr>
          <w:rFonts w:ascii="Times New Roman" w:eastAsia="Times New Roman" w:hAnsi="Times New Roman" w:cs="Times New Roman"/>
          <w:sz w:val="24"/>
          <w:szCs w:val="24"/>
          <w:lang w:eastAsia="sv-SE"/>
        </w:rPr>
        <w:t>he capability approach also supports examining gender in educational participation (Moriña &amp; Carnerero, 2020). Nef et al. (2023) emphasi</w:t>
      </w:r>
      <w:r>
        <w:rPr>
          <w:rFonts w:ascii="Times New Roman" w:eastAsia="Times New Roman" w:hAnsi="Times New Roman" w:cs="Times New Roman"/>
          <w:sz w:val="24"/>
          <w:szCs w:val="24"/>
          <w:lang w:eastAsia="sv-SE"/>
        </w:rPr>
        <w:t>z</w:t>
      </w:r>
      <w:r w:rsidR="00A433B9" w:rsidRPr="0031336A">
        <w:rPr>
          <w:rFonts w:ascii="Times New Roman" w:eastAsia="Times New Roman" w:hAnsi="Times New Roman" w:cs="Times New Roman"/>
          <w:sz w:val="24"/>
          <w:szCs w:val="24"/>
          <w:lang w:eastAsia="sv-SE"/>
        </w:rPr>
        <w:t>e that social structures, including gender, influence access to resources and opportunities. Keung and Ho (2020) similarly note that educational expectations may vary by gender, although findings are not consistent across contexts. Disability and gender should therefore not necessarily be treated as separate dimensions of inequalit</w:t>
      </w:r>
      <w:r w:rsidR="00CE044D">
        <w:rPr>
          <w:rFonts w:ascii="Times New Roman" w:eastAsia="Times New Roman" w:hAnsi="Times New Roman" w:cs="Times New Roman"/>
          <w:sz w:val="24"/>
          <w:szCs w:val="24"/>
          <w:lang w:eastAsia="sv-SE"/>
        </w:rPr>
        <w:t xml:space="preserve">y </w:t>
      </w:r>
      <w:r w:rsidR="00CE044D" w:rsidRPr="0031336A">
        <w:rPr>
          <w:rFonts w:ascii="Times New Roman" w:eastAsia="Times New Roman" w:hAnsi="Times New Roman" w:cs="Times New Roman"/>
          <w:sz w:val="24"/>
          <w:szCs w:val="24"/>
          <w:lang w:eastAsia="sv-SE"/>
        </w:rPr>
        <w:t>(Moriña &amp; Carnerero, 2020).</w:t>
      </w:r>
      <w:r w:rsidR="00A433B9" w:rsidRPr="0031336A">
        <w:rPr>
          <w:rFonts w:ascii="Times New Roman" w:eastAsia="Times New Roman" w:hAnsi="Times New Roman" w:cs="Times New Roman"/>
          <w:sz w:val="24"/>
          <w:szCs w:val="24"/>
          <w:lang w:eastAsia="sv-SE"/>
        </w:rPr>
        <w:t xml:space="preserve"> Examining participation by gender within disability categories allows this study to consider whether patterns differ between female and male students and whether these differences vary across disability types</w:t>
      </w:r>
      <w:r w:rsidR="00CE044D">
        <w:rPr>
          <w:rFonts w:ascii="Times New Roman" w:eastAsia="Times New Roman" w:hAnsi="Times New Roman" w:cs="Times New Roman"/>
          <w:sz w:val="24"/>
          <w:szCs w:val="24"/>
          <w:lang w:eastAsia="sv-SE"/>
        </w:rPr>
        <w:t>.</w:t>
      </w:r>
    </w:p>
    <w:p w14:paraId="5436AB5E" w14:textId="26C059A6" w:rsidR="00A433B9" w:rsidRPr="0031336A" w:rsidRDefault="00A30B57" w:rsidP="00CE044D">
      <w:pPr>
        <w:spacing w:before="100" w:beforeAutospacing="1" w:after="100" w:afterAutospacing="1"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Furthermore, this theory</w:t>
      </w:r>
      <w:r w:rsidR="00A433B9" w:rsidRPr="0031336A">
        <w:rPr>
          <w:rFonts w:ascii="Times New Roman" w:eastAsia="Times New Roman" w:hAnsi="Times New Roman" w:cs="Times New Roman"/>
          <w:sz w:val="24"/>
          <w:szCs w:val="24"/>
          <w:lang w:eastAsia="sv-SE"/>
        </w:rPr>
        <w:t xml:space="preserve"> is </w:t>
      </w:r>
      <w:r>
        <w:rPr>
          <w:rFonts w:ascii="Times New Roman" w:eastAsia="Times New Roman" w:hAnsi="Times New Roman" w:cs="Times New Roman"/>
          <w:sz w:val="24"/>
          <w:szCs w:val="24"/>
          <w:lang w:eastAsia="sv-SE"/>
        </w:rPr>
        <w:t>as well</w:t>
      </w:r>
      <w:r w:rsidR="00A433B9" w:rsidRPr="0031336A">
        <w:rPr>
          <w:rFonts w:ascii="Times New Roman" w:eastAsia="Times New Roman" w:hAnsi="Times New Roman" w:cs="Times New Roman"/>
          <w:sz w:val="24"/>
          <w:szCs w:val="24"/>
          <w:lang w:eastAsia="sv-SE"/>
        </w:rPr>
        <w:t xml:space="preserve"> relevant to social inclusion. Rasse and Sevilla (2023) argue that education can contribute to social, intellectual, cultural, and personal participation, while acknowledging that educational institutions may reproduce existing inequalities. Hart and Brando (2018) therefore argue that educational quality should be assessed not only through academic outcomes or retention but also through participation</w:t>
      </w:r>
      <w:r w:rsidR="008C7D9D">
        <w:rPr>
          <w:rFonts w:ascii="Times New Roman" w:eastAsia="Times New Roman" w:hAnsi="Times New Roman" w:cs="Times New Roman"/>
          <w:sz w:val="24"/>
          <w:szCs w:val="24"/>
          <w:lang w:eastAsia="sv-SE"/>
        </w:rPr>
        <w:t xml:space="preserve"> </w:t>
      </w:r>
      <w:r w:rsidR="00A433B9" w:rsidRPr="0031336A">
        <w:rPr>
          <w:rFonts w:ascii="Times New Roman" w:eastAsia="Times New Roman" w:hAnsi="Times New Roman" w:cs="Times New Roman"/>
          <w:sz w:val="24"/>
          <w:szCs w:val="24"/>
          <w:lang w:eastAsia="sv-SE"/>
        </w:rPr>
        <w:t>and equitable educational opportunities. This provides a rationale for treating participation itself as an important educational outcome.</w:t>
      </w:r>
    </w:p>
    <w:p w14:paraId="0760E664" w14:textId="0FAA050D" w:rsidR="00A433B9" w:rsidRPr="003A6973" w:rsidRDefault="00A433B9" w:rsidP="003A6973">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lastRenderedPageBreak/>
        <w:t>However, the capability approach has important limitations. Bartolomei et al. (2024) note that capabilities are difficult to define and measure because there is limited agreement regarding their evaluation. Jandhyala (2021) similarly questions how access to different levels and forms of education relate to the capability for senses, imagination, and thought. These concerns are directly relevant to the present study</w:t>
      </w:r>
      <w:r w:rsidR="00AE317E">
        <w:rPr>
          <w:rFonts w:ascii="Times New Roman" w:eastAsia="Times New Roman" w:hAnsi="Times New Roman" w:cs="Times New Roman"/>
          <w:sz w:val="24"/>
          <w:szCs w:val="24"/>
          <w:lang w:eastAsia="sv-SE"/>
        </w:rPr>
        <w:t xml:space="preserve"> because</w:t>
      </w:r>
      <w:r w:rsidRPr="0031336A">
        <w:rPr>
          <w:rFonts w:ascii="Times New Roman" w:eastAsia="Times New Roman" w:hAnsi="Times New Roman" w:cs="Times New Roman"/>
          <w:sz w:val="24"/>
          <w:szCs w:val="24"/>
          <w:lang w:eastAsia="sv-SE"/>
        </w:rPr>
        <w:t xml:space="preserve"> participation rates provide evidence of observed educational outcomes but cannot directly measure students' underlying capabilities or barriers experienced. Differences in participation should therefore be interpreted as indicators of unequal educational outcomes rather than direct measures of individual capability.</w:t>
      </w:r>
    </w:p>
    <w:p w14:paraId="71DF8AAD" w14:textId="77777777" w:rsidR="003A6973" w:rsidRPr="003A6973" w:rsidRDefault="003A6973" w:rsidP="003A6973">
      <w:pPr>
        <w:spacing w:before="100" w:beforeAutospacing="1" w:after="100" w:afterAutospacing="1" w:line="240" w:lineRule="auto"/>
        <w:rPr>
          <w:rFonts w:ascii="Times New Roman" w:eastAsia="Times New Roman" w:hAnsi="Times New Roman" w:cs="Times New Roman"/>
          <w:b/>
          <w:bCs/>
          <w:sz w:val="24"/>
          <w:szCs w:val="24"/>
          <w:lang w:eastAsia="sv-SE"/>
        </w:rPr>
      </w:pPr>
      <w:r w:rsidRPr="003A6973">
        <w:rPr>
          <w:rFonts w:ascii="Times New Roman" w:eastAsia="Times New Roman" w:hAnsi="Times New Roman" w:cs="Times New Roman"/>
          <w:b/>
          <w:bCs/>
          <w:sz w:val="24"/>
          <w:szCs w:val="24"/>
          <w:lang w:eastAsia="sv-SE"/>
        </w:rPr>
        <w:t>Educational Opportunities and Participation</w:t>
      </w:r>
    </w:p>
    <w:p w14:paraId="2B734200" w14:textId="77777777" w:rsidR="00A433B9" w:rsidRPr="0031336A" w:rsidRDefault="00A433B9" w:rsidP="003A6973">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t>Post-secondary education is increasingly important for individuals' long-term educational, economic, and social opportunities (Kutscher &amp; Tuckwiller, 2019). For disabled students, it may provide opportunities for employment, independence, social inclusion, and personal development (Biagiotti et al., 2026). Nevertheless, inclusive participation remains challenging despite policy efforts to widen educational opportunities (Carballo et al., 2019).</w:t>
      </w:r>
    </w:p>
    <w:p w14:paraId="7FB7D243" w14:textId="013A512F" w:rsidR="00A433B9" w:rsidRPr="0031336A" w:rsidRDefault="00BF3ACD" w:rsidP="003A6973">
      <w:pPr>
        <w:spacing w:before="100" w:beforeAutospacing="1" w:after="100" w:afterAutospacing="1"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 xml:space="preserve">More so, this </w:t>
      </w:r>
      <w:r w:rsidR="00A433B9" w:rsidRPr="00A433B9">
        <w:rPr>
          <w:rFonts w:ascii="Times New Roman" w:eastAsia="Times New Roman" w:hAnsi="Times New Roman" w:cs="Times New Roman"/>
          <w:sz w:val="24"/>
          <w:szCs w:val="24"/>
          <w:lang w:eastAsia="sv-SE"/>
        </w:rPr>
        <w:t xml:space="preserve">is particularly important when disability is understood through a social and relational perspective. </w:t>
      </w:r>
      <w:r w:rsidR="00A433B9" w:rsidRPr="0031336A">
        <w:rPr>
          <w:rFonts w:ascii="Times New Roman" w:eastAsia="Times New Roman" w:hAnsi="Times New Roman" w:cs="Times New Roman"/>
          <w:sz w:val="24"/>
          <w:szCs w:val="24"/>
          <w:lang w:eastAsia="sv-SE"/>
        </w:rPr>
        <w:t>Lid (2026) argues that disability emerges through the interaction between impairment and societal barriers restricting full and equal participation. These barriers may include inaccessible environments, inadequate support, institutional practices, and social attitudes. Biagiotti et al. (2026) similarly identify stigma, disclosure dilemmas and insufficient understanding among staff and peers as factors affecting educational experiences. This perspective reinforces the capability approach's emphasis on the conditions enabling or constraining individuals' conversion of educational resources into meaningful opportunities.</w:t>
      </w:r>
    </w:p>
    <w:p w14:paraId="4A0A537E" w14:textId="77777777" w:rsidR="00A433B9" w:rsidRPr="0031336A" w:rsidRDefault="00A433B9" w:rsidP="003A6973">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t>Educational participation is also influenced by students' expectations and aspirations. Keung and Ho (2020) identify contextual capability, self-study effort, and academic ability as relevant factors in progression into further education, highlighting the importance of agency and the capability to aspire to educational transitions. This is particularly relevant because the transition from secondary to post-secondary education represents a process through which educational opportunities may either expand or become constrained.</w:t>
      </w:r>
    </w:p>
    <w:p w14:paraId="0931EC0F" w14:textId="77777777" w:rsidR="00A433B9" w:rsidRPr="0031336A" w:rsidRDefault="00A433B9" w:rsidP="00FE77B7">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336A">
        <w:rPr>
          <w:rFonts w:ascii="Times New Roman" w:eastAsia="Times New Roman" w:hAnsi="Times New Roman" w:cs="Times New Roman"/>
          <w:sz w:val="24"/>
          <w:szCs w:val="24"/>
          <w:lang w:eastAsia="sv-SE"/>
        </w:rPr>
        <w:t xml:space="preserve">Participation immediately after secondary education may not fully capture students' educational transitions. Some students may enter post-secondary education later, making participation over time important. A three-year perspective can therefore provide a more complete picture than a </w:t>
      </w:r>
      <w:r w:rsidRPr="0031336A">
        <w:rPr>
          <w:rFonts w:ascii="Times New Roman" w:eastAsia="Times New Roman" w:hAnsi="Times New Roman" w:cs="Times New Roman"/>
          <w:sz w:val="24"/>
          <w:szCs w:val="24"/>
          <w:lang w:eastAsia="sv-SE"/>
        </w:rPr>
        <w:lastRenderedPageBreak/>
        <w:t>single time point, particularly for disabled students whose transitions may be shaped by varying levels of support and barriers (Keung &amp; Ho, 2020). Accordingly, this study examines whether participation differs across the first three years following secondary education and whether it changes significantly between the first and third years.</w:t>
      </w:r>
    </w:p>
    <w:p w14:paraId="549EFF79" w14:textId="77777777" w:rsidR="003C2B9E" w:rsidRPr="003C2B9E" w:rsidRDefault="003C2B9E" w:rsidP="002D7203">
      <w:pPr>
        <w:spacing w:before="100" w:beforeAutospacing="1" w:after="100" w:afterAutospacing="1" w:line="240" w:lineRule="auto"/>
        <w:rPr>
          <w:rFonts w:ascii="Times New Roman" w:eastAsia="Times New Roman" w:hAnsi="Times New Roman" w:cs="Times New Roman"/>
          <w:b/>
          <w:bCs/>
          <w:sz w:val="24"/>
          <w:szCs w:val="24"/>
          <w:lang w:eastAsia="sv-SE"/>
        </w:rPr>
      </w:pPr>
      <w:r w:rsidRPr="00B80328">
        <w:rPr>
          <w:rFonts w:ascii="Times New Roman" w:eastAsia="Times New Roman" w:hAnsi="Times New Roman" w:cs="Times New Roman"/>
          <w:b/>
          <w:bCs/>
          <w:sz w:val="24"/>
          <w:szCs w:val="24"/>
          <w:lang w:eastAsia="sv-SE"/>
        </w:rPr>
        <w:t>Educational Inequality Across Disability and Gender</w:t>
      </w:r>
    </w:p>
    <w:p w14:paraId="58AE16BE" w14:textId="497CBC02" w:rsidR="00B80328" w:rsidRPr="00B80328" w:rsidRDefault="00B80328" w:rsidP="003A5A6B">
      <w:pPr>
        <w:pStyle w:val="isselectedend"/>
        <w:spacing w:line="360" w:lineRule="auto"/>
        <w:jc w:val="both"/>
        <w:rPr>
          <w:lang w:val="en-GB"/>
        </w:rPr>
      </w:pPr>
      <w:r w:rsidRPr="00B80328">
        <w:rPr>
          <w:lang w:val="en-GB"/>
        </w:rPr>
        <w:t>Research consistently identifies inequalities in educational participation between disabled and non-disabled students</w:t>
      </w:r>
      <w:r w:rsidR="003B22C2" w:rsidRPr="003B22C2">
        <w:rPr>
          <w:lang w:val="en-GB"/>
        </w:rPr>
        <w:t xml:space="preserve"> </w:t>
      </w:r>
      <w:r w:rsidR="003B22C2">
        <w:rPr>
          <w:lang w:val="en-GB"/>
        </w:rPr>
        <w:t>(</w:t>
      </w:r>
      <w:r w:rsidR="003B22C2" w:rsidRPr="0031336A">
        <w:rPr>
          <w:lang w:val="en-GB"/>
        </w:rPr>
        <w:t>Rasse and Sevilla</w:t>
      </w:r>
      <w:r w:rsidR="003B22C2">
        <w:rPr>
          <w:lang w:val="en-GB"/>
        </w:rPr>
        <w:t xml:space="preserve">, </w:t>
      </w:r>
      <w:r w:rsidR="003B22C2" w:rsidRPr="0031336A">
        <w:rPr>
          <w:lang w:val="en-GB"/>
        </w:rPr>
        <w:t>2023)</w:t>
      </w:r>
      <w:r w:rsidRPr="00B80328">
        <w:rPr>
          <w:lang w:val="en-GB"/>
        </w:rPr>
        <w:t>. Bettencourt et al. (2022) report continued underrepresentation of disabled students in post-secondary education, while Kutscher and Tuckwiller (2019) indicate that disabled students may experience lower completion rates despite increased enrolment. These findings challenge the assumption that expanding access alone is sufficient to achieve educational equality.</w:t>
      </w:r>
    </w:p>
    <w:p w14:paraId="29AB4BC5" w14:textId="77777777" w:rsidR="00B80328" w:rsidRPr="00B80328" w:rsidRDefault="00B80328" w:rsidP="003A5A6B">
      <w:pPr>
        <w:pStyle w:val="isselectedend"/>
        <w:spacing w:line="360" w:lineRule="auto"/>
        <w:jc w:val="both"/>
        <w:rPr>
          <w:lang w:val="en-GB"/>
        </w:rPr>
      </w:pPr>
      <w:r w:rsidRPr="00B80328">
        <w:rPr>
          <w:lang w:val="en-GB"/>
        </w:rPr>
        <w:t>The Swedish context further highlights the importance of examining these inequalities. Statistics Sweden (2024) demonstrates that children with disabilities and long-term health problems may experience greater challenges in school. However, such national evidence does not explain how educational difficulties translate into post-secondary participation, creating a need to examine participation patterns across disability status and type.</w:t>
      </w:r>
    </w:p>
    <w:p w14:paraId="2B8688C1" w14:textId="1AE370C0" w:rsidR="00B80328" w:rsidRPr="00B80328" w:rsidRDefault="00B80328" w:rsidP="008F70CE">
      <w:pPr>
        <w:pStyle w:val="isselectedend"/>
        <w:spacing w:line="360" w:lineRule="auto"/>
        <w:jc w:val="both"/>
        <w:rPr>
          <w:lang w:val="en-GB"/>
        </w:rPr>
      </w:pPr>
      <w:r w:rsidRPr="00B80328">
        <w:rPr>
          <w:lang w:val="en-GB"/>
        </w:rPr>
        <w:t xml:space="preserve">Disabled students </w:t>
      </w:r>
      <w:r w:rsidR="00A1020B">
        <w:rPr>
          <w:lang w:val="en-GB"/>
        </w:rPr>
        <w:t>are not</w:t>
      </w:r>
      <w:r w:rsidRPr="00B80328">
        <w:rPr>
          <w:lang w:val="en-GB"/>
        </w:rPr>
        <w:t xml:space="preserve"> a homogeneous group</w:t>
      </w:r>
      <w:r w:rsidR="00A1020B">
        <w:rPr>
          <w:lang w:val="en-GB"/>
        </w:rPr>
        <w:t xml:space="preserve"> </w:t>
      </w:r>
      <w:r w:rsidR="00A1020B" w:rsidRPr="0031336A">
        <w:rPr>
          <w:lang w:val="en-GB"/>
        </w:rPr>
        <w:t>(Moriña &amp; Carnerero, 2020)</w:t>
      </w:r>
      <w:r w:rsidRPr="00B80328">
        <w:rPr>
          <w:lang w:val="en-GB"/>
        </w:rPr>
        <w:t>. Wells (2026) suggests that inequalities in post-secondary enrolment vary according to socioeconomic circumstances and educational expectations. This indicates that disability may intersect with broader structural and educational conditions rather than operate as a uniform predictor of outcomes</w:t>
      </w:r>
      <w:r w:rsidR="00A1020B">
        <w:rPr>
          <w:lang w:val="en-GB"/>
        </w:rPr>
        <w:t xml:space="preserve"> </w:t>
      </w:r>
      <w:r w:rsidR="005813FD" w:rsidRPr="0031336A">
        <w:rPr>
          <w:lang w:val="en-GB"/>
        </w:rPr>
        <w:t xml:space="preserve">(Keung &amp; Ho, 2020). </w:t>
      </w:r>
      <w:r w:rsidRPr="00B80328">
        <w:rPr>
          <w:lang w:val="en-GB"/>
        </w:rPr>
        <w:t xml:space="preserve"> Examining disability types in th</w:t>
      </w:r>
      <w:r w:rsidR="00A51F9D">
        <w:rPr>
          <w:lang w:val="en-GB"/>
        </w:rPr>
        <w:t>is</w:t>
      </w:r>
      <w:r w:rsidRPr="00B80328">
        <w:rPr>
          <w:lang w:val="en-GB"/>
        </w:rPr>
        <w:t xml:space="preserve"> study therefore allows differences within this broad category to be identified rather than obscured by aggregate comparisons.</w:t>
      </w:r>
    </w:p>
    <w:p w14:paraId="633912D4" w14:textId="60B83137" w:rsidR="00B80328" w:rsidRPr="00B80328" w:rsidRDefault="00B80328" w:rsidP="008F70CE">
      <w:pPr>
        <w:pStyle w:val="isselectedend"/>
        <w:spacing w:line="360" w:lineRule="auto"/>
        <w:jc w:val="both"/>
        <w:rPr>
          <w:lang w:val="en-GB"/>
        </w:rPr>
      </w:pPr>
      <w:r w:rsidRPr="00B80328">
        <w:rPr>
          <w:lang w:val="en-GB"/>
        </w:rPr>
        <w:t>Gender provides an additional dimension of inequality</w:t>
      </w:r>
      <w:r w:rsidR="00B1361E">
        <w:rPr>
          <w:lang w:val="en-GB"/>
        </w:rPr>
        <w:t xml:space="preserve"> </w:t>
      </w:r>
      <w:r w:rsidR="00B1361E" w:rsidRPr="007D074E">
        <w:rPr>
          <w:lang w:val="en-GB"/>
        </w:rPr>
        <w:t>(Rasse &amp; Sevilla, 2023)</w:t>
      </w:r>
      <w:r w:rsidRPr="00B80328">
        <w:rPr>
          <w:lang w:val="en-GB"/>
        </w:rPr>
        <w:t xml:space="preserve">. Nef et al. (2023) emphasise that gender and disability influence social positions and access to resources, while Keung and Ho (2020) note that female students may have higher educational expectations than male students, </w:t>
      </w:r>
      <w:r w:rsidR="000C27EA">
        <w:rPr>
          <w:lang w:val="en-GB"/>
        </w:rPr>
        <w:t>despite mixed</w:t>
      </w:r>
      <w:r w:rsidRPr="00B80328">
        <w:rPr>
          <w:lang w:val="en-GB"/>
        </w:rPr>
        <w:t xml:space="preserve"> findings. Examining gender within disability categories may consequently reveal patterns overlooked when disability status is considered in isolation.</w:t>
      </w:r>
    </w:p>
    <w:p w14:paraId="1F942A21" w14:textId="77777777" w:rsidR="00B80328" w:rsidRPr="00B80328" w:rsidRDefault="00B80328" w:rsidP="00B1361E">
      <w:pPr>
        <w:pStyle w:val="isselectedend"/>
        <w:spacing w:line="360" w:lineRule="auto"/>
        <w:jc w:val="both"/>
        <w:rPr>
          <w:lang w:val="en-GB"/>
        </w:rPr>
      </w:pPr>
      <w:r w:rsidRPr="00B80328">
        <w:rPr>
          <w:lang w:val="en-GB"/>
        </w:rPr>
        <w:t xml:space="preserve">From a capability approach perspective, observed disparities should not be reduced to individual characteristics. Instead, they raise questions about whether educational systems </w:t>
      </w:r>
      <w:r w:rsidRPr="00B80328">
        <w:rPr>
          <w:lang w:val="en-GB"/>
        </w:rPr>
        <w:lastRenderedPageBreak/>
        <w:t>provide equitable conditions for converting resources into genuine opportunities. Ainscow (2019) argues that inclusion requires attention to barriers restricting access to knowledge and participation, while Azmoodeh et al. (2023) emphasise accessibility as central to educational equity.</w:t>
      </w:r>
    </w:p>
    <w:p w14:paraId="12210909" w14:textId="43C662D6" w:rsidR="00B80328" w:rsidRPr="00B80328" w:rsidRDefault="008424C5" w:rsidP="00B1361E">
      <w:pPr>
        <w:pStyle w:val="Normalwebb"/>
        <w:spacing w:line="360" w:lineRule="auto"/>
        <w:jc w:val="both"/>
        <w:rPr>
          <w:lang w:val="en-GB"/>
        </w:rPr>
      </w:pPr>
      <w:r>
        <w:rPr>
          <w:lang w:val="en-GB"/>
        </w:rPr>
        <w:t>Similarly, t</w:t>
      </w:r>
      <w:r w:rsidR="002B59B8">
        <w:rPr>
          <w:lang w:val="en-GB"/>
        </w:rPr>
        <w:t>his theory</w:t>
      </w:r>
      <w:r w:rsidR="00B80328" w:rsidRPr="00B80328">
        <w:rPr>
          <w:lang w:val="en-GB"/>
        </w:rPr>
        <w:t xml:space="preserve"> highlights the distinction between equality of opportunity and equality of outcome. Smeplass et al. (2024) identify tensions between these dimensions, and Rasse and Sevilla (2023) note that education can simultaneously promote inclusion and reproduce inequality. Therefore, inclusive policies and formal access do not necessarily guarantee equal participation outcomes. Examining participation across disability, disability type, gender, and time is consequently necessary for identifying whether educational opportunities are experienced equitably in practice.</w:t>
      </w:r>
    </w:p>
    <w:p w14:paraId="5733B0B0" w14:textId="77777777" w:rsidR="0001760D" w:rsidRPr="0001760D" w:rsidRDefault="0001760D" w:rsidP="002D7203">
      <w:pPr>
        <w:spacing w:before="100" w:beforeAutospacing="1" w:after="100" w:afterAutospacing="1" w:line="240" w:lineRule="auto"/>
        <w:rPr>
          <w:rFonts w:ascii="Times New Roman" w:eastAsia="Times New Roman" w:hAnsi="Times New Roman" w:cs="Times New Roman"/>
          <w:b/>
          <w:bCs/>
          <w:sz w:val="24"/>
          <w:szCs w:val="24"/>
          <w:lang w:eastAsia="sv-SE"/>
        </w:rPr>
      </w:pPr>
      <w:r w:rsidRPr="0001760D">
        <w:rPr>
          <w:rFonts w:ascii="Times New Roman" w:eastAsia="Times New Roman" w:hAnsi="Times New Roman" w:cs="Times New Roman"/>
          <w:b/>
          <w:bCs/>
          <w:sz w:val="24"/>
          <w:szCs w:val="24"/>
          <w:lang w:eastAsia="sv-SE"/>
        </w:rPr>
        <w:t>Research gap and relevance to the study</w:t>
      </w:r>
    </w:p>
    <w:p w14:paraId="4997A0FA" w14:textId="40ACF4CB" w:rsidR="002D7203" w:rsidRPr="00234050" w:rsidRDefault="002D7203" w:rsidP="0001760D">
      <w:pPr>
        <w:spacing w:before="100" w:beforeAutospacing="1" w:after="100" w:afterAutospacing="1" w:line="360" w:lineRule="auto"/>
        <w:jc w:val="both"/>
        <w:rPr>
          <w:rFonts w:ascii="Times New Roman" w:eastAsia="Times New Roman" w:hAnsi="Times New Roman" w:cs="Times New Roman"/>
          <w:sz w:val="24"/>
          <w:szCs w:val="24"/>
          <w:lang w:eastAsia="sv-SE"/>
        </w:rPr>
      </w:pPr>
      <w:r w:rsidRPr="00234050">
        <w:rPr>
          <w:rFonts w:ascii="Times New Roman" w:eastAsia="Times New Roman" w:hAnsi="Times New Roman" w:cs="Times New Roman"/>
          <w:sz w:val="24"/>
          <w:szCs w:val="24"/>
          <w:lang w:eastAsia="sv-SE"/>
        </w:rPr>
        <w:t xml:space="preserve">Taken together, the literature demonstrates that post-secondary participation among disabled students is shaped by more than formal access to education. The </w:t>
      </w:r>
      <w:r w:rsidR="002D6E86">
        <w:rPr>
          <w:rFonts w:ascii="Times New Roman" w:eastAsia="Times New Roman" w:hAnsi="Times New Roman" w:cs="Times New Roman"/>
          <w:sz w:val="24"/>
          <w:szCs w:val="24"/>
          <w:lang w:eastAsia="sv-SE"/>
        </w:rPr>
        <w:t>c</w:t>
      </w:r>
      <w:r w:rsidRPr="00234050">
        <w:rPr>
          <w:rFonts w:ascii="Times New Roman" w:eastAsia="Times New Roman" w:hAnsi="Times New Roman" w:cs="Times New Roman"/>
          <w:sz w:val="24"/>
          <w:szCs w:val="24"/>
          <w:lang w:eastAsia="sv-SE"/>
        </w:rPr>
        <w:t xml:space="preserve">apability </w:t>
      </w:r>
      <w:r w:rsidR="002D6E86">
        <w:rPr>
          <w:rFonts w:ascii="Times New Roman" w:eastAsia="Times New Roman" w:hAnsi="Times New Roman" w:cs="Times New Roman"/>
          <w:sz w:val="24"/>
          <w:szCs w:val="24"/>
          <w:lang w:eastAsia="sv-SE"/>
        </w:rPr>
        <w:t>a</w:t>
      </w:r>
      <w:r w:rsidRPr="00234050">
        <w:rPr>
          <w:rFonts w:ascii="Times New Roman" w:eastAsia="Times New Roman" w:hAnsi="Times New Roman" w:cs="Times New Roman"/>
          <w:sz w:val="24"/>
          <w:szCs w:val="24"/>
          <w:lang w:eastAsia="sv-SE"/>
        </w:rPr>
        <w:t xml:space="preserve">pproach draws attention to the conversion of resources into real educational opportunities, while research on educational inequality highlights the importance of disability, gender, social context, accessibility, and institutional conditions (Keung &amp; Ho, 2020; Rasse &amp; Sevilla, 2023; Nef et al., 2023). However, the literature also indicates that disability is heterogeneous </w:t>
      </w:r>
      <w:r w:rsidR="00924A36">
        <w:rPr>
          <w:rFonts w:ascii="Times New Roman" w:eastAsia="Times New Roman" w:hAnsi="Times New Roman" w:cs="Times New Roman"/>
          <w:sz w:val="24"/>
          <w:szCs w:val="24"/>
          <w:lang w:eastAsia="sv-SE"/>
        </w:rPr>
        <w:t>with</w:t>
      </w:r>
      <w:r w:rsidRPr="00234050">
        <w:rPr>
          <w:rFonts w:ascii="Times New Roman" w:eastAsia="Times New Roman" w:hAnsi="Times New Roman" w:cs="Times New Roman"/>
          <w:sz w:val="24"/>
          <w:szCs w:val="24"/>
          <w:lang w:eastAsia="sv-SE"/>
        </w:rPr>
        <w:t xml:space="preserve"> participation vary</w:t>
      </w:r>
      <w:r w:rsidR="00924A36">
        <w:rPr>
          <w:rFonts w:ascii="Times New Roman" w:eastAsia="Times New Roman" w:hAnsi="Times New Roman" w:cs="Times New Roman"/>
          <w:sz w:val="24"/>
          <w:szCs w:val="24"/>
          <w:lang w:eastAsia="sv-SE"/>
        </w:rPr>
        <w:t>ing</w:t>
      </w:r>
      <w:r w:rsidRPr="00234050">
        <w:rPr>
          <w:rFonts w:ascii="Times New Roman" w:eastAsia="Times New Roman" w:hAnsi="Times New Roman" w:cs="Times New Roman"/>
          <w:sz w:val="24"/>
          <w:szCs w:val="24"/>
          <w:lang w:eastAsia="sv-SE"/>
        </w:rPr>
        <w:t xml:space="preserve"> across different groups and circumstances.</w:t>
      </w:r>
    </w:p>
    <w:p w14:paraId="59076FAF" w14:textId="17760AB0" w:rsidR="002D7203" w:rsidRPr="00234050" w:rsidRDefault="002D7203" w:rsidP="00CF44D9">
      <w:pPr>
        <w:spacing w:before="100" w:beforeAutospacing="1" w:after="100" w:afterAutospacing="1" w:line="360" w:lineRule="auto"/>
        <w:jc w:val="both"/>
        <w:rPr>
          <w:rFonts w:ascii="Times New Roman" w:eastAsia="Times New Roman" w:hAnsi="Times New Roman" w:cs="Times New Roman"/>
          <w:sz w:val="24"/>
          <w:szCs w:val="24"/>
          <w:lang w:eastAsia="sv-SE"/>
        </w:rPr>
      </w:pPr>
      <w:r w:rsidRPr="00234050">
        <w:rPr>
          <w:rFonts w:ascii="Times New Roman" w:eastAsia="Times New Roman" w:hAnsi="Times New Roman" w:cs="Times New Roman"/>
          <w:sz w:val="24"/>
          <w:szCs w:val="24"/>
          <w:lang w:eastAsia="sv-SE"/>
        </w:rPr>
        <w:t xml:space="preserve">A further issue is the limited attention given to </w:t>
      </w:r>
      <w:r w:rsidRPr="00CF44D9">
        <w:rPr>
          <w:rFonts w:ascii="Times New Roman" w:eastAsia="Times New Roman" w:hAnsi="Times New Roman" w:cs="Times New Roman"/>
          <w:sz w:val="24"/>
          <w:szCs w:val="24"/>
          <w:lang w:eastAsia="sv-SE"/>
        </w:rPr>
        <w:t>how participation changes during the period immediately following completion of secondary education</w:t>
      </w:r>
      <w:r w:rsidRPr="00234050">
        <w:rPr>
          <w:rFonts w:ascii="Times New Roman" w:eastAsia="Times New Roman" w:hAnsi="Times New Roman" w:cs="Times New Roman"/>
          <w:sz w:val="24"/>
          <w:szCs w:val="24"/>
          <w:lang w:eastAsia="sv-SE"/>
        </w:rPr>
        <w:t xml:space="preserve">. Examining participation only as an overall enrolment outcome may obscure differences in the timing of educational transitions. </w:t>
      </w:r>
      <w:r w:rsidR="003624C2" w:rsidRPr="00234050">
        <w:rPr>
          <w:rFonts w:ascii="Times New Roman" w:eastAsia="Times New Roman" w:hAnsi="Times New Roman" w:cs="Times New Roman"/>
          <w:sz w:val="24"/>
          <w:szCs w:val="24"/>
          <w:lang w:eastAsia="sv-SE"/>
        </w:rPr>
        <w:t>Therefore,</w:t>
      </w:r>
      <w:r w:rsidRPr="00234050">
        <w:rPr>
          <w:rFonts w:ascii="Times New Roman" w:eastAsia="Times New Roman" w:hAnsi="Times New Roman" w:cs="Times New Roman"/>
          <w:sz w:val="24"/>
          <w:szCs w:val="24"/>
          <w:lang w:eastAsia="sv-SE"/>
        </w:rPr>
        <w:t xml:space="preserve"> </w:t>
      </w:r>
      <w:r w:rsidR="0078436C">
        <w:rPr>
          <w:rFonts w:ascii="Times New Roman" w:eastAsia="Times New Roman" w:hAnsi="Times New Roman" w:cs="Times New Roman"/>
          <w:sz w:val="24"/>
          <w:szCs w:val="24"/>
          <w:lang w:eastAsia="sv-SE"/>
        </w:rPr>
        <w:t xml:space="preserve">this study </w:t>
      </w:r>
      <w:r w:rsidRPr="00234050">
        <w:rPr>
          <w:rFonts w:ascii="Times New Roman" w:eastAsia="Times New Roman" w:hAnsi="Times New Roman" w:cs="Times New Roman"/>
          <w:sz w:val="24"/>
          <w:szCs w:val="24"/>
          <w:lang w:eastAsia="sv-SE"/>
        </w:rPr>
        <w:t xml:space="preserve">extends the discussion by examining post-secondary education participation among students with and without disabilities in Sweden between 2018 and 2020, with particular attention to disability type, gender, and the first three years </w:t>
      </w:r>
      <w:r w:rsidR="00E67F9A">
        <w:rPr>
          <w:rFonts w:ascii="Times New Roman" w:eastAsia="Times New Roman" w:hAnsi="Times New Roman" w:cs="Times New Roman"/>
          <w:sz w:val="24"/>
          <w:szCs w:val="24"/>
          <w:lang w:eastAsia="sv-SE"/>
        </w:rPr>
        <w:t xml:space="preserve">after completing </w:t>
      </w:r>
      <w:r w:rsidRPr="00234050">
        <w:rPr>
          <w:rFonts w:ascii="Times New Roman" w:eastAsia="Times New Roman" w:hAnsi="Times New Roman" w:cs="Times New Roman"/>
          <w:sz w:val="24"/>
          <w:szCs w:val="24"/>
          <w:lang w:eastAsia="sv-SE"/>
        </w:rPr>
        <w:t>secondary education.</w:t>
      </w:r>
    </w:p>
    <w:p w14:paraId="5BA90FED" w14:textId="44147254" w:rsidR="002937AE" w:rsidRPr="00DF4A1B" w:rsidRDefault="0022405C" w:rsidP="00950963">
      <w:pPr>
        <w:spacing w:before="100" w:beforeAutospacing="1" w:after="100" w:afterAutospacing="1" w:line="360" w:lineRule="auto"/>
        <w:jc w:val="both"/>
        <w:rPr>
          <w:rFonts w:ascii="Times New Roman" w:eastAsia="Times New Roman" w:hAnsi="Times New Roman" w:cs="Times New Roman"/>
          <w:sz w:val="24"/>
          <w:szCs w:val="24"/>
          <w:lang w:eastAsia="sv-SE"/>
        </w:rPr>
      </w:pPr>
      <w:r w:rsidRPr="00A462DC">
        <w:rPr>
          <w:rFonts w:ascii="Times New Roman" w:eastAsia="Times New Roman" w:hAnsi="Times New Roman" w:cs="Times New Roman"/>
          <w:sz w:val="24"/>
          <w:szCs w:val="24"/>
          <w:lang w:eastAsia="sv-SE"/>
        </w:rPr>
        <w:t xml:space="preserve">The Capability Approach provides the theoretical lens for interpreting the participation patterns examined in this study. Rather than treating participation rates as direct measures of capability, </w:t>
      </w:r>
      <w:r w:rsidR="00A52A80">
        <w:rPr>
          <w:rFonts w:ascii="Times New Roman" w:eastAsia="Times New Roman" w:hAnsi="Times New Roman" w:cs="Times New Roman"/>
          <w:sz w:val="24"/>
          <w:szCs w:val="24"/>
          <w:lang w:eastAsia="sv-SE"/>
        </w:rPr>
        <w:t>th</w:t>
      </w:r>
      <w:r w:rsidR="0028518A">
        <w:rPr>
          <w:rFonts w:ascii="Times New Roman" w:eastAsia="Times New Roman" w:hAnsi="Times New Roman" w:cs="Times New Roman"/>
          <w:sz w:val="24"/>
          <w:szCs w:val="24"/>
          <w:lang w:eastAsia="sv-SE"/>
        </w:rPr>
        <w:t>is theory</w:t>
      </w:r>
      <w:r w:rsidRPr="00A462DC">
        <w:rPr>
          <w:rFonts w:ascii="Times New Roman" w:eastAsia="Times New Roman" w:hAnsi="Times New Roman" w:cs="Times New Roman"/>
          <w:sz w:val="24"/>
          <w:szCs w:val="24"/>
          <w:lang w:eastAsia="sv-SE"/>
        </w:rPr>
        <w:t xml:space="preserve"> draws attention to what differences in participation may reveal about students’ real educational opportunities and the conditions that enable or constrain them (Keung &amp; Ho, 2020; Riddle, 2020).</w:t>
      </w:r>
      <w:r w:rsidR="000E634B" w:rsidRPr="000E634B">
        <w:rPr>
          <w:rFonts w:ascii="Times New Roman" w:eastAsia="Times New Roman" w:hAnsi="Times New Roman" w:cs="Times New Roman"/>
          <w:sz w:val="24"/>
          <w:szCs w:val="24"/>
          <w:lang w:eastAsia="sv-SE"/>
        </w:rPr>
        <w:t xml:space="preserve"> </w:t>
      </w:r>
      <w:r w:rsidR="00AA1710" w:rsidRPr="00AA1710">
        <w:rPr>
          <w:rFonts w:ascii="Times New Roman" w:eastAsia="Times New Roman" w:hAnsi="Times New Roman" w:cs="Times New Roman"/>
          <w:sz w:val="24"/>
          <w:szCs w:val="24"/>
          <w:lang w:eastAsia="sv-SE"/>
        </w:rPr>
        <w:t xml:space="preserve">In doing so, the study contributes empirical evidence on educational inequality </w:t>
      </w:r>
      <w:r w:rsidR="00AA1710" w:rsidRPr="00AA1710">
        <w:rPr>
          <w:rFonts w:ascii="Times New Roman" w:eastAsia="Times New Roman" w:hAnsi="Times New Roman" w:cs="Times New Roman"/>
          <w:sz w:val="24"/>
          <w:szCs w:val="24"/>
          <w:lang w:eastAsia="sv-SE"/>
        </w:rPr>
        <w:lastRenderedPageBreak/>
        <w:t>while recognising the broader social and institutional conditions shaping participation. The following section outlines the methodology used to examine these patterns.</w:t>
      </w:r>
    </w:p>
    <w:p w14:paraId="27AADC67" w14:textId="27996526" w:rsidR="00372494" w:rsidRPr="00736455" w:rsidRDefault="00372494" w:rsidP="00472B4F">
      <w:pPr>
        <w:spacing w:before="100" w:beforeAutospacing="1" w:after="100" w:afterAutospacing="1" w:line="240" w:lineRule="auto"/>
        <w:rPr>
          <w:rFonts w:ascii="Times New Roman" w:eastAsia="Times New Roman" w:hAnsi="Times New Roman" w:cs="Times New Roman"/>
          <w:b/>
          <w:bCs/>
          <w:sz w:val="24"/>
          <w:szCs w:val="24"/>
          <w:lang w:eastAsia="sv-SE"/>
        </w:rPr>
      </w:pPr>
      <w:r w:rsidRPr="00736455">
        <w:rPr>
          <w:rFonts w:ascii="Times New Roman" w:eastAsia="Times New Roman" w:hAnsi="Times New Roman" w:cs="Times New Roman"/>
          <w:b/>
          <w:bCs/>
          <w:sz w:val="24"/>
          <w:szCs w:val="24"/>
          <w:lang w:eastAsia="sv-SE"/>
        </w:rPr>
        <w:t>Methodolog</w:t>
      </w:r>
      <w:r w:rsidR="00E52386">
        <w:rPr>
          <w:rFonts w:ascii="Times New Roman" w:eastAsia="Times New Roman" w:hAnsi="Times New Roman" w:cs="Times New Roman"/>
          <w:b/>
          <w:bCs/>
          <w:sz w:val="24"/>
          <w:szCs w:val="24"/>
          <w:lang w:eastAsia="sv-SE"/>
        </w:rPr>
        <w:t>y</w:t>
      </w:r>
    </w:p>
    <w:p w14:paraId="2BD18F10" w14:textId="40556906" w:rsidR="00472B4F" w:rsidRPr="008E0912" w:rsidRDefault="00472B4F" w:rsidP="000276C9">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8E0912">
        <w:rPr>
          <w:rFonts w:ascii="Times New Roman" w:eastAsia="Times New Roman" w:hAnsi="Times New Roman" w:cs="Times New Roman"/>
          <w:b/>
          <w:bCs/>
          <w:sz w:val="24"/>
          <w:szCs w:val="24"/>
          <w:lang w:eastAsia="sv-SE"/>
        </w:rPr>
        <w:t>Research Design</w:t>
      </w:r>
    </w:p>
    <w:p w14:paraId="439FAACB" w14:textId="16461329" w:rsidR="008E0912" w:rsidRPr="008E0912" w:rsidRDefault="008E0912" w:rsidP="008E0912">
      <w:pPr>
        <w:pStyle w:val="isselectedend"/>
        <w:spacing w:line="360" w:lineRule="auto"/>
        <w:jc w:val="both"/>
        <w:rPr>
          <w:lang w:val="en-GB"/>
        </w:rPr>
      </w:pPr>
      <w:r>
        <w:rPr>
          <w:lang w:val="en-GB"/>
        </w:rPr>
        <w:t>T</w:t>
      </w:r>
      <w:r w:rsidRPr="008E0912">
        <w:rPr>
          <w:lang w:val="en-GB"/>
        </w:rPr>
        <w:t xml:space="preserve">his study employed a quantitative, explanatory, non-experimental research design using national register data from Statistics Sweden (SCB). </w:t>
      </w:r>
      <w:r w:rsidR="000F503D">
        <w:rPr>
          <w:lang w:val="en-GB"/>
        </w:rPr>
        <w:t>A</w:t>
      </w:r>
      <w:r w:rsidR="00000362">
        <w:rPr>
          <w:lang w:val="en-GB"/>
        </w:rPr>
        <w:t>dditionally, i</w:t>
      </w:r>
      <w:r w:rsidRPr="008E0912">
        <w:rPr>
          <w:lang w:val="en-GB"/>
        </w:rPr>
        <w:t>t examined patterns and differences in post-secondary education participation among students with and without disabilities in Sweden between 2018 and 2020, focusing on disability status, disability type, gender, and the first three years following secondary education. A quantitative design was appropriate for identifying patterns in numerical data and assessing whether observed differences were statistically significant (Boeren, 2018; Mweshi &amp; Muhyila, 2024).</w:t>
      </w:r>
    </w:p>
    <w:p w14:paraId="5F680EA0" w14:textId="77777777" w:rsidR="008E0912" w:rsidRPr="008E0912" w:rsidRDefault="008E0912" w:rsidP="008E0912">
      <w:pPr>
        <w:pStyle w:val="isselectedend"/>
        <w:spacing w:line="360" w:lineRule="auto"/>
        <w:jc w:val="both"/>
        <w:rPr>
          <w:lang w:val="en-GB"/>
        </w:rPr>
      </w:pPr>
      <w:r w:rsidRPr="008E0912">
        <w:rPr>
          <w:lang w:val="en-GB"/>
        </w:rPr>
        <w:t>The study was non-experimental because it used existing register data without manipulating variables or assigning participants to groups. Such designs examine naturally occurring variables and relationships rather than establishing cause-and-effect relationships (Creswell &amp; Creswell, 2018). The analysis can therefore identify differences and associations in participation but cannot establish that disability caused these differences. Observed disparities may instead reflect broader social, educational, and institutional conditions.</w:t>
      </w:r>
    </w:p>
    <w:p w14:paraId="36060B02" w14:textId="6CF82D35" w:rsidR="008E0912" w:rsidRPr="008E0912" w:rsidRDefault="008E0912" w:rsidP="008E0912">
      <w:pPr>
        <w:pStyle w:val="isselectedend"/>
        <w:spacing w:line="360" w:lineRule="auto"/>
        <w:jc w:val="both"/>
        <w:rPr>
          <w:lang w:val="en-GB"/>
        </w:rPr>
      </w:pPr>
      <w:r w:rsidRPr="008E0912">
        <w:rPr>
          <w:lang w:val="en-GB"/>
        </w:rPr>
        <w:t xml:space="preserve">The study is theoretically informed by the </w:t>
      </w:r>
      <w:r w:rsidR="00000362">
        <w:rPr>
          <w:lang w:val="en-GB"/>
        </w:rPr>
        <w:t>c</w:t>
      </w:r>
      <w:r w:rsidRPr="008E0912">
        <w:rPr>
          <w:lang w:val="en-GB"/>
        </w:rPr>
        <w:t xml:space="preserve">apability </w:t>
      </w:r>
      <w:r w:rsidR="00000362">
        <w:rPr>
          <w:lang w:val="en-GB"/>
        </w:rPr>
        <w:t>a</w:t>
      </w:r>
      <w:r w:rsidRPr="008E0912">
        <w:rPr>
          <w:lang w:val="en-GB"/>
        </w:rPr>
        <w:t>pproach, which provides a framework for interpreting educational participation in terms of individuals’ real opportunities to pursue valued educational outcomes (Riddle, 2020). Participation is not treated as a direct measure of capability; rather, differences in participation may indicate unequal opportunities to convert educational resources and experiences into further educational pathways (Keung &amp; Ho, 2020). Thus, the Capability Approach informs interpretation rather than functioning as a variable in the statistical analysis.</w:t>
      </w:r>
    </w:p>
    <w:p w14:paraId="20E1215F" w14:textId="0A95D79B" w:rsidR="008E0912" w:rsidRPr="008E0912" w:rsidRDefault="00A747E1" w:rsidP="008E0912">
      <w:pPr>
        <w:pStyle w:val="Normalwebb"/>
        <w:spacing w:line="360" w:lineRule="auto"/>
        <w:jc w:val="both"/>
        <w:rPr>
          <w:lang w:val="en-GB"/>
        </w:rPr>
      </w:pPr>
      <w:r w:rsidRPr="00A747E1">
        <w:rPr>
          <w:lang w:val="en-GB"/>
        </w:rPr>
        <w:t>Consistent with a social model understanding of disability, the study primarily uses the term “students with disabilities,” while “disabled students” may also be used where appropriate. Both terms are used to recognise that disability-related inequalities may arise not only from impairment but also from social and institutional barriers to participation (Shaw, 2025).</w:t>
      </w:r>
    </w:p>
    <w:p w14:paraId="13C7047F" w14:textId="77777777" w:rsidR="0007642E" w:rsidRDefault="0007642E" w:rsidP="00736455">
      <w:pPr>
        <w:spacing w:before="100" w:beforeAutospacing="1" w:after="100" w:afterAutospacing="1" w:line="240" w:lineRule="auto"/>
        <w:rPr>
          <w:rFonts w:ascii="Times New Roman" w:eastAsia="Times New Roman" w:hAnsi="Times New Roman" w:cs="Times New Roman"/>
          <w:sz w:val="24"/>
          <w:szCs w:val="24"/>
          <w:lang w:eastAsia="sv-SE"/>
        </w:rPr>
      </w:pPr>
    </w:p>
    <w:p w14:paraId="3E2BB136" w14:textId="28E92897" w:rsidR="007623EA" w:rsidRPr="005649AF" w:rsidRDefault="00CF47EB" w:rsidP="00736455">
      <w:pPr>
        <w:spacing w:before="100" w:beforeAutospacing="1" w:after="100" w:afterAutospacing="1" w:line="240" w:lineRule="auto"/>
        <w:rPr>
          <w:rFonts w:ascii="Times New Roman" w:eastAsia="Times New Roman" w:hAnsi="Times New Roman" w:cs="Times New Roman"/>
          <w:b/>
          <w:bCs/>
          <w:sz w:val="24"/>
          <w:szCs w:val="24"/>
          <w:lang w:eastAsia="sv-SE"/>
        </w:rPr>
      </w:pPr>
      <w:r w:rsidRPr="005649AF">
        <w:rPr>
          <w:rFonts w:ascii="Times New Roman" w:eastAsia="Times New Roman" w:hAnsi="Times New Roman" w:cs="Times New Roman"/>
          <w:b/>
          <w:bCs/>
          <w:sz w:val="24"/>
          <w:szCs w:val="24"/>
          <w:lang w:eastAsia="sv-SE"/>
        </w:rPr>
        <w:lastRenderedPageBreak/>
        <w:t xml:space="preserve">Population and </w:t>
      </w:r>
      <w:r w:rsidR="007623EA" w:rsidRPr="005649AF">
        <w:rPr>
          <w:rFonts w:ascii="Times New Roman" w:eastAsia="Times New Roman" w:hAnsi="Times New Roman" w:cs="Times New Roman"/>
          <w:b/>
          <w:bCs/>
          <w:sz w:val="24"/>
          <w:szCs w:val="24"/>
          <w:lang w:eastAsia="sv-SE"/>
        </w:rPr>
        <w:t>Data Source</w:t>
      </w:r>
    </w:p>
    <w:p w14:paraId="3F010EC1" w14:textId="0FEB2EB2" w:rsidR="005649AF" w:rsidRPr="005649AF" w:rsidRDefault="005649AF" w:rsidP="00162C3A">
      <w:pPr>
        <w:pStyle w:val="isselectedend"/>
        <w:spacing w:line="360" w:lineRule="auto"/>
        <w:jc w:val="both"/>
        <w:rPr>
          <w:lang w:val="en-GB"/>
        </w:rPr>
      </w:pPr>
      <w:r w:rsidRPr="005649AF">
        <w:rPr>
          <w:lang w:val="en-GB"/>
        </w:rPr>
        <w:t>The study used national register data from Statistics Sweden (SCB</w:t>
      </w:r>
      <w:r w:rsidR="007D3954">
        <w:rPr>
          <w:lang w:val="en-GB"/>
        </w:rPr>
        <w:t>,2024</w:t>
      </w:r>
      <w:r w:rsidRPr="005649AF">
        <w:rPr>
          <w:lang w:val="en-GB"/>
        </w:rPr>
        <w:t>). The population of interest comprised</w:t>
      </w:r>
      <w:r w:rsidR="00E4012B">
        <w:rPr>
          <w:lang w:val="en-GB"/>
        </w:rPr>
        <w:t xml:space="preserve"> the percentage of</w:t>
      </w:r>
      <w:r w:rsidRPr="005649AF">
        <w:rPr>
          <w:lang w:val="en-GB"/>
        </w:rPr>
        <w:t xml:space="preserve"> students with and without disabilities represented in the available register data for 2018–2020. As Albers (2017) notes, defining the target population is important for establishing the group to which findings are intended to apply. </w:t>
      </w:r>
      <w:r w:rsidR="0092059E">
        <w:rPr>
          <w:lang w:val="en-GB"/>
        </w:rPr>
        <w:t>Similarly, t</w:t>
      </w:r>
      <w:r w:rsidRPr="005649AF">
        <w:rPr>
          <w:lang w:val="en-GB"/>
        </w:rPr>
        <w:t>he analysis focused on post-secondary education</w:t>
      </w:r>
      <w:r w:rsidR="00A96E09">
        <w:rPr>
          <w:lang w:val="en-GB"/>
        </w:rPr>
        <w:t xml:space="preserve"> participation</w:t>
      </w:r>
      <w:r w:rsidRPr="005649AF">
        <w:rPr>
          <w:lang w:val="en-GB"/>
        </w:rPr>
        <w:t>.</w:t>
      </w:r>
    </w:p>
    <w:p w14:paraId="269FCFBE" w14:textId="6AAFDC6D" w:rsidR="005649AF" w:rsidRPr="005649AF" w:rsidRDefault="005649AF" w:rsidP="00162C3A">
      <w:pPr>
        <w:pStyle w:val="isselectedend"/>
        <w:spacing w:line="360" w:lineRule="auto"/>
        <w:jc w:val="both"/>
        <w:rPr>
          <w:lang w:val="en-GB"/>
        </w:rPr>
      </w:pPr>
      <w:r w:rsidRPr="005649AF">
        <w:rPr>
          <w:lang w:val="en-GB"/>
        </w:rPr>
        <w:t xml:space="preserve">The primary outcome was post-secondary education participation, measured as the </w:t>
      </w:r>
      <w:r w:rsidR="00F72256">
        <w:rPr>
          <w:lang w:val="en-GB"/>
        </w:rPr>
        <w:t xml:space="preserve">percentage </w:t>
      </w:r>
      <w:r w:rsidRPr="005649AF">
        <w:rPr>
          <w:lang w:val="en-GB"/>
        </w:rPr>
        <w:t>number or proportion of students participating within relevant groups and periods. The main grouping variable was disability status, with further analysis by disability type where available. Gender was examined as an additional grouping variable, while year was used to assess changes in participation over time.</w:t>
      </w:r>
    </w:p>
    <w:p w14:paraId="5BF16664" w14:textId="77777777" w:rsidR="005649AF" w:rsidRPr="005649AF" w:rsidRDefault="005649AF" w:rsidP="00162C3A">
      <w:pPr>
        <w:pStyle w:val="Normalwebb"/>
        <w:spacing w:line="360" w:lineRule="auto"/>
        <w:jc w:val="both"/>
        <w:rPr>
          <w:lang w:val="en-GB"/>
        </w:rPr>
      </w:pPr>
      <w:r w:rsidRPr="005649AF">
        <w:rPr>
          <w:lang w:val="en-GB"/>
        </w:rPr>
        <w:t>These variables correspond directly to the research questions and provide the basis for examining differences in participation by disability status, disability type, and gender, as well as changes over time.</w:t>
      </w:r>
    </w:p>
    <w:p w14:paraId="6F98602D" w14:textId="012C83FF" w:rsidR="00F8133A" w:rsidRPr="00F8133A" w:rsidRDefault="00F8133A" w:rsidP="00F8133A">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F8133A">
        <w:rPr>
          <w:rFonts w:ascii="Times New Roman" w:eastAsia="Times New Roman" w:hAnsi="Times New Roman" w:cs="Times New Roman"/>
          <w:b/>
          <w:bCs/>
          <w:sz w:val="24"/>
          <w:szCs w:val="24"/>
          <w:lang w:eastAsia="sv-SE"/>
        </w:rPr>
        <w:t>Hypotheses</w:t>
      </w:r>
    </w:p>
    <w:p w14:paraId="0568B39D" w14:textId="02B72A3B"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 xml:space="preserve">The hypotheses were developed from the research questions and the assumption, informed by the </w:t>
      </w:r>
      <w:r w:rsidR="00E81930">
        <w:rPr>
          <w:rFonts w:ascii="Times New Roman" w:eastAsia="Times New Roman" w:hAnsi="Times New Roman" w:cs="Times New Roman"/>
          <w:sz w:val="24"/>
          <w:szCs w:val="24"/>
          <w:lang w:eastAsia="sv-SE"/>
        </w:rPr>
        <w:t>c</w:t>
      </w:r>
      <w:r w:rsidRPr="00736455">
        <w:rPr>
          <w:rFonts w:ascii="Times New Roman" w:eastAsia="Times New Roman" w:hAnsi="Times New Roman" w:cs="Times New Roman"/>
          <w:sz w:val="24"/>
          <w:szCs w:val="24"/>
          <w:lang w:eastAsia="sv-SE"/>
        </w:rPr>
        <w:t xml:space="preserve">apability </w:t>
      </w:r>
      <w:r w:rsidR="00E81930">
        <w:rPr>
          <w:rFonts w:ascii="Times New Roman" w:eastAsia="Times New Roman" w:hAnsi="Times New Roman" w:cs="Times New Roman"/>
          <w:sz w:val="24"/>
          <w:szCs w:val="24"/>
          <w:lang w:eastAsia="sv-SE"/>
        </w:rPr>
        <w:t>a</w:t>
      </w:r>
      <w:r w:rsidRPr="00736455">
        <w:rPr>
          <w:rFonts w:ascii="Times New Roman" w:eastAsia="Times New Roman" w:hAnsi="Times New Roman" w:cs="Times New Roman"/>
          <w:sz w:val="24"/>
          <w:szCs w:val="24"/>
          <w:lang w:eastAsia="sv-SE"/>
        </w:rPr>
        <w:t>pproach, that differences in social and educational conditions may influence students' opportunities to participate in post-secondary education. Hypothesis testing provides a systematic basis for assessing whether observed differences are statistically significant rather than attributable to random variation (</w:t>
      </w:r>
      <w:r w:rsidR="00CC65ED" w:rsidRPr="00CC65ED">
        <w:rPr>
          <w:rFonts w:ascii="Times New Roman" w:eastAsia="Times New Roman" w:hAnsi="Times New Roman" w:cs="Times New Roman"/>
          <w:sz w:val="24"/>
          <w:szCs w:val="24"/>
          <w:lang w:eastAsia="sv-SE"/>
        </w:rPr>
        <w:t>Darna et al., 2024</w:t>
      </w:r>
      <w:r w:rsidR="00CC65ED">
        <w:rPr>
          <w:rFonts w:ascii="Times New Roman" w:eastAsia="Times New Roman" w:hAnsi="Times New Roman" w:cs="Times New Roman"/>
          <w:sz w:val="24"/>
          <w:szCs w:val="24"/>
          <w:lang w:eastAsia="sv-SE"/>
        </w:rPr>
        <w:t xml:space="preserve">, </w:t>
      </w:r>
      <w:r w:rsidRPr="00736455">
        <w:rPr>
          <w:rFonts w:ascii="Times New Roman" w:eastAsia="Times New Roman" w:hAnsi="Times New Roman" w:cs="Times New Roman"/>
          <w:sz w:val="24"/>
          <w:szCs w:val="24"/>
          <w:lang w:eastAsia="sv-SE"/>
        </w:rPr>
        <w:t>Kotronoulas et al., 2023).</w:t>
      </w:r>
    </w:p>
    <w:p w14:paraId="1CBF3201"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The study tested the following hypotheses:</w:t>
      </w:r>
    </w:p>
    <w:p w14:paraId="6DEE0B08"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t>H1₁:</w:t>
      </w:r>
      <w:r w:rsidRPr="00736455">
        <w:rPr>
          <w:rFonts w:ascii="Times New Roman" w:eastAsia="Times New Roman" w:hAnsi="Times New Roman" w:cs="Times New Roman"/>
          <w:sz w:val="24"/>
          <w:szCs w:val="24"/>
          <w:lang w:eastAsia="sv-SE"/>
        </w:rPr>
        <w:t xml:space="preserve"> Post-secondary education participation differs significantly across the first three years following completion of secondary education.</w:t>
      </w:r>
    </w:p>
    <w:p w14:paraId="602A145C"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t>H0₁:</w:t>
      </w:r>
      <w:r w:rsidRPr="00736455">
        <w:rPr>
          <w:rFonts w:ascii="Times New Roman" w:eastAsia="Times New Roman" w:hAnsi="Times New Roman" w:cs="Times New Roman"/>
          <w:sz w:val="24"/>
          <w:szCs w:val="24"/>
          <w:lang w:eastAsia="sv-SE"/>
        </w:rPr>
        <w:t xml:space="preserve"> There is no statistically significant difference in post-secondary education participation across the first three years following completion of secondary education.</w:t>
      </w:r>
    </w:p>
    <w:p w14:paraId="495C0156"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t>H1₂:</w:t>
      </w:r>
      <w:r w:rsidRPr="00736455">
        <w:rPr>
          <w:rFonts w:ascii="Times New Roman" w:eastAsia="Times New Roman" w:hAnsi="Times New Roman" w:cs="Times New Roman"/>
          <w:sz w:val="24"/>
          <w:szCs w:val="24"/>
          <w:lang w:eastAsia="sv-SE"/>
        </w:rPr>
        <w:t xml:space="preserve"> Post-secondary education participation changes significantly between the first and third years following completion of secondary education.</w:t>
      </w:r>
    </w:p>
    <w:p w14:paraId="69AC1A01"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lastRenderedPageBreak/>
        <w:t>H0₂:</w:t>
      </w:r>
      <w:r w:rsidRPr="00736455">
        <w:rPr>
          <w:rFonts w:ascii="Times New Roman" w:eastAsia="Times New Roman" w:hAnsi="Times New Roman" w:cs="Times New Roman"/>
          <w:sz w:val="24"/>
          <w:szCs w:val="24"/>
          <w:lang w:eastAsia="sv-SE"/>
        </w:rPr>
        <w:t xml:space="preserve"> There is no statistically significant change in post-secondary education participation between the first and third years following completion of secondary education.</w:t>
      </w:r>
    </w:p>
    <w:p w14:paraId="0A6E896F"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t>H2:</w:t>
      </w:r>
      <w:r w:rsidRPr="00736455">
        <w:rPr>
          <w:rFonts w:ascii="Times New Roman" w:eastAsia="Times New Roman" w:hAnsi="Times New Roman" w:cs="Times New Roman"/>
          <w:sz w:val="24"/>
          <w:szCs w:val="24"/>
          <w:lang w:eastAsia="sv-SE"/>
        </w:rPr>
        <w:t xml:space="preserve"> Post-secondary education participation differs significantly across different disability types.</w:t>
      </w:r>
    </w:p>
    <w:p w14:paraId="4D9B1E79" w14:textId="77777777" w:rsidR="00736455" w:rsidRPr="00736455" w:rsidRDefault="00736455" w:rsidP="00B84F76">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b/>
          <w:bCs/>
          <w:sz w:val="24"/>
          <w:szCs w:val="24"/>
          <w:lang w:eastAsia="sv-SE"/>
        </w:rPr>
        <w:t>H0₂:</w:t>
      </w:r>
      <w:r w:rsidRPr="00736455">
        <w:rPr>
          <w:rFonts w:ascii="Times New Roman" w:eastAsia="Times New Roman" w:hAnsi="Times New Roman" w:cs="Times New Roman"/>
          <w:sz w:val="24"/>
          <w:szCs w:val="24"/>
          <w:lang w:eastAsia="sv-SE"/>
        </w:rPr>
        <w:t xml:space="preserve"> There is no statistically significant difference in post-secondary education participation across different disability types.</w:t>
      </w:r>
    </w:p>
    <w:p w14:paraId="62D33579" w14:textId="21F1C5A2" w:rsidR="00736455" w:rsidRPr="003A23D5" w:rsidRDefault="00736455" w:rsidP="003A23D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The gender-related research question was examined primarily through descriptive comparisons because the available data and analytical structure did not provide a basis for a separate hypothesis test of gender effects. Gender differences were therefore interpreted as patterns of disparity rather than as evidence of a causal gender effect.</w:t>
      </w:r>
    </w:p>
    <w:p w14:paraId="02E4DC72" w14:textId="31BDEA1F" w:rsidR="003A23D5" w:rsidRPr="003A23D5" w:rsidRDefault="003A23D5" w:rsidP="00736455">
      <w:pPr>
        <w:spacing w:before="100" w:beforeAutospacing="1" w:after="100" w:afterAutospacing="1" w:line="240" w:lineRule="auto"/>
        <w:rPr>
          <w:rFonts w:ascii="Times New Roman" w:eastAsia="Times New Roman" w:hAnsi="Times New Roman" w:cs="Times New Roman"/>
          <w:b/>
          <w:bCs/>
          <w:sz w:val="24"/>
          <w:szCs w:val="24"/>
          <w:lang w:eastAsia="sv-SE"/>
        </w:rPr>
      </w:pPr>
      <w:r w:rsidRPr="003A23D5">
        <w:rPr>
          <w:rFonts w:ascii="Times New Roman" w:eastAsia="Times New Roman" w:hAnsi="Times New Roman" w:cs="Times New Roman"/>
          <w:b/>
          <w:bCs/>
          <w:sz w:val="24"/>
          <w:szCs w:val="24"/>
          <w:lang w:eastAsia="sv-SE"/>
        </w:rPr>
        <w:t>Data Preparation and analysis</w:t>
      </w:r>
    </w:p>
    <w:p w14:paraId="5BB7438A" w14:textId="63229008" w:rsidR="00736455" w:rsidRPr="00736455" w:rsidRDefault="00736455" w:rsidP="003A23D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Before analysis, the dataset was screened and prepared to ensure that the data were suitable for the statistical procedures applied. Missing, non-numerical, and otherwise unsuitable entries were identified, and observations that could not be incorporated into a particular statistical procedure excluded from that analysis.</w:t>
      </w:r>
      <w:r w:rsidR="00456229" w:rsidRPr="00456229">
        <w:rPr>
          <w:rFonts w:ascii="Times New Roman" w:hAnsi="Times New Roman" w:cs="Times New Roman"/>
          <w:color w:val="040102"/>
          <w:sz w:val="24"/>
          <w:szCs w:val="24"/>
          <w:shd w:val="clear" w:color="auto" w:fill="FFFFFF"/>
        </w:rPr>
        <w:t xml:space="preserve"> </w:t>
      </w:r>
      <w:r w:rsidR="00456229" w:rsidRPr="00456229">
        <w:rPr>
          <w:rFonts w:ascii="Times New Roman" w:eastAsia="Times New Roman" w:hAnsi="Times New Roman" w:cs="Times New Roman"/>
          <w:sz w:val="24"/>
          <w:szCs w:val="24"/>
          <w:lang w:eastAsia="sv-SE"/>
        </w:rPr>
        <w:t>The choice of an appropriate statistical tool is an important step in quantitative research to ensure that the results obtained are reliable by interpreting data accurately, to reduce bias and ensure accuracy (Saharan et al., 2024).</w:t>
      </w:r>
      <w:r w:rsidRPr="00736455">
        <w:rPr>
          <w:rFonts w:ascii="Times New Roman" w:eastAsia="Times New Roman" w:hAnsi="Times New Roman" w:cs="Times New Roman"/>
          <w:sz w:val="24"/>
          <w:szCs w:val="24"/>
          <w:lang w:eastAsia="sv-SE"/>
        </w:rPr>
        <w:t xml:space="preserve"> The data were then organised according to disability status, disability type, gender, year, and post-secondary participation. Data cleaning and preparation are important when working with existing datasets because inconsistencies in the data can affect the accuracy and reliability of subsequent analyses (Mweshi &amp; Muhyila, 2024).</w:t>
      </w:r>
    </w:p>
    <w:p w14:paraId="20A6E425" w14:textId="57BF46E3" w:rsidR="00736455" w:rsidRPr="00736455" w:rsidRDefault="00736455" w:rsidP="003A23D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 xml:space="preserve">The statistical analysis was guided by the research questions, the level of measurement, and the structure of the available data. </w:t>
      </w:r>
      <w:r w:rsidRPr="000B4EB9">
        <w:rPr>
          <w:rFonts w:ascii="Times New Roman" w:eastAsia="Times New Roman" w:hAnsi="Times New Roman" w:cs="Times New Roman"/>
          <w:sz w:val="24"/>
          <w:szCs w:val="24"/>
          <w:lang w:eastAsia="sv-SE"/>
        </w:rPr>
        <w:t>Descriptive statistics</w:t>
      </w:r>
      <w:r w:rsidRPr="00736455">
        <w:rPr>
          <w:rFonts w:ascii="Times New Roman" w:eastAsia="Times New Roman" w:hAnsi="Times New Roman" w:cs="Times New Roman"/>
          <w:sz w:val="24"/>
          <w:szCs w:val="24"/>
          <w:lang w:eastAsia="sv-SE"/>
        </w:rPr>
        <w:t xml:space="preserve"> were first used to identify participation patterns across disability status, disability type, gender, and year. </w:t>
      </w:r>
      <w:r w:rsidR="006022A6">
        <w:rPr>
          <w:rFonts w:ascii="Times New Roman" w:eastAsia="Times New Roman" w:hAnsi="Times New Roman" w:cs="Times New Roman"/>
          <w:sz w:val="24"/>
          <w:szCs w:val="24"/>
          <w:lang w:eastAsia="sv-SE"/>
        </w:rPr>
        <w:t xml:space="preserve">Indeed, </w:t>
      </w:r>
      <w:r w:rsidR="00C8750E">
        <w:rPr>
          <w:rFonts w:ascii="Times New Roman" w:eastAsia="Times New Roman" w:hAnsi="Times New Roman" w:cs="Times New Roman"/>
          <w:sz w:val="24"/>
          <w:szCs w:val="24"/>
          <w:lang w:eastAsia="sv-SE"/>
        </w:rPr>
        <w:t>d</w:t>
      </w:r>
      <w:r w:rsidR="00C72F82" w:rsidRPr="00C72F82">
        <w:rPr>
          <w:rFonts w:ascii="Times New Roman" w:eastAsia="Times New Roman" w:hAnsi="Times New Roman" w:cs="Times New Roman"/>
          <w:sz w:val="24"/>
          <w:szCs w:val="24"/>
          <w:lang w:eastAsia="sv-SE"/>
        </w:rPr>
        <w:t xml:space="preserve">escriptive statistics describe data presented in form of tables, diagrams, measurements of averages (Yusup et al., 2019). </w:t>
      </w:r>
      <w:r w:rsidRPr="00736455">
        <w:rPr>
          <w:rFonts w:ascii="Times New Roman" w:eastAsia="Times New Roman" w:hAnsi="Times New Roman" w:cs="Times New Roman"/>
          <w:sz w:val="24"/>
          <w:szCs w:val="24"/>
          <w:lang w:eastAsia="sv-SE"/>
        </w:rPr>
        <w:t>Percentages, tables, and graphical presentations were used to compare participation across the main groups and to illustrate changes between 2018 and 2020. Descriptive analysis was particularly important for identifying patterns across disability types and gender that may not be captured through significance testing alone.</w:t>
      </w:r>
    </w:p>
    <w:p w14:paraId="3D8B1F35" w14:textId="48BEF03D" w:rsidR="00736455" w:rsidRPr="00736455" w:rsidRDefault="00736455" w:rsidP="00F5326B">
      <w:pPr>
        <w:spacing w:before="100" w:beforeAutospacing="1" w:after="100" w:afterAutospacing="1" w:line="360" w:lineRule="auto"/>
        <w:jc w:val="both"/>
        <w:rPr>
          <w:rFonts w:ascii="Times New Roman" w:eastAsia="Times New Roman" w:hAnsi="Times New Roman" w:cs="Times New Roman"/>
          <w:sz w:val="24"/>
          <w:szCs w:val="24"/>
          <w:lang w:eastAsia="sv-SE"/>
        </w:rPr>
      </w:pPr>
      <w:r w:rsidRPr="00F5326B">
        <w:rPr>
          <w:rFonts w:ascii="Times New Roman" w:eastAsia="Times New Roman" w:hAnsi="Times New Roman" w:cs="Times New Roman"/>
          <w:sz w:val="24"/>
          <w:szCs w:val="24"/>
          <w:lang w:eastAsia="sv-SE"/>
        </w:rPr>
        <w:lastRenderedPageBreak/>
        <w:t>Inferential statistics</w:t>
      </w:r>
      <w:r w:rsidRPr="00736455">
        <w:rPr>
          <w:rFonts w:ascii="Times New Roman" w:eastAsia="Times New Roman" w:hAnsi="Times New Roman" w:cs="Times New Roman"/>
          <w:sz w:val="24"/>
          <w:szCs w:val="24"/>
          <w:lang w:eastAsia="sv-SE"/>
        </w:rPr>
        <w:t xml:space="preserve"> were then used to assess whether selected differences were statistically significant. </w:t>
      </w:r>
      <w:r w:rsidR="00C17EE9" w:rsidRPr="00C17EE9">
        <w:rPr>
          <w:rFonts w:ascii="Times New Roman" w:eastAsia="Times New Roman" w:hAnsi="Times New Roman" w:cs="Times New Roman"/>
          <w:sz w:val="24"/>
          <w:szCs w:val="24"/>
          <w:lang w:eastAsia="sv-SE"/>
        </w:rPr>
        <w:t>Inferential statistics involve using sample data to draw conclusions and make generalisations about a population (Yusup et al., 2019)</w:t>
      </w:r>
      <w:r w:rsidR="00C17EE9">
        <w:rPr>
          <w:rFonts w:ascii="Times New Roman" w:eastAsia="Times New Roman" w:hAnsi="Times New Roman" w:cs="Times New Roman"/>
          <w:sz w:val="24"/>
          <w:szCs w:val="24"/>
          <w:lang w:eastAsia="sv-SE"/>
        </w:rPr>
        <w:t xml:space="preserve">. </w:t>
      </w:r>
      <w:r w:rsidRPr="00736455">
        <w:rPr>
          <w:rFonts w:ascii="Times New Roman" w:eastAsia="Times New Roman" w:hAnsi="Times New Roman" w:cs="Times New Roman"/>
          <w:sz w:val="24"/>
          <w:szCs w:val="24"/>
          <w:lang w:eastAsia="sv-SE"/>
        </w:rPr>
        <w:t>A</w:t>
      </w:r>
      <w:r w:rsidR="009E03B8">
        <w:rPr>
          <w:rFonts w:ascii="Times New Roman" w:eastAsia="Times New Roman" w:hAnsi="Times New Roman" w:cs="Times New Roman"/>
          <w:sz w:val="24"/>
          <w:szCs w:val="24"/>
          <w:lang w:eastAsia="sv-SE"/>
        </w:rPr>
        <w:t xml:space="preserve"> </w:t>
      </w:r>
      <w:r w:rsidRPr="00F5326B">
        <w:rPr>
          <w:rFonts w:ascii="Times New Roman" w:eastAsia="Times New Roman" w:hAnsi="Times New Roman" w:cs="Times New Roman"/>
          <w:sz w:val="24"/>
          <w:szCs w:val="24"/>
          <w:lang w:eastAsia="sv-SE"/>
        </w:rPr>
        <w:t>one-way analysis of variance (ANOVA)</w:t>
      </w:r>
      <w:r w:rsidRPr="00736455">
        <w:rPr>
          <w:rFonts w:ascii="Times New Roman" w:eastAsia="Times New Roman" w:hAnsi="Times New Roman" w:cs="Times New Roman"/>
          <w:sz w:val="24"/>
          <w:szCs w:val="24"/>
          <w:lang w:eastAsia="sv-SE"/>
        </w:rPr>
        <w:t xml:space="preserve"> was used to examine whether participation differed across the first, second, and third years following completion of secondary education. ANOVA is appropriate for comparing means across more than two groups when its underlying assumptions are reasonably satisfied (Delacre et al., 2019).</w:t>
      </w:r>
    </w:p>
    <w:p w14:paraId="1D38FDD6" w14:textId="77777777" w:rsidR="00736455" w:rsidRPr="00736455" w:rsidRDefault="00736455" w:rsidP="00F5326B">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 xml:space="preserve">A </w:t>
      </w:r>
      <w:r w:rsidRPr="00F5326B">
        <w:rPr>
          <w:rFonts w:ascii="Times New Roman" w:eastAsia="Times New Roman" w:hAnsi="Times New Roman" w:cs="Times New Roman"/>
          <w:sz w:val="24"/>
          <w:szCs w:val="24"/>
          <w:lang w:eastAsia="sv-SE"/>
        </w:rPr>
        <w:t xml:space="preserve">paired-samples </w:t>
      </w:r>
      <w:r w:rsidRPr="00F5326B">
        <w:rPr>
          <w:rFonts w:ascii="Times New Roman" w:eastAsia="Times New Roman" w:hAnsi="Times New Roman" w:cs="Times New Roman"/>
          <w:i/>
          <w:iCs/>
          <w:sz w:val="24"/>
          <w:szCs w:val="24"/>
          <w:lang w:eastAsia="sv-SE"/>
        </w:rPr>
        <w:t>t</w:t>
      </w:r>
      <w:r w:rsidRPr="00F5326B">
        <w:rPr>
          <w:rFonts w:ascii="Times New Roman" w:eastAsia="Times New Roman" w:hAnsi="Times New Roman" w:cs="Times New Roman"/>
          <w:sz w:val="24"/>
          <w:szCs w:val="24"/>
          <w:lang w:eastAsia="sv-SE"/>
        </w:rPr>
        <w:t>-test</w:t>
      </w:r>
      <w:r w:rsidRPr="00736455">
        <w:rPr>
          <w:rFonts w:ascii="Times New Roman" w:eastAsia="Times New Roman" w:hAnsi="Times New Roman" w:cs="Times New Roman"/>
          <w:sz w:val="24"/>
          <w:szCs w:val="24"/>
          <w:lang w:eastAsia="sv-SE"/>
        </w:rPr>
        <w:t xml:space="preserve"> was used to examine whether participation changed significantly between the first and third years following completion of secondary education. This analysis addressed the more specific question of change between the beginning and end of the three-year period, complementing the overall comparison provided by the ANOVA.</w:t>
      </w:r>
    </w:p>
    <w:p w14:paraId="2E6EBC75" w14:textId="77777777" w:rsidR="00736455" w:rsidRPr="00736455" w:rsidRDefault="00736455" w:rsidP="00F5326B">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A one-way ANOVA was also used where the available numerical data permitted comparisons across different disability types. However, some entries in the dataset were non-numerical or otherwise unsuitable for this analysis. Consequently, disability-type comparisons were based on the observations that met the requirements of the relevant statistical procedure. This limitation is important because excluding unsuitable observations may reduce the amount of information available for some disability categories and should therefore be considered when interpreting the results.</w:t>
      </w:r>
    </w:p>
    <w:p w14:paraId="69409371" w14:textId="77777777" w:rsidR="00736455" w:rsidRPr="00736455" w:rsidRDefault="00736455" w:rsidP="00F5326B">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 xml:space="preserve">For comparisons involving two groups, an independent-samples </w:t>
      </w:r>
      <w:r w:rsidRPr="00736455">
        <w:rPr>
          <w:rFonts w:ascii="Times New Roman" w:eastAsia="Times New Roman" w:hAnsi="Times New Roman" w:cs="Times New Roman"/>
          <w:i/>
          <w:iCs/>
          <w:sz w:val="24"/>
          <w:szCs w:val="24"/>
          <w:lang w:eastAsia="sv-SE"/>
        </w:rPr>
        <w:t>t</w:t>
      </w:r>
      <w:r w:rsidRPr="00736455">
        <w:rPr>
          <w:rFonts w:ascii="Times New Roman" w:eastAsia="Times New Roman" w:hAnsi="Times New Roman" w:cs="Times New Roman"/>
          <w:sz w:val="24"/>
          <w:szCs w:val="24"/>
          <w:lang w:eastAsia="sv-SE"/>
        </w:rPr>
        <w:t>-test was used where the data structure and assumptions were appropriate. Pearson's correlation was considered only where relationships between numerical variables were examined and the assumptions for correlation were satisfied (Darna et al., 2024). Statistical procedures were therefore selected according to the research questions and characteristics of the data rather than applying a single statistical technique to all variables.</w:t>
      </w:r>
    </w:p>
    <w:p w14:paraId="20B87EBD" w14:textId="5FF91986" w:rsidR="00654B47" w:rsidRDefault="00736455" w:rsidP="00654B47">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36455">
        <w:rPr>
          <w:rFonts w:ascii="Times New Roman" w:eastAsia="Times New Roman" w:hAnsi="Times New Roman" w:cs="Times New Roman"/>
          <w:sz w:val="24"/>
          <w:szCs w:val="24"/>
          <w:lang w:eastAsia="sv-SE"/>
        </w:rPr>
        <w:t xml:space="preserve">The significance level for inferential analyses was set at </w:t>
      </w:r>
      <w:r w:rsidRPr="00736455">
        <w:rPr>
          <w:rFonts w:ascii="Times New Roman" w:eastAsia="Times New Roman" w:hAnsi="Times New Roman" w:cs="Times New Roman"/>
          <w:b/>
          <w:bCs/>
          <w:sz w:val="24"/>
          <w:szCs w:val="24"/>
          <w:lang w:val="sv-SE" w:eastAsia="sv-SE"/>
        </w:rPr>
        <w:t>α</w:t>
      </w:r>
      <w:r w:rsidRPr="00736455">
        <w:rPr>
          <w:rFonts w:ascii="Times New Roman" w:eastAsia="Times New Roman" w:hAnsi="Times New Roman" w:cs="Times New Roman"/>
          <w:b/>
          <w:bCs/>
          <w:sz w:val="24"/>
          <w:szCs w:val="24"/>
          <w:lang w:eastAsia="sv-SE"/>
        </w:rPr>
        <w:t xml:space="preserve"> = .05</w:t>
      </w:r>
      <w:r w:rsidRPr="00736455">
        <w:rPr>
          <w:rFonts w:ascii="Times New Roman" w:eastAsia="Times New Roman" w:hAnsi="Times New Roman" w:cs="Times New Roman"/>
          <w:sz w:val="24"/>
          <w:szCs w:val="24"/>
          <w:lang w:eastAsia="sv-SE"/>
        </w:rPr>
        <w:t xml:space="preserve">. A </w:t>
      </w:r>
      <w:r w:rsidRPr="00736455">
        <w:rPr>
          <w:rFonts w:ascii="Times New Roman" w:eastAsia="Times New Roman" w:hAnsi="Times New Roman" w:cs="Times New Roman"/>
          <w:i/>
          <w:iCs/>
          <w:sz w:val="24"/>
          <w:szCs w:val="24"/>
          <w:lang w:eastAsia="sv-SE"/>
        </w:rPr>
        <w:t>p</w:t>
      </w:r>
      <w:r w:rsidRPr="00736455">
        <w:rPr>
          <w:rFonts w:ascii="Times New Roman" w:eastAsia="Times New Roman" w:hAnsi="Times New Roman" w:cs="Times New Roman"/>
          <w:sz w:val="24"/>
          <w:szCs w:val="24"/>
          <w:lang w:eastAsia="sv-SE"/>
        </w:rPr>
        <w:t xml:space="preserve">-value below .05 was interpreted as evidence against the null hypothesis, whereas a </w:t>
      </w:r>
      <w:r w:rsidRPr="00736455">
        <w:rPr>
          <w:rFonts w:ascii="Times New Roman" w:eastAsia="Times New Roman" w:hAnsi="Times New Roman" w:cs="Times New Roman"/>
          <w:i/>
          <w:iCs/>
          <w:sz w:val="24"/>
          <w:szCs w:val="24"/>
          <w:lang w:eastAsia="sv-SE"/>
        </w:rPr>
        <w:t>p</w:t>
      </w:r>
      <w:r w:rsidRPr="00736455">
        <w:rPr>
          <w:rFonts w:ascii="Times New Roman" w:eastAsia="Times New Roman" w:hAnsi="Times New Roman" w:cs="Times New Roman"/>
          <w:sz w:val="24"/>
          <w:szCs w:val="24"/>
          <w:lang w:eastAsia="sv-SE"/>
        </w:rPr>
        <w:t>-value equal to or greater than .05 was interpreted as insufficient evidence to reject the null hypothesis</w:t>
      </w:r>
      <w:r w:rsidR="00EF5B70">
        <w:rPr>
          <w:rFonts w:ascii="Times New Roman" w:eastAsia="Times New Roman" w:hAnsi="Times New Roman" w:cs="Times New Roman"/>
          <w:sz w:val="24"/>
          <w:szCs w:val="24"/>
          <w:lang w:eastAsia="sv-SE"/>
        </w:rPr>
        <w:t>.</w:t>
      </w:r>
      <w:r w:rsidR="001A00F9">
        <w:rPr>
          <w:rFonts w:ascii="Times New Roman" w:eastAsia="Times New Roman" w:hAnsi="Times New Roman" w:cs="Times New Roman"/>
          <w:sz w:val="24"/>
          <w:szCs w:val="24"/>
          <w:lang w:eastAsia="sv-SE"/>
        </w:rPr>
        <w:t xml:space="preserve"> </w:t>
      </w:r>
      <w:r w:rsidR="001A00F9" w:rsidRPr="001A00F9">
        <w:rPr>
          <w:rFonts w:ascii="Times New Roman" w:eastAsia="Times New Roman" w:hAnsi="Times New Roman" w:cs="Times New Roman"/>
          <w:sz w:val="24"/>
          <w:szCs w:val="24"/>
          <w:lang w:eastAsia="sv-SE"/>
        </w:rPr>
        <w:t xml:space="preserve">The </w:t>
      </w:r>
      <w:r w:rsidR="001A00F9" w:rsidRPr="001A00F9">
        <w:rPr>
          <w:rFonts w:ascii="Times New Roman" w:eastAsia="Times New Roman" w:hAnsi="Times New Roman" w:cs="Times New Roman"/>
          <w:i/>
          <w:iCs/>
          <w:sz w:val="24"/>
          <w:szCs w:val="24"/>
          <w:lang w:eastAsia="sv-SE"/>
        </w:rPr>
        <w:t>p</w:t>
      </w:r>
      <w:r w:rsidR="001A00F9" w:rsidRPr="001A00F9">
        <w:rPr>
          <w:rFonts w:ascii="Times New Roman" w:eastAsia="Times New Roman" w:hAnsi="Times New Roman" w:cs="Times New Roman"/>
          <w:sz w:val="24"/>
          <w:szCs w:val="24"/>
          <w:lang w:eastAsia="sv-SE"/>
        </w:rPr>
        <w:t>-value indicates how likely the observed data are under the null hypothesis and the assumptions of the statistical test</w:t>
      </w:r>
      <w:r w:rsidRPr="00736455">
        <w:rPr>
          <w:rFonts w:ascii="Times New Roman" w:eastAsia="Times New Roman" w:hAnsi="Times New Roman" w:cs="Times New Roman"/>
          <w:sz w:val="24"/>
          <w:szCs w:val="24"/>
          <w:lang w:eastAsia="sv-SE"/>
        </w:rPr>
        <w:t xml:space="preserve"> (McShane et al., 2024). The interpretation therefore follows the conventional distinction between statistical significance and non-significance. Importantly, statistical significance does not by itself establish the size, practical importance, or cause of an observed difference.</w:t>
      </w:r>
      <w:r w:rsidR="00654B47">
        <w:rPr>
          <w:rFonts w:ascii="Times New Roman" w:eastAsia="Times New Roman" w:hAnsi="Times New Roman" w:cs="Times New Roman"/>
          <w:sz w:val="24"/>
          <w:szCs w:val="24"/>
          <w:lang w:eastAsia="sv-SE"/>
        </w:rPr>
        <w:t xml:space="preserve"> </w:t>
      </w:r>
    </w:p>
    <w:p w14:paraId="05169B80" w14:textId="7FC7C198" w:rsidR="00A24593" w:rsidRPr="000633B3" w:rsidRDefault="00654B47" w:rsidP="00B23427">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0633B3">
        <w:rPr>
          <w:rFonts w:ascii="Times New Roman" w:eastAsia="Times New Roman" w:hAnsi="Times New Roman" w:cs="Times New Roman"/>
          <w:b/>
          <w:bCs/>
          <w:sz w:val="24"/>
          <w:szCs w:val="24"/>
          <w:lang w:eastAsia="sv-SE"/>
        </w:rPr>
        <w:lastRenderedPageBreak/>
        <w:t>Relationship Between Research Questions and Statistical Analysis</w:t>
      </w:r>
    </w:p>
    <w:tbl>
      <w:tblPr>
        <w:tblW w:w="9102" w:type="dxa"/>
        <w:tblCellSpacing w:w="15" w:type="dxa"/>
        <w:tblCellMar>
          <w:top w:w="15" w:type="dxa"/>
          <w:left w:w="15" w:type="dxa"/>
          <w:bottom w:w="15" w:type="dxa"/>
          <w:right w:w="15" w:type="dxa"/>
        </w:tblCellMar>
        <w:tblLook w:val="04A0" w:firstRow="1" w:lastRow="0" w:firstColumn="1" w:lastColumn="0" w:noHBand="0" w:noVBand="1"/>
      </w:tblPr>
      <w:tblGrid>
        <w:gridCol w:w="5954"/>
        <w:gridCol w:w="3148"/>
      </w:tblGrid>
      <w:tr w:rsidR="00736455" w:rsidRPr="00736455" w14:paraId="7B3AFCD7" w14:textId="77777777" w:rsidTr="00B95391">
        <w:trPr>
          <w:tblCellSpacing w:w="15" w:type="dxa"/>
        </w:trPr>
        <w:tc>
          <w:tcPr>
            <w:tcW w:w="5909" w:type="dxa"/>
            <w:vAlign w:val="center"/>
            <w:hideMark/>
          </w:tcPr>
          <w:p w14:paraId="1F28EAAE" w14:textId="4F6B4D12" w:rsidR="00736455" w:rsidRPr="00736455" w:rsidRDefault="00736455" w:rsidP="00B23427">
            <w:pPr>
              <w:spacing w:after="0" w:line="360" w:lineRule="auto"/>
              <w:jc w:val="both"/>
              <w:rPr>
                <w:rFonts w:ascii="Times New Roman" w:eastAsia="Times New Roman" w:hAnsi="Times New Roman" w:cs="Times New Roman"/>
                <w:b/>
                <w:bCs/>
                <w:sz w:val="24"/>
                <w:szCs w:val="24"/>
                <w:lang w:val="sv-SE" w:eastAsia="sv-SE"/>
              </w:rPr>
            </w:pPr>
            <w:r w:rsidRPr="00736455">
              <w:rPr>
                <w:rFonts w:ascii="Times New Roman" w:eastAsia="Times New Roman" w:hAnsi="Times New Roman" w:cs="Times New Roman"/>
                <w:b/>
                <w:bCs/>
                <w:sz w:val="24"/>
                <w:szCs w:val="24"/>
                <w:lang w:val="sv-SE" w:eastAsia="sv-SE"/>
              </w:rPr>
              <w:t>Research question</w:t>
            </w:r>
            <w:r w:rsidR="00F84F02">
              <w:rPr>
                <w:rFonts w:ascii="Times New Roman" w:eastAsia="Times New Roman" w:hAnsi="Times New Roman" w:cs="Times New Roman"/>
                <w:b/>
                <w:bCs/>
                <w:sz w:val="24"/>
                <w:szCs w:val="24"/>
                <w:lang w:val="sv-SE" w:eastAsia="sv-SE"/>
              </w:rPr>
              <w:t>/s</w:t>
            </w:r>
          </w:p>
        </w:tc>
        <w:tc>
          <w:tcPr>
            <w:tcW w:w="3103" w:type="dxa"/>
            <w:vAlign w:val="center"/>
            <w:hideMark/>
          </w:tcPr>
          <w:p w14:paraId="7FBFC6CF" w14:textId="1EAD3837" w:rsidR="00736455" w:rsidRPr="00736455" w:rsidRDefault="00E80955" w:rsidP="00B23427">
            <w:pPr>
              <w:spacing w:after="0" w:line="360" w:lineRule="auto"/>
              <w:jc w:val="both"/>
              <w:rPr>
                <w:rFonts w:ascii="Times New Roman" w:eastAsia="Times New Roman" w:hAnsi="Times New Roman" w:cs="Times New Roman"/>
                <w:b/>
                <w:bCs/>
                <w:sz w:val="24"/>
                <w:szCs w:val="24"/>
                <w:lang w:val="sv-SE" w:eastAsia="sv-SE"/>
              </w:rPr>
            </w:pPr>
            <w:r>
              <w:rPr>
                <w:rFonts w:ascii="Times New Roman" w:eastAsia="Times New Roman" w:hAnsi="Times New Roman" w:cs="Times New Roman"/>
                <w:b/>
                <w:bCs/>
                <w:sz w:val="24"/>
                <w:szCs w:val="24"/>
                <w:lang w:val="sv-SE" w:eastAsia="sv-SE"/>
              </w:rPr>
              <w:t xml:space="preserve"> </w:t>
            </w:r>
            <w:r w:rsidR="00F84F02">
              <w:rPr>
                <w:rFonts w:ascii="Times New Roman" w:eastAsia="Times New Roman" w:hAnsi="Times New Roman" w:cs="Times New Roman"/>
                <w:b/>
                <w:bCs/>
                <w:sz w:val="24"/>
                <w:szCs w:val="24"/>
                <w:lang w:val="sv-SE" w:eastAsia="sv-SE"/>
              </w:rPr>
              <w:t xml:space="preserve">             </w:t>
            </w:r>
            <w:r w:rsidR="00736455" w:rsidRPr="00736455">
              <w:rPr>
                <w:rFonts w:ascii="Times New Roman" w:eastAsia="Times New Roman" w:hAnsi="Times New Roman" w:cs="Times New Roman"/>
                <w:b/>
                <w:bCs/>
                <w:sz w:val="24"/>
                <w:szCs w:val="24"/>
                <w:lang w:val="sv-SE" w:eastAsia="sv-SE"/>
              </w:rPr>
              <w:t>Main analysis</w:t>
            </w:r>
          </w:p>
        </w:tc>
      </w:tr>
      <w:tr w:rsidR="00736455" w:rsidRPr="00736455" w14:paraId="4C3A37EC" w14:textId="77777777" w:rsidTr="00B95391">
        <w:trPr>
          <w:tblCellSpacing w:w="15" w:type="dxa"/>
        </w:trPr>
        <w:tc>
          <w:tcPr>
            <w:tcW w:w="5909" w:type="dxa"/>
            <w:vAlign w:val="center"/>
            <w:hideMark/>
          </w:tcPr>
          <w:p w14:paraId="2102B7DF" w14:textId="483384B2" w:rsidR="00736455" w:rsidRPr="00736455" w:rsidRDefault="00D26D31" w:rsidP="00B23427">
            <w:pPr>
              <w:spacing w:after="0" w:line="360" w:lineRule="auto"/>
              <w:jc w:val="both"/>
              <w:rPr>
                <w:rFonts w:ascii="Times New Roman" w:eastAsia="Times New Roman" w:hAnsi="Times New Roman" w:cs="Times New Roman"/>
                <w:sz w:val="24"/>
                <w:szCs w:val="24"/>
                <w:lang w:eastAsia="sv-SE"/>
              </w:rPr>
            </w:pPr>
            <w:r w:rsidRPr="004B5CEF">
              <w:rPr>
                <w:rFonts w:ascii="Times New Roman" w:eastAsia="Times New Roman" w:hAnsi="Times New Roman" w:cs="Times New Roman"/>
                <w:b/>
                <w:bCs/>
                <w:sz w:val="24"/>
                <w:szCs w:val="24"/>
                <w:lang w:eastAsia="sv-SE"/>
              </w:rPr>
              <w:t>Main research question:</w:t>
            </w:r>
            <w:r>
              <w:rPr>
                <w:rFonts w:ascii="Times New Roman" w:eastAsia="Times New Roman" w:hAnsi="Times New Roman" w:cs="Times New Roman"/>
                <w:sz w:val="24"/>
                <w:szCs w:val="24"/>
                <w:lang w:eastAsia="sv-SE"/>
              </w:rPr>
              <w:t xml:space="preserve"> </w:t>
            </w:r>
            <w:r w:rsidR="00736455" w:rsidRPr="00736455">
              <w:rPr>
                <w:rFonts w:ascii="Times New Roman" w:eastAsia="Times New Roman" w:hAnsi="Times New Roman" w:cs="Times New Roman"/>
                <w:sz w:val="24"/>
                <w:szCs w:val="24"/>
                <w:lang w:eastAsia="sv-SE"/>
              </w:rPr>
              <w:t>How did post-secondary education participation vary by disability status</w:t>
            </w:r>
            <w:r w:rsidR="00D11C8C">
              <w:rPr>
                <w:rFonts w:ascii="Times New Roman" w:eastAsia="Times New Roman" w:hAnsi="Times New Roman" w:cs="Times New Roman"/>
                <w:sz w:val="24"/>
                <w:szCs w:val="24"/>
                <w:lang w:eastAsia="sv-SE"/>
              </w:rPr>
              <w:t xml:space="preserve"> or</w:t>
            </w:r>
            <w:r w:rsidR="00736455" w:rsidRPr="00736455">
              <w:rPr>
                <w:rFonts w:ascii="Times New Roman" w:eastAsia="Times New Roman" w:hAnsi="Times New Roman" w:cs="Times New Roman"/>
                <w:sz w:val="24"/>
                <w:szCs w:val="24"/>
                <w:lang w:eastAsia="sv-SE"/>
              </w:rPr>
              <w:t xml:space="preserve"> type, and gender between 2018 and 2020?</w:t>
            </w:r>
          </w:p>
        </w:tc>
        <w:tc>
          <w:tcPr>
            <w:tcW w:w="3103" w:type="dxa"/>
            <w:vAlign w:val="center"/>
            <w:hideMark/>
          </w:tcPr>
          <w:p w14:paraId="0054B1EB" w14:textId="52603E54" w:rsidR="00736455" w:rsidRPr="00B95391" w:rsidRDefault="00D26D31" w:rsidP="00B95391">
            <w:pPr>
              <w:pStyle w:val="Liststycke"/>
              <w:numPr>
                <w:ilvl w:val="0"/>
                <w:numId w:val="7"/>
              </w:numPr>
              <w:spacing w:after="0" w:line="360" w:lineRule="auto"/>
              <w:rPr>
                <w:rFonts w:ascii="Times New Roman" w:eastAsia="Times New Roman" w:hAnsi="Times New Roman" w:cs="Times New Roman"/>
                <w:sz w:val="24"/>
                <w:szCs w:val="24"/>
                <w:lang w:eastAsia="sv-SE"/>
              </w:rPr>
            </w:pPr>
            <w:r w:rsidRPr="00B95391">
              <w:rPr>
                <w:rFonts w:ascii="Times New Roman" w:eastAsia="Times New Roman" w:hAnsi="Times New Roman" w:cs="Times New Roman"/>
                <w:sz w:val="24"/>
                <w:szCs w:val="24"/>
                <w:lang w:eastAsia="sv-SE"/>
              </w:rPr>
              <w:t>Descriptive statistics</w:t>
            </w:r>
            <w:r w:rsidR="00736455" w:rsidRPr="00B95391">
              <w:rPr>
                <w:rFonts w:ascii="Times New Roman" w:eastAsia="Times New Roman" w:hAnsi="Times New Roman" w:cs="Times New Roman"/>
                <w:sz w:val="24"/>
                <w:szCs w:val="24"/>
                <w:lang w:eastAsia="sv-SE"/>
              </w:rPr>
              <w:t>, percentages, tables and graphs</w:t>
            </w:r>
          </w:p>
        </w:tc>
      </w:tr>
      <w:tr w:rsidR="00736455" w:rsidRPr="00736455" w14:paraId="0841125D" w14:textId="77777777" w:rsidTr="00B95391">
        <w:trPr>
          <w:tblCellSpacing w:w="15" w:type="dxa"/>
        </w:trPr>
        <w:tc>
          <w:tcPr>
            <w:tcW w:w="5909" w:type="dxa"/>
            <w:vAlign w:val="center"/>
            <w:hideMark/>
          </w:tcPr>
          <w:p w14:paraId="70803160" w14:textId="55A1B381" w:rsidR="00736455" w:rsidRPr="00736455" w:rsidRDefault="00E80955" w:rsidP="00B23427">
            <w:pPr>
              <w:spacing w:after="0"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1</w:t>
            </w:r>
            <w:r w:rsidR="00736455" w:rsidRPr="00736455">
              <w:rPr>
                <w:rFonts w:ascii="Times New Roman" w:eastAsia="Times New Roman" w:hAnsi="Times New Roman" w:cs="Times New Roman"/>
                <w:sz w:val="24"/>
                <w:szCs w:val="24"/>
                <w:lang w:eastAsia="sv-SE"/>
              </w:rPr>
              <w:t>. Did participation differ significantly across the first three years following completion of secondary education?</w:t>
            </w:r>
          </w:p>
        </w:tc>
        <w:tc>
          <w:tcPr>
            <w:tcW w:w="3103" w:type="dxa"/>
            <w:vAlign w:val="center"/>
            <w:hideMark/>
          </w:tcPr>
          <w:p w14:paraId="00F31389" w14:textId="5B288238" w:rsidR="00736455" w:rsidRPr="00B95391" w:rsidRDefault="00736455" w:rsidP="00B95391">
            <w:pPr>
              <w:pStyle w:val="Liststycke"/>
              <w:numPr>
                <w:ilvl w:val="0"/>
                <w:numId w:val="7"/>
              </w:numPr>
              <w:spacing w:after="0" w:line="360" w:lineRule="auto"/>
              <w:rPr>
                <w:rFonts w:ascii="Times New Roman" w:eastAsia="Times New Roman" w:hAnsi="Times New Roman" w:cs="Times New Roman"/>
                <w:sz w:val="24"/>
                <w:szCs w:val="24"/>
                <w:lang w:val="sv-SE" w:eastAsia="sv-SE"/>
              </w:rPr>
            </w:pPr>
            <w:r w:rsidRPr="00B95391">
              <w:rPr>
                <w:rFonts w:ascii="Times New Roman" w:eastAsia="Times New Roman" w:hAnsi="Times New Roman" w:cs="Times New Roman"/>
                <w:sz w:val="24"/>
                <w:szCs w:val="24"/>
                <w:lang w:val="sv-SE" w:eastAsia="sv-SE"/>
              </w:rPr>
              <w:t>One-way ANOVA</w:t>
            </w:r>
          </w:p>
        </w:tc>
      </w:tr>
      <w:tr w:rsidR="00736455" w:rsidRPr="00736455" w14:paraId="56A7F007" w14:textId="77777777" w:rsidTr="00B95391">
        <w:trPr>
          <w:tblCellSpacing w:w="15" w:type="dxa"/>
        </w:trPr>
        <w:tc>
          <w:tcPr>
            <w:tcW w:w="5909" w:type="dxa"/>
            <w:vAlign w:val="center"/>
            <w:hideMark/>
          </w:tcPr>
          <w:p w14:paraId="436A37FA" w14:textId="68641991" w:rsidR="00736455" w:rsidRPr="00736455" w:rsidRDefault="00E80955" w:rsidP="00B23427">
            <w:pPr>
              <w:spacing w:after="0"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2</w:t>
            </w:r>
            <w:r w:rsidR="00736455" w:rsidRPr="00736455">
              <w:rPr>
                <w:rFonts w:ascii="Times New Roman" w:eastAsia="Times New Roman" w:hAnsi="Times New Roman" w:cs="Times New Roman"/>
                <w:sz w:val="24"/>
                <w:szCs w:val="24"/>
                <w:lang w:eastAsia="sv-SE"/>
              </w:rPr>
              <w:t>. Did participation change significantly between the first and third years following completion of secondary education?</w:t>
            </w:r>
          </w:p>
        </w:tc>
        <w:tc>
          <w:tcPr>
            <w:tcW w:w="3103" w:type="dxa"/>
            <w:vAlign w:val="center"/>
            <w:hideMark/>
          </w:tcPr>
          <w:p w14:paraId="5CF24E05" w14:textId="087ADDC5" w:rsidR="00736455" w:rsidRPr="00B95391" w:rsidRDefault="00736455" w:rsidP="00B95391">
            <w:pPr>
              <w:pStyle w:val="Liststycke"/>
              <w:numPr>
                <w:ilvl w:val="0"/>
                <w:numId w:val="7"/>
              </w:numPr>
              <w:spacing w:after="0" w:line="360" w:lineRule="auto"/>
              <w:rPr>
                <w:rFonts w:ascii="Times New Roman" w:eastAsia="Times New Roman" w:hAnsi="Times New Roman" w:cs="Times New Roman"/>
                <w:sz w:val="24"/>
                <w:szCs w:val="24"/>
                <w:lang w:val="sv-SE" w:eastAsia="sv-SE"/>
              </w:rPr>
            </w:pPr>
            <w:r w:rsidRPr="00B95391">
              <w:rPr>
                <w:rFonts w:ascii="Times New Roman" w:eastAsia="Times New Roman" w:hAnsi="Times New Roman" w:cs="Times New Roman"/>
                <w:sz w:val="24"/>
                <w:szCs w:val="24"/>
                <w:lang w:val="sv-SE" w:eastAsia="sv-SE"/>
              </w:rPr>
              <w:t xml:space="preserve">Paired-samples </w:t>
            </w:r>
            <w:r w:rsidRPr="00B95391">
              <w:rPr>
                <w:rFonts w:ascii="Times New Roman" w:eastAsia="Times New Roman" w:hAnsi="Times New Roman" w:cs="Times New Roman"/>
                <w:i/>
                <w:iCs/>
                <w:sz w:val="24"/>
                <w:szCs w:val="24"/>
                <w:lang w:val="sv-SE" w:eastAsia="sv-SE"/>
              </w:rPr>
              <w:t>t</w:t>
            </w:r>
            <w:r w:rsidRPr="00B95391">
              <w:rPr>
                <w:rFonts w:ascii="Times New Roman" w:eastAsia="Times New Roman" w:hAnsi="Times New Roman" w:cs="Times New Roman"/>
                <w:sz w:val="24"/>
                <w:szCs w:val="24"/>
                <w:lang w:val="sv-SE" w:eastAsia="sv-SE"/>
              </w:rPr>
              <w:t>-test</w:t>
            </w:r>
          </w:p>
        </w:tc>
      </w:tr>
      <w:tr w:rsidR="00736455" w:rsidRPr="00736455" w14:paraId="32A5BAE5" w14:textId="77777777" w:rsidTr="00B95391">
        <w:trPr>
          <w:tblCellSpacing w:w="15" w:type="dxa"/>
        </w:trPr>
        <w:tc>
          <w:tcPr>
            <w:tcW w:w="5909" w:type="dxa"/>
            <w:vAlign w:val="center"/>
            <w:hideMark/>
          </w:tcPr>
          <w:p w14:paraId="03B0310F" w14:textId="204FB51D" w:rsidR="00736455" w:rsidRPr="00736455" w:rsidRDefault="00E80955" w:rsidP="00B23427">
            <w:pPr>
              <w:spacing w:after="0"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3</w:t>
            </w:r>
            <w:r w:rsidR="00736455" w:rsidRPr="00736455">
              <w:rPr>
                <w:rFonts w:ascii="Times New Roman" w:eastAsia="Times New Roman" w:hAnsi="Times New Roman" w:cs="Times New Roman"/>
                <w:sz w:val="24"/>
                <w:szCs w:val="24"/>
                <w:lang w:eastAsia="sv-SE"/>
              </w:rPr>
              <w:t>. How did post-secondary education participation vary across different disability types?</w:t>
            </w:r>
          </w:p>
        </w:tc>
        <w:tc>
          <w:tcPr>
            <w:tcW w:w="3103" w:type="dxa"/>
            <w:vAlign w:val="center"/>
            <w:hideMark/>
          </w:tcPr>
          <w:p w14:paraId="1956D13C" w14:textId="271D7680" w:rsidR="00736455" w:rsidRPr="00B95391" w:rsidRDefault="00736455" w:rsidP="00B95391">
            <w:pPr>
              <w:pStyle w:val="Liststycke"/>
              <w:numPr>
                <w:ilvl w:val="0"/>
                <w:numId w:val="7"/>
              </w:numPr>
              <w:spacing w:after="0" w:line="360" w:lineRule="auto"/>
              <w:rPr>
                <w:rFonts w:ascii="Times New Roman" w:eastAsia="Times New Roman" w:hAnsi="Times New Roman" w:cs="Times New Roman"/>
                <w:sz w:val="24"/>
                <w:szCs w:val="24"/>
                <w:lang w:eastAsia="sv-SE"/>
              </w:rPr>
            </w:pPr>
            <w:r w:rsidRPr="00B95391">
              <w:rPr>
                <w:rFonts w:ascii="Times New Roman" w:eastAsia="Times New Roman" w:hAnsi="Times New Roman" w:cs="Times New Roman"/>
                <w:sz w:val="24"/>
                <w:szCs w:val="24"/>
                <w:lang w:eastAsia="sv-SE"/>
              </w:rPr>
              <w:t>Descriptive statistics and one-</w:t>
            </w:r>
            <w:r w:rsidR="00B95391" w:rsidRPr="00B95391">
              <w:rPr>
                <w:rFonts w:ascii="Times New Roman" w:eastAsia="Times New Roman" w:hAnsi="Times New Roman" w:cs="Times New Roman"/>
                <w:sz w:val="24"/>
                <w:szCs w:val="24"/>
                <w:lang w:eastAsia="sv-SE"/>
              </w:rPr>
              <w:t xml:space="preserve"> </w:t>
            </w:r>
            <w:r w:rsidRPr="00B95391">
              <w:rPr>
                <w:rFonts w:ascii="Times New Roman" w:eastAsia="Times New Roman" w:hAnsi="Times New Roman" w:cs="Times New Roman"/>
                <w:sz w:val="24"/>
                <w:szCs w:val="24"/>
                <w:lang w:eastAsia="sv-SE"/>
              </w:rPr>
              <w:t xml:space="preserve">way ANOVA </w:t>
            </w:r>
            <w:r w:rsidR="005A34EA" w:rsidRPr="00B95391">
              <w:rPr>
                <w:rFonts w:ascii="Times New Roman" w:eastAsia="Times New Roman" w:hAnsi="Times New Roman" w:cs="Times New Roman"/>
                <w:sz w:val="24"/>
                <w:szCs w:val="24"/>
                <w:lang w:eastAsia="sv-SE"/>
              </w:rPr>
              <w:t>plus</w:t>
            </w:r>
          </w:p>
        </w:tc>
      </w:tr>
      <w:tr w:rsidR="00736455" w:rsidRPr="00736455" w14:paraId="5EA1B06C" w14:textId="77777777" w:rsidTr="00B95391">
        <w:trPr>
          <w:tblCellSpacing w:w="15" w:type="dxa"/>
        </w:trPr>
        <w:tc>
          <w:tcPr>
            <w:tcW w:w="5909" w:type="dxa"/>
            <w:vAlign w:val="center"/>
            <w:hideMark/>
          </w:tcPr>
          <w:p w14:paraId="1AFFC3B4" w14:textId="3D253C44" w:rsidR="00736455" w:rsidRPr="00736455" w:rsidRDefault="00E80955" w:rsidP="00B23427">
            <w:pPr>
              <w:spacing w:after="0"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4</w:t>
            </w:r>
            <w:r w:rsidR="00736455" w:rsidRPr="00736455">
              <w:rPr>
                <w:rFonts w:ascii="Times New Roman" w:eastAsia="Times New Roman" w:hAnsi="Times New Roman" w:cs="Times New Roman"/>
                <w:sz w:val="24"/>
                <w:szCs w:val="24"/>
                <w:lang w:eastAsia="sv-SE"/>
              </w:rPr>
              <w:t>. What patterns of disparity in participation can be identified across disability types and gender</w:t>
            </w:r>
          </w:p>
        </w:tc>
        <w:tc>
          <w:tcPr>
            <w:tcW w:w="3103" w:type="dxa"/>
            <w:vAlign w:val="center"/>
            <w:hideMark/>
          </w:tcPr>
          <w:p w14:paraId="61038211" w14:textId="79C4120C" w:rsidR="00736455" w:rsidRPr="00B95391" w:rsidRDefault="00736455" w:rsidP="00B95391">
            <w:pPr>
              <w:pStyle w:val="Liststycke"/>
              <w:numPr>
                <w:ilvl w:val="0"/>
                <w:numId w:val="7"/>
              </w:numPr>
              <w:spacing w:after="0" w:line="360" w:lineRule="auto"/>
              <w:rPr>
                <w:rFonts w:ascii="Times New Roman" w:eastAsia="Times New Roman" w:hAnsi="Times New Roman" w:cs="Times New Roman"/>
                <w:sz w:val="24"/>
                <w:szCs w:val="24"/>
                <w:lang w:eastAsia="sv-SE"/>
              </w:rPr>
            </w:pPr>
            <w:r w:rsidRPr="00B95391">
              <w:rPr>
                <w:rFonts w:ascii="Times New Roman" w:eastAsia="Times New Roman" w:hAnsi="Times New Roman" w:cs="Times New Roman"/>
                <w:sz w:val="24"/>
                <w:szCs w:val="24"/>
                <w:lang w:eastAsia="sv-SE"/>
              </w:rPr>
              <w:t xml:space="preserve">Descriptive statistics </w:t>
            </w:r>
            <w:r w:rsidR="00B23427" w:rsidRPr="00B95391">
              <w:rPr>
                <w:rFonts w:ascii="Times New Roman" w:eastAsia="Times New Roman" w:hAnsi="Times New Roman" w:cs="Times New Roman"/>
                <w:sz w:val="24"/>
                <w:szCs w:val="24"/>
                <w:lang w:eastAsia="sv-SE"/>
              </w:rPr>
              <w:t>and graphical</w:t>
            </w:r>
            <w:r w:rsidRPr="00B95391">
              <w:rPr>
                <w:rFonts w:ascii="Times New Roman" w:eastAsia="Times New Roman" w:hAnsi="Times New Roman" w:cs="Times New Roman"/>
                <w:sz w:val="24"/>
                <w:szCs w:val="24"/>
                <w:lang w:eastAsia="sv-SE"/>
              </w:rPr>
              <w:t xml:space="preserve"> analysis</w:t>
            </w:r>
          </w:p>
        </w:tc>
      </w:tr>
    </w:tbl>
    <w:p w14:paraId="50E3A625" w14:textId="154A51B3" w:rsidR="00074050" w:rsidRDefault="00074050" w:rsidP="00C06B3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074050">
        <w:rPr>
          <w:rFonts w:ascii="Times New Roman" w:eastAsia="Times New Roman" w:hAnsi="Times New Roman" w:cs="Times New Roman"/>
          <w:sz w:val="24"/>
          <w:szCs w:val="24"/>
          <w:lang w:eastAsia="sv-SE"/>
        </w:rPr>
        <w:t>Overall, the methodological approach combines descriptive and inferential analyses to identify patterns of inequality and assess significant differences in post-secondary participation. While the quantitative analysis provides empirical evidence across disability status, disability type, gender, and time</w:t>
      </w:r>
      <w:r w:rsidR="00997984">
        <w:rPr>
          <w:rFonts w:ascii="Times New Roman" w:eastAsia="Times New Roman" w:hAnsi="Times New Roman" w:cs="Times New Roman"/>
          <w:sz w:val="24"/>
          <w:szCs w:val="24"/>
          <w:lang w:eastAsia="sv-SE"/>
        </w:rPr>
        <w:t>.</w:t>
      </w:r>
      <w:r w:rsidRPr="00074050">
        <w:rPr>
          <w:rFonts w:ascii="Times New Roman" w:eastAsia="Times New Roman" w:hAnsi="Times New Roman" w:cs="Times New Roman"/>
          <w:sz w:val="24"/>
          <w:szCs w:val="24"/>
          <w:lang w:eastAsia="sv-SE"/>
        </w:rPr>
        <w:t xml:space="preserve"> </w:t>
      </w:r>
      <w:r w:rsidR="00997984">
        <w:rPr>
          <w:rFonts w:ascii="Times New Roman" w:eastAsia="Times New Roman" w:hAnsi="Times New Roman" w:cs="Times New Roman"/>
          <w:sz w:val="24"/>
          <w:szCs w:val="24"/>
          <w:lang w:eastAsia="sv-SE"/>
        </w:rPr>
        <w:t>T</w:t>
      </w:r>
      <w:r w:rsidRPr="00074050">
        <w:rPr>
          <w:rFonts w:ascii="Times New Roman" w:eastAsia="Times New Roman" w:hAnsi="Times New Roman" w:cs="Times New Roman"/>
          <w:sz w:val="24"/>
          <w:szCs w:val="24"/>
          <w:lang w:eastAsia="sv-SE"/>
        </w:rPr>
        <w:t>he Capability Approach framework</w:t>
      </w:r>
      <w:r w:rsidR="00D138D5">
        <w:rPr>
          <w:rFonts w:ascii="Times New Roman" w:eastAsia="Times New Roman" w:hAnsi="Times New Roman" w:cs="Times New Roman"/>
          <w:sz w:val="24"/>
          <w:szCs w:val="24"/>
          <w:lang w:eastAsia="sv-SE"/>
        </w:rPr>
        <w:t>s</w:t>
      </w:r>
      <w:r w:rsidRPr="00074050">
        <w:rPr>
          <w:rFonts w:ascii="Times New Roman" w:eastAsia="Times New Roman" w:hAnsi="Times New Roman" w:cs="Times New Roman"/>
          <w:sz w:val="24"/>
          <w:szCs w:val="24"/>
          <w:lang w:eastAsia="sv-SE"/>
        </w:rPr>
        <w:t xml:space="preserve"> </w:t>
      </w:r>
      <w:r w:rsidR="00D138D5">
        <w:rPr>
          <w:rFonts w:ascii="Times New Roman" w:eastAsia="Times New Roman" w:hAnsi="Times New Roman" w:cs="Times New Roman"/>
          <w:sz w:val="24"/>
          <w:szCs w:val="24"/>
          <w:lang w:eastAsia="sv-SE"/>
        </w:rPr>
        <w:t>the</w:t>
      </w:r>
      <w:r w:rsidRPr="00074050">
        <w:rPr>
          <w:rFonts w:ascii="Times New Roman" w:eastAsia="Times New Roman" w:hAnsi="Times New Roman" w:cs="Times New Roman"/>
          <w:sz w:val="24"/>
          <w:szCs w:val="24"/>
          <w:lang w:eastAsia="sv-SE"/>
        </w:rPr>
        <w:t xml:space="preserve"> interpret</w:t>
      </w:r>
      <w:r w:rsidR="00D138D5">
        <w:rPr>
          <w:rFonts w:ascii="Times New Roman" w:eastAsia="Times New Roman" w:hAnsi="Times New Roman" w:cs="Times New Roman"/>
          <w:sz w:val="24"/>
          <w:szCs w:val="24"/>
          <w:lang w:eastAsia="sv-SE"/>
        </w:rPr>
        <w:t>ation of</w:t>
      </w:r>
      <w:r w:rsidRPr="00074050">
        <w:rPr>
          <w:rFonts w:ascii="Times New Roman" w:eastAsia="Times New Roman" w:hAnsi="Times New Roman" w:cs="Times New Roman"/>
          <w:sz w:val="24"/>
          <w:szCs w:val="24"/>
          <w:lang w:eastAsia="sv-SE"/>
        </w:rPr>
        <w:t xml:space="preserve"> these differences in relation to students’ educational opportunities. Participation may indicate opportunities to pursue valued educational pathways and convert educational resources into further opportunities (Riddle, 2020; Biagiotti et al., 2026). However, it is not a direct measure of capability, as participation rates cannot capture the wider social, institutional, and individual conditions shaping educational opportunities.</w:t>
      </w:r>
    </w:p>
    <w:p w14:paraId="7AEADD63" w14:textId="604917E1" w:rsidR="00EE4E16" w:rsidRPr="001C37EA" w:rsidRDefault="00F97C09" w:rsidP="00A536AC">
      <w:pPr>
        <w:spacing w:line="360" w:lineRule="auto"/>
        <w:jc w:val="both"/>
        <w:rPr>
          <w:rFonts w:ascii="Times New Roman" w:eastAsia="Times New Roman" w:hAnsi="Times New Roman" w:cs="Times New Roman"/>
          <w:b/>
          <w:bCs/>
          <w:sz w:val="24"/>
          <w:szCs w:val="24"/>
          <w:lang w:eastAsia="sv-SE"/>
        </w:rPr>
      </w:pPr>
      <w:r w:rsidRPr="001C37EA">
        <w:rPr>
          <w:rFonts w:ascii="Times New Roman" w:eastAsia="Times New Roman" w:hAnsi="Times New Roman" w:cs="Times New Roman"/>
          <w:b/>
          <w:bCs/>
          <w:sz w:val="24"/>
          <w:szCs w:val="24"/>
          <w:lang w:eastAsia="sv-SE"/>
        </w:rPr>
        <w:t>Results</w:t>
      </w:r>
    </w:p>
    <w:p w14:paraId="67B299C2" w14:textId="77777777" w:rsidR="002504CE" w:rsidRPr="001C37EA" w:rsidRDefault="002504CE" w:rsidP="00A536AC">
      <w:pPr>
        <w:spacing w:line="360" w:lineRule="auto"/>
        <w:jc w:val="both"/>
        <w:rPr>
          <w:rFonts w:ascii="Times New Roman" w:eastAsia="Times New Roman" w:hAnsi="Times New Roman" w:cs="Times New Roman"/>
          <w:b/>
          <w:bCs/>
          <w:sz w:val="24"/>
          <w:szCs w:val="24"/>
          <w:lang w:eastAsia="sv-SE"/>
        </w:rPr>
      </w:pPr>
      <w:r w:rsidRPr="001C37EA">
        <w:rPr>
          <w:rFonts w:ascii="Times New Roman" w:eastAsia="Times New Roman" w:hAnsi="Times New Roman" w:cs="Times New Roman"/>
          <w:b/>
          <w:bCs/>
          <w:sz w:val="24"/>
          <w:szCs w:val="24"/>
          <w:lang w:eastAsia="sv-SE"/>
        </w:rPr>
        <w:t>Participation by disability</w:t>
      </w:r>
    </w:p>
    <w:p w14:paraId="7125393D" w14:textId="7BE87E08" w:rsidR="005A6A63" w:rsidRPr="001C37EA" w:rsidRDefault="005A6A63" w:rsidP="00A536AC">
      <w:pPr>
        <w:spacing w:line="360" w:lineRule="auto"/>
        <w:jc w:val="both"/>
        <w:rPr>
          <w:rFonts w:ascii="Times New Roman" w:eastAsia="Times New Roman" w:hAnsi="Times New Roman" w:cs="Times New Roman"/>
          <w:sz w:val="24"/>
          <w:szCs w:val="24"/>
          <w:lang w:eastAsia="sv-SE"/>
        </w:rPr>
      </w:pPr>
      <w:r w:rsidRPr="001C37EA">
        <w:rPr>
          <w:rFonts w:ascii="Times New Roman" w:eastAsia="Times New Roman" w:hAnsi="Times New Roman" w:cs="Times New Roman"/>
          <w:sz w:val="24"/>
          <w:szCs w:val="24"/>
          <w:lang w:eastAsia="sv-SE"/>
        </w:rPr>
        <w:t xml:space="preserve">The study aims at examining </w:t>
      </w:r>
      <w:r w:rsidR="00591A0B" w:rsidRPr="001C37EA">
        <w:rPr>
          <w:rFonts w:ascii="Times New Roman" w:eastAsia="Times New Roman" w:hAnsi="Times New Roman" w:cs="Times New Roman"/>
          <w:sz w:val="24"/>
          <w:szCs w:val="24"/>
          <w:lang w:eastAsia="sv-SE"/>
        </w:rPr>
        <w:t>patterns and differences in post-secondary education</w:t>
      </w:r>
      <w:r w:rsidR="002C5611">
        <w:rPr>
          <w:rFonts w:ascii="Times New Roman" w:eastAsia="Times New Roman" w:hAnsi="Times New Roman" w:cs="Times New Roman"/>
          <w:sz w:val="24"/>
          <w:szCs w:val="24"/>
          <w:lang w:eastAsia="sv-SE"/>
        </w:rPr>
        <w:t xml:space="preserve"> participation</w:t>
      </w:r>
      <w:r w:rsidR="00591A0B" w:rsidRPr="001C37EA">
        <w:rPr>
          <w:rFonts w:ascii="Times New Roman" w:eastAsia="Times New Roman" w:hAnsi="Times New Roman" w:cs="Times New Roman"/>
          <w:sz w:val="24"/>
          <w:szCs w:val="24"/>
          <w:lang w:eastAsia="sv-SE"/>
        </w:rPr>
        <w:t xml:space="preserve"> among students with and without disabilities</w:t>
      </w:r>
      <w:r w:rsidR="00DD20D9" w:rsidRPr="001C37EA">
        <w:rPr>
          <w:rFonts w:ascii="Times New Roman" w:eastAsia="Times New Roman" w:hAnsi="Times New Roman" w:cs="Times New Roman"/>
          <w:sz w:val="24"/>
          <w:szCs w:val="24"/>
          <w:lang w:eastAsia="sv-SE"/>
        </w:rPr>
        <w:t xml:space="preserve"> in Sweden between 2018</w:t>
      </w:r>
      <w:r w:rsidR="004E6AE7" w:rsidRPr="001C37EA">
        <w:rPr>
          <w:rFonts w:ascii="Times New Roman" w:eastAsia="Times New Roman" w:hAnsi="Times New Roman" w:cs="Times New Roman"/>
          <w:sz w:val="24"/>
          <w:szCs w:val="24"/>
          <w:lang w:eastAsia="sv-SE"/>
        </w:rPr>
        <w:t xml:space="preserve"> </w:t>
      </w:r>
      <w:r w:rsidR="00DD20D9" w:rsidRPr="001C37EA">
        <w:rPr>
          <w:rFonts w:ascii="Times New Roman" w:eastAsia="Times New Roman" w:hAnsi="Times New Roman" w:cs="Times New Roman"/>
          <w:sz w:val="24"/>
          <w:szCs w:val="24"/>
          <w:lang w:eastAsia="sv-SE"/>
        </w:rPr>
        <w:t>and 2020</w:t>
      </w:r>
      <w:r w:rsidR="00E82522" w:rsidRPr="001C37EA">
        <w:rPr>
          <w:rFonts w:ascii="Times New Roman" w:eastAsia="Times New Roman" w:hAnsi="Times New Roman" w:cs="Times New Roman"/>
          <w:sz w:val="24"/>
          <w:szCs w:val="24"/>
          <w:lang w:eastAsia="sv-SE"/>
        </w:rPr>
        <w:t xml:space="preserve"> by answering the following questions</w:t>
      </w:r>
      <w:r w:rsidR="00BA3B35" w:rsidRPr="001C37EA">
        <w:rPr>
          <w:rFonts w:ascii="Times New Roman" w:eastAsia="Times New Roman" w:hAnsi="Times New Roman" w:cs="Times New Roman"/>
          <w:sz w:val="24"/>
          <w:szCs w:val="24"/>
          <w:lang w:eastAsia="sv-SE"/>
        </w:rPr>
        <w:t>:</w:t>
      </w:r>
    </w:p>
    <w:p w14:paraId="35DACAD6" w14:textId="304DF549" w:rsidR="00F255F9" w:rsidRPr="009331B4" w:rsidRDefault="00150328" w:rsidP="00A536AC">
      <w:pPr>
        <w:spacing w:line="360" w:lineRule="auto"/>
        <w:jc w:val="both"/>
        <w:rPr>
          <w:rFonts w:ascii="Times New Roman" w:eastAsia="Times New Roman" w:hAnsi="Times New Roman" w:cs="Times New Roman"/>
          <w:b/>
          <w:bCs/>
          <w:sz w:val="24"/>
          <w:szCs w:val="24"/>
          <w:lang w:eastAsia="sv-SE"/>
        </w:rPr>
      </w:pPr>
      <w:r>
        <w:rPr>
          <w:rFonts w:ascii="Times New Roman" w:eastAsia="Times New Roman" w:hAnsi="Times New Roman" w:cs="Times New Roman"/>
          <w:sz w:val="24"/>
          <w:szCs w:val="24"/>
          <w:lang w:eastAsia="sv-SE"/>
        </w:rPr>
        <w:lastRenderedPageBreak/>
        <w:t xml:space="preserve">First here, are </w:t>
      </w:r>
      <w:r w:rsidR="003216A1">
        <w:rPr>
          <w:rFonts w:ascii="Times New Roman" w:eastAsia="Times New Roman" w:hAnsi="Times New Roman" w:cs="Times New Roman"/>
          <w:sz w:val="24"/>
          <w:szCs w:val="24"/>
          <w:lang w:eastAsia="sv-SE"/>
        </w:rPr>
        <w:t>the</w:t>
      </w:r>
      <w:r w:rsidR="00593558">
        <w:rPr>
          <w:rFonts w:ascii="Times New Roman" w:eastAsia="Times New Roman" w:hAnsi="Times New Roman" w:cs="Times New Roman"/>
          <w:sz w:val="24"/>
          <w:szCs w:val="24"/>
          <w:lang w:eastAsia="sv-SE"/>
        </w:rPr>
        <w:t xml:space="preserve"> </w:t>
      </w:r>
      <w:r w:rsidR="00BA3B35" w:rsidRPr="001C37EA">
        <w:rPr>
          <w:rFonts w:ascii="Times New Roman" w:eastAsia="Times New Roman" w:hAnsi="Times New Roman" w:cs="Times New Roman"/>
          <w:sz w:val="24"/>
          <w:szCs w:val="24"/>
          <w:lang w:eastAsia="sv-SE"/>
        </w:rPr>
        <w:t>results to the first question</w:t>
      </w:r>
      <w:r w:rsidR="0095248A" w:rsidRPr="001C37EA">
        <w:rPr>
          <w:rFonts w:ascii="Times New Roman" w:eastAsia="Times New Roman" w:hAnsi="Times New Roman" w:cs="Times New Roman"/>
          <w:sz w:val="24"/>
          <w:szCs w:val="24"/>
          <w:lang w:eastAsia="sv-SE"/>
        </w:rPr>
        <w:t xml:space="preserve">; </w:t>
      </w:r>
      <w:r w:rsidR="001A16C3" w:rsidRPr="001C37EA">
        <w:rPr>
          <w:rFonts w:ascii="Times New Roman" w:eastAsia="Times New Roman" w:hAnsi="Times New Roman" w:cs="Times New Roman"/>
          <w:sz w:val="24"/>
          <w:szCs w:val="24"/>
          <w:lang w:eastAsia="sv-SE"/>
        </w:rPr>
        <w:t xml:space="preserve">How did post-secondary education participation vary by disability </w:t>
      </w:r>
      <w:r w:rsidR="00AA7CF6" w:rsidRPr="001C37EA">
        <w:rPr>
          <w:rFonts w:ascii="Times New Roman" w:eastAsia="Times New Roman" w:hAnsi="Times New Roman" w:cs="Times New Roman"/>
          <w:sz w:val="24"/>
          <w:szCs w:val="24"/>
          <w:lang w:eastAsia="sv-SE"/>
        </w:rPr>
        <w:t>status</w:t>
      </w:r>
      <w:r w:rsidR="00D11C8C">
        <w:rPr>
          <w:rFonts w:ascii="Times New Roman" w:eastAsia="Times New Roman" w:hAnsi="Times New Roman" w:cs="Times New Roman"/>
          <w:sz w:val="24"/>
          <w:szCs w:val="24"/>
          <w:lang w:eastAsia="sv-SE"/>
        </w:rPr>
        <w:t xml:space="preserve"> </w:t>
      </w:r>
      <w:r w:rsidR="00AA7CF6" w:rsidRPr="001C37EA">
        <w:rPr>
          <w:rFonts w:ascii="Times New Roman" w:eastAsia="Times New Roman" w:hAnsi="Times New Roman" w:cs="Times New Roman"/>
          <w:sz w:val="24"/>
          <w:szCs w:val="24"/>
          <w:lang w:eastAsia="sv-SE"/>
        </w:rPr>
        <w:t>or</w:t>
      </w:r>
      <w:r w:rsidR="00B936DD" w:rsidRPr="001C37EA">
        <w:rPr>
          <w:rFonts w:ascii="Times New Roman" w:eastAsia="Times New Roman" w:hAnsi="Times New Roman" w:cs="Times New Roman"/>
          <w:sz w:val="24"/>
          <w:szCs w:val="24"/>
          <w:lang w:eastAsia="sv-SE"/>
        </w:rPr>
        <w:t xml:space="preserve"> ty</w:t>
      </w:r>
      <w:r w:rsidR="00AA7CF6" w:rsidRPr="001C37EA">
        <w:rPr>
          <w:rFonts w:ascii="Times New Roman" w:eastAsia="Times New Roman" w:hAnsi="Times New Roman" w:cs="Times New Roman"/>
          <w:sz w:val="24"/>
          <w:szCs w:val="24"/>
          <w:lang w:eastAsia="sv-SE"/>
        </w:rPr>
        <w:t>pe</w:t>
      </w:r>
      <w:r w:rsidR="001A16C3" w:rsidRPr="001C37EA">
        <w:rPr>
          <w:rFonts w:ascii="Times New Roman" w:eastAsia="Times New Roman" w:hAnsi="Times New Roman" w:cs="Times New Roman"/>
          <w:sz w:val="24"/>
          <w:szCs w:val="24"/>
          <w:lang w:eastAsia="sv-SE"/>
        </w:rPr>
        <w:t xml:space="preserve"> and gender between 2018 and 2020?</w:t>
      </w:r>
      <w:r w:rsidR="00EF7901" w:rsidRPr="001C37EA">
        <w:rPr>
          <w:rFonts w:ascii="Times New Roman" w:eastAsia="Times New Roman" w:hAnsi="Times New Roman" w:cs="Times New Roman"/>
          <w:b/>
          <w:bCs/>
          <w:sz w:val="24"/>
          <w:szCs w:val="24"/>
          <w:lang w:eastAsia="sv-SE"/>
        </w:rPr>
        <w:t xml:space="preserve"> </w:t>
      </w:r>
      <w:r w:rsidR="00EF7901" w:rsidRPr="001C37EA">
        <w:rPr>
          <w:rFonts w:ascii="Times New Roman" w:eastAsia="Times New Roman" w:hAnsi="Times New Roman" w:cs="Times New Roman"/>
          <w:sz w:val="24"/>
          <w:szCs w:val="24"/>
          <w:lang w:eastAsia="sv-SE"/>
        </w:rPr>
        <w:t>The</w:t>
      </w:r>
      <w:r w:rsidR="00970DA2">
        <w:rPr>
          <w:rFonts w:ascii="Times New Roman" w:eastAsia="Times New Roman" w:hAnsi="Times New Roman" w:cs="Times New Roman"/>
          <w:sz w:val="24"/>
          <w:szCs w:val="24"/>
          <w:lang w:eastAsia="sv-SE"/>
        </w:rPr>
        <w:t>se</w:t>
      </w:r>
      <w:r w:rsidR="003A560A">
        <w:rPr>
          <w:rFonts w:ascii="Times New Roman" w:eastAsia="Times New Roman" w:hAnsi="Times New Roman" w:cs="Times New Roman"/>
          <w:sz w:val="24"/>
          <w:szCs w:val="24"/>
          <w:lang w:eastAsia="sv-SE"/>
        </w:rPr>
        <w:t xml:space="preserve"> results indicate that </w:t>
      </w:r>
      <w:r w:rsidR="005C1139" w:rsidRPr="001C37EA">
        <w:rPr>
          <w:rFonts w:ascii="Times New Roman" w:eastAsia="Times New Roman" w:hAnsi="Times New Roman" w:cs="Times New Roman"/>
          <w:sz w:val="24"/>
          <w:szCs w:val="24"/>
          <w:lang w:eastAsia="sv-SE"/>
        </w:rPr>
        <w:t>overall participation</w:t>
      </w:r>
      <w:r w:rsidR="00F93DA9" w:rsidRPr="001C37EA">
        <w:rPr>
          <w:rFonts w:ascii="Times New Roman" w:eastAsia="Times New Roman" w:hAnsi="Times New Roman" w:cs="Times New Roman"/>
          <w:sz w:val="24"/>
          <w:szCs w:val="24"/>
          <w:lang w:eastAsia="sv-SE"/>
        </w:rPr>
        <w:t xml:space="preserve"> across all four groups during the examined th</w:t>
      </w:r>
      <w:r>
        <w:rPr>
          <w:rFonts w:ascii="Times New Roman" w:eastAsia="Times New Roman" w:hAnsi="Times New Roman" w:cs="Times New Roman"/>
          <w:sz w:val="24"/>
          <w:szCs w:val="24"/>
          <w:lang w:eastAsia="sv-SE"/>
        </w:rPr>
        <w:t>ree</w:t>
      </w:r>
      <w:r w:rsidR="003216A1">
        <w:rPr>
          <w:rFonts w:ascii="Times New Roman" w:eastAsia="Times New Roman" w:hAnsi="Times New Roman" w:cs="Times New Roman"/>
          <w:sz w:val="24"/>
          <w:szCs w:val="24"/>
          <w:lang w:eastAsia="sv-SE"/>
        </w:rPr>
        <w:t xml:space="preserve"> </w:t>
      </w:r>
      <w:r w:rsidR="00F93DA9" w:rsidRPr="001C37EA">
        <w:rPr>
          <w:rFonts w:ascii="Times New Roman" w:eastAsia="Times New Roman" w:hAnsi="Times New Roman" w:cs="Times New Roman"/>
          <w:sz w:val="24"/>
          <w:szCs w:val="24"/>
          <w:lang w:eastAsia="sv-SE"/>
        </w:rPr>
        <w:t>year period</w:t>
      </w:r>
      <w:r w:rsidR="00EF7901" w:rsidRPr="001C37EA">
        <w:rPr>
          <w:rFonts w:ascii="Times New Roman" w:eastAsia="Times New Roman" w:hAnsi="Times New Roman" w:cs="Times New Roman"/>
          <w:sz w:val="24"/>
          <w:szCs w:val="24"/>
          <w:lang w:eastAsia="sv-SE"/>
        </w:rPr>
        <w:t xml:space="preserve"> </w:t>
      </w:r>
      <w:r w:rsidR="004C0D18" w:rsidRPr="001C37EA">
        <w:rPr>
          <w:rFonts w:ascii="Times New Roman" w:eastAsia="Times New Roman" w:hAnsi="Times New Roman" w:cs="Times New Roman"/>
          <w:sz w:val="24"/>
          <w:szCs w:val="24"/>
          <w:lang w:eastAsia="sv-SE"/>
        </w:rPr>
        <w:t>increased</w:t>
      </w:r>
      <w:r w:rsidR="00CA56EE" w:rsidRPr="001C37EA">
        <w:rPr>
          <w:rFonts w:ascii="Times New Roman" w:eastAsia="Times New Roman" w:hAnsi="Times New Roman" w:cs="Times New Roman"/>
          <w:sz w:val="24"/>
          <w:szCs w:val="24"/>
          <w:lang w:eastAsia="sv-SE"/>
        </w:rPr>
        <w:t xml:space="preserve"> among all students male and female </w:t>
      </w:r>
      <w:r w:rsidR="00995126" w:rsidRPr="001C37EA">
        <w:rPr>
          <w:rFonts w:ascii="Times New Roman" w:eastAsia="Times New Roman" w:hAnsi="Times New Roman" w:cs="Times New Roman"/>
          <w:sz w:val="24"/>
          <w:szCs w:val="24"/>
          <w:lang w:eastAsia="sv-SE"/>
        </w:rPr>
        <w:t>both with and without disabilities</w:t>
      </w:r>
      <w:r w:rsidR="00473CBC" w:rsidRPr="001C37EA">
        <w:rPr>
          <w:rFonts w:ascii="Times New Roman" w:eastAsia="Times New Roman" w:hAnsi="Times New Roman" w:cs="Times New Roman"/>
          <w:sz w:val="24"/>
          <w:szCs w:val="24"/>
          <w:lang w:eastAsia="sv-SE"/>
        </w:rPr>
        <w:t xml:space="preserve"> as portrayed below in the </w:t>
      </w:r>
      <w:r w:rsidR="009331B4" w:rsidRPr="001C37EA">
        <w:rPr>
          <w:rFonts w:ascii="Times New Roman" w:eastAsia="Times New Roman" w:hAnsi="Times New Roman" w:cs="Times New Roman"/>
          <w:sz w:val="24"/>
          <w:szCs w:val="24"/>
          <w:lang w:eastAsia="sv-SE"/>
        </w:rPr>
        <w:t>table and graph below.</w:t>
      </w:r>
    </w:p>
    <w:p w14:paraId="26B82981" w14:textId="77777777" w:rsidR="00D4268B" w:rsidRDefault="00D4268B" w:rsidP="00626BD6">
      <w:pPr>
        <w:spacing w:line="360" w:lineRule="auto"/>
        <w:jc w:val="both"/>
        <w:rPr>
          <w:rFonts w:ascii="Times New Roman" w:eastAsia="Times New Roman" w:hAnsi="Times New Roman" w:cs="Times New Roman"/>
          <w:sz w:val="24"/>
          <w:szCs w:val="24"/>
          <w:lang w:eastAsia="sv-SE"/>
        </w:rPr>
      </w:pPr>
    </w:p>
    <w:p w14:paraId="2A23B8AB" w14:textId="3A7F0414" w:rsidR="00B11176" w:rsidRPr="0001584A" w:rsidRDefault="001F632C">
      <w:pPr>
        <w:rPr>
          <w:rFonts w:ascii="Times New Roman" w:hAnsi="Times New Roman" w:cs="Times New Roman"/>
          <w:b/>
          <w:bCs/>
          <w:sz w:val="24"/>
          <w:szCs w:val="24"/>
        </w:rPr>
      </w:pPr>
      <w:r w:rsidRPr="0001584A">
        <w:rPr>
          <w:rFonts w:ascii="Times New Roman" w:hAnsi="Times New Roman" w:cs="Times New Roman"/>
          <w:b/>
          <w:bCs/>
          <w:sz w:val="24"/>
          <w:szCs w:val="24"/>
        </w:rPr>
        <w:t>T</w:t>
      </w:r>
      <w:r w:rsidR="00DC772B" w:rsidRPr="0001584A">
        <w:rPr>
          <w:rFonts w:ascii="Times New Roman" w:hAnsi="Times New Roman" w:cs="Times New Roman"/>
          <w:b/>
          <w:bCs/>
          <w:sz w:val="24"/>
          <w:szCs w:val="24"/>
        </w:rPr>
        <w:t xml:space="preserve">able 1: </w:t>
      </w:r>
      <w:r w:rsidR="00285735" w:rsidRPr="0001584A">
        <w:rPr>
          <w:rFonts w:ascii="Times New Roman" w:hAnsi="Times New Roman" w:cs="Times New Roman"/>
          <w:b/>
          <w:bCs/>
          <w:sz w:val="24"/>
          <w:szCs w:val="24"/>
        </w:rPr>
        <w:t>S</w:t>
      </w:r>
      <w:r w:rsidR="00093ED5" w:rsidRPr="0001584A">
        <w:rPr>
          <w:rFonts w:ascii="Times New Roman" w:hAnsi="Times New Roman" w:cs="Times New Roman"/>
          <w:b/>
          <w:bCs/>
          <w:sz w:val="24"/>
          <w:szCs w:val="24"/>
        </w:rPr>
        <w:t xml:space="preserve">tudents’ </w:t>
      </w:r>
      <w:r w:rsidR="0049260F" w:rsidRPr="0001584A">
        <w:rPr>
          <w:rFonts w:ascii="Times New Roman" w:hAnsi="Times New Roman" w:cs="Times New Roman"/>
          <w:b/>
          <w:bCs/>
          <w:sz w:val="24"/>
          <w:szCs w:val="24"/>
        </w:rPr>
        <w:t>participation</w:t>
      </w:r>
      <w:r w:rsidR="00BB7CB1" w:rsidRPr="0001584A">
        <w:rPr>
          <w:rFonts w:ascii="Times New Roman" w:hAnsi="Times New Roman" w:cs="Times New Roman"/>
          <w:b/>
          <w:bCs/>
          <w:sz w:val="24"/>
          <w:szCs w:val="24"/>
        </w:rPr>
        <w:t xml:space="preserve"> in percentage</w:t>
      </w:r>
      <w:r w:rsidR="0049260F" w:rsidRPr="0001584A">
        <w:rPr>
          <w:rFonts w:ascii="Times New Roman" w:hAnsi="Times New Roman" w:cs="Times New Roman"/>
          <w:b/>
          <w:bCs/>
          <w:sz w:val="24"/>
          <w:szCs w:val="24"/>
        </w:rPr>
        <w:t xml:space="preserve"> by disability status and gender</w:t>
      </w:r>
      <w:r w:rsidR="000678B2" w:rsidRPr="0001584A">
        <w:rPr>
          <w:rFonts w:ascii="Times New Roman" w:hAnsi="Times New Roman" w:cs="Times New Roman"/>
          <w:b/>
          <w:bCs/>
          <w:sz w:val="24"/>
          <w:szCs w:val="24"/>
        </w:rPr>
        <w:t xml:space="preserve"> from 2018-2020</w:t>
      </w:r>
      <w:r w:rsidR="002A54D6" w:rsidRPr="0001584A">
        <w:rPr>
          <w:rFonts w:ascii="Times New Roman" w:hAnsi="Times New Roman" w:cs="Times New Roman"/>
          <w:b/>
          <w:bCs/>
          <w:sz w:val="24"/>
          <w:szCs w:val="24"/>
        </w:rPr>
        <w:t xml:space="preserve"> in the table and graph below.</w:t>
      </w:r>
    </w:p>
    <w:p w14:paraId="2106F4E4" w14:textId="77777777" w:rsidR="00AE4558" w:rsidRPr="00093ED5" w:rsidRDefault="00AE4558">
      <w:pPr>
        <w:rPr>
          <w:rFonts w:ascii="Times New Roman" w:hAnsi="Times New Roman" w:cs="Times New Roman"/>
          <w:sz w:val="24"/>
          <w:szCs w:val="24"/>
        </w:rPr>
      </w:pPr>
    </w:p>
    <w:tbl>
      <w:tblPr>
        <w:tblStyle w:val="Ljusskuggning-dekorfrg1"/>
        <w:tblW w:w="5000" w:type="pct"/>
        <w:tblLook w:val="0660" w:firstRow="1" w:lastRow="1" w:firstColumn="0" w:lastColumn="0" w:noHBand="1" w:noVBand="1"/>
      </w:tblPr>
      <w:tblGrid>
        <w:gridCol w:w="654"/>
        <w:gridCol w:w="1706"/>
        <w:gridCol w:w="2237"/>
        <w:gridCol w:w="2237"/>
        <w:gridCol w:w="2238"/>
      </w:tblGrid>
      <w:tr w:rsidR="00B11176" w14:paraId="17A59740" w14:textId="77777777" w:rsidTr="001A4CB4">
        <w:trPr>
          <w:cnfStyle w:val="100000000000" w:firstRow="1" w:lastRow="0" w:firstColumn="0" w:lastColumn="0" w:oddVBand="0" w:evenVBand="0" w:oddHBand="0" w:evenHBand="0" w:firstRowFirstColumn="0" w:firstRowLastColumn="0" w:lastRowFirstColumn="0" w:lastRowLastColumn="0"/>
          <w:trHeight w:val="1356"/>
        </w:trPr>
        <w:tc>
          <w:tcPr>
            <w:tcW w:w="346" w:type="pct"/>
            <w:noWrap/>
          </w:tcPr>
          <w:p w14:paraId="37704141" w14:textId="7E4DBFB7" w:rsidR="00B11176" w:rsidRDefault="0049260F">
            <w:r>
              <w:t>Year</w:t>
            </w:r>
          </w:p>
        </w:tc>
        <w:tc>
          <w:tcPr>
            <w:tcW w:w="2154" w:type="pct"/>
            <w:gridSpan w:val="2"/>
          </w:tcPr>
          <w:p w14:paraId="7B842028" w14:textId="51FE90BD" w:rsidR="00DE4FAC" w:rsidRDefault="0049260F">
            <w:pPr>
              <w:rPr>
                <w:b w:val="0"/>
                <w:bCs w:val="0"/>
              </w:rPr>
            </w:pPr>
            <w:r>
              <w:t xml:space="preserve">Female students </w:t>
            </w:r>
            <w:r w:rsidR="00DE4FAC">
              <w:t xml:space="preserve">    </w:t>
            </w:r>
            <w:r w:rsidR="00E037F3">
              <w:t xml:space="preserve">    </w:t>
            </w:r>
            <w:r w:rsidR="00DE4FAC">
              <w:t>Female students</w:t>
            </w:r>
          </w:p>
          <w:p w14:paraId="0EF41A28" w14:textId="438B4C65" w:rsidR="00B11176" w:rsidRDefault="008D356D">
            <w:pPr>
              <w:rPr>
                <w:b w:val="0"/>
                <w:bCs w:val="0"/>
              </w:rPr>
            </w:pPr>
            <w:r>
              <w:t xml:space="preserve">Without </w:t>
            </w:r>
            <w:r w:rsidR="009C5001">
              <w:t>disabilities</w:t>
            </w:r>
            <w:r>
              <w:t xml:space="preserve"> </w:t>
            </w:r>
            <w:r w:rsidR="00E037F3">
              <w:t xml:space="preserve">   </w:t>
            </w:r>
            <w:r w:rsidR="0049260F">
              <w:t>with disabilities</w:t>
            </w:r>
          </w:p>
          <w:p w14:paraId="688418E0" w14:textId="2D75DEC5" w:rsidR="001A4CB4" w:rsidRDefault="001A4CB4"/>
        </w:tc>
        <w:tc>
          <w:tcPr>
            <w:tcW w:w="1250" w:type="pct"/>
          </w:tcPr>
          <w:p w14:paraId="2EBB4768" w14:textId="64360F5A" w:rsidR="00B11176" w:rsidRDefault="00E037F3">
            <w:r>
              <w:t>M</w:t>
            </w:r>
            <w:r w:rsidR="0049260F">
              <w:t>ale students with</w:t>
            </w:r>
            <w:r w:rsidR="00031A2E">
              <w:t>out</w:t>
            </w:r>
            <w:r w:rsidR="0049260F">
              <w:t xml:space="preserve"> disabilities</w:t>
            </w:r>
          </w:p>
        </w:tc>
        <w:tc>
          <w:tcPr>
            <w:tcW w:w="1250" w:type="pct"/>
          </w:tcPr>
          <w:p w14:paraId="61AF2830" w14:textId="41A0F1D2" w:rsidR="00B11176" w:rsidRDefault="0049260F">
            <w:r>
              <w:t xml:space="preserve">Male students </w:t>
            </w:r>
            <w:r w:rsidR="000678B2">
              <w:t>without disabilities</w:t>
            </w:r>
            <w:r w:rsidR="00405820">
              <w:t xml:space="preserve"> </w:t>
            </w:r>
            <w:r w:rsidR="000678B2">
              <w:t xml:space="preserve"> </w:t>
            </w:r>
            <w:r w:rsidR="00405820">
              <w:t xml:space="preserve">                   </w:t>
            </w:r>
          </w:p>
        </w:tc>
      </w:tr>
      <w:tr w:rsidR="00B11176" w14:paraId="783B4BC6" w14:textId="77777777" w:rsidTr="000678B2">
        <w:trPr>
          <w:trHeight w:val="50"/>
        </w:trPr>
        <w:tc>
          <w:tcPr>
            <w:tcW w:w="1250" w:type="pct"/>
            <w:gridSpan w:val="2"/>
            <w:noWrap/>
          </w:tcPr>
          <w:p w14:paraId="46A8359C" w14:textId="3D7BD2C3" w:rsidR="00B11176" w:rsidRDefault="00B11176"/>
        </w:tc>
        <w:tc>
          <w:tcPr>
            <w:tcW w:w="1250" w:type="pct"/>
          </w:tcPr>
          <w:p w14:paraId="3E1D86D3" w14:textId="605D9EF4" w:rsidR="00B11176" w:rsidRDefault="00B11176">
            <w:pPr>
              <w:rPr>
                <w:rStyle w:val="Diskretbetoning"/>
              </w:rPr>
            </w:pPr>
          </w:p>
        </w:tc>
        <w:tc>
          <w:tcPr>
            <w:tcW w:w="1250" w:type="pct"/>
          </w:tcPr>
          <w:p w14:paraId="0DCA2EBD" w14:textId="77777777" w:rsidR="00B11176" w:rsidRDefault="00B11176"/>
        </w:tc>
        <w:tc>
          <w:tcPr>
            <w:tcW w:w="1250" w:type="pct"/>
          </w:tcPr>
          <w:p w14:paraId="206FB339" w14:textId="77777777" w:rsidR="00B11176" w:rsidRDefault="00B11176"/>
        </w:tc>
      </w:tr>
      <w:tr w:rsidR="001D3DC4" w14:paraId="25D46BCE" w14:textId="77777777" w:rsidTr="0071744F">
        <w:tc>
          <w:tcPr>
            <w:tcW w:w="1250" w:type="pct"/>
            <w:gridSpan w:val="2"/>
            <w:noWrap/>
          </w:tcPr>
          <w:p w14:paraId="236A2E0B" w14:textId="77777777" w:rsidR="001D3DC4" w:rsidRDefault="001D3DC4"/>
        </w:tc>
        <w:tc>
          <w:tcPr>
            <w:tcW w:w="1250" w:type="pct"/>
          </w:tcPr>
          <w:p w14:paraId="3B75310A" w14:textId="77777777" w:rsidR="001D3DC4" w:rsidRDefault="001D3DC4">
            <w:pPr>
              <w:rPr>
                <w:rStyle w:val="Diskretbetoning"/>
                <w:lang w:val="sv-SE"/>
              </w:rPr>
            </w:pPr>
          </w:p>
        </w:tc>
        <w:tc>
          <w:tcPr>
            <w:tcW w:w="1250" w:type="pct"/>
          </w:tcPr>
          <w:p w14:paraId="19E72CB2" w14:textId="77777777" w:rsidR="001D3DC4" w:rsidRDefault="001D3DC4"/>
        </w:tc>
        <w:tc>
          <w:tcPr>
            <w:tcW w:w="1250" w:type="pct"/>
          </w:tcPr>
          <w:p w14:paraId="54AA56E5" w14:textId="77777777" w:rsidR="001D3DC4" w:rsidRDefault="001D3DC4"/>
        </w:tc>
      </w:tr>
      <w:tr w:rsidR="00B11176" w14:paraId="11C0E56F" w14:textId="77777777" w:rsidTr="0071744F">
        <w:tc>
          <w:tcPr>
            <w:tcW w:w="1250" w:type="pct"/>
            <w:gridSpan w:val="2"/>
            <w:noWrap/>
          </w:tcPr>
          <w:p w14:paraId="15D6E25E" w14:textId="38F55524" w:rsidR="00B11176" w:rsidRDefault="001D3DC4" w:rsidP="0031624B">
            <w:pPr>
              <w:tabs>
                <w:tab w:val="right" w:pos="2052"/>
              </w:tabs>
            </w:pPr>
            <w:r>
              <w:t>2018</w:t>
            </w:r>
            <w:r w:rsidR="00F82F7E">
              <w:tab/>
              <w:t xml:space="preserve"> 53</w:t>
            </w:r>
          </w:p>
        </w:tc>
        <w:tc>
          <w:tcPr>
            <w:tcW w:w="1250" w:type="pct"/>
          </w:tcPr>
          <w:p w14:paraId="6FB6F84D" w14:textId="697EF652" w:rsidR="00B11176" w:rsidRDefault="00F82F7E">
            <w:pPr>
              <w:pStyle w:val="DecimalAligned"/>
            </w:pPr>
            <w:r>
              <w:t xml:space="preserve">               </w:t>
            </w:r>
            <w:r w:rsidR="0097633D">
              <w:t>44</w:t>
            </w:r>
          </w:p>
        </w:tc>
        <w:tc>
          <w:tcPr>
            <w:tcW w:w="1250" w:type="pct"/>
          </w:tcPr>
          <w:p w14:paraId="59609F1A" w14:textId="0A836557" w:rsidR="00B11176" w:rsidRDefault="00F82F7E">
            <w:pPr>
              <w:pStyle w:val="DecimalAligned"/>
            </w:pPr>
            <w:r>
              <w:t>44</w:t>
            </w:r>
          </w:p>
        </w:tc>
        <w:tc>
          <w:tcPr>
            <w:tcW w:w="1250" w:type="pct"/>
          </w:tcPr>
          <w:p w14:paraId="6AC48F78" w14:textId="46294B1D" w:rsidR="00B11176" w:rsidRDefault="00F82F7E">
            <w:pPr>
              <w:pStyle w:val="DecimalAligned"/>
            </w:pPr>
            <w:r>
              <w:t xml:space="preserve">  38</w:t>
            </w:r>
          </w:p>
        </w:tc>
      </w:tr>
      <w:tr w:rsidR="00B11176" w14:paraId="3D102C8F" w14:textId="77777777" w:rsidTr="0071744F">
        <w:tc>
          <w:tcPr>
            <w:tcW w:w="1250" w:type="pct"/>
            <w:gridSpan w:val="2"/>
            <w:noWrap/>
          </w:tcPr>
          <w:p w14:paraId="302E89F3" w14:textId="63258704" w:rsidR="00B11176" w:rsidRDefault="001D3DC4">
            <w:r>
              <w:t>2019</w:t>
            </w:r>
            <w:r w:rsidR="005740FD">
              <w:t xml:space="preserve">                            63</w:t>
            </w:r>
          </w:p>
        </w:tc>
        <w:tc>
          <w:tcPr>
            <w:tcW w:w="1250" w:type="pct"/>
          </w:tcPr>
          <w:p w14:paraId="046EF2B7" w14:textId="3CD56D0E" w:rsidR="00B11176" w:rsidRDefault="00F82F7E">
            <w:pPr>
              <w:pStyle w:val="DecimalAligned"/>
            </w:pPr>
            <w:r>
              <w:t xml:space="preserve">               </w:t>
            </w:r>
            <w:r w:rsidR="0097633D">
              <w:t>54</w:t>
            </w:r>
          </w:p>
        </w:tc>
        <w:tc>
          <w:tcPr>
            <w:tcW w:w="1250" w:type="pct"/>
          </w:tcPr>
          <w:p w14:paraId="2F621C3D" w14:textId="5A58F190" w:rsidR="00B11176" w:rsidRDefault="00F82F7E">
            <w:pPr>
              <w:pStyle w:val="DecimalAligned"/>
            </w:pPr>
            <w:r>
              <w:t>53</w:t>
            </w:r>
          </w:p>
        </w:tc>
        <w:tc>
          <w:tcPr>
            <w:tcW w:w="1250" w:type="pct"/>
          </w:tcPr>
          <w:p w14:paraId="61E22E1E" w14:textId="5EFB57B1" w:rsidR="00B11176" w:rsidRDefault="00F82F7E">
            <w:pPr>
              <w:pStyle w:val="DecimalAligned"/>
            </w:pPr>
            <w:r>
              <w:t>45</w:t>
            </w:r>
          </w:p>
        </w:tc>
      </w:tr>
      <w:tr w:rsidR="00B11176" w14:paraId="407E6ABE" w14:textId="77777777" w:rsidTr="0071744F">
        <w:tc>
          <w:tcPr>
            <w:tcW w:w="1250" w:type="pct"/>
            <w:gridSpan w:val="2"/>
            <w:noWrap/>
          </w:tcPr>
          <w:p w14:paraId="308A46DD" w14:textId="6C151FB9" w:rsidR="00B11176" w:rsidRDefault="001D3DC4">
            <w:r>
              <w:t>2020</w:t>
            </w:r>
            <w:r w:rsidR="005740FD">
              <w:t xml:space="preserve">                            68</w:t>
            </w:r>
          </w:p>
        </w:tc>
        <w:tc>
          <w:tcPr>
            <w:tcW w:w="1250" w:type="pct"/>
          </w:tcPr>
          <w:p w14:paraId="43CD48C1" w14:textId="524C66BA" w:rsidR="00B11176" w:rsidRDefault="00F82F7E">
            <w:pPr>
              <w:pStyle w:val="DecimalAligned"/>
            </w:pPr>
            <w:r>
              <w:t xml:space="preserve">               </w:t>
            </w:r>
            <w:r w:rsidR="0097633D">
              <w:t>59</w:t>
            </w:r>
          </w:p>
        </w:tc>
        <w:tc>
          <w:tcPr>
            <w:tcW w:w="1250" w:type="pct"/>
          </w:tcPr>
          <w:p w14:paraId="356CDDFE" w14:textId="72DAAE4B" w:rsidR="00B11176" w:rsidRDefault="00F82F7E">
            <w:pPr>
              <w:pStyle w:val="DecimalAligned"/>
            </w:pPr>
            <w:r>
              <w:t>57</w:t>
            </w:r>
          </w:p>
        </w:tc>
        <w:tc>
          <w:tcPr>
            <w:tcW w:w="1250" w:type="pct"/>
          </w:tcPr>
          <w:p w14:paraId="2C8D36DC" w14:textId="144BC486" w:rsidR="00B11176" w:rsidRDefault="00F82F7E">
            <w:pPr>
              <w:pStyle w:val="DecimalAligned"/>
            </w:pPr>
            <w:r>
              <w:t>50</w:t>
            </w:r>
          </w:p>
        </w:tc>
      </w:tr>
      <w:tr w:rsidR="00B11176" w14:paraId="2F63B607" w14:textId="77777777" w:rsidTr="0071744F">
        <w:trPr>
          <w:cnfStyle w:val="010000000000" w:firstRow="0" w:lastRow="1" w:firstColumn="0" w:lastColumn="0" w:oddVBand="0" w:evenVBand="0" w:oddHBand="0" w:evenHBand="0" w:firstRowFirstColumn="0" w:firstRowLastColumn="0" w:lastRowFirstColumn="0" w:lastRowLastColumn="0"/>
        </w:trPr>
        <w:tc>
          <w:tcPr>
            <w:tcW w:w="1250" w:type="pct"/>
            <w:gridSpan w:val="2"/>
            <w:noWrap/>
          </w:tcPr>
          <w:p w14:paraId="095A99D1" w14:textId="17E994BD" w:rsidR="00B11176" w:rsidRDefault="00B11176">
            <w:r>
              <w:rPr>
                <w:lang w:val="sv-SE"/>
              </w:rPr>
              <w:t>Total</w:t>
            </w:r>
            <w:r w:rsidR="0041029A">
              <w:rPr>
                <w:lang w:val="sv-SE"/>
              </w:rPr>
              <w:t xml:space="preserve">                           </w:t>
            </w:r>
            <w:r w:rsidR="00E53DF5">
              <w:rPr>
                <w:lang w:val="sv-SE"/>
              </w:rPr>
              <w:t>184</w:t>
            </w:r>
          </w:p>
        </w:tc>
        <w:tc>
          <w:tcPr>
            <w:tcW w:w="1250" w:type="pct"/>
          </w:tcPr>
          <w:p w14:paraId="73CBA5A3" w14:textId="42A95E5B" w:rsidR="00B11176" w:rsidRDefault="00E53DF5">
            <w:pPr>
              <w:pStyle w:val="DecimalAligned"/>
            </w:pPr>
            <w:r>
              <w:t xml:space="preserve">      </w:t>
            </w:r>
            <w:r w:rsidR="00777A40">
              <w:t xml:space="preserve">        157</w:t>
            </w:r>
          </w:p>
        </w:tc>
        <w:tc>
          <w:tcPr>
            <w:tcW w:w="1250" w:type="pct"/>
          </w:tcPr>
          <w:p w14:paraId="669E5FB0" w14:textId="3B32EF1C" w:rsidR="00B11176" w:rsidRDefault="00BD5031">
            <w:pPr>
              <w:pStyle w:val="DecimalAligned"/>
            </w:pPr>
            <w:r>
              <w:t>154</w:t>
            </w:r>
          </w:p>
        </w:tc>
        <w:tc>
          <w:tcPr>
            <w:tcW w:w="1250" w:type="pct"/>
          </w:tcPr>
          <w:p w14:paraId="64C9DE58" w14:textId="3D9F9B8F" w:rsidR="00B11176" w:rsidRDefault="00480286">
            <w:pPr>
              <w:pStyle w:val="DecimalAligned"/>
            </w:pPr>
            <w:r>
              <w:t>133</w:t>
            </w:r>
          </w:p>
        </w:tc>
      </w:tr>
    </w:tbl>
    <w:p w14:paraId="42C6EB06" w14:textId="77777777" w:rsidR="00F23AAE" w:rsidRPr="00B11176" w:rsidRDefault="00F23AAE" w:rsidP="00AA6496">
      <w:pPr>
        <w:spacing w:after="0" w:line="240" w:lineRule="auto"/>
        <w:rPr>
          <w:rFonts w:ascii="Times New Roman" w:eastAsia="Times New Roman" w:hAnsi="Times New Roman" w:cs="Times New Roman"/>
          <w:sz w:val="24"/>
          <w:szCs w:val="24"/>
          <w:lang w:val="sv-SE" w:eastAsia="sv-SE"/>
        </w:rPr>
      </w:pPr>
    </w:p>
    <w:p w14:paraId="18B28F0F" w14:textId="77777777" w:rsidR="00F23AAE" w:rsidRDefault="00F23AAE" w:rsidP="00AA6496">
      <w:pPr>
        <w:spacing w:after="0" w:line="240" w:lineRule="auto"/>
        <w:rPr>
          <w:rFonts w:ascii="Times New Roman" w:eastAsia="Times New Roman" w:hAnsi="Times New Roman" w:cs="Times New Roman"/>
          <w:sz w:val="24"/>
          <w:szCs w:val="24"/>
          <w:lang w:val="sv-SE" w:eastAsia="sv-SE"/>
        </w:rPr>
      </w:pPr>
    </w:p>
    <w:p w14:paraId="50963D8D" w14:textId="77777777" w:rsidR="00721C0A" w:rsidRDefault="00721C0A" w:rsidP="00AA6496">
      <w:pPr>
        <w:spacing w:after="0" w:line="240" w:lineRule="auto"/>
        <w:rPr>
          <w:rFonts w:ascii="Times New Roman" w:eastAsia="Times New Roman" w:hAnsi="Times New Roman" w:cs="Times New Roman"/>
          <w:sz w:val="24"/>
          <w:szCs w:val="24"/>
          <w:lang w:val="sv-SE" w:eastAsia="sv-SE"/>
        </w:rPr>
      </w:pPr>
    </w:p>
    <w:p w14:paraId="37B933B0" w14:textId="77777777" w:rsidR="00721C0A" w:rsidRDefault="00721C0A" w:rsidP="00AA6496">
      <w:pPr>
        <w:spacing w:after="0" w:line="240" w:lineRule="auto"/>
        <w:rPr>
          <w:rFonts w:ascii="Times New Roman" w:eastAsia="Times New Roman" w:hAnsi="Times New Roman" w:cs="Times New Roman"/>
          <w:sz w:val="24"/>
          <w:szCs w:val="24"/>
          <w:lang w:val="sv-SE" w:eastAsia="sv-SE"/>
        </w:rPr>
      </w:pPr>
    </w:p>
    <w:p w14:paraId="2F70A094" w14:textId="48AB772F" w:rsidR="003C54FC" w:rsidRDefault="00A5299B" w:rsidP="00AA6496">
      <w:pPr>
        <w:spacing w:after="0" w:line="240" w:lineRule="auto"/>
        <w:rPr>
          <w:rFonts w:ascii="Times New Roman" w:eastAsia="Times New Roman" w:hAnsi="Times New Roman" w:cs="Times New Roman"/>
          <w:sz w:val="24"/>
          <w:szCs w:val="24"/>
          <w:lang w:val="sv-SE" w:eastAsia="sv-SE"/>
        </w:rPr>
      </w:pPr>
      <w:r>
        <w:rPr>
          <w:rFonts w:ascii="Times New Roman" w:eastAsia="Times New Roman" w:hAnsi="Times New Roman" w:cs="Times New Roman"/>
          <w:noProof/>
          <w:sz w:val="24"/>
          <w:szCs w:val="24"/>
          <w:lang w:val="sv-SE" w:eastAsia="sv-SE"/>
        </w:rPr>
        <w:lastRenderedPageBreak/>
        <w:drawing>
          <wp:inline distT="0" distB="0" distL="0" distR="0" wp14:anchorId="75081D10" wp14:editId="6480FECA">
            <wp:extent cx="6313336" cy="3200400"/>
            <wp:effectExtent l="0" t="0" r="11430" b="0"/>
            <wp:docPr id="1498954878" name="Diagram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F193B1E" w14:textId="77777777" w:rsidR="003C54FC" w:rsidRPr="00B11176" w:rsidRDefault="003C54FC" w:rsidP="00AA6496">
      <w:pPr>
        <w:spacing w:after="0" w:line="240" w:lineRule="auto"/>
        <w:rPr>
          <w:rFonts w:ascii="Times New Roman" w:eastAsia="Times New Roman" w:hAnsi="Times New Roman" w:cs="Times New Roman"/>
          <w:sz w:val="24"/>
          <w:szCs w:val="24"/>
          <w:lang w:val="sv-SE" w:eastAsia="sv-SE"/>
        </w:rPr>
      </w:pPr>
    </w:p>
    <w:p w14:paraId="130CE738" w14:textId="77777777" w:rsidR="00F23AAE" w:rsidRPr="00B11176" w:rsidRDefault="00F23AAE" w:rsidP="00AA6496">
      <w:pPr>
        <w:spacing w:after="0" w:line="240" w:lineRule="auto"/>
        <w:rPr>
          <w:rFonts w:ascii="Times New Roman" w:eastAsia="Times New Roman" w:hAnsi="Times New Roman" w:cs="Times New Roman"/>
          <w:sz w:val="24"/>
          <w:szCs w:val="24"/>
          <w:lang w:val="sv-SE" w:eastAsia="sv-SE"/>
        </w:rPr>
      </w:pPr>
    </w:p>
    <w:p w14:paraId="64B645C3" w14:textId="4A2EF83F" w:rsidR="00F02020" w:rsidRDefault="007C6E15" w:rsidP="00A536AC">
      <w:pPr>
        <w:spacing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The</w:t>
      </w:r>
      <w:r w:rsidR="007C5DE2">
        <w:rPr>
          <w:rFonts w:ascii="Times New Roman" w:eastAsia="Times New Roman" w:hAnsi="Times New Roman" w:cs="Times New Roman"/>
          <w:sz w:val="24"/>
          <w:szCs w:val="24"/>
          <w:lang w:eastAsia="sv-SE"/>
        </w:rPr>
        <w:t xml:space="preserve"> table</w:t>
      </w:r>
      <w:r w:rsidR="00AE4558">
        <w:rPr>
          <w:rFonts w:ascii="Times New Roman" w:eastAsia="Times New Roman" w:hAnsi="Times New Roman" w:cs="Times New Roman"/>
          <w:sz w:val="24"/>
          <w:szCs w:val="24"/>
          <w:lang w:eastAsia="sv-SE"/>
        </w:rPr>
        <w:t>1</w:t>
      </w:r>
      <w:r w:rsidR="007C5DE2">
        <w:rPr>
          <w:rFonts w:ascii="Times New Roman" w:eastAsia="Times New Roman" w:hAnsi="Times New Roman" w:cs="Times New Roman"/>
          <w:sz w:val="24"/>
          <w:szCs w:val="24"/>
          <w:lang w:eastAsia="sv-SE"/>
        </w:rPr>
        <w:t xml:space="preserve"> and</w:t>
      </w:r>
      <w:r>
        <w:rPr>
          <w:rFonts w:ascii="Times New Roman" w:eastAsia="Times New Roman" w:hAnsi="Times New Roman" w:cs="Times New Roman"/>
          <w:sz w:val="24"/>
          <w:szCs w:val="24"/>
          <w:lang w:eastAsia="sv-SE"/>
        </w:rPr>
        <w:t xml:space="preserve"> graph above</w:t>
      </w:r>
      <w:r w:rsidR="00F02020" w:rsidRPr="00F02020">
        <w:rPr>
          <w:rFonts w:ascii="Times New Roman" w:eastAsia="Times New Roman" w:hAnsi="Times New Roman" w:cs="Times New Roman"/>
          <w:sz w:val="24"/>
          <w:szCs w:val="24"/>
          <w:lang w:eastAsia="sv-SE"/>
        </w:rPr>
        <w:t xml:space="preserve"> present the </w:t>
      </w:r>
      <w:r w:rsidR="00850454">
        <w:rPr>
          <w:rFonts w:ascii="Times New Roman" w:eastAsia="Times New Roman" w:hAnsi="Times New Roman" w:cs="Times New Roman"/>
          <w:sz w:val="24"/>
          <w:szCs w:val="24"/>
          <w:lang w:eastAsia="sv-SE"/>
        </w:rPr>
        <w:t>percentage</w:t>
      </w:r>
      <w:r w:rsidR="007703C1">
        <w:rPr>
          <w:rFonts w:ascii="Times New Roman" w:eastAsia="Times New Roman" w:hAnsi="Times New Roman" w:cs="Times New Roman"/>
          <w:sz w:val="24"/>
          <w:szCs w:val="24"/>
          <w:lang w:eastAsia="sv-SE"/>
        </w:rPr>
        <w:t xml:space="preserve"> </w:t>
      </w:r>
      <w:r w:rsidR="00F02020" w:rsidRPr="00F02020">
        <w:rPr>
          <w:rFonts w:ascii="Times New Roman" w:eastAsia="Times New Roman" w:hAnsi="Times New Roman" w:cs="Times New Roman"/>
          <w:sz w:val="24"/>
          <w:szCs w:val="24"/>
          <w:lang w:eastAsia="sv-SE"/>
        </w:rPr>
        <w:t>number</w:t>
      </w:r>
      <w:r w:rsidR="00606139">
        <w:rPr>
          <w:rFonts w:ascii="Times New Roman" w:eastAsia="Times New Roman" w:hAnsi="Times New Roman" w:cs="Times New Roman"/>
          <w:sz w:val="24"/>
          <w:szCs w:val="24"/>
          <w:lang w:eastAsia="sv-SE"/>
        </w:rPr>
        <w:t>s</w:t>
      </w:r>
      <w:r w:rsidR="00F02020" w:rsidRPr="00F02020">
        <w:rPr>
          <w:rFonts w:ascii="Times New Roman" w:eastAsia="Times New Roman" w:hAnsi="Times New Roman" w:cs="Times New Roman"/>
          <w:sz w:val="24"/>
          <w:szCs w:val="24"/>
          <w:lang w:eastAsia="sv-SE"/>
        </w:rPr>
        <w:t xml:space="preserve"> of students participating in post-secondary education by gender and disability status between 2018 and 2020</w:t>
      </w:r>
      <w:r w:rsidR="00E55CCC">
        <w:rPr>
          <w:rFonts w:ascii="Times New Roman" w:eastAsia="Times New Roman" w:hAnsi="Times New Roman" w:cs="Times New Roman"/>
          <w:sz w:val="24"/>
          <w:szCs w:val="24"/>
          <w:lang w:eastAsia="sv-SE"/>
        </w:rPr>
        <w:t xml:space="preserve"> showing an increase </w:t>
      </w:r>
      <w:r w:rsidR="00F02020" w:rsidRPr="00F02020">
        <w:rPr>
          <w:rFonts w:ascii="Times New Roman" w:eastAsia="Times New Roman" w:hAnsi="Times New Roman" w:cs="Times New Roman"/>
          <w:sz w:val="24"/>
          <w:szCs w:val="24"/>
          <w:lang w:eastAsia="sv-SE"/>
        </w:rPr>
        <w:t>across all four groups during the three-year period. Among female students without disabilities, the number of participating students increased from 53</w:t>
      </w:r>
      <w:r w:rsidR="005243D6">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2018 to 63</w:t>
      </w:r>
      <w:r w:rsidR="005243D6">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2019 and 68</w:t>
      </w:r>
      <w:r w:rsidR="005243D6">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2020. A similar upward trend was observed among female students with disabilities, with participation increasing from 44</w:t>
      </w:r>
      <w:r w:rsidR="00C4089C">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2018 to 54</w:t>
      </w:r>
      <w:r w:rsidR="00C4089C">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2019 and 59</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in 2020. </w:t>
      </w:r>
      <w:r w:rsidR="00170102">
        <w:rPr>
          <w:rFonts w:ascii="Times New Roman" w:eastAsia="Times New Roman" w:hAnsi="Times New Roman" w:cs="Times New Roman"/>
          <w:sz w:val="24"/>
          <w:szCs w:val="24"/>
          <w:lang w:eastAsia="sv-SE"/>
        </w:rPr>
        <w:t xml:space="preserve">Even among </w:t>
      </w:r>
      <w:r w:rsidR="00F02020" w:rsidRPr="00F02020">
        <w:rPr>
          <w:rFonts w:ascii="Times New Roman" w:eastAsia="Times New Roman" w:hAnsi="Times New Roman" w:cs="Times New Roman"/>
          <w:sz w:val="24"/>
          <w:szCs w:val="24"/>
          <w:lang w:eastAsia="sv-SE"/>
        </w:rPr>
        <w:t>male students, participation also increased over the period, from 44</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to 53</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and 57</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students among those without disabilities, and from 38</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to 45</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and 50</w:t>
      </w:r>
      <w:r w:rsidR="00E76792">
        <w:rPr>
          <w:rFonts w:ascii="Times New Roman" w:eastAsia="Times New Roman" w:hAnsi="Times New Roman" w:cs="Times New Roman"/>
          <w:sz w:val="24"/>
          <w:szCs w:val="24"/>
          <w:lang w:eastAsia="sv-SE"/>
        </w:rPr>
        <w:t>%</w:t>
      </w:r>
      <w:r w:rsidR="00F02020" w:rsidRPr="00F02020">
        <w:rPr>
          <w:rFonts w:ascii="Times New Roman" w:eastAsia="Times New Roman" w:hAnsi="Times New Roman" w:cs="Times New Roman"/>
          <w:sz w:val="24"/>
          <w:szCs w:val="24"/>
          <w:lang w:eastAsia="sv-SE"/>
        </w:rPr>
        <w:t xml:space="preserve"> students among those with disabilities in 2018, 2019 and 2020, respectively.</w:t>
      </w:r>
    </w:p>
    <w:p w14:paraId="528854A9" w14:textId="41A3FDA9" w:rsidR="007C6E15" w:rsidRPr="000E3237" w:rsidRDefault="00984F03" w:rsidP="00A536AC">
      <w:pPr>
        <w:spacing w:line="360" w:lineRule="auto"/>
        <w:jc w:val="both"/>
        <w:rPr>
          <w:rFonts w:ascii="Times New Roman" w:eastAsia="Times New Roman" w:hAnsi="Times New Roman" w:cs="Times New Roman"/>
          <w:b/>
          <w:bCs/>
          <w:sz w:val="24"/>
          <w:szCs w:val="24"/>
          <w:lang w:eastAsia="sv-SE"/>
        </w:rPr>
      </w:pPr>
      <w:r w:rsidRPr="000E3237">
        <w:rPr>
          <w:rFonts w:ascii="Times New Roman" w:eastAsia="Times New Roman" w:hAnsi="Times New Roman" w:cs="Times New Roman"/>
          <w:b/>
          <w:bCs/>
          <w:sz w:val="24"/>
          <w:szCs w:val="24"/>
          <w:lang w:eastAsia="sv-SE"/>
        </w:rPr>
        <w:t>Disability patterns</w:t>
      </w:r>
    </w:p>
    <w:p w14:paraId="39223A83" w14:textId="77777777" w:rsidR="000E3237" w:rsidRDefault="000E3237" w:rsidP="00A536AC">
      <w:pPr>
        <w:spacing w:line="360" w:lineRule="auto"/>
        <w:jc w:val="both"/>
        <w:rPr>
          <w:rFonts w:ascii="Times New Roman" w:eastAsia="Times New Roman" w:hAnsi="Times New Roman" w:cs="Times New Roman"/>
          <w:sz w:val="24"/>
          <w:szCs w:val="24"/>
          <w:lang w:eastAsia="sv-SE"/>
        </w:rPr>
      </w:pPr>
      <w:r w:rsidRPr="000E3237">
        <w:rPr>
          <w:rFonts w:ascii="Times New Roman" w:eastAsia="Times New Roman" w:hAnsi="Times New Roman" w:cs="Times New Roman"/>
          <w:sz w:val="24"/>
          <w:szCs w:val="24"/>
          <w:lang w:eastAsia="sv-SE"/>
        </w:rPr>
        <w:t>Across all three years, participation was higher among students without disabilities than among students with disabilities for both females and males. Among female students, the participation gap remained constant at 9 percentage points, while among male students it ranged from 6 to 8 percentage points. These findings indicate a consistent descriptive gap in post-secondary participation between students with and without disabilities throughout the observation period.</w:t>
      </w:r>
    </w:p>
    <w:p w14:paraId="30BDD892" w14:textId="2F228BC2" w:rsidR="00984F03" w:rsidRPr="005B77AD" w:rsidRDefault="00302C7F" w:rsidP="00A536AC">
      <w:pPr>
        <w:spacing w:line="360" w:lineRule="auto"/>
        <w:jc w:val="both"/>
        <w:rPr>
          <w:rFonts w:ascii="Times New Roman" w:eastAsia="Times New Roman" w:hAnsi="Times New Roman" w:cs="Times New Roman"/>
          <w:b/>
          <w:bCs/>
          <w:sz w:val="24"/>
          <w:szCs w:val="24"/>
          <w:lang w:eastAsia="sv-SE"/>
        </w:rPr>
      </w:pPr>
      <w:r w:rsidRPr="005B77AD">
        <w:rPr>
          <w:rFonts w:ascii="Times New Roman" w:eastAsia="Times New Roman" w:hAnsi="Times New Roman" w:cs="Times New Roman"/>
          <w:b/>
          <w:bCs/>
          <w:sz w:val="24"/>
          <w:szCs w:val="24"/>
          <w:lang w:eastAsia="sv-SE"/>
        </w:rPr>
        <w:t>Gender patterns</w:t>
      </w:r>
    </w:p>
    <w:p w14:paraId="11E8FA0B" w14:textId="72035708" w:rsidR="003B49C5" w:rsidRPr="00FB73AB" w:rsidRDefault="005B77AD" w:rsidP="00CD5029">
      <w:pPr>
        <w:spacing w:line="360" w:lineRule="auto"/>
        <w:jc w:val="both"/>
        <w:rPr>
          <w:rFonts w:ascii="Times New Roman" w:eastAsia="Times New Roman" w:hAnsi="Times New Roman" w:cs="Times New Roman"/>
          <w:sz w:val="24"/>
          <w:szCs w:val="24"/>
          <w:lang w:eastAsia="sv-SE"/>
        </w:rPr>
      </w:pPr>
      <w:r w:rsidRPr="005B77AD">
        <w:rPr>
          <w:rFonts w:ascii="Times New Roman" w:eastAsia="Times New Roman" w:hAnsi="Times New Roman" w:cs="Times New Roman"/>
          <w:sz w:val="24"/>
          <w:szCs w:val="24"/>
          <w:lang w:eastAsia="sv-SE"/>
        </w:rPr>
        <w:t xml:space="preserve">Female students consistently recorded higher participation than male students in both disability groups. Among students without disabilities, female participation exceeded male participation by 9 percentage points in 2018, 10 in 2019, and 11 in 2020. Among students with disabilities, </w:t>
      </w:r>
      <w:r w:rsidRPr="005B77AD">
        <w:rPr>
          <w:rFonts w:ascii="Times New Roman" w:eastAsia="Times New Roman" w:hAnsi="Times New Roman" w:cs="Times New Roman"/>
          <w:sz w:val="24"/>
          <w:szCs w:val="24"/>
          <w:lang w:eastAsia="sv-SE"/>
        </w:rPr>
        <w:lastRenderedPageBreak/>
        <w:t>the corresponding differences were 6, 9, and 9 percentage points</w:t>
      </w:r>
      <w:r w:rsidR="00CD5029">
        <w:rPr>
          <w:rFonts w:ascii="Times New Roman" w:eastAsia="Times New Roman" w:hAnsi="Times New Roman" w:cs="Times New Roman"/>
          <w:sz w:val="24"/>
          <w:szCs w:val="24"/>
          <w:lang w:eastAsia="sv-SE"/>
        </w:rPr>
        <w:t xml:space="preserve"> consecutively</w:t>
      </w:r>
      <w:r w:rsidRPr="005B77AD">
        <w:rPr>
          <w:rFonts w:ascii="Times New Roman" w:eastAsia="Times New Roman" w:hAnsi="Times New Roman" w:cs="Times New Roman"/>
          <w:sz w:val="24"/>
          <w:szCs w:val="24"/>
          <w:lang w:eastAsia="sv-SE"/>
        </w:rPr>
        <w:t>. Although participation increased for both genders, female students consistently recorded higher participation across the three-year period.</w:t>
      </w:r>
    </w:p>
    <w:p w14:paraId="41A04B37" w14:textId="1F02E71B" w:rsidR="00A536AC" w:rsidRPr="00E838E6" w:rsidRDefault="00E838E6" w:rsidP="00E838E6">
      <w:pPr>
        <w:spacing w:before="100" w:beforeAutospacing="1" w:after="100" w:afterAutospacing="1" w:line="360" w:lineRule="auto"/>
        <w:jc w:val="both"/>
        <w:rPr>
          <w:rFonts w:ascii="Times New Roman" w:eastAsia="Times New Roman" w:hAnsi="Times New Roman" w:cs="Times New Roman"/>
          <w:b/>
          <w:bCs/>
          <w:sz w:val="24"/>
          <w:szCs w:val="24"/>
          <w:lang w:eastAsia="sv-SE"/>
        </w:rPr>
      </w:pPr>
      <w:r w:rsidRPr="00E838E6">
        <w:rPr>
          <w:rFonts w:ascii="Times New Roman" w:eastAsia="Times New Roman" w:hAnsi="Times New Roman" w:cs="Times New Roman"/>
          <w:b/>
          <w:bCs/>
          <w:sz w:val="24"/>
          <w:szCs w:val="24"/>
          <w:lang w:eastAsia="sv-SE"/>
        </w:rPr>
        <w:t>Participation in Post-Secondary Education</w:t>
      </w:r>
    </w:p>
    <w:p w14:paraId="5EB758DE" w14:textId="5E177FC0" w:rsidR="00637016" w:rsidRPr="00EE4E16" w:rsidRDefault="0056189A" w:rsidP="00637016">
      <w:pPr>
        <w:rPr>
          <w:rFonts w:ascii="Times New Roman" w:hAnsi="Times New Roman" w:cs="Times New Roman"/>
          <w:sz w:val="24"/>
          <w:szCs w:val="24"/>
        </w:rPr>
      </w:pPr>
      <w:r w:rsidRPr="0056189A">
        <w:rPr>
          <w:rFonts w:ascii="Times New Roman" w:hAnsi="Times New Roman" w:cs="Times New Roman"/>
          <w:sz w:val="24"/>
          <w:szCs w:val="24"/>
        </w:rPr>
        <w:t>Does participation in post-secondary education differ significantly across the first three years following completion of secondary education?</w:t>
      </w:r>
    </w:p>
    <w:p w14:paraId="01F60D64" w14:textId="77777777" w:rsidR="00684B27" w:rsidRPr="009A1F59" w:rsidRDefault="00684B27" w:rsidP="00684B27">
      <w:pPr>
        <w:spacing w:before="100" w:beforeAutospacing="1" w:after="100" w:afterAutospacing="1" w:line="360" w:lineRule="auto"/>
        <w:jc w:val="both"/>
        <w:rPr>
          <w:rFonts w:ascii="Times New Roman" w:eastAsia="Times New Roman" w:hAnsi="Times New Roman" w:cs="Times New Roman"/>
          <w:sz w:val="24"/>
          <w:szCs w:val="24"/>
          <w:lang w:eastAsia="sv-SE"/>
        </w:rPr>
      </w:pPr>
      <w:r w:rsidRPr="009A1F59">
        <w:rPr>
          <w:rFonts w:ascii="Times New Roman" w:eastAsia="Times New Roman" w:hAnsi="Times New Roman" w:cs="Times New Roman"/>
          <w:b/>
          <w:bCs/>
          <w:sz w:val="24"/>
          <w:szCs w:val="24"/>
          <w:lang w:eastAsia="sv-SE"/>
        </w:rPr>
        <w:t>H0: Null Hypothesis</w:t>
      </w:r>
    </w:p>
    <w:p w14:paraId="576C588B" w14:textId="77777777" w:rsidR="00684B27" w:rsidRPr="009A1F59" w:rsidRDefault="00684B27" w:rsidP="00684B27">
      <w:pPr>
        <w:spacing w:before="100" w:beforeAutospacing="1" w:after="100" w:afterAutospacing="1" w:line="360" w:lineRule="auto"/>
        <w:jc w:val="both"/>
        <w:rPr>
          <w:rFonts w:ascii="Times New Roman" w:eastAsia="Times New Roman" w:hAnsi="Times New Roman" w:cs="Times New Roman"/>
          <w:sz w:val="24"/>
          <w:szCs w:val="24"/>
          <w:lang w:eastAsia="sv-SE"/>
        </w:rPr>
      </w:pPr>
      <w:r w:rsidRPr="009A1F59">
        <w:rPr>
          <w:rFonts w:ascii="Times New Roman" w:eastAsia="Times New Roman" w:hAnsi="Times New Roman" w:cs="Times New Roman"/>
          <w:sz w:val="24"/>
          <w:szCs w:val="24"/>
          <w:lang w:eastAsia="sv-SE"/>
        </w:rPr>
        <w:t>There is no statistically significant difference in post-secondary education participation across the first three years following completion of secondary education.</w:t>
      </w:r>
    </w:p>
    <w:p w14:paraId="728DB492" w14:textId="77777777" w:rsidR="00684B27" w:rsidRPr="009A1F59" w:rsidRDefault="00684B27" w:rsidP="00684B27">
      <w:pPr>
        <w:spacing w:before="100" w:beforeAutospacing="1" w:after="100" w:afterAutospacing="1" w:line="360" w:lineRule="auto"/>
        <w:jc w:val="both"/>
        <w:rPr>
          <w:rFonts w:ascii="Times New Roman" w:eastAsia="Times New Roman" w:hAnsi="Times New Roman" w:cs="Times New Roman"/>
          <w:sz w:val="24"/>
          <w:szCs w:val="24"/>
          <w:lang w:eastAsia="sv-SE"/>
        </w:rPr>
      </w:pPr>
      <w:r w:rsidRPr="009A1F59">
        <w:rPr>
          <w:rFonts w:ascii="Times New Roman" w:eastAsia="Times New Roman" w:hAnsi="Times New Roman" w:cs="Times New Roman"/>
          <w:b/>
          <w:bCs/>
          <w:sz w:val="24"/>
          <w:szCs w:val="24"/>
          <w:lang w:eastAsia="sv-SE"/>
        </w:rPr>
        <w:t>H1: Alternative Hypothesis</w:t>
      </w:r>
    </w:p>
    <w:p w14:paraId="2377A465" w14:textId="77777777" w:rsidR="0076562A" w:rsidRDefault="00684B27" w:rsidP="0076562A">
      <w:pPr>
        <w:spacing w:before="100" w:beforeAutospacing="1" w:after="100" w:afterAutospacing="1" w:line="360" w:lineRule="auto"/>
        <w:jc w:val="both"/>
        <w:rPr>
          <w:rFonts w:ascii="Times New Roman" w:eastAsia="Times New Roman" w:hAnsi="Times New Roman" w:cs="Times New Roman"/>
          <w:sz w:val="24"/>
          <w:szCs w:val="24"/>
          <w:lang w:eastAsia="sv-SE"/>
        </w:rPr>
      </w:pPr>
      <w:r w:rsidRPr="009A1F59">
        <w:rPr>
          <w:rFonts w:ascii="Times New Roman" w:eastAsia="Times New Roman" w:hAnsi="Times New Roman" w:cs="Times New Roman"/>
          <w:sz w:val="24"/>
          <w:szCs w:val="24"/>
          <w:lang w:eastAsia="sv-SE"/>
        </w:rPr>
        <w:t>There is a statistically significant difference in post-secondary education participation across the first three years following completion of secondary education.</w:t>
      </w:r>
      <w:r w:rsidR="00E0289E">
        <w:rPr>
          <w:rFonts w:ascii="Times New Roman" w:eastAsia="Times New Roman" w:hAnsi="Times New Roman" w:cs="Times New Roman"/>
          <w:sz w:val="24"/>
          <w:szCs w:val="24"/>
          <w:lang w:eastAsia="sv-SE"/>
        </w:rPr>
        <w:t xml:space="preserve"> </w:t>
      </w:r>
    </w:p>
    <w:p w14:paraId="55A62449" w14:textId="4EC98171" w:rsidR="00684B27" w:rsidRPr="00684B27" w:rsidRDefault="00E0289E" w:rsidP="0076562A">
      <w:pPr>
        <w:spacing w:before="100" w:beforeAutospacing="1" w:after="100" w:afterAutospacing="1" w:line="360" w:lineRule="auto"/>
        <w:jc w:val="both"/>
        <w:rPr>
          <w:rFonts w:ascii="Times New Roman" w:eastAsia="Times New Roman" w:hAnsi="Times New Roman" w:cs="Times New Roman"/>
          <w:sz w:val="24"/>
          <w:szCs w:val="24"/>
          <w:lang w:eastAsia="sv-SE"/>
        </w:rPr>
      </w:pPr>
      <w:r w:rsidRPr="00CD5029">
        <w:rPr>
          <w:rFonts w:ascii="Times New Roman" w:eastAsia="Times New Roman" w:hAnsi="Times New Roman" w:cs="Times New Roman"/>
          <w:b/>
          <w:bCs/>
          <w:color w:val="000000"/>
          <w:sz w:val="24"/>
          <w:szCs w:val="24"/>
          <w:lang w:val="sv-SE" w:eastAsia="sv-SE"/>
        </w:rPr>
        <w:t>Table 2</w:t>
      </w:r>
      <w:r w:rsidRPr="003D1A44">
        <w:rPr>
          <w:rFonts w:ascii="Times New Roman" w:eastAsia="Times New Roman" w:hAnsi="Times New Roman" w:cs="Times New Roman"/>
          <w:color w:val="000000"/>
          <w:sz w:val="24"/>
          <w:szCs w:val="24"/>
          <w:lang w:val="sv-SE" w:eastAsia="sv-SE"/>
        </w:rPr>
        <w:t xml:space="preserve">: </w:t>
      </w:r>
      <w:r>
        <w:rPr>
          <w:rFonts w:ascii="Times New Roman" w:eastAsia="Times New Roman" w:hAnsi="Times New Roman" w:cs="Times New Roman"/>
          <w:color w:val="000000"/>
          <w:sz w:val="24"/>
          <w:szCs w:val="24"/>
          <w:lang w:val="sv-SE" w:eastAsia="sv-SE"/>
        </w:rPr>
        <w:t xml:space="preserve"> </w:t>
      </w:r>
      <w:r w:rsidRPr="00CD5029">
        <w:rPr>
          <w:rFonts w:ascii="Times New Roman" w:eastAsia="Times New Roman" w:hAnsi="Times New Roman" w:cs="Times New Roman"/>
          <w:b/>
          <w:bCs/>
          <w:color w:val="000000"/>
          <w:sz w:val="24"/>
          <w:szCs w:val="24"/>
          <w:lang w:val="sv-SE" w:eastAsia="sv-SE"/>
        </w:rPr>
        <w:t>Anova: Single factor</w:t>
      </w:r>
    </w:p>
    <w:tbl>
      <w:tblPr>
        <w:tblW w:w="8468" w:type="dxa"/>
        <w:tblCellMar>
          <w:left w:w="70" w:type="dxa"/>
          <w:right w:w="70" w:type="dxa"/>
        </w:tblCellMar>
        <w:tblLook w:val="04A0" w:firstRow="1" w:lastRow="0" w:firstColumn="1" w:lastColumn="0" w:noHBand="0" w:noVBand="1"/>
      </w:tblPr>
      <w:tblGrid>
        <w:gridCol w:w="1676"/>
        <w:gridCol w:w="978"/>
        <w:gridCol w:w="960"/>
        <w:gridCol w:w="978"/>
        <w:gridCol w:w="978"/>
        <w:gridCol w:w="978"/>
        <w:gridCol w:w="960"/>
        <w:gridCol w:w="960"/>
      </w:tblGrid>
      <w:tr w:rsidR="0076562A" w:rsidRPr="008B396E" w14:paraId="46FBF4B0" w14:textId="77777777" w:rsidTr="003B49C5">
        <w:trPr>
          <w:trHeight w:val="300"/>
        </w:trPr>
        <w:tc>
          <w:tcPr>
            <w:tcW w:w="2654" w:type="dxa"/>
            <w:gridSpan w:val="2"/>
            <w:tcBorders>
              <w:top w:val="nil"/>
              <w:left w:val="nil"/>
              <w:bottom w:val="nil"/>
              <w:right w:val="nil"/>
            </w:tcBorders>
            <w:noWrap/>
            <w:vAlign w:val="bottom"/>
            <w:hideMark/>
          </w:tcPr>
          <w:p w14:paraId="65545F02"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SUMMARY</w:t>
            </w:r>
          </w:p>
        </w:tc>
        <w:tc>
          <w:tcPr>
            <w:tcW w:w="960" w:type="dxa"/>
            <w:tcBorders>
              <w:top w:val="nil"/>
              <w:left w:val="nil"/>
              <w:bottom w:val="nil"/>
              <w:right w:val="nil"/>
            </w:tcBorders>
            <w:noWrap/>
            <w:vAlign w:val="bottom"/>
            <w:hideMark/>
          </w:tcPr>
          <w:p w14:paraId="70CDB002"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p>
        </w:tc>
        <w:tc>
          <w:tcPr>
            <w:tcW w:w="978" w:type="dxa"/>
            <w:tcBorders>
              <w:top w:val="nil"/>
              <w:left w:val="nil"/>
              <w:bottom w:val="nil"/>
              <w:right w:val="nil"/>
            </w:tcBorders>
            <w:noWrap/>
            <w:vAlign w:val="bottom"/>
            <w:hideMark/>
          </w:tcPr>
          <w:p w14:paraId="1DE6263A"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21554F52"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0D0C4DE"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41D6ECF"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3830E63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77C1C857" w14:textId="77777777" w:rsidTr="003B49C5">
        <w:trPr>
          <w:trHeight w:val="290"/>
        </w:trPr>
        <w:tc>
          <w:tcPr>
            <w:tcW w:w="1676" w:type="dxa"/>
            <w:tcBorders>
              <w:top w:val="single" w:sz="8" w:space="0" w:color="auto"/>
              <w:left w:val="nil"/>
              <w:bottom w:val="single" w:sz="4" w:space="0" w:color="auto"/>
              <w:right w:val="nil"/>
            </w:tcBorders>
            <w:noWrap/>
            <w:vAlign w:val="bottom"/>
            <w:hideMark/>
          </w:tcPr>
          <w:p w14:paraId="4AE6ECB0"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Groups</w:t>
            </w:r>
          </w:p>
        </w:tc>
        <w:tc>
          <w:tcPr>
            <w:tcW w:w="978" w:type="dxa"/>
            <w:tcBorders>
              <w:top w:val="single" w:sz="8" w:space="0" w:color="auto"/>
              <w:left w:val="nil"/>
              <w:bottom w:val="single" w:sz="4" w:space="0" w:color="auto"/>
              <w:right w:val="nil"/>
            </w:tcBorders>
            <w:noWrap/>
            <w:vAlign w:val="bottom"/>
            <w:hideMark/>
          </w:tcPr>
          <w:p w14:paraId="1812F33B"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Count</w:t>
            </w:r>
          </w:p>
        </w:tc>
        <w:tc>
          <w:tcPr>
            <w:tcW w:w="960" w:type="dxa"/>
            <w:tcBorders>
              <w:top w:val="single" w:sz="8" w:space="0" w:color="auto"/>
              <w:left w:val="nil"/>
              <w:bottom w:val="single" w:sz="4" w:space="0" w:color="auto"/>
              <w:right w:val="nil"/>
            </w:tcBorders>
            <w:noWrap/>
            <w:vAlign w:val="bottom"/>
            <w:hideMark/>
          </w:tcPr>
          <w:p w14:paraId="2A09E95D"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Sum</w:t>
            </w:r>
          </w:p>
        </w:tc>
        <w:tc>
          <w:tcPr>
            <w:tcW w:w="978" w:type="dxa"/>
            <w:tcBorders>
              <w:top w:val="single" w:sz="8" w:space="0" w:color="auto"/>
              <w:left w:val="nil"/>
              <w:bottom w:val="single" w:sz="4" w:space="0" w:color="auto"/>
              <w:right w:val="nil"/>
            </w:tcBorders>
            <w:noWrap/>
            <w:vAlign w:val="bottom"/>
            <w:hideMark/>
          </w:tcPr>
          <w:p w14:paraId="594A60D6"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Average</w:t>
            </w:r>
          </w:p>
        </w:tc>
        <w:tc>
          <w:tcPr>
            <w:tcW w:w="978" w:type="dxa"/>
            <w:tcBorders>
              <w:top w:val="single" w:sz="8" w:space="0" w:color="auto"/>
              <w:left w:val="nil"/>
              <w:bottom w:val="single" w:sz="4" w:space="0" w:color="auto"/>
              <w:right w:val="nil"/>
            </w:tcBorders>
            <w:noWrap/>
            <w:vAlign w:val="bottom"/>
            <w:hideMark/>
          </w:tcPr>
          <w:p w14:paraId="1571D999"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Variance</w:t>
            </w:r>
          </w:p>
        </w:tc>
        <w:tc>
          <w:tcPr>
            <w:tcW w:w="978" w:type="dxa"/>
            <w:tcBorders>
              <w:top w:val="nil"/>
              <w:left w:val="nil"/>
              <w:bottom w:val="nil"/>
              <w:right w:val="nil"/>
            </w:tcBorders>
            <w:noWrap/>
            <w:vAlign w:val="bottom"/>
            <w:hideMark/>
          </w:tcPr>
          <w:p w14:paraId="4BB56C9E"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p>
        </w:tc>
        <w:tc>
          <w:tcPr>
            <w:tcW w:w="960" w:type="dxa"/>
            <w:tcBorders>
              <w:top w:val="nil"/>
              <w:left w:val="nil"/>
              <w:bottom w:val="nil"/>
              <w:right w:val="nil"/>
            </w:tcBorders>
            <w:noWrap/>
            <w:vAlign w:val="bottom"/>
            <w:hideMark/>
          </w:tcPr>
          <w:p w14:paraId="0A14BF6B"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5900336D"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12B31C65" w14:textId="77777777" w:rsidTr="003B49C5">
        <w:trPr>
          <w:trHeight w:val="290"/>
        </w:trPr>
        <w:tc>
          <w:tcPr>
            <w:tcW w:w="1676" w:type="dxa"/>
            <w:tcBorders>
              <w:top w:val="nil"/>
              <w:left w:val="nil"/>
              <w:bottom w:val="nil"/>
              <w:right w:val="nil"/>
            </w:tcBorders>
            <w:noWrap/>
            <w:vAlign w:val="bottom"/>
            <w:hideMark/>
          </w:tcPr>
          <w:p w14:paraId="602FB973"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Within 1 year</w:t>
            </w:r>
          </w:p>
        </w:tc>
        <w:tc>
          <w:tcPr>
            <w:tcW w:w="978" w:type="dxa"/>
            <w:tcBorders>
              <w:top w:val="nil"/>
              <w:left w:val="nil"/>
              <w:bottom w:val="nil"/>
              <w:right w:val="nil"/>
            </w:tcBorders>
            <w:noWrap/>
            <w:vAlign w:val="bottom"/>
            <w:hideMark/>
          </w:tcPr>
          <w:p w14:paraId="21EA56C2"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6</w:t>
            </w:r>
          </w:p>
        </w:tc>
        <w:tc>
          <w:tcPr>
            <w:tcW w:w="960" w:type="dxa"/>
            <w:tcBorders>
              <w:top w:val="nil"/>
              <w:left w:val="nil"/>
              <w:bottom w:val="nil"/>
              <w:right w:val="nil"/>
            </w:tcBorders>
            <w:noWrap/>
            <w:vAlign w:val="bottom"/>
            <w:hideMark/>
          </w:tcPr>
          <w:p w14:paraId="360F0C1F"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54</w:t>
            </w:r>
          </w:p>
        </w:tc>
        <w:tc>
          <w:tcPr>
            <w:tcW w:w="978" w:type="dxa"/>
            <w:tcBorders>
              <w:top w:val="nil"/>
              <w:left w:val="nil"/>
              <w:bottom w:val="nil"/>
              <w:right w:val="nil"/>
            </w:tcBorders>
            <w:noWrap/>
            <w:vAlign w:val="bottom"/>
            <w:hideMark/>
          </w:tcPr>
          <w:p w14:paraId="7A50CB36"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9</w:t>
            </w:r>
          </w:p>
        </w:tc>
        <w:tc>
          <w:tcPr>
            <w:tcW w:w="978" w:type="dxa"/>
            <w:tcBorders>
              <w:top w:val="nil"/>
              <w:left w:val="nil"/>
              <w:bottom w:val="nil"/>
              <w:right w:val="nil"/>
            </w:tcBorders>
            <w:noWrap/>
            <w:vAlign w:val="bottom"/>
            <w:hideMark/>
          </w:tcPr>
          <w:p w14:paraId="0890E18A"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4,4</w:t>
            </w:r>
          </w:p>
        </w:tc>
        <w:tc>
          <w:tcPr>
            <w:tcW w:w="978" w:type="dxa"/>
            <w:tcBorders>
              <w:top w:val="nil"/>
              <w:left w:val="nil"/>
              <w:bottom w:val="nil"/>
              <w:right w:val="nil"/>
            </w:tcBorders>
            <w:noWrap/>
            <w:vAlign w:val="bottom"/>
            <w:hideMark/>
          </w:tcPr>
          <w:p w14:paraId="3929159E"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p>
        </w:tc>
        <w:tc>
          <w:tcPr>
            <w:tcW w:w="960" w:type="dxa"/>
            <w:tcBorders>
              <w:top w:val="nil"/>
              <w:left w:val="nil"/>
              <w:bottom w:val="nil"/>
              <w:right w:val="nil"/>
            </w:tcBorders>
            <w:noWrap/>
            <w:vAlign w:val="bottom"/>
            <w:hideMark/>
          </w:tcPr>
          <w:p w14:paraId="782F27DC"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4191E7B"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02CB115D" w14:textId="77777777" w:rsidTr="003B49C5">
        <w:trPr>
          <w:trHeight w:val="290"/>
        </w:trPr>
        <w:tc>
          <w:tcPr>
            <w:tcW w:w="1676" w:type="dxa"/>
            <w:tcBorders>
              <w:top w:val="nil"/>
              <w:left w:val="nil"/>
              <w:bottom w:val="nil"/>
              <w:right w:val="nil"/>
            </w:tcBorders>
            <w:noWrap/>
            <w:vAlign w:val="bottom"/>
            <w:hideMark/>
          </w:tcPr>
          <w:p w14:paraId="7C54FBA5" w14:textId="53EB3BE5"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Within 2 year</w:t>
            </w:r>
            <w:r>
              <w:rPr>
                <w:rFonts w:ascii="Aptos Narrow" w:eastAsia="Times New Roman" w:hAnsi="Aptos Narrow" w:cs="Times New Roman"/>
                <w:color w:val="000000"/>
                <w:lang w:val="sv-SE" w:eastAsia="sv-SE"/>
              </w:rPr>
              <w:t>s</w:t>
            </w:r>
          </w:p>
        </w:tc>
        <w:tc>
          <w:tcPr>
            <w:tcW w:w="978" w:type="dxa"/>
            <w:tcBorders>
              <w:top w:val="nil"/>
              <w:left w:val="nil"/>
              <w:bottom w:val="nil"/>
              <w:right w:val="nil"/>
            </w:tcBorders>
            <w:noWrap/>
            <w:vAlign w:val="bottom"/>
            <w:hideMark/>
          </w:tcPr>
          <w:p w14:paraId="6346E88B"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6</w:t>
            </w:r>
          </w:p>
        </w:tc>
        <w:tc>
          <w:tcPr>
            <w:tcW w:w="960" w:type="dxa"/>
            <w:tcBorders>
              <w:top w:val="nil"/>
              <w:left w:val="nil"/>
              <w:bottom w:val="nil"/>
              <w:right w:val="nil"/>
            </w:tcBorders>
            <w:noWrap/>
            <w:vAlign w:val="bottom"/>
            <w:hideMark/>
          </w:tcPr>
          <w:p w14:paraId="32540339"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62</w:t>
            </w:r>
          </w:p>
        </w:tc>
        <w:tc>
          <w:tcPr>
            <w:tcW w:w="978" w:type="dxa"/>
            <w:tcBorders>
              <w:top w:val="nil"/>
              <w:left w:val="nil"/>
              <w:bottom w:val="nil"/>
              <w:right w:val="nil"/>
            </w:tcBorders>
            <w:noWrap/>
            <w:vAlign w:val="bottom"/>
            <w:hideMark/>
          </w:tcPr>
          <w:p w14:paraId="5C0C7CAB"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10,33333</w:t>
            </w:r>
          </w:p>
        </w:tc>
        <w:tc>
          <w:tcPr>
            <w:tcW w:w="978" w:type="dxa"/>
            <w:tcBorders>
              <w:top w:val="nil"/>
              <w:left w:val="nil"/>
              <w:bottom w:val="nil"/>
              <w:right w:val="nil"/>
            </w:tcBorders>
            <w:noWrap/>
            <w:vAlign w:val="bottom"/>
            <w:hideMark/>
          </w:tcPr>
          <w:p w14:paraId="66179997"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5,066667</w:t>
            </w:r>
          </w:p>
        </w:tc>
        <w:tc>
          <w:tcPr>
            <w:tcW w:w="978" w:type="dxa"/>
            <w:tcBorders>
              <w:top w:val="nil"/>
              <w:left w:val="nil"/>
              <w:bottom w:val="nil"/>
              <w:right w:val="nil"/>
            </w:tcBorders>
            <w:noWrap/>
            <w:vAlign w:val="bottom"/>
            <w:hideMark/>
          </w:tcPr>
          <w:p w14:paraId="326C1E28"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p>
        </w:tc>
        <w:tc>
          <w:tcPr>
            <w:tcW w:w="960" w:type="dxa"/>
            <w:tcBorders>
              <w:top w:val="nil"/>
              <w:left w:val="nil"/>
              <w:bottom w:val="nil"/>
              <w:right w:val="nil"/>
            </w:tcBorders>
            <w:noWrap/>
            <w:vAlign w:val="bottom"/>
            <w:hideMark/>
          </w:tcPr>
          <w:p w14:paraId="78CDB85F"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07271E89"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749A9F05" w14:textId="77777777" w:rsidTr="003B49C5">
        <w:trPr>
          <w:trHeight w:val="300"/>
        </w:trPr>
        <w:tc>
          <w:tcPr>
            <w:tcW w:w="1676" w:type="dxa"/>
            <w:tcBorders>
              <w:top w:val="nil"/>
              <w:left w:val="nil"/>
              <w:bottom w:val="single" w:sz="8" w:space="0" w:color="auto"/>
              <w:right w:val="nil"/>
            </w:tcBorders>
            <w:noWrap/>
            <w:vAlign w:val="bottom"/>
            <w:hideMark/>
          </w:tcPr>
          <w:p w14:paraId="4365DAFA"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Within 3 years</w:t>
            </w:r>
          </w:p>
        </w:tc>
        <w:tc>
          <w:tcPr>
            <w:tcW w:w="978" w:type="dxa"/>
            <w:tcBorders>
              <w:top w:val="nil"/>
              <w:left w:val="nil"/>
              <w:bottom w:val="single" w:sz="8" w:space="0" w:color="auto"/>
              <w:right w:val="nil"/>
            </w:tcBorders>
            <w:noWrap/>
            <w:vAlign w:val="bottom"/>
            <w:hideMark/>
          </w:tcPr>
          <w:p w14:paraId="358E7985"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6</w:t>
            </w:r>
          </w:p>
        </w:tc>
        <w:tc>
          <w:tcPr>
            <w:tcW w:w="960" w:type="dxa"/>
            <w:tcBorders>
              <w:top w:val="nil"/>
              <w:left w:val="nil"/>
              <w:bottom w:val="single" w:sz="8" w:space="0" w:color="auto"/>
              <w:right w:val="nil"/>
            </w:tcBorders>
            <w:noWrap/>
            <w:vAlign w:val="bottom"/>
            <w:hideMark/>
          </w:tcPr>
          <w:p w14:paraId="35D8C5D9"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71</w:t>
            </w:r>
          </w:p>
        </w:tc>
        <w:tc>
          <w:tcPr>
            <w:tcW w:w="978" w:type="dxa"/>
            <w:tcBorders>
              <w:top w:val="nil"/>
              <w:left w:val="nil"/>
              <w:bottom w:val="single" w:sz="8" w:space="0" w:color="auto"/>
              <w:right w:val="nil"/>
            </w:tcBorders>
            <w:noWrap/>
            <w:vAlign w:val="bottom"/>
            <w:hideMark/>
          </w:tcPr>
          <w:p w14:paraId="582AEA33"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11,83333</w:t>
            </w:r>
          </w:p>
        </w:tc>
        <w:tc>
          <w:tcPr>
            <w:tcW w:w="978" w:type="dxa"/>
            <w:tcBorders>
              <w:top w:val="nil"/>
              <w:left w:val="nil"/>
              <w:bottom w:val="single" w:sz="8" w:space="0" w:color="auto"/>
              <w:right w:val="nil"/>
            </w:tcBorders>
            <w:noWrap/>
            <w:vAlign w:val="bottom"/>
            <w:hideMark/>
          </w:tcPr>
          <w:p w14:paraId="0167949A"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6,966667</w:t>
            </w:r>
          </w:p>
        </w:tc>
        <w:tc>
          <w:tcPr>
            <w:tcW w:w="978" w:type="dxa"/>
            <w:tcBorders>
              <w:top w:val="nil"/>
              <w:left w:val="nil"/>
              <w:bottom w:val="nil"/>
              <w:right w:val="nil"/>
            </w:tcBorders>
            <w:noWrap/>
            <w:vAlign w:val="bottom"/>
            <w:hideMark/>
          </w:tcPr>
          <w:p w14:paraId="7DBC84E6"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p>
        </w:tc>
        <w:tc>
          <w:tcPr>
            <w:tcW w:w="960" w:type="dxa"/>
            <w:tcBorders>
              <w:top w:val="nil"/>
              <w:left w:val="nil"/>
              <w:bottom w:val="nil"/>
              <w:right w:val="nil"/>
            </w:tcBorders>
            <w:noWrap/>
            <w:vAlign w:val="bottom"/>
            <w:hideMark/>
          </w:tcPr>
          <w:p w14:paraId="44436B29"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6972CFCB"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7BB252C0" w14:textId="77777777" w:rsidTr="003B49C5">
        <w:trPr>
          <w:trHeight w:val="290"/>
        </w:trPr>
        <w:tc>
          <w:tcPr>
            <w:tcW w:w="1676" w:type="dxa"/>
            <w:tcBorders>
              <w:top w:val="nil"/>
              <w:left w:val="nil"/>
              <w:bottom w:val="nil"/>
              <w:right w:val="nil"/>
            </w:tcBorders>
            <w:noWrap/>
            <w:vAlign w:val="bottom"/>
            <w:hideMark/>
          </w:tcPr>
          <w:p w14:paraId="6AD381D1"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4F282AA2"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52F85E7E"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1D4DF938"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535E8CF8"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D52E5B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2042FB8A"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4B8AC2F"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1908DA7D" w14:textId="77777777" w:rsidTr="003B49C5">
        <w:trPr>
          <w:trHeight w:val="290"/>
        </w:trPr>
        <w:tc>
          <w:tcPr>
            <w:tcW w:w="1676" w:type="dxa"/>
            <w:tcBorders>
              <w:top w:val="nil"/>
              <w:left w:val="nil"/>
              <w:bottom w:val="nil"/>
              <w:right w:val="nil"/>
            </w:tcBorders>
            <w:noWrap/>
            <w:vAlign w:val="bottom"/>
            <w:hideMark/>
          </w:tcPr>
          <w:p w14:paraId="031D7B20"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1D093958"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05E999B9"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DBB13E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3CF6E8D2"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74E95C8"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CD4FD29"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2200F021"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1C0F9EF3" w14:textId="77777777" w:rsidTr="003B49C5">
        <w:trPr>
          <w:trHeight w:val="300"/>
        </w:trPr>
        <w:tc>
          <w:tcPr>
            <w:tcW w:w="1676" w:type="dxa"/>
            <w:tcBorders>
              <w:top w:val="nil"/>
              <w:left w:val="nil"/>
              <w:bottom w:val="nil"/>
              <w:right w:val="nil"/>
            </w:tcBorders>
            <w:noWrap/>
            <w:vAlign w:val="bottom"/>
            <w:hideMark/>
          </w:tcPr>
          <w:p w14:paraId="03B29F3E"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ANOVA</w:t>
            </w:r>
          </w:p>
        </w:tc>
        <w:tc>
          <w:tcPr>
            <w:tcW w:w="978" w:type="dxa"/>
            <w:tcBorders>
              <w:top w:val="nil"/>
              <w:left w:val="nil"/>
              <w:bottom w:val="nil"/>
              <w:right w:val="nil"/>
            </w:tcBorders>
            <w:noWrap/>
            <w:vAlign w:val="bottom"/>
            <w:hideMark/>
          </w:tcPr>
          <w:p w14:paraId="7693B8FB"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p>
        </w:tc>
        <w:tc>
          <w:tcPr>
            <w:tcW w:w="960" w:type="dxa"/>
            <w:tcBorders>
              <w:top w:val="nil"/>
              <w:left w:val="nil"/>
              <w:bottom w:val="nil"/>
              <w:right w:val="nil"/>
            </w:tcBorders>
            <w:noWrap/>
            <w:vAlign w:val="bottom"/>
            <w:hideMark/>
          </w:tcPr>
          <w:p w14:paraId="1C2C5C8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CE5D3A5"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47F55AC6"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2AA84542"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1475BAF6"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03923BDF"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4B310DAF" w14:textId="77777777" w:rsidTr="003B49C5">
        <w:trPr>
          <w:trHeight w:val="290"/>
        </w:trPr>
        <w:tc>
          <w:tcPr>
            <w:tcW w:w="1676" w:type="dxa"/>
            <w:tcBorders>
              <w:top w:val="single" w:sz="8" w:space="0" w:color="auto"/>
              <w:left w:val="nil"/>
              <w:bottom w:val="single" w:sz="4" w:space="0" w:color="auto"/>
              <w:right w:val="nil"/>
            </w:tcBorders>
            <w:noWrap/>
            <w:vAlign w:val="bottom"/>
            <w:hideMark/>
          </w:tcPr>
          <w:p w14:paraId="1E5187F4"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Source of Variation</w:t>
            </w:r>
          </w:p>
        </w:tc>
        <w:tc>
          <w:tcPr>
            <w:tcW w:w="978" w:type="dxa"/>
            <w:tcBorders>
              <w:top w:val="single" w:sz="8" w:space="0" w:color="auto"/>
              <w:left w:val="nil"/>
              <w:bottom w:val="single" w:sz="4" w:space="0" w:color="auto"/>
              <w:right w:val="nil"/>
            </w:tcBorders>
            <w:noWrap/>
            <w:vAlign w:val="bottom"/>
            <w:hideMark/>
          </w:tcPr>
          <w:p w14:paraId="38D94D8B"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SS</w:t>
            </w:r>
          </w:p>
        </w:tc>
        <w:tc>
          <w:tcPr>
            <w:tcW w:w="960" w:type="dxa"/>
            <w:tcBorders>
              <w:top w:val="single" w:sz="8" w:space="0" w:color="auto"/>
              <w:left w:val="nil"/>
              <w:bottom w:val="single" w:sz="4" w:space="0" w:color="auto"/>
              <w:right w:val="nil"/>
            </w:tcBorders>
            <w:noWrap/>
            <w:vAlign w:val="bottom"/>
            <w:hideMark/>
          </w:tcPr>
          <w:p w14:paraId="0380A64A"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df</w:t>
            </w:r>
          </w:p>
        </w:tc>
        <w:tc>
          <w:tcPr>
            <w:tcW w:w="978" w:type="dxa"/>
            <w:tcBorders>
              <w:top w:val="single" w:sz="8" w:space="0" w:color="auto"/>
              <w:left w:val="nil"/>
              <w:bottom w:val="single" w:sz="4" w:space="0" w:color="auto"/>
              <w:right w:val="nil"/>
            </w:tcBorders>
            <w:noWrap/>
            <w:vAlign w:val="bottom"/>
            <w:hideMark/>
          </w:tcPr>
          <w:p w14:paraId="797821B9"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Ms</w:t>
            </w:r>
          </w:p>
        </w:tc>
        <w:tc>
          <w:tcPr>
            <w:tcW w:w="978" w:type="dxa"/>
            <w:tcBorders>
              <w:top w:val="single" w:sz="8" w:space="0" w:color="auto"/>
              <w:left w:val="nil"/>
              <w:bottom w:val="single" w:sz="4" w:space="0" w:color="auto"/>
              <w:right w:val="nil"/>
            </w:tcBorders>
            <w:noWrap/>
            <w:vAlign w:val="bottom"/>
            <w:hideMark/>
          </w:tcPr>
          <w:p w14:paraId="10B2A2EE"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F</w:t>
            </w:r>
          </w:p>
        </w:tc>
        <w:tc>
          <w:tcPr>
            <w:tcW w:w="978" w:type="dxa"/>
            <w:tcBorders>
              <w:top w:val="single" w:sz="8" w:space="0" w:color="auto"/>
              <w:left w:val="nil"/>
              <w:bottom w:val="single" w:sz="4" w:space="0" w:color="auto"/>
              <w:right w:val="nil"/>
            </w:tcBorders>
            <w:noWrap/>
            <w:vAlign w:val="bottom"/>
            <w:hideMark/>
          </w:tcPr>
          <w:p w14:paraId="30214D84"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p-value</w:t>
            </w:r>
          </w:p>
        </w:tc>
        <w:tc>
          <w:tcPr>
            <w:tcW w:w="960" w:type="dxa"/>
            <w:tcBorders>
              <w:top w:val="single" w:sz="8" w:space="0" w:color="auto"/>
              <w:left w:val="nil"/>
              <w:bottom w:val="single" w:sz="4" w:space="0" w:color="auto"/>
              <w:right w:val="nil"/>
            </w:tcBorders>
            <w:noWrap/>
            <w:vAlign w:val="bottom"/>
            <w:hideMark/>
          </w:tcPr>
          <w:p w14:paraId="08A79E9E"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r w:rsidRPr="008B396E">
              <w:rPr>
                <w:rFonts w:ascii="Aptos Narrow" w:eastAsia="Times New Roman" w:hAnsi="Aptos Narrow" w:cs="Times New Roman"/>
                <w:i/>
                <w:iCs/>
                <w:color w:val="000000"/>
                <w:lang w:val="sv-SE" w:eastAsia="sv-SE"/>
              </w:rPr>
              <w:t>F-Crit</w:t>
            </w:r>
          </w:p>
        </w:tc>
        <w:tc>
          <w:tcPr>
            <w:tcW w:w="960" w:type="dxa"/>
            <w:tcBorders>
              <w:top w:val="nil"/>
              <w:left w:val="nil"/>
              <w:bottom w:val="nil"/>
              <w:right w:val="nil"/>
            </w:tcBorders>
            <w:noWrap/>
            <w:vAlign w:val="bottom"/>
            <w:hideMark/>
          </w:tcPr>
          <w:p w14:paraId="217CC8D3" w14:textId="77777777" w:rsidR="0076562A" w:rsidRPr="008B396E" w:rsidRDefault="0076562A" w:rsidP="0076562A">
            <w:pPr>
              <w:spacing w:after="0" w:line="240" w:lineRule="auto"/>
              <w:jc w:val="center"/>
              <w:rPr>
                <w:rFonts w:ascii="Aptos Narrow" w:eastAsia="Times New Roman" w:hAnsi="Aptos Narrow" w:cs="Times New Roman"/>
                <w:i/>
                <w:iCs/>
                <w:color w:val="000000"/>
                <w:lang w:val="sv-SE" w:eastAsia="sv-SE"/>
              </w:rPr>
            </w:pPr>
          </w:p>
        </w:tc>
      </w:tr>
      <w:tr w:rsidR="0076562A" w:rsidRPr="008B396E" w14:paraId="39CE86E0" w14:textId="77777777" w:rsidTr="003B49C5">
        <w:trPr>
          <w:trHeight w:val="290"/>
        </w:trPr>
        <w:tc>
          <w:tcPr>
            <w:tcW w:w="1676" w:type="dxa"/>
            <w:tcBorders>
              <w:top w:val="nil"/>
              <w:left w:val="nil"/>
              <w:bottom w:val="nil"/>
              <w:right w:val="nil"/>
            </w:tcBorders>
            <w:noWrap/>
            <w:vAlign w:val="bottom"/>
            <w:hideMark/>
          </w:tcPr>
          <w:p w14:paraId="33E6D3E8"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Between groups</w:t>
            </w:r>
          </w:p>
        </w:tc>
        <w:tc>
          <w:tcPr>
            <w:tcW w:w="978" w:type="dxa"/>
            <w:tcBorders>
              <w:top w:val="nil"/>
              <w:left w:val="nil"/>
              <w:bottom w:val="nil"/>
              <w:right w:val="nil"/>
            </w:tcBorders>
            <w:noWrap/>
            <w:vAlign w:val="bottom"/>
            <w:hideMark/>
          </w:tcPr>
          <w:p w14:paraId="395C433F"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24,11111</w:t>
            </w:r>
          </w:p>
        </w:tc>
        <w:tc>
          <w:tcPr>
            <w:tcW w:w="960" w:type="dxa"/>
            <w:tcBorders>
              <w:top w:val="nil"/>
              <w:left w:val="nil"/>
              <w:bottom w:val="nil"/>
              <w:right w:val="nil"/>
            </w:tcBorders>
            <w:noWrap/>
            <w:vAlign w:val="bottom"/>
            <w:hideMark/>
          </w:tcPr>
          <w:p w14:paraId="238CAB2B"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2</w:t>
            </w:r>
          </w:p>
        </w:tc>
        <w:tc>
          <w:tcPr>
            <w:tcW w:w="978" w:type="dxa"/>
            <w:tcBorders>
              <w:top w:val="nil"/>
              <w:left w:val="nil"/>
              <w:bottom w:val="nil"/>
              <w:right w:val="nil"/>
            </w:tcBorders>
            <w:noWrap/>
            <w:vAlign w:val="bottom"/>
            <w:hideMark/>
          </w:tcPr>
          <w:p w14:paraId="668F5DF2"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12,05556</w:t>
            </w:r>
          </w:p>
        </w:tc>
        <w:tc>
          <w:tcPr>
            <w:tcW w:w="978" w:type="dxa"/>
            <w:tcBorders>
              <w:top w:val="nil"/>
              <w:left w:val="nil"/>
              <w:bottom w:val="nil"/>
              <w:right w:val="nil"/>
            </w:tcBorders>
            <w:noWrap/>
            <w:vAlign w:val="bottom"/>
            <w:hideMark/>
          </w:tcPr>
          <w:p w14:paraId="2513F823"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2,200811</w:t>
            </w:r>
          </w:p>
        </w:tc>
        <w:tc>
          <w:tcPr>
            <w:tcW w:w="978" w:type="dxa"/>
            <w:tcBorders>
              <w:top w:val="nil"/>
              <w:left w:val="nil"/>
              <w:bottom w:val="nil"/>
              <w:right w:val="nil"/>
            </w:tcBorders>
            <w:noWrap/>
            <w:vAlign w:val="bottom"/>
            <w:hideMark/>
          </w:tcPr>
          <w:p w14:paraId="0A232DC9"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0,145177</w:t>
            </w:r>
          </w:p>
        </w:tc>
        <w:tc>
          <w:tcPr>
            <w:tcW w:w="960" w:type="dxa"/>
            <w:tcBorders>
              <w:top w:val="nil"/>
              <w:left w:val="nil"/>
              <w:bottom w:val="nil"/>
              <w:right w:val="nil"/>
            </w:tcBorders>
            <w:noWrap/>
            <w:vAlign w:val="bottom"/>
            <w:hideMark/>
          </w:tcPr>
          <w:p w14:paraId="02A02E0C"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3,68232</w:t>
            </w:r>
          </w:p>
        </w:tc>
        <w:tc>
          <w:tcPr>
            <w:tcW w:w="960" w:type="dxa"/>
            <w:tcBorders>
              <w:top w:val="nil"/>
              <w:left w:val="nil"/>
              <w:bottom w:val="nil"/>
              <w:right w:val="nil"/>
            </w:tcBorders>
            <w:noWrap/>
            <w:vAlign w:val="bottom"/>
            <w:hideMark/>
          </w:tcPr>
          <w:p w14:paraId="56133469"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p>
        </w:tc>
      </w:tr>
      <w:tr w:rsidR="0076562A" w:rsidRPr="008B396E" w14:paraId="26467A6E" w14:textId="77777777" w:rsidTr="003B49C5">
        <w:trPr>
          <w:trHeight w:val="290"/>
        </w:trPr>
        <w:tc>
          <w:tcPr>
            <w:tcW w:w="1676" w:type="dxa"/>
            <w:tcBorders>
              <w:top w:val="nil"/>
              <w:left w:val="nil"/>
              <w:bottom w:val="nil"/>
              <w:right w:val="nil"/>
            </w:tcBorders>
            <w:noWrap/>
            <w:vAlign w:val="bottom"/>
            <w:hideMark/>
          </w:tcPr>
          <w:p w14:paraId="43190AFA"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Within groups</w:t>
            </w:r>
          </w:p>
        </w:tc>
        <w:tc>
          <w:tcPr>
            <w:tcW w:w="978" w:type="dxa"/>
            <w:tcBorders>
              <w:top w:val="nil"/>
              <w:left w:val="nil"/>
              <w:bottom w:val="nil"/>
              <w:right w:val="nil"/>
            </w:tcBorders>
            <w:noWrap/>
            <w:vAlign w:val="bottom"/>
            <w:hideMark/>
          </w:tcPr>
          <w:p w14:paraId="32C6FD3A"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82,16667</w:t>
            </w:r>
          </w:p>
        </w:tc>
        <w:tc>
          <w:tcPr>
            <w:tcW w:w="960" w:type="dxa"/>
            <w:tcBorders>
              <w:top w:val="nil"/>
              <w:left w:val="nil"/>
              <w:bottom w:val="nil"/>
              <w:right w:val="nil"/>
            </w:tcBorders>
            <w:noWrap/>
            <w:vAlign w:val="bottom"/>
            <w:hideMark/>
          </w:tcPr>
          <w:p w14:paraId="16ED5CD6"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15</w:t>
            </w:r>
          </w:p>
        </w:tc>
        <w:tc>
          <w:tcPr>
            <w:tcW w:w="978" w:type="dxa"/>
            <w:tcBorders>
              <w:top w:val="nil"/>
              <w:left w:val="nil"/>
              <w:bottom w:val="nil"/>
              <w:right w:val="nil"/>
            </w:tcBorders>
            <w:noWrap/>
            <w:vAlign w:val="bottom"/>
            <w:hideMark/>
          </w:tcPr>
          <w:p w14:paraId="2B0F2B26"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5,477778</w:t>
            </w:r>
          </w:p>
        </w:tc>
        <w:tc>
          <w:tcPr>
            <w:tcW w:w="978" w:type="dxa"/>
            <w:tcBorders>
              <w:top w:val="nil"/>
              <w:left w:val="nil"/>
              <w:bottom w:val="nil"/>
              <w:right w:val="nil"/>
            </w:tcBorders>
            <w:noWrap/>
            <w:vAlign w:val="bottom"/>
            <w:hideMark/>
          </w:tcPr>
          <w:p w14:paraId="7FF72D7D"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p>
        </w:tc>
        <w:tc>
          <w:tcPr>
            <w:tcW w:w="978" w:type="dxa"/>
            <w:tcBorders>
              <w:top w:val="nil"/>
              <w:left w:val="nil"/>
              <w:bottom w:val="nil"/>
              <w:right w:val="nil"/>
            </w:tcBorders>
            <w:noWrap/>
            <w:vAlign w:val="bottom"/>
            <w:hideMark/>
          </w:tcPr>
          <w:p w14:paraId="489908B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31EF9145"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EA4E087"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0243A09E" w14:textId="77777777" w:rsidTr="003B49C5">
        <w:trPr>
          <w:trHeight w:val="290"/>
        </w:trPr>
        <w:tc>
          <w:tcPr>
            <w:tcW w:w="1676" w:type="dxa"/>
            <w:tcBorders>
              <w:top w:val="nil"/>
              <w:left w:val="nil"/>
              <w:bottom w:val="nil"/>
              <w:right w:val="nil"/>
            </w:tcBorders>
            <w:noWrap/>
            <w:vAlign w:val="bottom"/>
            <w:hideMark/>
          </w:tcPr>
          <w:p w14:paraId="78D38A33"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669C83A"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03334319"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60A1CA61"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39DDE334"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106204F4"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1B64CDEC"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053CA2F1"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r w:rsidR="0076562A" w:rsidRPr="008B396E" w14:paraId="09476B7F" w14:textId="77777777" w:rsidTr="003B49C5">
        <w:trPr>
          <w:trHeight w:val="300"/>
        </w:trPr>
        <w:tc>
          <w:tcPr>
            <w:tcW w:w="1676" w:type="dxa"/>
            <w:tcBorders>
              <w:top w:val="nil"/>
              <w:left w:val="nil"/>
              <w:bottom w:val="single" w:sz="8" w:space="0" w:color="auto"/>
              <w:right w:val="nil"/>
            </w:tcBorders>
            <w:noWrap/>
            <w:vAlign w:val="bottom"/>
            <w:hideMark/>
          </w:tcPr>
          <w:p w14:paraId="77756F30"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Total</w:t>
            </w:r>
          </w:p>
        </w:tc>
        <w:tc>
          <w:tcPr>
            <w:tcW w:w="978" w:type="dxa"/>
            <w:tcBorders>
              <w:top w:val="nil"/>
              <w:left w:val="nil"/>
              <w:bottom w:val="single" w:sz="8" w:space="0" w:color="auto"/>
              <w:right w:val="nil"/>
            </w:tcBorders>
            <w:noWrap/>
            <w:vAlign w:val="bottom"/>
            <w:hideMark/>
          </w:tcPr>
          <w:p w14:paraId="6F378191"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106,2778</w:t>
            </w:r>
          </w:p>
        </w:tc>
        <w:tc>
          <w:tcPr>
            <w:tcW w:w="960" w:type="dxa"/>
            <w:tcBorders>
              <w:top w:val="nil"/>
              <w:left w:val="nil"/>
              <w:bottom w:val="single" w:sz="8" w:space="0" w:color="auto"/>
              <w:right w:val="nil"/>
            </w:tcBorders>
            <w:noWrap/>
            <w:vAlign w:val="bottom"/>
            <w:hideMark/>
          </w:tcPr>
          <w:p w14:paraId="3F7295A1" w14:textId="77777777" w:rsidR="0076562A" w:rsidRPr="008B396E" w:rsidRDefault="0076562A" w:rsidP="0076562A">
            <w:pPr>
              <w:spacing w:after="0" w:line="240" w:lineRule="auto"/>
              <w:jc w:val="right"/>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17</w:t>
            </w:r>
          </w:p>
        </w:tc>
        <w:tc>
          <w:tcPr>
            <w:tcW w:w="978" w:type="dxa"/>
            <w:tcBorders>
              <w:top w:val="nil"/>
              <w:left w:val="nil"/>
              <w:bottom w:val="single" w:sz="8" w:space="0" w:color="auto"/>
              <w:right w:val="nil"/>
            </w:tcBorders>
            <w:noWrap/>
            <w:vAlign w:val="bottom"/>
            <w:hideMark/>
          </w:tcPr>
          <w:p w14:paraId="29E3285E"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 </w:t>
            </w:r>
          </w:p>
        </w:tc>
        <w:tc>
          <w:tcPr>
            <w:tcW w:w="978" w:type="dxa"/>
            <w:tcBorders>
              <w:top w:val="nil"/>
              <w:left w:val="nil"/>
              <w:bottom w:val="single" w:sz="8" w:space="0" w:color="auto"/>
              <w:right w:val="nil"/>
            </w:tcBorders>
            <w:noWrap/>
            <w:vAlign w:val="bottom"/>
            <w:hideMark/>
          </w:tcPr>
          <w:p w14:paraId="0A9060B0"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 </w:t>
            </w:r>
          </w:p>
        </w:tc>
        <w:tc>
          <w:tcPr>
            <w:tcW w:w="978" w:type="dxa"/>
            <w:tcBorders>
              <w:top w:val="nil"/>
              <w:left w:val="nil"/>
              <w:bottom w:val="single" w:sz="8" w:space="0" w:color="auto"/>
              <w:right w:val="nil"/>
            </w:tcBorders>
            <w:noWrap/>
            <w:vAlign w:val="bottom"/>
            <w:hideMark/>
          </w:tcPr>
          <w:p w14:paraId="5FD9FECD"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 </w:t>
            </w:r>
          </w:p>
        </w:tc>
        <w:tc>
          <w:tcPr>
            <w:tcW w:w="960" w:type="dxa"/>
            <w:tcBorders>
              <w:top w:val="nil"/>
              <w:left w:val="nil"/>
              <w:bottom w:val="single" w:sz="8" w:space="0" w:color="auto"/>
              <w:right w:val="nil"/>
            </w:tcBorders>
            <w:noWrap/>
            <w:vAlign w:val="bottom"/>
            <w:hideMark/>
          </w:tcPr>
          <w:p w14:paraId="4910E786"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r w:rsidRPr="008B396E">
              <w:rPr>
                <w:rFonts w:ascii="Aptos Narrow" w:eastAsia="Times New Roman" w:hAnsi="Aptos Narrow" w:cs="Times New Roman"/>
                <w:color w:val="000000"/>
                <w:lang w:val="sv-SE" w:eastAsia="sv-SE"/>
              </w:rPr>
              <w:t> </w:t>
            </w:r>
          </w:p>
        </w:tc>
        <w:tc>
          <w:tcPr>
            <w:tcW w:w="960" w:type="dxa"/>
            <w:tcBorders>
              <w:top w:val="nil"/>
              <w:left w:val="nil"/>
              <w:bottom w:val="nil"/>
              <w:right w:val="nil"/>
            </w:tcBorders>
            <w:noWrap/>
            <w:vAlign w:val="bottom"/>
            <w:hideMark/>
          </w:tcPr>
          <w:p w14:paraId="288ECC7C" w14:textId="77777777" w:rsidR="0076562A" w:rsidRPr="008B396E" w:rsidRDefault="0076562A" w:rsidP="0076562A">
            <w:pPr>
              <w:spacing w:after="0" w:line="240" w:lineRule="auto"/>
              <w:rPr>
                <w:rFonts w:ascii="Aptos Narrow" w:eastAsia="Times New Roman" w:hAnsi="Aptos Narrow" w:cs="Times New Roman"/>
                <w:color w:val="000000"/>
                <w:lang w:val="sv-SE" w:eastAsia="sv-SE"/>
              </w:rPr>
            </w:pPr>
          </w:p>
        </w:tc>
      </w:tr>
      <w:tr w:rsidR="0076562A" w:rsidRPr="008B396E" w14:paraId="67DC8D8F" w14:textId="77777777" w:rsidTr="003B49C5">
        <w:trPr>
          <w:trHeight w:val="290"/>
        </w:trPr>
        <w:tc>
          <w:tcPr>
            <w:tcW w:w="1676" w:type="dxa"/>
            <w:tcBorders>
              <w:top w:val="nil"/>
              <w:left w:val="nil"/>
              <w:bottom w:val="nil"/>
              <w:right w:val="nil"/>
            </w:tcBorders>
            <w:noWrap/>
            <w:vAlign w:val="bottom"/>
            <w:hideMark/>
          </w:tcPr>
          <w:p w14:paraId="13F38E54"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01A7DFEC"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20460514"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393D876A"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0880C6DD"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78" w:type="dxa"/>
            <w:tcBorders>
              <w:top w:val="nil"/>
              <w:left w:val="nil"/>
              <w:bottom w:val="nil"/>
              <w:right w:val="nil"/>
            </w:tcBorders>
            <w:noWrap/>
            <w:vAlign w:val="bottom"/>
            <w:hideMark/>
          </w:tcPr>
          <w:p w14:paraId="4F59C3E2"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41BC8666"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c>
          <w:tcPr>
            <w:tcW w:w="960" w:type="dxa"/>
            <w:tcBorders>
              <w:top w:val="nil"/>
              <w:left w:val="nil"/>
              <w:bottom w:val="nil"/>
              <w:right w:val="nil"/>
            </w:tcBorders>
            <w:noWrap/>
            <w:vAlign w:val="bottom"/>
            <w:hideMark/>
          </w:tcPr>
          <w:p w14:paraId="787CD3F6" w14:textId="77777777" w:rsidR="0076562A" w:rsidRPr="008B396E" w:rsidRDefault="0076562A" w:rsidP="0076562A">
            <w:pPr>
              <w:spacing w:after="0" w:line="240" w:lineRule="auto"/>
              <w:rPr>
                <w:rFonts w:ascii="Times New Roman" w:eastAsia="Times New Roman" w:hAnsi="Times New Roman" w:cs="Times New Roman"/>
                <w:sz w:val="20"/>
                <w:szCs w:val="20"/>
                <w:lang w:val="sv-SE" w:eastAsia="sv-SE"/>
              </w:rPr>
            </w:pPr>
          </w:p>
        </w:tc>
      </w:tr>
    </w:tbl>
    <w:p w14:paraId="28F6DE6F" w14:textId="77777777" w:rsidR="008B396E" w:rsidRDefault="008B396E" w:rsidP="00332710">
      <w:pPr>
        <w:rPr>
          <w:rFonts w:ascii="Times New Roman" w:eastAsia="Times New Roman" w:hAnsi="Times New Roman" w:cs="Times New Roman"/>
          <w:sz w:val="24"/>
          <w:szCs w:val="24"/>
          <w:lang w:eastAsia="sv-SE"/>
        </w:rPr>
      </w:pPr>
    </w:p>
    <w:p w14:paraId="221906CE" w14:textId="006549DC" w:rsidR="005F56AF" w:rsidRPr="005F56AF" w:rsidRDefault="005F56AF" w:rsidP="00E9589D">
      <w:pPr>
        <w:pStyle w:val="pdq2pgselectionanchorcontainer"/>
        <w:spacing w:line="360" w:lineRule="auto"/>
        <w:jc w:val="both"/>
        <w:rPr>
          <w:lang w:val="en-GB"/>
        </w:rPr>
      </w:pPr>
      <w:r w:rsidRPr="005F56AF">
        <w:rPr>
          <w:lang w:val="en-GB"/>
        </w:rPr>
        <w:t xml:space="preserve">To examine whether participation in post-secondary education differed across the first three years following completion of secondary education, a one-way analysis of variance (ANOVA) was conducted using an alpha level of .05. The analysis </w:t>
      </w:r>
      <w:r w:rsidR="009577D5">
        <w:rPr>
          <w:lang w:val="en-GB"/>
        </w:rPr>
        <w:t xml:space="preserve">in table 2 </w:t>
      </w:r>
      <w:r w:rsidRPr="005F56AF">
        <w:rPr>
          <w:lang w:val="en-GB"/>
        </w:rPr>
        <w:t xml:space="preserve">compared participation outcomes across three periods: within one year, within two years, and within three years </w:t>
      </w:r>
      <w:r w:rsidR="00F23AE0">
        <w:rPr>
          <w:lang w:val="en-GB"/>
        </w:rPr>
        <w:t>upon</w:t>
      </w:r>
      <w:r w:rsidRPr="005F56AF">
        <w:rPr>
          <w:lang w:val="en-GB"/>
        </w:rPr>
        <w:t xml:space="preserve"> </w:t>
      </w:r>
      <w:r w:rsidRPr="005F56AF">
        <w:rPr>
          <w:lang w:val="en-GB"/>
        </w:rPr>
        <w:lastRenderedPageBreak/>
        <w:t>completion of secondary education. Th</w:t>
      </w:r>
      <w:r w:rsidR="00174E72">
        <w:rPr>
          <w:lang w:val="en-GB"/>
        </w:rPr>
        <w:t>is specific</w:t>
      </w:r>
      <w:r w:rsidRPr="005F56AF">
        <w:rPr>
          <w:lang w:val="en-GB"/>
        </w:rPr>
        <w:t xml:space="preserve"> data </w:t>
      </w:r>
      <w:r w:rsidR="00254196" w:rsidRPr="005F56AF">
        <w:rPr>
          <w:lang w:val="en-GB"/>
        </w:rPr>
        <w:t>was</w:t>
      </w:r>
      <w:r w:rsidRPr="005F56AF">
        <w:rPr>
          <w:lang w:val="en-GB"/>
        </w:rPr>
        <w:t xml:space="preserve"> drawn from students who pursued specialised courses in adult education between 2018 and 2020.</w:t>
      </w:r>
    </w:p>
    <w:p w14:paraId="3526CDBA" w14:textId="6F544B65" w:rsidR="005F56AF" w:rsidRPr="00E9589D" w:rsidRDefault="005F56AF" w:rsidP="00E9589D">
      <w:pPr>
        <w:pStyle w:val="Normalwebb"/>
        <w:spacing w:line="360" w:lineRule="auto"/>
        <w:jc w:val="both"/>
        <w:rPr>
          <w:lang w:val="en-GB"/>
        </w:rPr>
      </w:pPr>
      <w:r w:rsidRPr="005F56AF">
        <w:rPr>
          <w:lang w:val="en-GB"/>
        </w:rPr>
        <w:t xml:space="preserve">Descriptively, mean participation increased across the three periods. </w:t>
      </w:r>
      <w:r w:rsidRPr="00E9589D">
        <w:rPr>
          <w:lang w:val="en-GB"/>
        </w:rPr>
        <w:t>The mean participation score was 9.00</w:t>
      </w:r>
      <w:r w:rsidR="00CF4BBD">
        <w:rPr>
          <w:lang w:val="en-GB"/>
        </w:rPr>
        <w:t>%</w:t>
      </w:r>
      <w:r w:rsidRPr="00E9589D">
        <w:rPr>
          <w:lang w:val="en-GB"/>
        </w:rPr>
        <w:t xml:space="preserve"> (</w:t>
      </w:r>
      <w:r w:rsidRPr="00E9589D">
        <w:rPr>
          <w:rStyle w:val="Betoning"/>
          <w:lang w:val="en-GB"/>
        </w:rPr>
        <w:t>SD</w:t>
      </w:r>
      <w:r w:rsidRPr="00E9589D">
        <w:rPr>
          <w:lang w:val="en-GB"/>
        </w:rPr>
        <w:t xml:space="preserve"> = 2.10) within the first year, increasing to 10.33</w:t>
      </w:r>
      <w:r w:rsidR="00893CBC">
        <w:rPr>
          <w:lang w:val="en-GB"/>
        </w:rPr>
        <w:t>%</w:t>
      </w:r>
      <w:r w:rsidRPr="00E9589D">
        <w:rPr>
          <w:lang w:val="en-GB"/>
        </w:rPr>
        <w:t xml:space="preserve"> (</w:t>
      </w:r>
      <w:r w:rsidRPr="00E9589D">
        <w:rPr>
          <w:rStyle w:val="Betoning"/>
          <w:lang w:val="en-GB"/>
        </w:rPr>
        <w:t>SD</w:t>
      </w:r>
      <w:r w:rsidRPr="00E9589D">
        <w:rPr>
          <w:lang w:val="en-GB"/>
        </w:rPr>
        <w:t xml:space="preserve"> = 2.25) within the second year and 11.83</w:t>
      </w:r>
      <w:r w:rsidR="00893CBC">
        <w:rPr>
          <w:lang w:val="en-GB"/>
        </w:rPr>
        <w:t>%</w:t>
      </w:r>
      <w:r w:rsidRPr="00E9589D">
        <w:rPr>
          <w:lang w:val="en-GB"/>
        </w:rPr>
        <w:t xml:space="preserve"> (</w:t>
      </w:r>
      <w:r w:rsidRPr="00E9589D">
        <w:rPr>
          <w:rStyle w:val="Betoning"/>
          <w:lang w:val="en-GB"/>
        </w:rPr>
        <w:t>SD</w:t>
      </w:r>
      <w:r w:rsidRPr="00E9589D">
        <w:rPr>
          <w:lang w:val="en-GB"/>
        </w:rPr>
        <w:t xml:space="preserve"> = 2.64) within the third year. Thus, the descriptive results indicate an upward pattern in participation over the three-year period.</w:t>
      </w:r>
    </w:p>
    <w:p w14:paraId="40E25E42" w14:textId="199C78B2" w:rsidR="00D11C8C" w:rsidRPr="009D2CD4" w:rsidRDefault="005F56AF" w:rsidP="009D2CD4">
      <w:pPr>
        <w:pStyle w:val="Normalwebb"/>
        <w:spacing w:line="360" w:lineRule="auto"/>
        <w:jc w:val="both"/>
        <w:rPr>
          <w:lang w:val="en-GB"/>
        </w:rPr>
      </w:pPr>
      <w:r w:rsidRPr="00E9589D">
        <w:rPr>
          <w:lang w:val="en-GB"/>
        </w:rPr>
        <w:t xml:space="preserve">However, the one-way ANOVA indicated that the differences between the three periods were not statistically significant, </w:t>
      </w:r>
      <w:r w:rsidRPr="00E9589D">
        <w:rPr>
          <w:rStyle w:val="Betoning"/>
          <w:lang w:val="en-GB"/>
        </w:rPr>
        <w:t>F</w:t>
      </w:r>
      <w:r w:rsidRPr="00E9589D">
        <w:rPr>
          <w:lang w:val="en-GB"/>
        </w:rPr>
        <w:t xml:space="preserve">(2, 15) = 2.20, </w:t>
      </w:r>
      <w:r w:rsidRPr="00E9589D">
        <w:rPr>
          <w:rStyle w:val="Betoning"/>
          <w:lang w:val="en-GB"/>
        </w:rPr>
        <w:t>p</w:t>
      </w:r>
      <w:r w:rsidRPr="00E9589D">
        <w:rPr>
          <w:lang w:val="en-GB"/>
        </w:rPr>
        <w:t xml:space="preserve"> = .145. Because the </w:t>
      </w:r>
      <w:r w:rsidRPr="00E9589D">
        <w:rPr>
          <w:rStyle w:val="Betoning"/>
          <w:lang w:val="en-GB"/>
        </w:rPr>
        <w:t>p</w:t>
      </w:r>
      <w:r w:rsidRPr="00E9589D">
        <w:rPr>
          <w:lang w:val="en-GB"/>
        </w:rPr>
        <w:t>-value was greater than the predetermined significance level of .05, the null hypothesis was not rejected. Therefore, there was insufficient statistical evidence to conclude that participation in post-secondary education differed significantly across the first, second, and third years following completion of secondary education.</w:t>
      </w:r>
      <w:r w:rsidR="008D10C5">
        <w:rPr>
          <w:lang w:val="en-GB"/>
        </w:rPr>
        <w:t xml:space="preserve"> </w:t>
      </w:r>
      <w:r w:rsidRPr="00E9589D">
        <w:rPr>
          <w:lang w:val="en-GB"/>
        </w:rPr>
        <w:t>Overall, the findings indicate a descriptive increase in mean participation over the three-year period; however, this observed increase did not reach statistical significance at the .05 lev</w:t>
      </w:r>
      <w:r w:rsidR="00816FD3">
        <w:rPr>
          <w:lang w:val="en-GB"/>
        </w:rPr>
        <w:t>el.</w:t>
      </w:r>
    </w:p>
    <w:p w14:paraId="2503AB31" w14:textId="3D5354A0" w:rsidR="00082F72" w:rsidRPr="00082F72" w:rsidRDefault="00082F72" w:rsidP="000542D1">
      <w:pPr>
        <w:rPr>
          <w:rFonts w:ascii="Times New Roman" w:eastAsia="Times New Roman" w:hAnsi="Times New Roman" w:cs="Times New Roman"/>
          <w:b/>
          <w:bCs/>
          <w:sz w:val="24"/>
          <w:szCs w:val="24"/>
          <w:lang w:eastAsia="sv-SE"/>
        </w:rPr>
      </w:pPr>
      <w:r w:rsidRPr="00082F72">
        <w:rPr>
          <w:rFonts w:ascii="Times New Roman" w:eastAsia="Times New Roman" w:hAnsi="Times New Roman" w:cs="Times New Roman"/>
          <w:b/>
          <w:bCs/>
          <w:sz w:val="24"/>
          <w:szCs w:val="24"/>
          <w:lang w:eastAsia="sv-SE"/>
        </w:rPr>
        <w:t>Participation across different groups</w:t>
      </w:r>
    </w:p>
    <w:p w14:paraId="1E46DD13" w14:textId="3EEFDAC5" w:rsidR="00BA039A" w:rsidRDefault="00B64D15" w:rsidP="000542D1">
      <w:pPr>
        <w:rPr>
          <w:rFonts w:ascii="Times New Roman" w:eastAsia="Times New Roman" w:hAnsi="Times New Roman" w:cs="Times New Roman"/>
          <w:sz w:val="24"/>
          <w:szCs w:val="24"/>
          <w:lang w:eastAsia="sv-SE"/>
        </w:rPr>
      </w:pPr>
      <w:r w:rsidRPr="00B64D15">
        <w:rPr>
          <w:rFonts w:ascii="Times New Roman" w:eastAsia="Times New Roman" w:hAnsi="Times New Roman" w:cs="Times New Roman"/>
          <w:sz w:val="24"/>
          <w:szCs w:val="24"/>
          <w:lang w:eastAsia="sv-SE"/>
        </w:rPr>
        <w:t>Does participation in post-secondary education change significantly between the first and third years across different disability groups</w:t>
      </w:r>
      <w:r w:rsidR="00C2722E">
        <w:rPr>
          <w:rFonts w:ascii="Times New Roman" w:eastAsia="Times New Roman" w:hAnsi="Times New Roman" w:cs="Times New Roman"/>
          <w:sz w:val="24"/>
          <w:szCs w:val="24"/>
          <w:lang w:eastAsia="sv-SE"/>
        </w:rPr>
        <w:t xml:space="preserve"> represented</w:t>
      </w:r>
      <w:r w:rsidR="007502B5">
        <w:rPr>
          <w:rFonts w:ascii="Times New Roman" w:eastAsia="Times New Roman" w:hAnsi="Times New Roman" w:cs="Times New Roman"/>
          <w:sz w:val="24"/>
          <w:szCs w:val="24"/>
          <w:lang w:eastAsia="sv-SE"/>
        </w:rPr>
        <w:t xml:space="preserve"> in the sample</w:t>
      </w:r>
      <w:r w:rsidRPr="00B64D15">
        <w:rPr>
          <w:rFonts w:ascii="Times New Roman" w:eastAsia="Times New Roman" w:hAnsi="Times New Roman" w:cs="Times New Roman"/>
          <w:sz w:val="24"/>
          <w:szCs w:val="24"/>
          <w:lang w:eastAsia="sv-SE"/>
        </w:rPr>
        <w:t>?</w:t>
      </w:r>
    </w:p>
    <w:p w14:paraId="1094D8D1" w14:textId="72361549" w:rsidR="00AE2C80" w:rsidRPr="00AE2C80" w:rsidRDefault="00AE2C80" w:rsidP="00AE2C80">
      <w:pPr>
        <w:pStyle w:val="pdq2pgselectionanchorcontainer"/>
        <w:rPr>
          <w:lang w:val="en-GB"/>
        </w:rPr>
      </w:pPr>
      <w:r w:rsidRPr="00AE2C80">
        <w:rPr>
          <w:rStyle w:val="Stark"/>
          <w:lang w:val="en-GB"/>
        </w:rPr>
        <w:t xml:space="preserve">H₀ </w:t>
      </w:r>
    </w:p>
    <w:p w14:paraId="394E8FFC" w14:textId="77777777" w:rsidR="00AE2C80" w:rsidRPr="00AE2C80" w:rsidRDefault="00AE2C80" w:rsidP="00AE2C80">
      <w:pPr>
        <w:pStyle w:val="Normalwebb"/>
        <w:rPr>
          <w:lang w:val="en-GB"/>
        </w:rPr>
      </w:pPr>
      <w:r w:rsidRPr="00AE2C80">
        <w:rPr>
          <w:lang w:val="en-GB"/>
        </w:rPr>
        <w:t>There is no statistically significant difference in participation in post-secondary education between the first and third years across disability groups.</w:t>
      </w:r>
    </w:p>
    <w:p w14:paraId="15F68A05" w14:textId="383CDC9E" w:rsidR="00AE2C80" w:rsidRPr="00AE2C80" w:rsidRDefault="00AE2C80" w:rsidP="00AE2C80">
      <w:pPr>
        <w:pStyle w:val="Normalwebb"/>
        <w:rPr>
          <w:lang w:val="en-GB"/>
        </w:rPr>
      </w:pPr>
      <w:r w:rsidRPr="00AE2C80">
        <w:rPr>
          <w:rStyle w:val="Stark"/>
          <w:lang w:val="en-GB"/>
        </w:rPr>
        <w:t xml:space="preserve">H₁ </w:t>
      </w:r>
    </w:p>
    <w:p w14:paraId="2B4B70F4" w14:textId="2ECB39AC" w:rsidR="000048CE" w:rsidRDefault="00AE2C80" w:rsidP="00AE2C80">
      <w:pPr>
        <w:pStyle w:val="Normalwebb"/>
        <w:rPr>
          <w:lang w:val="en-GB"/>
        </w:rPr>
      </w:pPr>
      <w:r w:rsidRPr="00AE2C80">
        <w:rPr>
          <w:lang w:val="en-GB"/>
        </w:rPr>
        <w:t>There is a statistically significant difference in participation in post-secondary education between the first and third years across disability groups.</w:t>
      </w:r>
    </w:p>
    <w:p w14:paraId="13D59828" w14:textId="74B3A846" w:rsidR="00254143" w:rsidRPr="009D2CD4" w:rsidRDefault="000048CE" w:rsidP="00AE2C80">
      <w:pPr>
        <w:pStyle w:val="Normalwebb"/>
        <w:rPr>
          <w:b/>
          <w:bCs/>
          <w:lang w:val="en-GB"/>
        </w:rPr>
      </w:pPr>
      <w:r w:rsidRPr="009D2CD4">
        <w:rPr>
          <w:b/>
          <w:bCs/>
          <w:lang w:val="en-GB"/>
        </w:rPr>
        <w:t>Table 3: t-test: Paired Two-sample for Means</w:t>
      </w:r>
    </w:p>
    <w:tbl>
      <w:tblPr>
        <w:tblW w:w="4712" w:type="dxa"/>
        <w:tblCellMar>
          <w:left w:w="70" w:type="dxa"/>
          <w:right w:w="70" w:type="dxa"/>
        </w:tblCellMar>
        <w:tblLook w:val="04A0" w:firstRow="1" w:lastRow="0" w:firstColumn="1" w:lastColumn="0" w:noHBand="0" w:noVBand="1"/>
      </w:tblPr>
      <w:tblGrid>
        <w:gridCol w:w="2610"/>
        <w:gridCol w:w="978"/>
        <w:gridCol w:w="978"/>
        <w:gridCol w:w="146"/>
      </w:tblGrid>
      <w:tr w:rsidR="0007512D" w:rsidRPr="0007512D" w14:paraId="2CB90837" w14:textId="77777777" w:rsidTr="000C3F5C">
        <w:trPr>
          <w:trHeight w:val="290"/>
        </w:trPr>
        <w:tc>
          <w:tcPr>
            <w:tcW w:w="2610" w:type="dxa"/>
            <w:tcBorders>
              <w:top w:val="single" w:sz="8" w:space="0" w:color="auto"/>
              <w:left w:val="nil"/>
              <w:bottom w:val="single" w:sz="4" w:space="0" w:color="auto"/>
              <w:right w:val="nil"/>
            </w:tcBorders>
            <w:noWrap/>
            <w:vAlign w:val="bottom"/>
            <w:hideMark/>
          </w:tcPr>
          <w:p w14:paraId="3E22217D" w14:textId="77777777" w:rsidR="0007512D" w:rsidRPr="00804866" w:rsidRDefault="0007512D" w:rsidP="0007512D">
            <w:pPr>
              <w:spacing w:after="0" w:line="240" w:lineRule="auto"/>
              <w:jc w:val="center"/>
              <w:rPr>
                <w:rFonts w:ascii="Aptos Narrow" w:eastAsia="Times New Roman" w:hAnsi="Aptos Narrow" w:cs="Times New Roman"/>
                <w:i/>
                <w:iCs/>
                <w:color w:val="000000"/>
                <w:lang w:eastAsia="sv-SE"/>
              </w:rPr>
            </w:pPr>
            <w:r w:rsidRPr="00804866">
              <w:rPr>
                <w:rFonts w:ascii="Aptos Narrow" w:eastAsia="Times New Roman" w:hAnsi="Aptos Narrow" w:cs="Times New Roman"/>
                <w:i/>
                <w:iCs/>
                <w:color w:val="000000"/>
                <w:lang w:eastAsia="sv-SE"/>
              </w:rPr>
              <w:t> </w:t>
            </w:r>
          </w:p>
        </w:tc>
        <w:tc>
          <w:tcPr>
            <w:tcW w:w="978" w:type="dxa"/>
            <w:tcBorders>
              <w:top w:val="single" w:sz="8" w:space="0" w:color="auto"/>
              <w:left w:val="nil"/>
              <w:bottom w:val="single" w:sz="4" w:space="0" w:color="auto"/>
              <w:right w:val="nil"/>
            </w:tcBorders>
            <w:noWrap/>
            <w:vAlign w:val="bottom"/>
            <w:hideMark/>
          </w:tcPr>
          <w:p w14:paraId="3E6B8104" w14:textId="2BCDF4A4" w:rsidR="0007512D" w:rsidRPr="0007512D" w:rsidRDefault="0007512D" w:rsidP="0007512D">
            <w:pPr>
              <w:spacing w:after="0" w:line="240" w:lineRule="auto"/>
              <w:jc w:val="center"/>
              <w:rPr>
                <w:rFonts w:ascii="Aptos Narrow" w:eastAsia="Times New Roman" w:hAnsi="Aptos Narrow" w:cs="Times New Roman"/>
                <w:i/>
                <w:iCs/>
                <w:color w:val="000000"/>
                <w:lang w:val="sv-SE" w:eastAsia="sv-SE"/>
              </w:rPr>
            </w:pPr>
            <w:r w:rsidRPr="0007512D">
              <w:rPr>
                <w:rFonts w:ascii="Aptos Narrow" w:eastAsia="Times New Roman" w:hAnsi="Aptos Narrow" w:cs="Times New Roman"/>
                <w:i/>
                <w:iCs/>
                <w:color w:val="000000"/>
                <w:lang w:val="sv-SE" w:eastAsia="sv-SE"/>
              </w:rPr>
              <w:t>Variab</w:t>
            </w:r>
            <w:r w:rsidR="0077432B">
              <w:rPr>
                <w:rFonts w:ascii="Aptos Narrow" w:eastAsia="Times New Roman" w:hAnsi="Aptos Narrow" w:cs="Times New Roman"/>
                <w:i/>
                <w:iCs/>
                <w:color w:val="000000"/>
                <w:lang w:val="sv-SE" w:eastAsia="sv-SE"/>
              </w:rPr>
              <w:t>le</w:t>
            </w:r>
            <w:r w:rsidRPr="0007512D">
              <w:rPr>
                <w:rFonts w:ascii="Aptos Narrow" w:eastAsia="Times New Roman" w:hAnsi="Aptos Narrow" w:cs="Times New Roman"/>
                <w:i/>
                <w:iCs/>
                <w:color w:val="000000"/>
                <w:lang w:val="sv-SE" w:eastAsia="sv-SE"/>
              </w:rPr>
              <w:t xml:space="preserve"> 1</w:t>
            </w:r>
          </w:p>
        </w:tc>
        <w:tc>
          <w:tcPr>
            <w:tcW w:w="978" w:type="dxa"/>
            <w:tcBorders>
              <w:top w:val="single" w:sz="8" w:space="0" w:color="auto"/>
              <w:left w:val="nil"/>
              <w:bottom w:val="single" w:sz="4" w:space="0" w:color="auto"/>
              <w:right w:val="nil"/>
            </w:tcBorders>
            <w:noWrap/>
            <w:vAlign w:val="bottom"/>
            <w:hideMark/>
          </w:tcPr>
          <w:p w14:paraId="3D4150AB" w14:textId="71BC7BA6" w:rsidR="0007512D" w:rsidRPr="0007512D" w:rsidRDefault="0007512D" w:rsidP="0007512D">
            <w:pPr>
              <w:spacing w:after="0" w:line="240" w:lineRule="auto"/>
              <w:jc w:val="center"/>
              <w:rPr>
                <w:rFonts w:ascii="Aptos Narrow" w:eastAsia="Times New Roman" w:hAnsi="Aptos Narrow" w:cs="Times New Roman"/>
                <w:i/>
                <w:iCs/>
                <w:color w:val="000000"/>
                <w:lang w:val="sv-SE" w:eastAsia="sv-SE"/>
              </w:rPr>
            </w:pPr>
            <w:r w:rsidRPr="0007512D">
              <w:rPr>
                <w:rFonts w:ascii="Aptos Narrow" w:eastAsia="Times New Roman" w:hAnsi="Aptos Narrow" w:cs="Times New Roman"/>
                <w:i/>
                <w:iCs/>
                <w:color w:val="000000"/>
                <w:lang w:val="sv-SE" w:eastAsia="sv-SE"/>
              </w:rPr>
              <w:t>Variab</w:t>
            </w:r>
            <w:r w:rsidR="0077432B">
              <w:rPr>
                <w:rFonts w:ascii="Aptos Narrow" w:eastAsia="Times New Roman" w:hAnsi="Aptos Narrow" w:cs="Times New Roman"/>
                <w:i/>
                <w:iCs/>
                <w:color w:val="000000"/>
                <w:lang w:val="sv-SE" w:eastAsia="sv-SE"/>
              </w:rPr>
              <w:t>le</w:t>
            </w:r>
            <w:r w:rsidRPr="0007512D">
              <w:rPr>
                <w:rFonts w:ascii="Aptos Narrow" w:eastAsia="Times New Roman" w:hAnsi="Aptos Narrow" w:cs="Times New Roman"/>
                <w:i/>
                <w:iCs/>
                <w:color w:val="000000"/>
                <w:lang w:val="sv-SE" w:eastAsia="sv-SE"/>
              </w:rPr>
              <w:t xml:space="preserve"> 2</w:t>
            </w:r>
          </w:p>
        </w:tc>
        <w:tc>
          <w:tcPr>
            <w:tcW w:w="146" w:type="dxa"/>
            <w:tcBorders>
              <w:top w:val="nil"/>
              <w:left w:val="nil"/>
              <w:bottom w:val="nil"/>
              <w:right w:val="nil"/>
            </w:tcBorders>
            <w:noWrap/>
            <w:vAlign w:val="bottom"/>
            <w:hideMark/>
          </w:tcPr>
          <w:p w14:paraId="0DC07E46" w14:textId="77777777" w:rsidR="0007512D" w:rsidRPr="0007512D" w:rsidRDefault="0007512D" w:rsidP="0007512D">
            <w:pPr>
              <w:spacing w:after="0" w:line="240" w:lineRule="auto"/>
              <w:jc w:val="center"/>
              <w:rPr>
                <w:rFonts w:ascii="Aptos Narrow" w:eastAsia="Times New Roman" w:hAnsi="Aptos Narrow" w:cs="Times New Roman"/>
                <w:i/>
                <w:iCs/>
                <w:color w:val="000000"/>
                <w:lang w:val="sv-SE" w:eastAsia="sv-SE"/>
              </w:rPr>
            </w:pPr>
          </w:p>
        </w:tc>
      </w:tr>
      <w:tr w:rsidR="0007512D" w:rsidRPr="0007512D" w14:paraId="27E1492D" w14:textId="77777777" w:rsidTr="000C3F5C">
        <w:trPr>
          <w:trHeight w:val="290"/>
        </w:trPr>
        <w:tc>
          <w:tcPr>
            <w:tcW w:w="2610" w:type="dxa"/>
            <w:tcBorders>
              <w:top w:val="nil"/>
              <w:left w:val="nil"/>
              <w:bottom w:val="nil"/>
              <w:right w:val="nil"/>
            </w:tcBorders>
            <w:noWrap/>
            <w:vAlign w:val="bottom"/>
            <w:hideMark/>
          </w:tcPr>
          <w:p w14:paraId="517CF614" w14:textId="3D14251B"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Me</w:t>
            </w:r>
            <w:r w:rsidR="00300A9E">
              <w:rPr>
                <w:rFonts w:ascii="Aptos Narrow" w:eastAsia="Times New Roman" w:hAnsi="Aptos Narrow" w:cs="Times New Roman"/>
                <w:color w:val="000000"/>
                <w:lang w:val="sv-SE" w:eastAsia="sv-SE"/>
              </w:rPr>
              <w:t>an</w:t>
            </w:r>
          </w:p>
        </w:tc>
        <w:tc>
          <w:tcPr>
            <w:tcW w:w="978" w:type="dxa"/>
            <w:tcBorders>
              <w:top w:val="nil"/>
              <w:left w:val="nil"/>
              <w:bottom w:val="nil"/>
              <w:right w:val="nil"/>
            </w:tcBorders>
            <w:noWrap/>
            <w:vAlign w:val="bottom"/>
            <w:hideMark/>
          </w:tcPr>
          <w:p w14:paraId="41F93DC6"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39</w:t>
            </w:r>
          </w:p>
        </w:tc>
        <w:tc>
          <w:tcPr>
            <w:tcW w:w="978" w:type="dxa"/>
            <w:tcBorders>
              <w:top w:val="nil"/>
              <w:left w:val="nil"/>
              <w:bottom w:val="nil"/>
              <w:right w:val="nil"/>
            </w:tcBorders>
            <w:noWrap/>
            <w:vAlign w:val="bottom"/>
            <w:hideMark/>
          </w:tcPr>
          <w:p w14:paraId="11C3ACF9"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54,92857</w:t>
            </w:r>
          </w:p>
        </w:tc>
        <w:tc>
          <w:tcPr>
            <w:tcW w:w="146" w:type="dxa"/>
            <w:tcBorders>
              <w:top w:val="nil"/>
              <w:left w:val="nil"/>
              <w:bottom w:val="nil"/>
              <w:right w:val="nil"/>
            </w:tcBorders>
            <w:noWrap/>
            <w:vAlign w:val="bottom"/>
            <w:hideMark/>
          </w:tcPr>
          <w:p w14:paraId="1ACF9058"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r>
      <w:tr w:rsidR="0007512D" w:rsidRPr="0007512D" w14:paraId="17F9D828" w14:textId="77777777" w:rsidTr="000C3F5C">
        <w:trPr>
          <w:trHeight w:val="290"/>
        </w:trPr>
        <w:tc>
          <w:tcPr>
            <w:tcW w:w="2610" w:type="dxa"/>
            <w:tcBorders>
              <w:top w:val="nil"/>
              <w:left w:val="nil"/>
              <w:bottom w:val="nil"/>
              <w:right w:val="nil"/>
            </w:tcBorders>
            <w:noWrap/>
            <w:vAlign w:val="bottom"/>
            <w:hideMark/>
          </w:tcPr>
          <w:p w14:paraId="08C10896" w14:textId="21DC0F79"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Varian</w:t>
            </w:r>
            <w:r w:rsidR="00300A9E">
              <w:rPr>
                <w:rFonts w:ascii="Aptos Narrow" w:eastAsia="Times New Roman" w:hAnsi="Aptos Narrow" w:cs="Times New Roman"/>
                <w:color w:val="000000"/>
                <w:lang w:val="sv-SE" w:eastAsia="sv-SE"/>
              </w:rPr>
              <w:t>ce</w:t>
            </w:r>
          </w:p>
        </w:tc>
        <w:tc>
          <w:tcPr>
            <w:tcW w:w="978" w:type="dxa"/>
            <w:tcBorders>
              <w:top w:val="nil"/>
              <w:left w:val="nil"/>
              <w:bottom w:val="nil"/>
              <w:right w:val="nil"/>
            </w:tcBorders>
            <w:noWrap/>
            <w:vAlign w:val="bottom"/>
            <w:hideMark/>
          </w:tcPr>
          <w:p w14:paraId="70730FAC"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148</w:t>
            </w:r>
          </w:p>
        </w:tc>
        <w:tc>
          <w:tcPr>
            <w:tcW w:w="978" w:type="dxa"/>
            <w:tcBorders>
              <w:top w:val="nil"/>
              <w:left w:val="nil"/>
              <w:bottom w:val="nil"/>
              <w:right w:val="nil"/>
            </w:tcBorders>
            <w:noWrap/>
            <w:vAlign w:val="bottom"/>
            <w:hideMark/>
          </w:tcPr>
          <w:p w14:paraId="092D27A2"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118,8407</w:t>
            </w:r>
          </w:p>
        </w:tc>
        <w:tc>
          <w:tcPr>
            <w:tcW w:w="146" w:type="dxa"/>
            <w:tcBorders>
              <w:top w:val="nil"/>
              <w:left w:val="nil"/>
              <w:bottom w:val="nil"/>
              <w:right w:val="nil"/>
            </w:tcBorders>
            <w:noWrap/>
            <w:vAlign w:val="bottom"/>
            <w:hideMark/>
          </w:tcPr>
          <w:p w14:paraId="245625EE"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r>
      <w:tr w:rsidR="0007512D" w:rsidRPr="0007512D" w14:paraId="63DAEEAF" w14:textId="77777777" w:rsidTr="000C3F5C">
        <w:trPr>
          <w:trHeight w:val="290"/>
        </w:trPr>
        <w:tc>
          <w:tcPr>
            <w:tcW w:w="2610" w:type="dxa"/>
            <w:tcBorders>
              <w:top w:val="nil"/>
              <w:left w:val="nil"/>
              <w:bottom w:val="nil"/>
              <w:right w:val="nil"/>
            </w:tcBorders>
            <w:noWrap/>
            <w:vAlign w:val="bottom"/>
            <w:hideMark/>
          </w:tcPr>
          <w:p w14:paraId="66E62EF3" w14:textId="322944CB"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Observation</w:t>
            </w:r>
            <w:r w:rsidR="00804866">
              <w:rPr>
                <w:rFonts w:ascii="Aptos Narrow" w:eastAsia="Times New Roman" w:hAnsi="Aptos Narrow" w:cs="Times New Roman"/>
                <w:color w:val="000000"/>
                <w:lang w:val="sv-SE" w:eastAsia="sv-SE"/>
              </w:rPr>
              <w:t>s</w:t>
            </w:r>
          </w:p>
        </w:tc>
        <w:tc>
          <w:tcPr>
            <w:tcW w:w="978" w:type="dxa"/>
            <w:tcBorders>
              <w:top w:val="nil"/>
              <w:left w:val="nil"/>
              <w:bottom w:val="nil"/>
              <w:right w:val="nil"/>
            </w:tcBorders>
            <w:noWrap/>
            <w:vAlign w:val="bottom"/>
            <w:hideMark/>
          </w:tcPr>
          <w:p w14:paraId="27A417DD"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14</w:t>
            </w:r>
          </w:p>
        </w:tc>
        <w:tc>
          <w:tcPr>
            <w:tcW w:w="978" w:type="dxa"/>
            <w:tcBorders>
              <w:top w:val="nil"/>
              <w:left w:val="nil"/>
              <w:bottom w:val="nil"/>
              <w:right w:val="nil"/>
            </w:tcBorders>
            <w:noWrap/>
            <w:vAlign w:val="bottom"/>
            <w:hideMark/>
          </w:tcPr>
          <w:p w14:paraId="5D344F3A"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14</w:t>
            </w:r>
          </w:p>
        </w:tc>
        <w:tc>
          <w:tcPr>
            <w:tcW w:w="146" w:type="dxa"/>
            <w:tcBorders>
              <w:top w:val="nil"/>
              <w:left w:val="nil"/>
              <w:bottom w:val="nil"/>
              <w:right w:val="nil"/>
            </w:tcBorders>
            <w:noWrap/>
            <w:vAlign w:val="bottom"/>
            <w:hideMark/>
          </w:tcPr>
          <w:p w14:paraId="3AD04B06"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r>
      <w:tr w:rsidR="0007512D" w:rsidRPr="0007512D" w14:paraId="15B2BF1B" w14:textId="77777777" w:rsidTr="000C3F5C">
        <w:trPr>
          <w:trHeight w:val="290"/>
        </w:trPr>
        <w:tc>
          <w:tcPr>
            <w:tcW w:w="2610" w:type="dxa"/>
            <w:tcBorders>
              <w:top w:val="nil"/>
              <w:left w:val="nil"/>
              <w:bottom w:val="nil"/>
              <w:right w:val="nil"/>
            </w:tcBorders>
            <w:noWrap/>
            <w:vAlign w:val="bottom"/>
            <w:hideMark/>
          </w:tcPr>
          <w:p w14:paraId="610390AE" w14:textId="11D704AA"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Pearson-</w:t>
            </w:r>
            <w:r w:rsidR="00300A9E">
              <w:rPr>
                <w:rFonts w:ascii="Aptos Narrow" w:eastAsia="Times New Roman" w:hAnsi="Aptos Narrow" w:cs="Times New Roman"/>
                <w:color w:val="000000"/>
                <w:lang w:val="sv-SE" w:eastAsia="sv-SE"/>
              </w:rPr>
              <w:t>c</w:t>
            </w:r>
            <w:r w:rsidRPr="0007512D">
              <w:rPr>
                <w:rFonts w:ascii="Aptos Narrow" w:eastAsia="Times New Roman" w:hAnsi="Aptos Narrow" w:cs="Times New Roman"/>
                <w:color w:val="000000"/>
                <w:lang w:val="sv-SE" w:eastAsia="sv-SE"/>
              </w:rPr>
              <w:t>orrelation</w:t>
            </w:r>
          </w:p>
        </w:tc>
        <w:tc>
          <w:tcPr>
            <w:tcW w:w="978" w:type="dxa"/>
            <w:tcBorders>
              <w:top w:val="nil"/>
              <w:left w:val="nil"/>
              <w:bottom w:val="nil"/>
              <w:right w:val="nil"/>
            </w:tcBorders>
            <w:noWrap/>
            <w:vAlign w:val="bottom"/>
            <w:hideMark/>
          </w:tcPr>
          <w:p w14:paraId="60D24CA2"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0,727346</w:t>
            </w:r>
          </w:p>
        </w:tc>
        <w:tc>
          <w:tcPr>
            <w:tcW w:w="978" w:type="dxa"/>
            <w:tcBorders>
              <w:top w:val="nil"/>
              <w:left w:val="nil"/>
              <w:bottom w:val="nil"/>
              <w:right w:val="nil"/>
            </w:tcBorders>
            <w:noWrap/>
            <w:vAlign w:val="bottom"/>
            <w:hideMark/>
          </w:tcPr>
          <w:p w14:paraId="7ED2D27E"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78E21E56"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1CCFD1C6" w14:textId="77777777" w:rsidTr="000C3F5C">
        <w:trPr>
          <w:trHeight w:val="290"/>
        </w:trPr>
        <w:tc>
          <w:tcPr>
            <w:tcW w:w="2610" w:type="dxa"/>
            <w:tcBorders>
              <w:top w:val="nil"/>
              <w:left w:val="nil"/>
              <w:bottom w:val="nil"/>
              <w:right w:val="nil"/>
            </w:tcBorders>
            <w:noWrap/>
            <w:vAlign w:val="bottom"/>
            <w:hideMark/>
          </w:tcPr>
          <w:p w14:paraId="055A3E03" w14:textId="79122691" w:rsidR="0007512D" w:rsidRPr="0007512D" w:rsidRDefault="002E21B0" w:rsidP="0007512D">
            <w:pPr>
              <w:spacing w:after="0" w:line="240" w:lineRule="auto"/>
              <w:rPr>
                <w:rFonts w:ascii="Aptos Narrow" w:eastAsia="Times New Roman" w:hAnsi="Aptos Narrow" w:cs="Times New Roman"/>
                <w:color w:val="000000"/>
                <w:lang w:val="sv-SE" w:eastAsia="sv-SE"/>
              </w:rPr>
            </w:pPr>
            <w:r>
              <w:rPr>
                <w:rFonts w:ascii="Aptos Narrow" w:eastAsia="Times New Roman" w:hAnsi="Aptos Narrow" w:cs="Times New Roman"/>
                <w:color w:val="000000"/>
                <w:lang w:val="sv-SE" w:eastAsia="sv-SE"/>
              </w:rPr>
              <w:t>Hypothesi</w:t>
            </w:r>
            <w:r w:rsidR="0024787E">
              <w:rPr>
                <w:rFonts w:ascii="Aptos Narrow" w:eastAsia="Times New Roman" w:hAnsi="Aptos Narrow" w:cs="Times New Roman"/>
                <w:color w:val="000000"/>
                <w:lang w:val="sv-SE" w:eastAsia="sv-SE"/>
              </w:rPr>
              <w:t>z</w:t>
            </w:r>
            <w:r w:rsidR="00AB5559">
              <w:rPr>
                <w:rFonts w:ascii="Aptos Narrow" w:eastAsia="Times New Roman" w:hAnsi="Aptos Narrow" w:cs="Times New Roman"/>
                <w:color w:val="000000"/>
                <w:lang w:val="sv-SE" w:eastAsia="sv-SE"/>
              </w:rPr>
              <w:t>ed mean difference</w:t>
            </w:r>
          </w:p>
        </w:tc>
        <w:tc>
          <w:tcPr>
            <w:tcW w:w="978" w:type="dxa"/>
            <w:tcBorders>
              <w:top w:val="nil"/>
              <w:left w:val="nil"/>
              <w:bottom w:val="nil"/>
              <w:right w:val="nil"/>
            </w:tcBorders>
            <w:noWrap/>
            <w:vAlign w:val="bottom"/>
            <w:hideMark/>
          </w:tcPr>
          <w:p w14:paraId="7209AC57"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0</w:t>
            </w:r>
          </w:p>
        </w:tc>
        <w:tc>
          <w:tcPr>
            <w:tcW w:w="978" w:type="dxa"/>
            <w:tcBorders>
              <w:top w:val="nil"/>
              <w:left w:val="nil"/>
              <w:bottom w:val="nil"/>
              <w:right w:val="nil"/>
            </w:tcBorders>
            <w:noWrap/>
            <w:vAlign w:val="bottom"/>
            <w:hideMark/>
          </w:tcPr>
          <w:p w14:paraId="782568BC"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4E2FDA20"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45CE5F2C" w14:textId="77777777" w:rsidTr="000C3F5C">
        <w:trPr>
          <w:trHeight w:val="290"/>
        </w:trPr>
        <w:tc>
          <w:tcPr>
            <w:tcW w:w="2610" w:type="dxa"/>
            <w:tcBorders>
              <w:top w:val="nil"/>
              <w:left w:val="nil"/>
              <w:bottom w:val="nil"/>
              <w:right w:val="nil"/>
            </w:tcBorders>
            <w:noWrap/>
            <w:vAlign w:val="bottom"/>
            <w:hideMark/>
          </w:tcPr>
          <w:p w14:paraId="6BAF4BBB" w14:textId="7A0519CA" w:rsidR="0007512D" w:rsidRPr="0007512D" w:rsidRDefault="00D84F94" w:rsidP="0007512D">
            <w:pPr>
              <w:spacing w:after="0" w:line="240" w:lineRule="auto"/>
              <w:rPr>
                <w:rFonts w:ascii="Aptos Narrow" w:eastAsia="Times New Roman" w:hAnsi="Aptos Narrow" w:cs="Times New Roman"/>
                <w:color w:val="000000"/>
                <w:lang w:val="sv-SE" w:eastAsia="sv-SE"/>
              </w:rPr>
            </w:pPr>
            <w:r>
              <w:rPr>
                <w:rFonts w:ascii="Aptos Narrow" w:eastAsia="Times New Roman" w:hAnsi="Aptos Narrow" w:cs="Times New Roman"/>
                <w:color w:val="000000"/>
                <w:lang w:val="sv-SE" w:eastAsia="sv-SE"/>
              </w:rPr>
              <w:t>df</w:t>
            </w:r>
          </w:p>
        </w:tc>
        <w:tc>
          <w:tcPr>
            <w:tcW w:w="978" w:type="dxa"/>
            <w:tcBorders>
              <w:top w:val="nil"/>
              <w:left w:val="nil"/>
              <w:bottom w:val="nil"/>
              <w:right w:val="nil"/>
            </w:tcBorders>
            <w:noWrap/>
            <w:vAlign w:val="bottom"/>
            <w:hideMark/>
          </w:tcPr>
          <w:p w14:paraId="3EF9249E"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13</w:t>
            </w:r>
          </w:p>
        </w:tc>
        <w:tc>
          <w:tcPr>
            <w:tcW w:w="978" w:type="dxa"/>
            <w:tcBorders>
              <w:top w:val="nil"/>
              <w:left w:val="nil"/>
              <w:bottom w:val="nil"/>
              <w:right w:val="nil"/>
            </w:tcBorders>
            <w:noWrap/>
            <w:vAlign w:val="bottom"/>
            <w:hideMark/>
          </w:tcPr>
          <w:p w14:paraId="76FE9996"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205707AE"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1EE1E01B" w14:textId="77777777" w:rsidTr="000C3F5C">
        <w:trPr>
          <w:trHeight w:val="290"/>
        </w:trPr>
        <w:tc>
          <w:tcPr>
            <w:tcW w:w="2610" w:type="dxa"/>
            <w:tcBorders>
              <w:top w:val="nil"/>
              <w:left w:val="nil"/>
              <w:bottom w:val="nil"/>
              <w:right w:val="nil"/>
            </w:tcBorders>
            <w:noWrap/>
            <w:vAlign w:val="bottom"/>
            <w:hideMark/>
          </w:tcPr>
          <w:p w14:paraId="19260755" w14:textId="5D27604C"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lastRenderedPageBreak/>
              <w:t>t-</w:t>
            </w:r>
            <w:r w:rsidR="003D3238">
              <w:rPr>
                <w:rFonts w:ascii="Aptos Narrow" w:eastAsia="Times New Roman" w:hAnsi="Aptos Narrow" w:cs="Times New Roman"/>
                <w:color w:val="000000"/>
                <w:lang w:val="sv-SE" w:eastAsia="sv-SE"/>
              </w:rPr>
              <w:t>Sta</w:t>
            </w:r>
            <w:r w:rsidRPr="0007512D">
              <w:rPr>
                <w:rFonts w:ascii="Aptos Narrow" w:eastAsia="Times New Roman" w:hAnsi="Aptos Narrow" w:cs="Times New Roman"/>
                <w:color w:val="000000"/>
                <w:lang w:val="sv-SE" w:eastAsia="sv-SE"/>
              </w:rPr>
              <w:t>t</w:t>
            </w:r>
          </w:p>
        </w:tc>
        <w:tc>
          <w:tcPr>
            <w:tcW w:w="978" w:type="dxa"/>
            <w:tcBorders>
              <w:top w:val="nil"/>
              <w:left w:val="nil"/>
              <w:bottom w:val="nil"/>
              <w:right w:val="nil"/>
            </w:tcBorders>
            <w:noWrap/>
            <w:vAlign w:val="bottom"/>
            <w:hideMark/>
          </w:tcPr>
          <w:p w14:paraId="62F41461"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-6,93213</w:t>
            </w:r>
          </w:p>
        </w:tc>
        <w:tc>
          <w:tcPr>
            <w:tcW w:w="978" w:type="dxa"/>
            <w:tcBorders>
              <w:top w:val="nil"/>
              <w:left w:val="nil"/>
              <w:bottom w:val="nil"/>
              <w:right w:val="nil"/>
            </w:tcBorders>
            <w:noWrap/>
            <w:vAlign w:val="bottom"/>
            <w:hideMark/>
          </w:tcPr>
          <w:p w14:paraId="48BEB889"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57BA3DCE"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36677121" w14:textId="77777777" w:rsidTr="000C3F5C">
        <w:trPr>
          <w:trHeight w:val="290"/>
        </w:trPr>
        <w:tc>
          <w:tcPr>
            <w:tcW w:w="2610" w:type="dxa"/>
            <w:tcBorders>
              <w:top w:val="nil"/>
              <w:left w:val="nil"/>
              <w:bottom w:val="nil"/>
              <w:right w:val="nil"/>
            </w:tcBorders>
            <w:noWrap/>
            <w:vAlign w:val="bottom"/>
            <w:hideMark/>
          </w:tcPr>
          <w:p w14:paraId="5A5F1E3C" w14:textId="1BCEBD4B" w:rsidR="0007512D" w:rsidRPr="00A7381E" w:rsidRDefault="0007512D" w:rsidP="0007512D">
            <w:pPr>
              <w:spacing w:after="0" w:line="240" w:lineRule="auto"/>
              <w:rPr>
                <w:rFonts w:ascii="Aptos Narrow" w:eastAsia="Times New Roman" w:hAnsi="Aptos Narrow" w:cs="Times New Roman"/>
                <w:color w:val="000000"/>
                <w:lang w:eastAsia="sv-SE"/>
              </w:rPr>
            </w:pPr>
            <w:r w:rsidRPr="00A7381E">
              <w:rPr>
                <w:rFonts w:ascii="Aptos Narrow" w:eastAsia="Times New Roman" w:hAnsi="Aptos Narrow" w:cs="Times New Roman"/>
                <w:color w:val="000000"/>
                <w:lang w:eastAsia="sv-SE"/>
              </w:rPr>
              <w:t xml:space="preserve">P(T&lt;=t) </w:t>
            </w:r>
            <w:r w:rsidR="00A7381E" w:rsidRPr="00A7381E">
              <w:rPr>
                <w:rFonts w:ascii="Aptos Narrow" w:eastAsia="Times New Roman" w:hAnsi="Aptos Narrow" w:cs="Times New Roman"/>
                <w:color w:val="000000"/>
                <w:lang w:eastAsia="sv-SE"/>
              </w:rPr>
              <w:t>one-tail</w:t>
            </w:r>
            <w:r w:rsidR="00151C69">
              <w:rPr>
                <w:rFonts w:ascii="Aptos Narrow" w:eastAsia="Times New Roman" w:hAnsi="Aptos Narrow" w:cs="Times New Roman"/>
                <w:color w:val="000000"/>
                <w:lang w:eastAsia="sv-SE"/>
              </w:rPr>
              <w:t>ed</w:t>
            </w:r>
          </w:p>
        </w:tc>
        <w:tc>
          <w:tcPr>
            <w:tcW w:w="978" w:type="dxa"/>
            <w:tcBorders>
              <w:top w:val="nil"/>
              <w:left w:val="nil"/>
              <w:bottom w:val="nil"/>
              <w:right w:val="nil"/>
            </w:tcBorders>
            <w:noWrap/>
            <w:vAlign w:val="bottom"/>
            <w:hideMark/>
          </w:tcPr>
          <w:p w14:paraId="0E17C701"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5,17E-06</w:t>
            </w:r>
          </w:p>
        </w:tc>
        <w:tc>
          <w:tcPr>
            <w:tcW w:w="978" w:type="dxa"/>
            <w:tcBorders>
              <w:top w:val="nil"/>
              <w:left w:val="nil"/>
              <w:bottom w:val="nil"/>
              <w:right w:val="nil"/>
            </w:tcBorders>
            <w:noWrap/>
            <w:vAlign w:val="bottom"/>
            <w:hideMark/>
          </w:tcPr>
          <w:p w14:paraId="413A37B9"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71787D2F"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69A57BE7" w14:textId="77777777" w:rsidTr="000C3F5C">
        <w:trPr>
          <w:trHeight w:val="290"/>
        </w:trPr>
        <w:tc>
          <w:tcPr>
            <w:tcW w:w="2610" w:type="dxa"/>
            <w:tcBorders>
              <w:top w:val="nil"/>
              <w:left w:val="nil"/>
              <w:bottom w:val="nil"/>
              <w:right w:val="nil"/>
            </w:tcBorders>
            <w:noWrap/>
            <w:vAlign w:val="bottom"/>
            <w:hideMark/>
          </w:tcPr>
          <w:p w14:paraId="396BDEF9" w14:textId="7C55C8DB"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t-</w:t>
            </w:r>
            <w:r w:rsidR="00A7381E">
              <w:rPr>
                <w:rFonts w:ascii="Aptos Narrow" w:eastAsia="Times New Roman" w:hAnsi="Aptos Narrow" w:cs="Times New Roman"/>
                <w:color w:val="000000"/>
                <w:lang w:val="sv-SE" w:eastAsia="sv-SE"/>
              </w:rPr>
              <w:t>critical</w:t>
            </w:r>
            <w:r w:rsidRPr="0007512D">
              <w:rPr>
                <w:rFonts w:ascii="Aptos Narrow" w:eastAsia="Times New Roman" w:hAnsi="Aptos Narrow" w:cs="Times New Roman"/>
                <w:color w:val="000000"/>
                <w:lang w:val="sv-SE" w:eastAsia="sv-SE"/>
              </w:rPr>
              <w:t xml:space="preserve"> </w:t>
            </w:r>
            <w:r w:rsidR="00A7381E">
              <w:rPr>
                <w:rFonts w:ascii="Aptos Narrow" w:eastAsia="Times New Roman" w:hAnsi="Aptos Narrow" w:cs="Times New Roman"/>
                <w:color w:val="000000"/>
                <w:lang w:val="sv-SE" w:eastAsia="sv-SE"/>
              </w:rPr>
              <w:t>one-tail</w:t>
            </w:r>
            <w:r w:rsidR="00151C69">
              <w:rPr>
                <w:rFonts w:ascii="Aptos Narrow" w:eastAsia="Times New Roman" w:hAnsi="Aptos Narrow" w:cs="Times New Roman"/>
                <w:color w:val="000000"/>
                <w:lang w:val="sv-SE" w:eastAsia="sv-SE"/>
              </w:rPr>
              <w:t>ed</w:t>
            </w:r>
          </w:p>
        </w:tc>
        <w:tc>
          <w:tcPr>
            <w:tcW w:w="978" w:type="dxa"/>
            <w:tcBorders>
              <w:top w:val="nil"/>
              <w:left w:val="nil"/>
              <w:bottom w:val="nil"/>
              <w:right w:val="nil"/>
            </w:tcBorders>
            <w:noWrap/>
            <w:vAlign w:val="bottom"/>
            <w:hideMark/>
          </w:tcPr>
          <w:p w14:paraId="7A55C414"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1,770933</w:t>
            </w:r>
          </w:p>
        </w:tc>
        <w:tc>
          <w:tcPr>
            <w:tcW w:w="978" w:type="dxa"/>
            <w:tcBorders>
              <w:top w:val="nil"/>
              <w:left w:val="nil"/>
              <w:bottom w:val="nil"/>
              <w:right w:val="nil"/>
            </w:tcBorders>
            <w:noWrap/>
            <w:vAlign w:val="bottom"/>
            <w:hideMark/>
          </w:tcPr>
          <w:p w14:paraId="47503A5C"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6BDBC871"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6961E1F0" w14:textId="77777777" w:rsidTr="000C3F5C">
        <w:trPr>
          <w:trHeight w:val="290"/>
        </w:trPr>
        <w:tc>
          <w:tcPr>
            <w:tcW w:w="2610" w:type="dxa"/>
            <w:tcBorders>
              <w:top w:val="nil"/>
              <w:left w:val="nil"/>
              <w:bottom w:val="nil"/>
              <w:right w:val="nil"/>
            </w:tcBorders>
            <w:noWrap/>
            <w:vAlign w:val="bottom"/>
            <w:hideMark/>
          </w:tcPr>
          <w:p w14:paraId="0C8F39A4" w14:textId="73138861" w:rsidR="0007512D" w:rsidRPr="00A7381E" w:rsidRDefault="0007512D" w:rsidP="0007512D">
            <w:pPr>
              <w:spacing w:after="0" w:line="240" w:lineRule="auto"/>
              <w:rPr>
                <w:rFonts w:ascii="Aptos Narrow" w:eastAsia="Times New Roman" w:hAnsi="Aptos Narrow" w:cs="Times New Roman"/>
                <w:color w:val="000000"/>
                <w:lang w:eastAsia="sv-SE"/>
              </w:rPr>
            </w:pPr>
            <w:r w:rsidRPr="00A7381E">
              <w:rPr>
                <w:rFonts w:ascii="Aptos Narrow" w:eastAsia="Times New Roman" w:hAnsi="Aptos Narrow" w:cs="Times New Roman"/>
                <w:color w:val="000000"/>
                <w:lang w:eastAsia="sv-SE"/>
              </w:rPr>
              <w:t>P(T&lt;=t) t</w:t>
            </w:r>
            <w:r w:rsidR="00A7381E" w:rsidRPr="00A7381E">
              <w:rPr>
                <w:rFonts w:ascii="Aptos Narrow" w:eastAsia="Times New Roman" w:hAnsi="Aptos Narrow" w:cs="Times New Roman"/>
                <w:color w:val="000000"/>
                <w:lang w:eastAsia="sv-SE"/>
              </w:rPr>
              <w:t>wo-tail</w:t>
            </w:r>
            <w:r w:rsidR="00151C69">
              <w:rPr>
                <w:rFonts w:ascii="Aptos Narrow" w:eastAsia="Times New Roman" w:hAnsi="Aptos Narrow" w:cs="Times New Roman"/>
                <w:color w:val="000000"/>
                <w:lang w:eastAsia="sv-SE"/>
              </w:rPr>
              <w:t>ed</w:t>
            </w:r>
          </w:p>
        </w:tc>
        <w:tc>
          <w:tcPr>
            <w:tcW w:w="978" w:type="dxa"/>
            <w:tcBorders>
              <w:top w:val="nil"/>
              <w:left w:val="nil"/>
              <w:bottom w:val="nil"/>
              <w:right w:val="nil"/>
            </w:tcBorders>
            <w:noWrap/>
            <w:vAlign w:val="bottom"/>
            <w:hideMark/>
          </w:tcPr>
          <w:p w14:paraId="6DA3118E"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1,03E-05</w:t>
            </w:r>
          </w:p>
        </w:tc>
        <w:tc>
          <w:tcPr>
            <w:tcW w:w="978" w:type="dxa"/>
            <w:tcBorders>
              <w:top w:val="nil"/>
              <w:left w:val="nil"/>
              <w:bottom w:val="nil"/>
              <w:right w:val="nil"/>
            </w:tcBorders>
            <w:noWrap/>
            <w:vAlign w:val="bottom"/>
            <w:hideMark/>
          </w:tcPr>
          <w:p w14:paraId="23E571A5"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p>
        </w:tc>
        <w:tc>
          <w:tcPr>
            <w:tcW w:w="146" w:type="dxa"/>
            <w:tcBorders>
              <w:top w:val="nil"/>
              <w:left w:val="nil"/>
              <w:bottom w:val="nil"/>
              <w:right w:val="nil"/>
            </w:tcBorders>
            <w:noWrap/>
            <w:vAlign w:val="bottom"/>
            <w:hideMark/>
          </w:tcPr>
          <w:p w14:paraId="34458090" w14:textId="77777777" w:rsidR="0007512D" w:rsidRPr="0007512D" w:rsidRDefault="0007512D" w:rsidP="0007512D">
            <w:pPr>
              <w:spacing w:after="0" w:line="240" w:lineRule="auto"/>
              <w:rPr>
                <w:rFonts w:ascii="Times New Roman" w:eastAsia="Times New Roman" w:hAnsi="Times New Roman" w:cs="Times New Roman"/>
                <w:sz w:val="20"/>
                <w:szCs w:val="20"/>
                <w:lang w:val="sv-SE" w:eastAsia="sv-SE"/>
              </w:rPr>
            </w:pPr>
          </w:p>
        </w:tc>
      </w:tr>
      <w:tr w:rsidR="0007512D" w:rsidRPr="0007512D" w14:paraId="60DC4D4A" w14:textId="77777777" w:rsidTr="000C3F5C">
        <w:trPr>
          <w:trHeight w:val="300"/>
        </w:trPr>
        <w:tc>
          <w:tcPr>
            <w:tcW w:w="2610" w:type="dxa"/>
            <w:tcBorders>
              <w:top w:val="nil"/>
              <w:left w:val="nil"/>
              <w:bottom w:val="single" w:sz="8" w:space="0" w:color="auto"/>
              <w:right w:val="nil"/>
            </w:tcBorders>
            <w:noWrap/>
            <w:vAlign w:val="bottom"/>
            <w:hideMark/>
          </w:tcPr>
          <w:p w14:paraId="6B2594EB" w14:textId="452D2797"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t-</w:t>
            </w:r>
            <w:r w:rsidR="00A7381E">
              <w:rPr>
                <w:rFonts w:ascii="Aptos Narrow" w:eastAsia="Times New Roman" w:hAnsi="Aptos Narrow" w:cs="Times New Roman"/>
                <w:color w:val="000000"/>
                <w:lang w:val="sv-SE" w:eastAsia="sv-SE"/>
              </w:rPr>
              <w:t>critical</w:t>
            </w:r>
            <w:r w:rsidRPr="0007512D">
              <w:rPr>
                <w:rFonts w:ascii="Aptos Narrow" w:eastAsia="Times New Roman" w:hAnsi="Aptos Narrow" w:cs="Times New Roman"/>
                <w:color w:val="000000"/>
                <w:lang w:val="sv-SE" w:eastAsia="sv-SE"/>
              </w:rPr>
              <w:t xml:space="preserve"> </w:t>
            </w:r>
            <w:r w:rsidR="00A7381E">
              <w:rPr>
                <w:rFonts w:ascii="Aptos Narrow" w:eastAsia="Times New Roman" w:hAnsi="Aptos Narrow" w:cs="Times New Roman"/>
                <w:color w:val="000000"/>
                <w:lang w:val="sv-SE" w:eastAsia="sv-SE"/>
              </w:rPr>
              <w:t>two-tail</w:t>
            </w:r>
            <w:r w:rsidR="00151C69">
              <w:rPr>
                <w:rFonts w:ascii="Aptos Narrow" w:eastAsia="Times New Roman" w:hAnsi="Aptos Narrow" w:cs="Times New Roman"/>
                <w:color w:val="000000"/>
                <w:lang w:val="sv-SE" w:eastAsia="sv-SE"/>
              </w:rPr>
              <w:t>ed</w:t>
            </w:r>
          </w:p>
        </w:tc>
        <w:tc>
          <w:tcPr>
            <w:tcW w:w="978" w:type="dxa"/>
            <w:tcBorders>
              <w:top w:val="nil"/>
              <w:left w:val="nil"/>
              <w:bottom w:val="single" w:sz="8" w:space="0" w:color="auto"/>
              <w:right w:val="nil"/>
            </w:tcBorders>
            <w:noWrap/>
            <w:vAlign w:val="bottom"/>
            <w:hideMark/>
          </w:tcPr>
          <w:p w14:paraId="1BCEE852" w14:textId="77777777" w:rsidR="0007512D" w:rsidRPr="0007512D" w:rsidRDefault="0007512D" w:rsidP="0007512D">
            <w:pPr>
              <w:spacing w:after="0" w:line="240" w:lineRule="auto"/>
              <w:jc w:val="right"/>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2,160369</w:t>
            </w:r>
          </w:p>
        </w:tc>
        <w:tc>
          <w:tcPr>
            <w:tcW w:w="978" w:type="dxa"/>
            <w:tcBorders>
              <w:top w:val="nil"/>
              <w:left w:val="nil"/>
              <w:bottom w:val="single" w:sz="8" w:space="0" w:color="auto"/>
              <w:right w:val="nil"/>
            </w:tcBorders>
            <w:noWrap/>
            <w:vAlign w:val="bottom"/>
            <w:hideMark/>
          </w:tcPr>
          <w:p w14:paraId="6BB34975" w14:textId="77777777" w:rsidR="0007512D" w:rsidRPr="0007512D" w:rsidRDefault="0007512D" w:rsidP="0007512D">
            <w:pPr>
              <w:spacing w:after="0" w:line="240" w:lineRule="auto"/>
              <w:rPr>
                <w:rFonts w:ascii="Aptos Narrow" w:eastAsia="Times New Roman" w:hAnsi="Aptos Narrow" w:cs="Times New Roman"/>
                <w:color w:val="000000"/>
                <w:lang w:val="sv-SE" w:eastAsia="sv-SE"/>
              </w:rPr>
            </w:pPr>
            <w:r w:rsidRPr="0007512D">
              <w:rPr>
                <w:rFonts w:ascii="Aptos Narrow" w:eastAsia="Times New Roman" w:hAnsi="Aptos Narrow" w:cs="Times New Roman"/>
                <w:color w:val="000000"/>
                <w:lang w:val="sv-SE" w:eastAsia="sv-SE"/>
              </w:rPr>
              <w:t> </w:t>
            </w:r>
          </w:p>
        </w:tc>
        <w:tc>
          <w:tcPr>
            <w:tcW w:w="146" w:type="dxa"/>
            <w:tcBorders>
              <w:top w:val="nil"/>
              <w:left w:val="nil"/>
              <w:bottom w:val="nil"/>
              <w:right w:val="nil"/>
            </w:tcBorders>
            <w:noWrap/>
            <w:vAlign w:val="bottom"/>
            <w:hideMark/>
          </w:tcPr>
          <w:p w14:paraId="58160C22" w14:textId="77777777" w:rsidR="0007512D" w:rsidRPr="0007512D" w:rsidRDefault="0007512D" w:rsidP="0007512D">
            <w:pPr>
              <w:spacing w:after="0" w:line="240" w:lineRule="auto"/>
              <w:rPr>
                <w:rFonts w:ascii="Aptos Narrow" w:eastAsia="Times New Roman" w:hAnsi="Aptos Narrow" w:cs="Times New Roman"/>
                <w:color w:val="000000"/>
                <w:lang w:val="sv-SE" w:eastAsia="sv-SE"/>
              </w:rPr>
            </w:pPr>
          </w:p>
        </w:tc>
      </w:tr>
    </w:tbl>
    <w:p w14:paraId="0C10F9F6" w14:textId="7045C3B0" w:rsidR="0011085C" w:rsidRDefault="0011085C" w:rsidP="000542D1">
      <w:pPr>
        <w:rPr>
          <w:rFonts w:ascii="Times New Roman" w:eastAsia="Times New Roman" w:hAnsi="Times New Roman" w:cs="Times New Roman"/>
          <w:sz w:val="24"/>
          <w:szCs w:val="24"/>
          <w:lang w:eastAsia="sv-SE"/>
        </w:rPr>
      </w:pPr>
    </w:p>
    <w:p w14:paraId="4BC91EA0" w14:textId="44A8A71A" w:rsidR="0031083D" w:rsidRPr="0031083D" w:rsidRDefault="00DD4D37" w:rsidP="0031083D">
      <w:pPr>
        <w:spacing w:before="100" w:beforeAutospacing="1" w:after="100" w:afterAutospacing="1"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In table 3, a</w:t>
      </w:r>
      <w:r w:rsidR="0031083D" w:rsidRPr="0031083D">
        <w:rPr>
          <w:rFonts w:ascii="Times New Roman" w:eastAsia="Times New Roman" w:hAnsi="Times New Roman" w:cs="Times New Roman"/>
          <w:sz w:val="24"/>
          <w:szCs w:val="24"/>
          <w:lang w:eastAsia="sv-SE"/>
        </w:rPr>
        <w:t xml:space="preserve"> paired-samples </w:t>
      </w:r>
      <w:r w:rsidR="0031083D" w:rsidRPr="0031083D">
        <w:rPr>
          <w:rFonts w:ascii="Times New Roman" w:eastAsia="Times New Roman" w:hAnsi="Times New Roman" w:cs="Times New Roman"/>
          <w:i/>
          <w:iCs/>
          <w:sz w:val="24"/>
          <w:szCs w:val="24"/>
          <w:lang w:eastAsia="sv-SE"/>
        </w:rPr>
        <w:t>t</w:t>
      </w:r>
      <w:r w:rsidR="0031083D" w:rsidRPr="0031083D">
        <w:rPr>
          <w:rFonts w:ascii="Times New Roman" w:eastAsia="Times New Roman" w:hAnsi="Times New Roman" w:cs="Times New Roman"/>
          <w:sz w:val="24"/>
          <w:szCs w:val="24"/>
          <w:lang w:eastAsia="sv-SE"/>
        </w:rPr>
        <w:t>-test was conducted to examine whether participation in post-secondary education differed between the first and third years following completion of secondary education. The analysis was based on 14 matched observations representing female and male students across seven disability categories: dyslexia, deafness, hearing loss, medical impairments, neurodevelopmental impairments, psychiatric disabilities, and language impairments. Mean participation increased from 39.00 students (SD = 12.17) in Year 1 to 54.93 students (SD = 10.90) in Year 3, representing a mean difference of 15.93 students.</w:t>
      </w:r>
    </w:p>
    <w:p w14:paraId="2DF637B2" w14:textId="77777777" w:rsidR="00EB4CF0" w:rsidRDefault="0031083D" w:rsidP="00BC3DF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31083D">
        <w:rPr>
          <w:rFonts w:ascii="Times New Roman" w:eastAsia="Times New Roman" w:hAnsi="Times New Roman" w:cs="Times New Roman"/>
          <w:sz w:val="24"/>
          <w:szCs w:val="24"/>
          <w:lang w:eastAsia="sv-SE"/>
        </w:rPr>
        <w:t xml:space="preserve">The difference between the two time points was statistically significant, </w:t>
      </w:r>
      <w:r w:rsidRPr="0031083D">
        <w:rPr>
          <w:rFonts w:ascii="Times New Roman" w:eastAsia="Times New Roman" w:hAnsi="Times New Roman" w:cs="Times New Roman"/>
          <w:i/>
          <w:iCs/>
          <w:sz w:val="24"/>
          <w:szCs w:val="24"/>
          <w:lang w:eastAsia="sv-SE"/>
        </w:rPr>
        <w:t>t</w:t>
      </w:r>
      <w:r w:rsidRPr="0031083D">
        <w:rPr>
          <w:rFonts w:ascii="Times New Roman" w:eastAsia="Times New Roman" w:hAnsi="Times New Roman" w:cs="Times New Roman"/>
          <w:sz w:val="24"/>
          <w:szCs w:val="24"/>
          <w:lang w:eastAsia="sv-SE"/>
        </w:rPr>
        <w:t xml:space="preserve">(13) = −6.93, </w:t>
      </w:r>
      <w:r w:rsidRPr="0031083D">
        <w:rPr>
          <w:rFonts w:ascii="Times New Roman" w:eastAsia="Times New Roman" w:hAnsi="Times New Roman" w:cs="Times New Roman"/>
          <w:i/>
          <w:iCs/>
          <w:sz w:val="24"/>
          <w:szCs w:val="24"/>
          <w:lang w:eastAsia="sv-SE"/>
        </w:rPr>
        <w:t>p</w:t>
      </w:r>
      <w:r w:rsidRPr="0031083D">
        <w:rPr>
          <w:rFonts w:ascii="Times New Roman" w:eastAsia="Times New Roman" w:hAnsi="Times New Roman" w:cs="Times New Roman"/>
          <w:sz w:val="24"/>
          <w:szCs w:val="24"/>
          <w:lang w:eastAsia="sv-SE"/>
        </w:rPr>
        <w:t xml:space="preserve"> &lt; .001, two-tailed. The null hypothesis, which stated that there was no statistically significant difference in post-secondary participation between Year 1</w:t>
      </w:r>
      <w:r w:rsidR="00AD61E1">
        <w:rPr>
          <w:rFonts w:ascii="Times New Roman" w:eastAsia="Times New Roman" w:hAnsi="Times New Roman" w:cs="Times New Roman"/>
          <w:sz w:val="24"/>
          <w:szCs w:val="24"/>
          <w:lang w:eastAsia="sv-SE"/>
        </w:rPr>
        <w:t xml:space="preserve"> (variable 1)</w:t>
      </w:r>
      <w:r w:rsidRPr="0031083D">
        <w:rPr>
          <w:rFonts w:ascii="Times New Roman" w:eastAsia="Times New Roman" w:hAnsi="Times New Roman" w:cs="Times New Roman"/>
          <w:sz w:val="24"/>
          <w:szCs w:val="24"/>
          <w:lang w:eastAsia="sv-SE"/>
        </w:rPr>
        <w:t xml:space="preserve"> and Year 3</w:t>
      </w:r>
      <w:r w:rsidR="00AD61E1">
        <w:rPr>
          <w:rFonts w:ascii="Times New Roman" w:eastAsia="Times New Roman" w:hAnsi="Times New Roman" w:cs="Times New Roman"/>
          <w:sz w:val="24"/>
          <w:szCs w:val="24"/>
          <w:lang w:eastAsia="sv-SE"/>
        </w:rPr>
        <w:t xml:space="preserve"> (variable 2)</w:t>
      </w:r>
      <w:r w:rsidRPr="0031083D">
        <w:rPr>
          <w:rFonts w:ascii="Times New Roman" w:eastAsia="Times New Roman" w:hAnsi="Times New Roman" w:cs="Times New Roman"/>
          <w:sz w:val="24"/>
          <w:szCs w:val="24"/>
          <w:lang w:eastAsia="sv-SE"/>
        </w:rPr>
        <w:t>, was therefore rejected. The findings provide evidence that participation was significantly higher in Year 3 than in Year 1 among the disability groups represented in the paired observations. This result indicates a significant difference in participation over the period examined, although it does not by itself establish why the difference occurred.</w:t>
      </w:r>
    </w:p>
    <w:p w14:paraId="71221757" w14:textId="59C36434" w:rsidR="00E20935" w:rsidRPr="00BC3DF5" w:rsidRDefault="00E20935" w:rsidP="00BC3DF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E20935">
        <w:rPr>
          <w:rFonts w:ascii="Times New Roman" w:eastAsia="Times New Roman" w:hAnsi="Times New Roman" w:cs="Times New Roman"/>
          <w:b/>
          <w:bCs/>
          <w:sz w:val="24"/>
          <w:szCs w:val="24"/>
          <w:lang w:eastAsia="sv-SE"/>
        </w:rPr>
        <w:t xml:space="preserve">Disparities in participation </w:t>
      </w:r>
      <w:r w:rsidR="0070762D">
        <w:rPr>
          <w:rFonts w:ascii="Times New Roman" w:eastAsia="Times New Roman" w:hAnsi="Times New Roman" w:cs="Times New Roman"/>
          <w:b/>
          <w:bCs/>
          <w:sz w:val="24"/>
          <w:szCs w:val="24"/>
          <w:lang w:eastAsia="sv-SE"/>
        </w:rPr>
        <w:t xml:space="preserve">by </w:t>
      </w:r>
      <w:r w:rsidR="00A84366">
        <w:rPr>
          <w:rFonts w:ascii="Times New Roman" w:eastAsia="Times New Roman" w:hAnsi="Times New Roman" w:cs="Times New Roman"/>
          <w:b/>
          <w:bCs/>
          <w:sz w:val="24"/>
          <w:szCs w:val="24"/>
          <w:lang w:eastAsia="sv-SE"/>
        </w:rPr>
        <w:t>D</w:t>
      </w:r>
      <w:r w:rsidRPr="00E20935">
        <w:rPr>
          <w:rFonts w:ascii="Times New Roman" w:eastAsia="Times New Roman" w:hAnsi="Times New Roman" w:cs="Times New Roman"/>
          <w:b/>
          <w:bCs/>
          <w:sz w:val="24"/>
          <w:szCs w:val="24"/>
          <w:lang w:eastAsia="sv-SE"/>
        </w:rPr>
        <w:t>isabilit</w:t>
      </w:r>
      <w:r w:rsidR="0070762D">
        <w:rPr>
          <w:rFonts w:ascii="Times New Roman" w:eastAsia="Times New Roman" w:hAnsi="Times New Roman" w:cs="Times New Roman"/>
          <w:b/>
          <w:bCs/>
          <w:sz w:val="24"/>
          <w:szCs w:val="24"/>
          <w:lang w:eastAsia="sv-SE"/>
        </w:rPr>
        <w:t>y type and Gender</w:t>
      </w:r>
    </w:p>
    <w:p w14:paraId="64422DD5" w14:textId="370FCFE7" w:rsidR="001E70DE" w:rsidRDefault="00B65054" w:rsidP="001E70DE">
      <w:pPr>
        <w:spacing w:line="360" w:lineRule="auto"/>
        <w:jc w:val="both"/>
        <w:rPr>
          <w:rFonts w:ascii="Times New Roman" w:eastAsia="Times New Roman" w:hAnsi="Times New Roman" w:cs="Times New Roman"/>
          <w:sz w:val="24"/>
          <w:szCs w:val="24"/>
          <w:lang w:eastAsia="sv-SE"/>
        </w:rPr>
      </w:pPr>
      <w:r w:rsidRPr="00B65054">
        <w:rPr>
          <w:rFonts w:ascii="Times New Roman" w:eastAsia="Times New Roman" w:hAnsi="Times New Roman" w:cs="Times New Roman"/>
          <w:sz w:val="24"/>
          <w:szCs w:val="24"/>
          <w:lang w:eastAsia="sv-SE"/>
        </w:rPr>
        <w:t xml:space="preserve">To examine patterns of disparity in post-secondary participation, the analysis compared participation rates across different disability types and gender over the three-year period from 2018 to 2020. The analysis focused on identifying which disability groups had the highest and lowest participation rates and, within each disability group, whether participation differed between female and male students. The analysis therefore sought to identify whether </w:t>
      </w:r>
      <w:r w:rsidR="003A31D9" w:rsidRPr="00B65054">
        <w:rPr>
          <w:rFonts w:ascii="Times New Roman" w:eastAsia="Times New Roman" w:hAnsi="Times New Roman" w:cs="Times New Roman"/>
          <w:sz w:val="24"/>
          <w:szCs w:val="24"/>
          <w:lang w:eastAsia="sv-SE"/>
        </w:rPr>
        <w:t>disability</w:t>
      </w:r>
      <w:r w:rsidRPr="00B65054">
        <w:rPr>
          <w:rFonts w:ascii="Times New Roman" w:eastAsia="Times New Roman" w:hAnsi="Times New Roman" w:cs="Times New Roman"/>
          <w:sz w:val="24"/>
          <w:szCs w:val="24"/>
          <w:lang w:eastAsia="sv-SE"/>
        </w:rPr>
        <w:t xml:space="preserve"> groups demonstrated relatively higher or lower levels of post-secondary participation and whether these patterns varied by gender.</w:t>
      </w:r>
    </w:p>
    <w:p w14:paraId="5D6BBBE0" w14:textId="77777777" w:rsidR="00BE6EAD" w:rsidRPr="001E70DE" w:rsidRDefault="00BE6EAD" w:rsidP="001E70DE">
      <w:pPr>
        <w:spacing w:line="360" w:lineRule="auto"/>
        <w:jc w:val="both"/>
        <w:rPr>
          <w:rFonts w:ascii="Times New Roman" w:eastAsia="Times New Roman" w:hAnsi="Times New Roman" w:cs="Times New Roman"/>
          <w:sz w:val="24"/>
          <w:szCs w:val="24"/>
          <w:lang w:eastAsia="sv-SE"/>
        </w:rPr>
      </w:pPr>
    </w:p>
    <w:tbl>
      <w:tblPr>
        <w:tblStyle w:val="Mellanmrkskuggning2-dekorfrg5"/>
        <w:tblpPr w:leftFromText="141" w:rightFromText="141" w:vertAnchor="page" w:horzAnchor="margin" w:tblpXSpec="center" w:tblpY="3291"/>
        <w:tblW w:w="5578" w:type="pct"/>
        <w:tblLook w:val="0660" w:firstRow="1" w:lastRow="1" w:firstColumn="0" w:lastColumn="0" w:noHBand="1" w:noVBand="1"/>
      </w:tblPr>
      <w:tblGrid>
        <w:gridCol w:w="4427"/>
        <w:gridCol w:w="1668"/>
        <w:gridCol w:w="1668"/>
        <w:gridCol w:w="2358"/>
      </w:tblGrid>
      <w:tr w:rsidR="00EE326F" w14:paraId="4E18D9D5" w14:textId="77777777" w:rsidTr="00EE326F">
        <w:trPr>
          <w:cnfStyle w:val="100000000000" w:firstRow="1" w:lastRow="0" w:firstColumn="0" w:lastColumn="0" w:oddVBand="0" w:evenVBand="0" w:oddHBand="0" w:evenHBand="0" w:firstRowFirstColumn="0" w:firstRowLastColumn="0" w:lastRowFirstColumn="0" w:lastRowLastColumn="0"/>
          <w:trHeight w:val="592"/>
        </w:trPr>
        <w:tc>
          <w:tcPr>
            <w:tcW w:w="2187" w:type="pct"/>
            <w:noWrap/>
          </w:tcPr>
          <w:p w14:paraId="3A066070" w14:textId="77777777" w:rsidR="00EE326F" w:rsidRDefault="00EE326F" w:rsidP="00EE326F">
            <w:r>
              <w:lastRenderedPageBreak/>
              <w:t>Disability type</w:t>
            </w:r>
          </w:p>
        </w:tc>
        <w:tc>
          <w:tcPr>
            <w:tcW w:w="824" w:type="pct"/>
          </w:tcPr>
          <w:p w14:paraId="21AE817B" w14:textId="77777777" w:rsidR="00EE326F" w:rsidRDefault="00EE326F" w:rsidP="00EE326F">
            <w:r>
              <w:t>Female participation (%)</w:t>
            </w:r>
          </w:p>
        </w:tc>
        <w:tc>
          <w:tcPr>
            <w:tcW w:w="824" w:type="pct"/>
          </w:tcPr>
          <w:p w14:paraId="3EAA1F87" w14:textId="77777777" w:rsidR="00EE326F" w:rsidRDefault="00EE326F" w:rsidP="00EE326F">
            <w:r>
              <w:t>Male participation (%)</w:t>
            </w:r>
          </w:p>
        </w:tc>
        <w:tc>
          <w:tcPr>
            <w:tcW w:w="1165" w:type="pct"/>
          </w:tcPr>
          <w:p w14:paraId="1F8861B3" w14:textId="77777777" w:rsidR="00EE326F" w:rsidRDefault="00EE326F" w:rsidP="00EE326F">
            <w:r>
              <w:t>gender    differences (percentage points)</w:t>
            </w:r>
          </w:p>
        </w:tc>
      </w:tr>
      <w:tr w:rsidR="00EE326F" w14:paraId="4393918D" w14:textId="77777777" w:rsidTr="00EE326F">
        <w:trPr>
          <w:trHeight w:val="289"/>
        </w:trPr>
        <w:tc>
          <w:tcPr>
            <w:tcW w:w="2187" w:type="pct"/>
            <w:noWrap/>
          </w:tcPr>
          <w:p w14:paraId="2A6996FF" w14:textId="77777777" w:rsidR="00EE326F" w:rsidRDefault="00EE326F" w:rsidP="00EE326F"/>
        </w:tc>
        <w:tc>
          <w:tcPr>
            <w:tcW w:w="824" w:type="pct"/>
          </w:tcPr>
          <w:p w14:paraId="2FD28D94" w14:textId="77777777" w:rsidR="00EE326F" w:rsidRDefault="00EE326F" w:rsidP="00EE326F">
            <w:pPr>
              <w:rPr>
                <w:rStyle w:val="Diskretbetoning"/>
              </w:rPr>
            </w:pPr>
          </w:p>
        </w:tc>
        <w:tc>
          <w:tcPr>
            <w:tcW w:w="824" w:type="pct"/>
          </w:tcPr>
          <w:p w14:paraId="3B8E318B" w14:textId="77777777" w:rsidR="00EE326F" w:rsidRDefault="00EE326F" w:rsidP="00EE326F"/>
        </w:tc>
        <w:tc>
          <w:tcPr>
            <w:tcW w:w="1165" w:type="pct"/>
          </w:tcPr>
          <w:p w14:paraId="590F85F9" w14:textId="77777777" w:rsidR="00EE326F" w:rsidRDefault="00EE326F" w:rsidP="00EE326F"/>
        </w:tc>
      </w:tr>
      <w:tr w:rsidR="00EE326F" w14:paraId="53BC8993" w14:textId="77777777" w:rsidTr="00EE326F">
        <w:trPr>
          <w:trHeight w:val="556"/>
        </w:trPr>
        <w:tc>
          <w:tcPr>
            <w:tcW w:w="2187" w:type="pct"/>
            <w:noWrap/>
          </w:tcPr>
          <w:p w14:paraId="0F439DE0" w14:textId="77777777" w:rsidR="00EE326F" w:rsidRDefault="00EE326F" w:rsidP="00EE326F">
            <w:r>
              <w:t>Dyslexia</w:t>
            </w:r>
          </w:p>
        </w:tc>
        <w:tc>
          <w:tcPr>
            <w:tcW w:w="824" w:type="pct"/>
          </w:tcPr>
          <w:p w14:paraId="300C5113" w14:textId="77777777" w:rsidR="00EE326F" w:rsidRDefault="00EE326F" w:rsidP="00EE326F">
            <w:pPr>
              <w:pStyle w:val="DecimalAligned"/>
            </w:pPr>
            <w:r>
              <w:t>56</w:t>
            </w:r>
          </w:p>
        </w:tc>
        <w:tc>
          <w:tcPr>
            <w:tcW w:w="824" w:type="pct"/>
          </w:tcPr>
          <w:p w14:paraId="638F104E" w14:textId="77777777" w:rsidR="00EE326F" w:rsidRDefault="00EE326F" w:rsidP="00EE326F">
            <w:pPr>
              <w:pStyle w:val="DecimalAligned"/>
            </w:pPr>
            <w:r>
              <w:t>44</w:t>
            </w:r>
          </w:p>
        </w:tc>
        <w:tc>
          <w:tcPr>
            <w:tcW w:w="1165" w:type="pct"/>
          </w:tcPr>
          <w:p w14:paraId="02716857" w14:textId="77777777" w:rsidR="00EE326F" w:rsidRDefault="00EE326F" w:rsidP="00EE326F">
            <w:pPr>
              <w:pStyle w:val="DecimalAligned"/>
            </w:pPr>
            <w:r>
              <w:t>12</w:t>
            </w:r>
          </w:p>
        </w:tc>
      </w:tr>
      <w:tr w:rsidR="00EE326F" w14:paraId="0DD2EA62" w14:textId="77777777" w:rsidTr="00EE326F">
        <w:trPr>
          <w:trHeight w:val="556"/>
        </w:trPr>
        <w:tc>
          <w:tcPr>
            <w:tcW w:w="2187" w:type="pct"/>
            <w:noWrap/>
          </w:tcPr>
          <w:p w14:paraId="02F6C08C" w14:textId="77777777" w:rsidR="00EE326F" w:rsidRDefault="00EE326F" w:rsidP="00EE326F">
            <w:r>
              <w:t>Deaf</w:t>
            </w:r>
          </w:p>
        </w:tc>
        <w:tc>
          <w:tcPr>
            <w:tcW w:w="824" w:type="pct"/>
          </w:tcPr>
          <w:p w14:paraId="4F4573CE" w14:textId="77777777" w:rsidR="00EE326F" w:rsidRDefault="00EE326F" w:rsidP="00EE326F">
            <w:pPr>
              <w:pStyle w:val="DecimalAligned"/>
            </w:pPr>
            <w:r>
              <w:t>68</w:t>
            </w:r>
          </w:p>
        </w:tc>
        <w:tc>
          <w:tcPr>
            <w:tcW w:w="824" w:type="pct"/>
          </w:tcPr>
          <w:p w14:paraId="3678817A" w14:textId="77777777" w:rsidR="00EE326F" w:rsidRDefault="00EE326F" w:rsidP="00EE326F">
            <w:pPr>
              <w:pStyle w:val="DecimalAligned"/>
            </w:pPr>
            <w:r>
              <w:t>32</w:t>
            </w:r>
          </w:p>
        </w:tc>
        <w:tc>
          <w:tcPr>
            <w:tcW w:w="1165" w:type="pct"/>
          </w:tcPr>
          <w:p w14:paraId="480BF56B" w14:textId="77777777" w:rsidR="00EE326F" w:rsidRDefault="00EE326F" w:rsidP="00EE326F">
            <w:pPr>
              <w:pStyle w:val="DecimalAligned"/>
            </w:pPr>
            <w:r>
              <w:t>36</w:t>
            </w:r>
          </w:p>
        </w:tc>
      </w:tr>
      <w:tr w:rsidR="00EE326F" w14:paraId="0CA082F4" w14:textId="77777777" w:rsidTr="00EE326F">
        <w:trPr>
          <w:trHeight w:val="556"/>
        </w:trPr>
        <w:tc>
          <w:tcPr>
            <w:tcW w:w="2187" w:type="pct"/>
            <w:noWrap/>
          </w:tcPr>
          <w:p w14:paraId="6F766347" w14:textId="77777777" w:rsidR="00EE326F" w:rsidRDefault="00EE326F" w:rsidP="00EE326F">
            <w:r>
              <w:t>Language impairment</w:t>
            </w:r>
          </w:p>
        </w:tc>
        <w:tc>
          <w:tcPr>
            <w:tcW w:w="824" w:type="pct"/>
          </w:tcPr>
          <w:p w14:paraId="2BCB850B" w14:textId="77777777" w:rsidR="00EE326F" w:rsidRDefault="00EE326F" w:rsidP="00EE326F">
            <w:pPr>
              <w:pStyle w:val="DecimalAligned"/>
            </w:pPr>
            <w:r>
              <w:t>38</w:t>
            </w:r>
          </w:p>
        </w:tc>
        <w:tc>
          <w:tcPr>
            <w:tcW w:w="824" w:type="pct"/>
          </w:tcPr>
          <w:p w14:paraId="39BBC05A" w14:textId="77777777" w:rsidR="00EE326F" w:rsidRDefault="00EE326F" w:rsidP="00EE326F">
            <w:pPr>
              <w:pStyle w:val="DecimalAligned"/>
            </w:pPr>
            <w:r>
              <w:t>62</w:t>
            </w:r>
          </w:p>
        </w:tc>
        <w:tc>
          <w:tcPr>
            <w:tcW w:w="1165" w:type="pct"/>
          </w:tcPr>
          <w:p w14:paraId="72CF0FDD" w14:textId="77777777" w:rsidR="00EE326F" w:rsidRDefault="00EE326F" w:rsidP="00EE326F">
            <w:pPr>
              <w:pStyle w:val="DecimalAligned"/>
            </w:pPr>
            <w:r>
              <w:t>24</w:t>
            </w:r>
          </w:p>
        </w:tc>
      </w:tr>
      <w:tr w:rsidR="00EE326F" w14:paraId="41F2953F" w14:textId="77777777" w:rsidTr="00EE326F">
        <w:trPr>
          <w:trHeight w:val="556"/>
        </w:trPr>
        <w:tc>
          <w:tcPr>
            <w:tcW w:w="2187" w:type="pct"/>
            <w:noWrap/>
          </w:tcPr>
          <w:p w14:paraId="04CC9340" w14:textId="77777777" w:rsidR="00EE326F" w:rsidRDefault="00EE326F" w:rsidP="00EE326F">
            <w:r>
              <w:t>Psychiatric disability</w:t>
            </w:r>
          </w:p>
        </w:tc>
        <w:tc>
          <w:tcPr>
            <w:tcW w:w="824" w:type="pct"/>
          </w:tcPr>
          <w:p w14:paraId="3739B21A" w14:textId="77777777" w:rsidR="00EE326F" w:rsidRDefault="00EE326F" w:rsidP="00EE326F">
            <w:pPr>
              <w:pStyle w:val="DecimalAligned"/>
            </w:pPr>
            <w:r>
              <w:t>56</w:t>
            </w:r>
          </w:p>
        </w:tc>
        <w:tc>
          <w:tcPr>
            <w:tcW w:w="824" w:type="pct"/>
          </w:tcPr>
          <w:p w14:paraId="3B725D99" w14:textId="77777777" w:rsidR="00EE326F" w:rsidRDefault="00EE326F" w:rsidP="00EE326F">
            <w:pPr>
              <w:pStyle w:val="DecimalAligned"/>
            </w:pPr>
            <w:r>
              <w:t>44</w:t>
            </w:r>
          </w:p>
        </w:tc>
        <w:tc>
          <w:tcPr>
            <w:tcW w:w="1165" w:type="pct"/>
          </w:tcPr>
          <w:p w14:paraId="2D7D7B5E" w14:textId="77777777" w:rsidR="00EE326F" w:rsidRDefault="00EE326F" w:rsidP="00EE326F">
            <w:pPr>
              <w:pStyle w:val="DecimalAligned"/>
            </w:pPr>
            <w:r>
              <w:t>12</w:t>
            </w:r>
          </w:p>
        </w:tc>
      </w:tr>
      <w:tr w:rsidR="00EE326F" w14:paraId="20C2F764" w14:textId="77777777" w:rsidTr="00EE326F">
        <w:trPr>
          <w:cnfStyle w:val="010000000000" w:firstRow="0" w:lastRow="1" w:firstColumn="0" w:lastColumn="0" w:oddVBand="0" w:evenVBand="0" w:oddHBand="0" w:evenHBand="0" w:firstRowFirstColumn="0" w:firstRowLastColumn="0" w:lastRowFirstColumn="0" w:lastRowLastColumn="0"/>
          <w:trHeight w:val="289"/>
        </w:trPr>
        <w:tc>
          <w:tcPr>
            <w:tcW w:w="2187" w:type="pct"/>
            <w:noWrap/>
          </w:tcPr>
          <w:p w14:paraId="12547266" w14:textId="77777777" w:rsidR="00EE326F" w:rsidRPr="00474378" w:rsidRDefault="00EE326F" w:rsidP="00EE326F">
            <w:pPr>
              <w:rPr>
                <w:i/>
                <w:iCs/>
              </w:rPr>
            </w:pPr>
            <w:r w:rsidRPr="00474378">
              <w:rPr>
                <w:i/>
                <w:iCs/>
              </w:rPr>
              <w:t>Note</w:t>
            </w:r>
            <w:r>
              <w:rPr>
                <w:i/>
                <w:iCs/>
              </w:rPr>
              <w:t>:</w:t>
            </w:r>
            <w:r w:rsidRPr="00474378">
              <w:rPr>
                <w:i/>
                <w:iCs/>
              </w:rPr>
              <w:t xml:space="preserve"> </w:t>
            </w:r>
            <w:r>
              <w:rPr>
                <w:i/>
                <w:iCs/>
              </w:rPr>
              <w:t>A</w:t>
            </w:r>
            <w:r w:rsidRPr="00474378">
              <w:rPr>
                <w:i/>
                <w:iCs/>
              </w:rPr>
              <w:t>ll figures above are in percentage</w:t>
            </w:r>
            <w:r>
              <w:rPr>
                <w:i/>
                <w:iCs/>
              </w:rPr>
              <w:t xml:space="preserve"> form.</w:t>
            </w:r>
          </w:p>
        </w:tc>
        <w:tc>
          <w:tcPr>
            <w:tcW w:w="824" w:type="pct"/>
          </w:tcPr>
          <w:p w14:paraId="4CB564BB" w14:textId="77777777" w:rsidR="00EE326F" w:rsidRDefault="00EE326F" w:rsidP="00EE326F">
            <w:pPr>
              <w:rPr>
                <w:rStyle w:val="Diskretbetoning"/>
              </w:rPr>
            </w:pPr>
          </w:p>
        </w:tc>
        <w:tc>
          <w:tcPr>
            <w:tcW w:w="824" w:type="pct"/>
          </w:tcPr>
          <w:p w14:paraId="65E6442E" w14:textId="77777777" w:rsidR="00EE326F" w:rsidRDefault="00EE326F" w:rsidP="00EE326F"/>
        </w:tc>
        <w:tc>
          <w:tcPr>
            <w:tcW w:w="1165" w:type="pct"/>
          </w:tcPr>
          <w:p w14:paraId="4DD28847" w14:textId="77777777" w:rsidR="00EE326F" w:rsidRDefault="00EE326F" w:rsidP="00EE326F"/>
        </w:tc>
      </w:tr>
    </w:tbl>
    <w:p w14:paraId="3A998EF1" w14:textId="168A3C35" w:rsidR="00B16B8F" w:rsidRDefault="001E70DE">
      <w:pPr>
        <w:rPr>
          <w:rFonts w:ascii="Times New Roman" w:hAnsi="Times New Roman" w:cs="Times New Roman"/>
          <w:sz w:val="24"/>
          <w:szCs w:val="24"/>
        </w:rPr>
      </w:pPr>
      <w:r>
        <w:rPr>
          <w:rFonts w:ascii="Times New Roman" w:hAnsi="Times New Roman" w:cs="Times New Roman"/>
          <w:sz w:val="24"/>
          <w:szCs w:val="24"/>
        </w:rPr>
        <w:t>Table 4: Descriptive comparison from 2018-2020</w:t>
      </w:r>
    </w:p>
    <w:p w14:paraId="3464A276" w14:textId="77777777" w:rsidR="00BE6EAD" w:rsidRDefault="00BE6EAD" w:rsidP="009E286B">
      <w:pPr>
        <w:spacing w:before="100" w:beforeAutospacing="1" w:after="100" w:afterAutospacing="1" w:line="240" w:lineRule="auto"/>
        <w:rPr>
          <w:rFonts w:ascii="Times New Roman" w:hAnsi="Times New Roman" w:cs="Times New Roman"/>
          <w:sz w:val="24"/>
          <w:szCs w:val="24"/>
        </w:rPr>
      </w:pPr>
    </w:p>
    <w:p w14:paraId="52AD06EA" w14:textId="77777777" w:rsidR="00F32A5D" w:rsidRDefault="00F32A5D" w:rsidP="009E286B">
      <w:pPr>
        <w:spacing w:before="100" w:beforeAutospacing="1" w:after="100" w:afterAutospacing="1" w:line="240" w:lineRule="auto"/>
        <w:rPr>
          <w:rFonts w:ascii="Times New Roman" w:hAnsi="Times New Roman" w:cs="Times New Roman"/>
          <w:sz w:val="24"/>
          <w:szCs w:val="24"/>
        </w:rPr>
      </w:pPr>
    </w:p>
    <w:p w14:paraId="41419F67" w14:textId="77777777" w:rsidR="00F32A5D" w:rsidRDefault="00F32A5D" w:rsidP="009E286B">
      <w:pPr>
        <w:spacing w:before="100" w:beforeAutospacing="1" w:after="100" w:afterAutospacing="1" w:line="240" w:lineRule="auto"/>
        <w:rPr>
          <w:rFonts w:ascii="Times New Roman" w:hAnsi="Times New Roman" w:cs="Times New Roman"/>
          <w:sz w:val="24"/>
          <w:szCs w:val="24"/>
        </w:rPr>
      </w:pPr>
    </w:p>
    <w:p w14:paraId="75AC2233" w14:textId="77777777" w:rsidR="00F32A5D" w:rsidRDefault="00F32A5D" w:rsidP="009E286B">
      <w:pPr>
        <w:spacing w:before="100" w:beforeAutospacing="1" w:after="100" w:afterAutospacing="1" w:line="240" w:lineRule="auto"/>
        <w:rPr>
          <w:rFonts w:ascii="Times New Roman" w:hAnsi="Times New Roman" w:cs="Times New Roman"/>
          <w:sz w:val="24"/>
          <w:szCs w:val="24"/>
        </w:rPr>
      </w:pPr>
    </w:p>
    <w:p w14:paraId="5A02BF33" w14:textId="0D8D02AB" w:rsidR="00C70DD2" w:rsidRPr="00C70DD2" w:rsidRDefault="00C8336A" w:rsidP="009E286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Table 5: </w:t>
      </w:r>
      <w:r w:rsidR="00C70DD2" w:rsidRPr="00C70DD2">
        <w:rPr>
          <w:rFonts w:ascii="Times New Roman" w:hAnsi="Times New Roman" w:cs="Times New Roman"/>
          <w:sz w:val="24"/>
          <w:szCs w:val="24"/>
        </w:rPr>
        <w:t>Post-secondary participation by disability type and gender, 2018–2020</w:t>
      </w:r>
    </w:p>
    <w:p w14:paraId="52C892FB" w14:textId="24670F33" w:rsidR="00C5048D" w:rsidRPr="00F803A4" w:rsidRDefault="004C2C7A" w:rsidP="00C5048D">
      <w:pPr>
        <w:pStyle w:val="pdq2pgselectionanchorcontainer"/>
        <w:rPr>
          <w:lang w:val="en-GB"/>
        </w:rPr>
      </w:pPr>
      <w:r>
        <w:rPr>
          <w:noProof/>
        </w:rPr>
        <w:drawing>
          <wp:anchor distT="0" distB="0" distL="114300" distR="114300" simplePos="0" relativeHeight="251658240" behindDoc="0" locked="0" layoutInCell="1" allowOverlap="1" wp14:anchorId="0418E9E5" wp14:editId="10F098A8">
            <wp:simplePos x="898497" y="4015409"/>
            <wp:positionH relativeFrom="column">
              <wp:align>left</wp:align>
            </wp:positionH>
            <wp:positionV relativeFrom="paragraph">
              <wp:align>top</wp:align>
            </wp:positionV>
            <wp:extent cx="5486400" cy="3200400"/>
            <wp:effectExtent l="0" t="0" r="0" b="0"/>
            <wp:wrapSquare wrapText="bothSides"/>
            <wp:docPr id="644311441" name="Diagram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45565B" w:rsidRPr="00F803A4">
        <w:rPr>
          <w:lang w:val="en-GB"/>
        </w:rPr>
        <w:br w:type="textWrapping" w:clear="all"/>
      </w:r>
      <w:r w:rsidR="00A974EE">
        <w:rPr>
          <w:lang w:val="en-GB"/>
        </w:rPr>
        <w:t>D</w:t>
      </w:r>
      <w:r w:rsidR="00BB2CE0">
        <w:rPr>
          <w:lang w:val="en-GB"/>
        </w:rPr>
        <w:t xml:space="preserve">isability type and </w:t>
      </w:r>
      <w:r w:rsidR="00A974EE">
        <w:rPr>
          <w:lang w:val="en-GB"/>
        </w:rPr>
        <w:t>G</w:t>
      </w:r>
      <w:r w:rsidR="00BB2CE0">
        <w:rPr>
          <w:lang w:val="en-GB"/>
        </w:rPr>
        <w:t>ender co</w:t>
      </w:r>
      <w:r w:rsidR="00A974EE">
        <w:rPr>
          <w:lang w:val="en-GB"/>
        </w:rPr>
        <w:t>mparisons</w:t>
      </w:r>
    </w:p>
    <w:p w14:paraId="73BB9B65" w14:textId="77777777" w:rsidR="00C5048D" w:rsidRPr="00B11CFA" w:rsidRDefault="00C5048D" w:rsidP="00125F9A">
      <w:pPr>
        <w:spacing w:before="100" w:beforeAutospacing="1" w:after="100" w:afterAutospacing="1" w:line="240" w:lineRule="auto"/>
        <w:ind w:left="720"/>
        <w:rPr>
          <w:rFonts w:ascii="Times New Roman" w:eastAsia="Times New Roman" w:hAnsi="Times New Roman" w:cs="Times New Roman"/>
          <w:sz w:val="24"/>
          <w:szCs w:val="24"/>
          <w:lang w:eastAsia="sv-SE"/>
        </w:rPr>
      </w:pPr>
      <w:r w:rsidRPr="00B11CFA">
        <w:rPr>
          <w:rFonts w:ascii="Times New Roman" w:eastAsia="Times New Roman" w:hAnsi="Times New Roman" w:cs="Times New Roman"/>
          <w:b/>
          <w:bCs/>
          <w:sz w:val="24"/>
          <w:szCs w:val="24"/>
          <w:lang w:eastAsia="sv-SE"/>
        </w:rPr>
        <w:t>Differences between disability groups</w:t>
      </w:r>
      <w:r w:rsidRPr="00B11CFA">
        <w:rPr>
          <w:rFonts w:ascii="Times New Roman" w:eastAsia="Times New Roman" w:hAnsi="Times New Roman" w:cs="Times New Roman"/>
          <w:sz w:val="24"/>
          <w:szCs w:val="24"/>
          <w:lang w:eastAsia="sv-SE"/>
        </w:rPr>
        <w:t xml:space="preserve"> </w:t>
      </w:r>
    </w:p>
    <w:p w14:paraId="7F456753" w14:textId="77777777" w:rsidR="00C5048D" w:rsidRPr="00125F9A" w:rsidRDefault="00C5048D">
      <w:pPr>
        <w:pStyle w:val="Liststycke"/>
        <w:numPr>
          <w:ilvl w:val="0"/>
          <w:numId w:val="1"/>
        </w:numPr>
        <w:spacing w:before="100" w:beforeAutospacing="1" w:after="100" w:afterAutospacing="1" w:line="240" w:lineRule="auto"/>
        <w:rPr>
          <w:rFonts w:ascii="Times New Roman" w:eastAsia="Times New Roman" w:hAnsi="Times New Roman" w:cs="Times New Roman"/>
          <w:sz w:val="24"/>
          <w:szCs w:val="24"/>
          <w:lang w:eastAsia="sv-SE"/>
        </w:rPr>
      </w:pPr>
      <w:r w:rsidRPr="00125F9A">
        <w:rPr>
          <w:rFonts w:ascii="Times New Roman" w:eastAsia="Times New Roman" w:hAnsi="Times New Roman" w:cs="Times New Roman"/>
          <w:sz w:val="24"/>
          <w:szCs w:val="24"/>
          <w:lang w:eastAsia="sv-SE"/>
        </w:rPr>
        <w:lastRenderedPageBreak/>
        <w:t xml:space="preserve">Deaf students have the highest female participation (68%). </w:t>
      </w:r>
    </w:p>
    <w:p w14:paraId="2499E240" w14:textId="77777777" w:rsidR="00C5048D" w:rsidRPr="00125F9A" w:rsidRDefault="00C5048D">
      <w:pPr>
        <w:pStyle w:val="Liststycke"/>
        <w:numPr>
          <w:ilvl w:val="0"/>
          <w:numId w:val="1"/>
        </w:numPr>
        <w:spacing w:before="100" w:beforeAutospacing="1" w:after="100" w:afterAutospacing="1" w:line="240" w:lineRule="auto"/>
        <w:rPr>
          <w:rFonts w:ascii="Times New Roman" w:eastAsia="Times New Roman" w:hAnsi="Times New Roman" w:cs="Times New Roman"/>
          <w:sz w:val="24"/>
          <w:szCs w:val="24"/>
          <w:lang w:eastAsia="sv-SE"/>
        </w:rPr>
      </w:pPr>
      <w:r w:rsidRPr="00125F9A">
        <w:rPr>
          <w:rFonts w:ascii="Times New Roman" w:eastAsia="Times New Roman" w:hAnsi="Times New Roman" w:cs="Times New Roman"/>
          <w:sz w:val="24"/>
          <w:szCs w:val="24"/>
          <w:lang w:eastAsia="sv-SE"/>
        </w:rPr>
        <w:t xml:space="preserve">Language impairment has the lowest female participation (38%). </w:t>
      </w:r>
    </w:p>
    <w:p w14:paraId="3E8977E8" w14:textId="77777777" w:rsidR="00C5048D" w:rsidRPr="00C5048D" w:rsidRDefault="00C5048D" w:rsidP="00830A6D">
      <w:pPr>
        <w:spacing w:before="100" w:beforeAutospacing="1" w:after="100" w:afterAutospacing="1" w:line="240" w:lineRule="auto"/>
        <w:ind w:left="720"/>
        <w:rPr>
          <w:rFonts w:ascii="Times New Roman" w:eastAsia="Times New Roman" w:hAnsi="Times New Roman" w:cs="Times New Roman"/>
          <w:sz w:val="24"/>
          <w:szCs w:val="24"/>
          <w:lang w:val="sv-SE" w:eastAsia="sv-SE"/>
        </w:rPr>
      </w:pPr>
      <w:r w:rsidRPr="00C5048D">
        <w:rPr>
          <w:rFonts w:ascii="Times New Roman" w:eastAsia="Times New Roman" w:hAnsi="Times New Roman" w:cs="Times New Roman"/>
          <w:b/>
          <w:bCs/>
          <w:sz w:val="24"/>
          <w:szCs w:val="24"/>
          <w:lang w:val="sv-SE" w:eastAsia="sv-SE"/>
        </w:rPr>
        <w:t>Gender differences within disability groups</w:t>
      </w:r>
      <w:r w:rsidRPr="00C5048D">
        <w:rPr>
          <w:rFonts w:ascii="Times New Roman" w:eastAsia="Times New Roman" w:hAnsi="Times New Roman" w:cs="Times New Roman"/>
          <w:sz w:val="24"/>
          <w:szCs w:val="24"/>
          <w:lang w:val="sv-SE" w:eastAsia="sv-SE"/>
        </w:rPr>
        <w:t xml:space="preserve"> </w:t>
      </w:r>
    </w:p>
    <w:p w14:paraId="3AC9E423" w14:textId="77777777" w:rsidR="00C5048D" w:rsidRPr="00830A6D" w:rsidRDefault="00C5048D">
      <w:pPr>
        <w:pStyle w:val="Liststycke"/>
        <w:numPr>
          <w:ilvl w:val="0"/>
          <w:numId w:val="2"/>
        </w:numPr>
        <w:spacing w:before="100" w:beforeAutospacing="1" w:after="100" w:afterAutospacing="1" w:line="240" w:lineRule="auto"/>
        <w:rPr>
          <w:rFonts w:ascii="Times New Roman" w:eastAsia="Times New Roman" w:hAnsi="Times New Roman" w:cs="Times New Roman"/>
          <w:sz w:val="24"/>
          <w:szCs w:val="24"/>
          <w:lang w:eastAsia="sv-SE"/>
        </w:rPr>
      </w:pPr>
      <w:r w:rsidRPr="00830A6D">
        <w:rPr>
          <w:rFonts w:ascii="Times New Roman" w:eastAsia="Times New Roman" w:hAnsi="Times New Roman" w:cs="Times New Roman"/>
          <w:sz w:val="24"/>
          <w:szCs w:val="24"/>
          <w:lang w:eastAsia="sv-SE"/>
        </w:rPr>
        <w:t xml:space="preserve">Female participation is higher for dyslexia, deafness, and psychiatric disability. </w:t>
      </w:r>
    </w:p>
    <w:p w14:paraId="6E41D8EC" w14:textId="77777777" w:rsidR="00C5048D" w:rsidRPr="00830A6D" w:rsidRDefault="00C5048D">
      <w:pPr>
        <w:pStyle w:val="Liststycke"/>
        <w:numPr>
          <w:ilvl w:val="0"/>
          <w:numId w:val="2"/>
        </w:numPr>
        <w:spacing w:before="100" w:beforeAutospacing="1" w:after="100" w:afterAutospacing="1" w:line="240" w:lineRule="auto"/>
        <w:rPr>
          <w:rFonts w:ascii="Times New Roman" w:eastAsia="Times New Roman" w:hAnsi="Times New Roman" w:cs="Times New Roman"/>
          <w:sz w:val="24"/>
          <w:szCs w:val="24"/>
          <w:lang w:eastAsia="sv-SE"/>
        </w:rPr>
      </w:pPr>
      <w:r w:rsidRPr="00830A6D">
        <w:rPr>
          <w:rFonts w:ascii="Times New Roman" w:eastAsia="Times New Roman" w:hAnsi="Times New Roman" w:cs="Times New Roman"/>
          <w:sz w:val="24"/>
          <w:szCs w:val="24"/>
          <w:lang w:eastAsia="sv-SE"/>
        </w:rPr>
        <w:t xml:space="preserve">Male participation is higher for language impairment. </w:t>
      </w:r>
    </w:p>
    <w:p w14:paraId="6F2BB723" w14:textId="77777777" w:rsidR="00C5048D" w:rsidRPr="00C5048D" w:rsidRDefault="00C5048D" w:rsidP="00830A6D">
      <w:pPr>
        <w:spacing w:before="100" w:beforeAutospacing="1" w:after="100" w:afterAutospacing="1" w:line="240" w:lineRule="auto"/>
        <w:ind w:left="720"/>
        <w:rPr>
          <w:rFonts w:ascii="Times New Roman" w:eastAsia="Times New Roman" w:hAnsi="Times New Roman" w:cs="Times New Roman"/>
          <w:sz w:val="24"/>
          <w:szCs w:val="24"/>
          <w:lang w:val="sv-SE" w:eastAsia="sv-SE"/>
        </w:rPr>
      </w:pPr>
      <w:r w:rsidRPr="00C5048D">
        <w:rPr>
          <w:rFonts w:ascii="Times New Roman" w:eastAsia="Times New Roman" w:hAnsi="Times New Roman" w:cs="Times New Roman"/>
          <w:b/>
          <w:bCs/>
          <w:sz w:val="24"/>
          <w:szCs w:val="24"/>
          <w:lang w:val="sv-SE" w:eastAsia="sv-SE"/>
        </w:rPr>
        <w:t>Magnitude of the gender difference</w:t>
      </w:r>
      <w:r w:rsidRPr="00C5048D">
        <w:rPr>
          <w:rFonts w:ascii="Times New Roman" w:eastAsia="Times New Roman" w:hAnsi="Times New Roman" w:cs="Times New Roman"/>
          <w:sz w:val="24"/>
          <w:szCs w:val="24"/>
          <w:lang w:val="sv-SE" w:eastAsia="sv-SE"/>
        </w:rPr>
        <w:t xml:space="preserve"> </w:t>
      </w:r>
    </w:p>
    <w:p w14:paraId="7B1DBF02" w14:textId="77777777" w:rsidR="00C5048D" w:rsidRPr="00830A6D" w:rsidRDefault="00C5048D">
      <w:pPr>
        <w:pStyle w:val="Liststycke"/>
        <w:numPr>
          <w:ilvl w:val="0"/>
          <w:numId w:val="3"/>
        </w:numPr>
        <w:spacing w:before="100" w:beforeAutospacing="1" w:after="100" w:afterAutospacing="1" w:line="240" w:lineRule="auto"/>
        <w:rPr>
          <w:rFonts w:ascii="Times New Roman" w:eastAsia="Times New Roman" w:hAnsi="Times New Roman" w:cs="Times New Roman"/>
          <w:sz w:val="24"/>
          <w:szCs w:val="24"/>
          <w:lang w:eastAsia="sv-SE"/>
        </w:rPr>
      </w:pPr>
      <w:r w:rsidRPr="00830A6D">
        <w:rPr>
          <w:rFonts w:ascii="Times New Roman" w:eastAsia="Times New Roman" w:hAnsi="Times New Roman" w:cs="Times New Roman"/>
          <w:sz w:val="24"/>
          <w:szCs w:val="24"/>
          <w:lang w:eastAsia="sv-SE"/>
        </w:rPr>
        <w:t xml:space="preserve">The difference is particularly large for deaf students (36 percentage points). </w:t>
      </w:r>
    </w:p>
    <w:p w14:paraId="3F35B553" w14:textId="77777777" w:rsidR="00C5048D" w:rsidRPr="00830A6D" w:rsidRDefault="00C5048D">
      <w:pPr>
        <w:pStyle w:val="Liststycke"/>
        <w:numPr>
          <w:ilvl w:val="0"/>
          <w:numId w:val="3"/>
        </w:numPr>
        <w:spacing w:before="100" w:beforeAutospacing="1" w:after="100" w:afterAutospacing="1" w:line="240" w:lineRule="auto"/>
        <w:rPr>
          <w:rFonts w:ascii="Times New Roman" w:eastAsia="Times New Roman" w:hAnsi="Times New Roman" w:cs="Times New Roman"/>
          <w:sz w:val="24"/>
          <w:szCs w:val="24"/>
          <w:lang w:eastAsia="sv-SE"/>
        </w:rPr>
      </w:pPr>
      <w:r w:rsidRPr="00830A6D">
        <w:rPr>
          <w:rFonts w:ascii="Times New Roman" w:eastAsia="Times New Roman" w:hAnsi="Times New Roman" w:cs="Times New Roman"/>
          <w:sz w:val="24"/>
          <w:szCs w:val="24"/>
          <w:lang w:eastAsia="sv-SE"/>
        </w:rPr>
        <w:t>It is smaller for dyslexia and psychiatric disability (12 percentage points).</w:t>
      </w:r>
    </w:p>
    <w:p w14:paraId="2FB96CD7" w14:textId="0A7A05E6" w:rsidR="00C70DD2" w:rsidRDefault="00C70DD2" w:rsidP="009E286B">
      <w:pPr>
        <w:spacing w:before="100" w:beforeAutospacing="1" w:after="100" w:afterAutospacing="1" w:line="240" w:lineRule="auto"/>
        <w:rPr>
          <w:rFonts w:ascii="Times New Roman" w:eastAsia="Times New Roman" w:hAnsi="Times New Roman" w:cs="Times New Roman"/>
          <w:sz w:val="24"/>
          <w:szCs w:val="24"/>
          <w:lang w:eastAsia="sv-SE"/>
        </w:rPr>
      </w:pPr>
    </w:p>
    <w:p w14:paraId="45EE0DE3" w14:textId="10738214" w:rsidR="009E286B" w:rsidRPr="0070762D" w:rsidRDefault="0065411D" w:rsidP="008D10C5">
      <w:pPr>
        <w:spacing w:before="100" w:beforeAutospacing="1" w:after="100" w:afterAutospacing="1"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 xml:space="preserve">In table 4 </w:t>
      </w:r>
      <w:r w:rsidR="007336D6">
        <w:rPr>
          <w:rFonts w:ascii="Times New Roman" w:eastAsia="Times New Roman" w:hAnsi="Times New Roman" w:cs="Times New Roman"/>
          <w:sz w:val="24"/>
          <w:szCs w:val="24"/>
          <w:lang w:eastAsia="sv-SE"/>
        </w:rPr>
        <w:t>&amp; 5, t</w:t>
      </w:r>
      <w:r w:rsidR="009E286B" w:rsidRPr="0070762D">
        <w:rPr>
          <w:rFonts w:ascii="Times New Roman" w:eastAsia="Times New Roman" w:hAnsi="Times New Roman" w:cs="Times New Roman"/>
          <w:sz w:val="24"/>
          <w:szCs w:val="24"/>
          <w:lang w:eastAsia="sv-SE"/>
        </w:rPr>
        <w:t>he descriptive results indicate differences in post-secondary participation across disability types and gender. Female participation was higher than male participation in three of the four disability groups examined. Among students with dyslexia, female participation was 56%, compared with 44% among males, representing a difference of 12 percentage points. Among deaf students, female participation was 68%, compared with 32% among males, resulting in the largest gender difference of 36 percentage points. Similarly, among students with psychiatric disabilities, female participation was 56%, compared with 44% among males, also representing a difference of 12 percentage points.</w:t>
      </w:r>
    </w:p>
    <w:p w14:paraId="5897914F" w14:textId="77777777" w:rsidR="009E286B" w:rsidRPr="0070762D" w:rsidRDefault="009E286B" w:rsidP="008D10C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0762D">
        <w:rPr>
          <w:rFonts w:ascii="Times New Roman" w:eastAsia="Times New Roman" w:hAnsi="Times New Roman" w:cs="Times New Roman"/>
          <w:sz w:val="24"/>
          <w:szCs w:val="24"/>
          <w:lang w:eastAsia="sv-SE"/>
        </w:rPr>
        <w:t>In contrast, students with language impairment showed a different pattern. Male participation was 62%, compared with 38% among females, representing a difference of 24 percentage points. Thus, female participation was higher among students with dyslexia, deafness, and psychiatric disabilities, whereas male participation was higher among students with language impairment. This indicates that the gender pattern was not consistent across the disability groups.</w:t>
      </w:r>
    </w:p>
    <w:p w14:paraId="49AE675B" w14:textId="77777777" w:rsidR="009E286B" w:rsidRPr="0070762D" w:rsidRDefault="009E286B" w:rsidP="008D10C5">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0762D">
        <w:rPr>
          <w:rFonts w:ascii="Times New Roman" w:eastAsia="Times New Roman" w:hAnsi="Times New Roman" w:cs="Times New Roman"/>
          <w:sz w:val="24"/>
          <w:szCs w:val="24"/>
          <w:lang w:eastAsia="sv-SE"/>
        </w:rPr>
        <w:t>The magnitude of the gender differences also varied across disability types. The largest difference was observed among deaf students, at 36 percentage points, followed by students with language impairment, at 24 percentage points. The smallest differences were observed among students with dyslexia and psychiatric disabilities, at 12 percentage points each. These descriptive patterns indicate that differences in participation varied according to both disability type and gender.</w:t>
      </w:r>
    </w:p>
    <w:p w14:paraId="42BFD7DD" w14:textId="77777777" w:rsidR="009E286B" w:rsidRPr="0070762D" w:rsidRDefault="009E286B" w:rsidP="00601CDD">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0762D">
        <w:rPr>
          <w:rFonts w:ascii="Times New Roman" w:eastAsia="Times New Roman" w:hAnsi="Times New Roman" w:cs="Times New Roman"/>
          <w:sz w:val="24"/>
          <w:szCs w:val="24"/>
          <w:lang w:eastAsia="sv-SE"/>
        </w:rPr>
        <w:lastRenderedPageBreak/>
        <w:t>The mean participation across the four disability categories was 54.5% for females and 45.5% for males, giving an overall difference of 9 percentage points between the two gender groups. However, these means represent the unweighted average of the four disability-group percentages and should therefore be interpreted as descriptive averages rather than overall participation rates for the entire sample.</w:t>
      </w:r>
    </w:p>
    <w:p w14:paraId="38724778" w14:textId="6BF97F0A" w:rsidR="00360FDB" w:rsidRPr="0070762D" w:rsidRDefault="009E286B" w:rsidP="00D668AD">
      <w:pPr>
        <w:spacing w:before="100" w:beforeAutospacing="1" w:after="100" w:afterAutospacing="1" w:line="360" w:lineRule="auto"/>
        <w:jc w:val="both"/>
        <w:rPr>
          <w:rFonts w:ascii="Times New Roman" w:eastAsia="Times New Roman" w:hAnsi="Times New Roman" w:cs="Times New Roman"/>
          <w:sz w:val="24"/>
          <w:szCs w:val="24"/>
          <w:lang w:eastAsia="sv-SE"/>
        </w:rPr>
      </w:pPr>
      <w:r w:rsidRPr="0070762D">
        <w:rPr>
          <w:rFonts w:ascii="Times New Roman" w:eastAsia="Times New Roman" w:hAnsi="Times New Roman" w:cs="Times New Roman"/>
          <w:sz w:val="24"/>
          <w:szCs w:val="24"/>
          <w:lang w:eastAsia="sv-SE"/>
        </w:rPr>
        <w:t>Taken together, the descriptive results suggest a pattern in which gender differences in post-secondary participation vary across disability types. In particular, the direction of the gender difference changes for students with language impairment, where male participation exceeds female participation. The findings therefore indicate variation in participation across the intersection of disability type and gender. These descriptive results do not, however, establish whether the observed differences are statistically significant.</w:t>
      </w:r>
    </w:p>
    <w:p w14:paraId="5FE6F52F" w14:textId="77777777" w:rsidR="00E40F99" w:rsidRDefault="00E40F99" w:rsidP="00360FDB">
      <w:pPr>
        <w:pStyle w:val="Fotnotstext"/>
        <w:rPr>
          <w:rFonts w:ascii="Times New Roman" w:hAnsi="Times New Roman"/>
          <w:b/>
          <w:bCs/>
          <w:sz w:val="24"/>
          <w:szCs w:val="24"/>
          <w:lang w:val="en-GB"/>
        </w:rPr>
      </w:pPr>
    </w:p>
    <w:p w14:paraId="6DD2593C" w14:textId="08B697B7" w:rsidR="00360FDB" w:rsidRDefault="00360FDB" w:rsidP="00360FDB">
      <w:pPr>
        <w:pStyle w:val="Fotnotstext"/>
        <w:rPr>
          <w:rFonts w:ascii="Times New Roman" w:hAnsi="Times New Roman"/>
          <w:b/>
          <w:bCs/>
          <w:sz w:val="24"/>
          <w:szCs w:val="24"/>
          <w:lang w:val="en-GB"/>
        </w:rPr>
      </w:pPr>
      <w:r w:rsidRPr="00196B2D">
        <w:rPr>
          <w:rFonts w:ascii="Times New Roman" w:hAnsi="Times New Roman"/>
          <w:b/>
          <w:bCs/>
          <w:sz w:val="24"/>
          <w:szCs w:val="24"/>
          <w:lang w:val="en-GB"/>
        </w:rPr>
        <w:t xml:space="preserve">Participation changes </w:t>
      </w:r>
      <w:r w:rsidR="000F4ED7">
        <w:rPr>
          <w:rFonts w:ascii="Times New Roman" w:hAnsi="Times New Roman"/>
          <w:b/>
          <w:bCs/>
          <w:sz w:val="24"/>
          <w:szCs w:val="24"/>
          <w:lang w:val="en-GB"/>
        </w:rPr>
        <w:t>upon</w:t>
      </w:r>
      <w:r w:rsidRPr="00196B2D">
        <w:rPr>
          <w:rFonts w:ascii="Times New Roman" w:hAnsi="Times New Roman"/>
          <w:b/>
          <w:bCs/>
          <w:sz w:val="24"/>
          <w:szCs w:val="24"/>
          <w:lang w:val="en-GB"/>
        </w:rPr>
        <w:t xml:space="preserve"> completion of </w:t>
      </w:r>
      <w:r w:rsidR="00151C69" w:rsidRPr="00196B2D">
        <w:rPr>
          <w:rFonts w:ascii="Times New Roman" w:hAnsi="Times New Roman"/>
          <w:b/>
          <w:bCs/>
          <w:sz w:val="24"/>
          <w:szCs w:val="24"/>
          <w:lang w:val="en-GB"/>
        </w:rPr>
        <w:t>secondary</w:t>
      </w:r>
      <w:r w:rsidRPr="00196B2D">
        <w:rPr>
          <w:rFonts w:ascii="Times New Roman" w:hAnsi="Times New Roman"/>
          <w:b/>
          <w:bCs/>
          <w:sz w:val="24"/>
          <w:szCs w:val="24"/>
          <w:lang w:val="en-GB"/>
        </w:rPr>
        <w:t xml:space="preserve"> school education</w:t>
      </w:r>
    </w:p>
    <w:p w14:paraId="27C4D54B" w14:textId="77777777" w:rsidR="00DF1FB2" w:rsidRPr="00196B2D" w:rsidRDefault="00DF1FB2" w:rsidP="00360FDB">
      <w:pPr>
        <w:pStyle w:val="Fotnotstext"/>
        <w:rPr>
          <w:rFonts w:ascii="Times New Roman" w:hAnsi="Times New Roman"/>
          <w:b/>
          <w:bCs/>
          <w:sz w:val="24"/>
          <w:szCs w:val="24"/>
          <w:lang w:val="en-GB"/>
        </w:rPr>
      </w:pPr>
    </w:p>
    <w:p w14:paraId="4A52E119" w14:textId="33FC36E2" w:rsidR="00E20935" w:rsidRDefault="006C09C1" w:rsidP="00360FDB">
      <w:pPr>
        <w:pStyle w:val="Fotnotstext"/>
        <w:rPr>
          <w:rFonts w:ascii="Times New Roman" w:eastAsia="Times New Roman" w:hAnsi="Times New Roman"/>
          <w:sz w:val="24"/>
          <w:szCs w:val="24"/>
          <w:lang w:val="en-GB"/>
        </w:rPr>
      </w:pPr>
      <w:r w:rsidRPr="00360FDB">
        <w:rPr>
          <w:rFonts w:ascii="Times New Roman" w:eastAsia="Times New Roman" w:hAnsi="Times New Roman"/>
          <w:sz w:val="24"/>
          <w:szCs w:val="24"/>
          <w:lang w:val="en-GB"/>
        </w:rPr>
        <w:t>To what extent does post-secondary participation change between the first and third years following completion of secondary education?</w:t>
      </w:r>
    </w:p>
    <w:p w14:paraId="7F2A6F40" w14:textId="77777777" w:rsidR="00C74531" w:rsidRDefault="00C74531" w:rsidP="00360FDB">
      <w:pPr>
        <w:pStyle w:val="Fotnotstext"/>
        <w:rPr>
          <w:rFonts w:ascii="Times New Roman" w:eastAsia="Times New Roman" w:hAnsi="Times New Roman"/>
          <w:sz w:val="24"/>
          <w:szCs w:val="24"/>
          <w:lang w:val="en-GB"/>
        </w:rPr>
      </w:pPr>
    </w:p>
    <w:p w14:paraId="476653E4" w14:textId="6EF7CE8C" w:rsidR="00C74531" w:rsidRDefault="00C74531" w:rsidP="00360FDB">
      <w:pPr>
        <w:pStyle w:val="Fotnotstext"/>
        <w:rPr>
          <w:rFonts w:ascii="Times New Roman" w:eastAsia="Times New Roman" w:hAnsi="Times New Roman"/>
          <w:sz w:val="24"/>
          <w:szCs w:val="24"/>
          <w:lang w:val="en-GB"/>
        </w:rPr>
      </w:pPr>
      <w:r w:rsidRPr="00C74531">
        <w:rPr>
          <w:rFonts w:ascii="Times New Roman" w:eastAsia="Times New Roman" w:hAnsi="Times New Roman"/>
          <w:sz w:val="24"/>
          <w:szCs w:val="24"/>
          <w:lang w:val="en-GB"/>
        </w:rPr>
        <w:t>H₀: There is no statistically significant difference in post-secondary participation between the first and third years following completion of secondary education.</w:t>
      </w:r>
    </w:p>
    <w:p w14:paraId="1BD67F15" w14:textId="77777777" w:rsidR="00C74531" w:rsidRPr="00C74531" w:rsidRDefault="00C74531" w:rsidP="00360FDB">
      <w:pPr>
        <w:pStyle w:val="Fotnotstext"/>
        <w:rPr>
          <w:rFonts w:ascii="Times New Roman" w:eastAsia="Times New Roman" w:hAnsi="Times New Roman"/>
          <w:sz w:val="24"/>
          <w:szCs w:val="24"/>
          <w:lang w:val="en-GB"/>
        </w:rPr>
      </w:pPr>
    </w:p>
    <w:p w14:paraId="48AC3741" w14:textId="77777777" w:rsidR="006D04DA" w:rsidRDefault="0006422F" w:rsidP="00360FDB">
      <w:pPr>
        <w:pStyle w:val="Fotnotstext"/>
        <w:rPr>
          <w:rFonts w:ascii="Times New Roman" w:eastAsia="Times New Roman" w:hAnsi="Times New Roman"/>
          <w:sz w:val="24"/>
          <w:szCs w:val="24"/>
          <w:lang w:val="en-GB"/>
        </w:rPr>
      </w:pPr>
      <w:r w:rsidRPr="0006422F">
        <w:rPr>
          <w:rFonts w:ascii="Times New Roman" w:eastAsia="Times New Roman" w:hAnsi="Times New Roman"/>
          <w:sz w:val="24"/>
          <w:szCs w:val="24"/>
          <w:lang w:val="en-GB"/>
        </w:rPr>
        <w:t>H₁: There is a statistically significant difference in post-secondary participation between the first and third years following completion of secondary education.</w:t>
      </w:r>
      <w:r w:rsidR="002366C5">
        <w:rPr>
          <w:rFonts w:ascii="Times New Roman" w:eastAsia="Times New Roman" w:hAnsi="Times New Roman"/>
          <w:sz w:val="24"/>
          <w:szCs w:val="24"/>
          <w:lang w:val="en-GB"/>
        </w:rPr>
        <w:t xml:space="preserve"> </w:t>
      </w:r>
    </w:p>
    <w:p w14:paraId="3E08A732" w14:textId="77777777" w:rsidR="00517F52" w:rsidRDefault="00517F52" w:rsidP="00360FDB">
      <w:pPr>
        <w:pStyle w:val="Fotnotstext"/>
        <w:rPr>
          <w:rFonts w:ascii="Times New Roman" w:eastAsia="Times New Roman" w:hAnsi="Times New Roman"/>
          <w:sz w:val="24"/>
          <w:szCs w:val="24"/>
          <w:lang w:val="en-GB"/>
        </w:rPr>
      </w:pPr>
    </w:p>
    <w:p w14:paraId="0BAE8560" w14:textId="77777777" w:rsidR="006D04DA" w:rsidRDefault="006D04DA" w:rsidP="00360FDB">
      <w:pPr>
        <w:pStyle w:val="Fotnotstext"/>
        <w:rPr>
          <w:rFonts w:ascii="Times New Roman" w:eastAsia="Times New Roman" w:hAnsi="Times New Roman"/>
          <w:sz w:val="24"/>
          <w:szCs w:val="24"/>
          <w:lang w:val="en-GB"/>
        </w:rPr>
      </w:pPr>
    </w:p>
    <w:p w14:paraId="3238FDC8" w14:textId="11D0A09E" w:rsidR="00360FDB" w:rsidRPr="009F6393" w:rsidRDefault="002366C5" w:rsidP="00360FDB">
      <w:pPr>
        <w:pStyle w:val="Fotnotstext"/>
        <w:rPr>
          <w:rFonts w:ascii="Times New Roman" w:eastAsia="Times New Roman" w:hAnsi="Times New Roman"/>
          <w:b/>
          <w:bCs/>
          <w:sz w:val="24"/>
          <w:szCs w:val="24"/>
          <w:lang w:val="en-GB"/>
        </w:rPr>
      </w:pPr>
      <w:r w:rsidRPr="009F6393">
        <w:rPr>
          <w:rFonts w:ascii="Times New Roman" w:eastAsia="Times New Roman" w:hAnsi="Times New Roman"/>
          <w:b/>
          <w:bCs/>
          <w:sz w:val="24"/>
          <w:szCs w:val="24"/>
          <w:lang w:val="en-GB"/>
        </w:rPr>
        <w:t xml:space="preserve">Table 6: t-Test: </w:t>
      </w:r>
      <w:r w:rsidR="009A787E" w:rsidRPr="009F6393">
        <w:rPr>
          <w:rFonts w:ascii="Times New Roman" w:eastAsia="Times New Roman" w:hAnsi="Times New Roman"/>
          <w:b/>
          <w:bCs/>
          <w:sz w:val="24"/>
          <w:szCs w:val="24"/>
          <w:lang w:val="en-GB"/>
        </w:rPr>
        <w:t>Paired two-sample fo</w:t>
      </w:r>
      <w:r w:rsidR="006D04DA" w:rsidRPr="009F6393">
        <w:rPr>
          <w:rFonts w:ascii="Times New Roman" w:eastAsia="Times New Roman" w:hAnsi="Times New Roman"/>
          <w:b/>
          <w:bCs/>
          <w:sz w:val="24"/>
          <w:szCs w:val="24"/>
          <w:lang w:val="en-GB"/>
        </w:rPr>
        <w:t>r Means</w:t>
      </w:r>
    </w:p>
    <w:p w14:paraId="15D571AE" w14:textId="77777777" w:rsidR="00360FDB" w:rsidRDefault="00360FDB" w:rsidP="00360FDB">
      <w:pPr>
        <w:pStyle w:val="Fotnotstext"/>
        <w:rPr>
          <w:rFonts w:ascii="Times New Roman" w:eastAsia="Times New Roman" w:hAnsi="Times New Roman"/>
          <w:sz w:val="24"/>
          <w:szCs w:val="24"/>
          <w:lang w:val="en-GB"/>
        </w:rPr>
      </w:pPr>
    </w:p>
    <w:tbl>
      <w:tblPr>
        <w:tblW w:w="4566" w:type="dxa"/>
        <w:tblCellMar>
          <w:left w:w="70" w:type="dxa"/>
          <w:right w:w="70" w:type="dxa"/>
        </w:tblCellMar>
        <w:tblLook w:val="04A0" w:firstRow="1" w:lastRow="0" w:firstColumn="1" w:lastColumn="0" w:noHBand="0" w:noVBand="1"/>
      </w:tblPr>
      <w:tblGrid>
        <w:gridCol w:w="2610"/>
        <w:gridCol w:w="978"/>
        <w:gridCol w:w="978"/>
      </w:tblGrid>
      <w:tr w:rsidR="005658BF" w:rsidRPr="005658BF" w14:paraId="54D3FFF1" w14:textId="77777777" w:rsidTr="00517F52">
        <w:trPr>
          <w:trHeight w:val="290"/>
        </w:trPr>
        <w:tc>
          <w:tcPr>
            <w:tcW w:w="2610" w:type="dxa"/>
            <w:tcBorders>
              <w:top w:val="single" w:sz="8" w:space="0" w:color="auto"/>
              <w:left w:val="nil"/>
              <w:bottom w:val="single" w:sz="4" w:space="0" w:color="auto"/>
              <w:right w:val="nil"/>
            </w:tcBorders>
            <w:noWrap/>
            <w:vAlign w:val="bottom"/>
            <w:hideMark/>
          </w:tcPr>
          <w:p w14:paraId="2BA34314" w14:textId="77777777" w:rsidR="005658BF" w:rsidRPr="007B2B48" w:rsidRDefault="005658BF" w:rsidP="005658BF">
            <w:pPr>
              <w:spacing w:after="0" w:line="240" w:lineRule="auto"/>
              <w:jc w:val="center"/>
              <w:rPr>
                <w:rFonts w:ascii="Aptos Narrow" w:eastAsia="Times New Roman" w:hAnsi="Aptos Narrow" w:cs="Times New Roman"/>
                <w:i/>
                <w:iCs/>
                <w:color w:val="000000"/>
                <w:lang w:eastAsia="sv-SE"/>
              </w:rPr>
            </w:pPr>
            <w:r w:rsidRPr="007B2B48">
              <w:rPr>
                <w:rFonts w:ascii="Aptos Narrow" w:eastAsia="Times New Roman" w:hAnsi="Aptos Narrow" w:cs="Times New Roman"/>
                <w:i/>
                <w:iCs/>
                <w:color w:val="000000"/>
                <w:lang w:eastAsia="sv-SE"/>
              </w:rPr>
              <w:t> </w:t>
            </w:r>
          </w:p>
        </w:tc>
        <w:tc>
          <w:tcPr>
            <w:tcW w:w="978" w:type="dxa"/>
            <w:tcBorders>
              <w:top w:val="single" w:sz="8" w:space="0" w:color="auto"/>
              <w:left w:val="nil"/>
              <w:bottom w:val="single" w:sz="4" w:space="0" w:color="auto"/>
              <w:right w:val="nil"/>
            </w:tcBorders>
            <w:noWrap/>
            <w:vAlign w:val="bottom"/>
            <w:hideMark/>
          </w:tcPr>
          <w:p w14:paraId="315125EA" w14:textId="23142D5F" w:rsidR="005658BF" w:rsidRPr="005658BF" w:rsidRDefault="005658BF" w:rsidP="005658BF">
            <w:pPr>
              <w:spacing w:after="0" w:line="240" w:lineRule="auto"/>
              <w:jc w:val="center"/>
              <w:rPr>
                <w:rFonts w:ascii="Aptos Narrow" w:eastAsia="Times New Roman" w:hAnsi="Aptos Narrow" w:cs="Times New Roman"/>
                <w:i/>
                <w:iCs/>
                <w:color w:val="000000"/>
                <w:lang w:val="sv-SE" w:eastAsia="sv-SE"/>
              </w:rPr>
            </w:pPr>
            <w:r w:rsidRPr="005658BF">
              <w:rPr>
                <w:rFonts w:ascii="Aptos Narrow" w:eastAsia="Times New Roman" w:hAnsi="Aptos Narrow" w:cs="Times New Roman"/>
                <w:i/>
                <w:iCs/>
                <w:color w:val="000000"/>
                <w:lang w:val="sv-SE" w:eastAsia="sv-SE"/>
              </w:rPr>
              <w:t>Variab</w:t>
            </w:r>
            <w:r w:rsidR="00DA2C4C">
              <w:rPr>
                <w:rFonts w:ascii="Aptos Narrow" w:eastAsia="Times New Roman" w:hAnsi="Aptos Narrow" w:cs="Times New Roman"/>
                <w:i/>
                <w:iCs/>
                <w:color w:val="000000"/>
                <w:lang w:val="sv-SE" w:eastAsia="sv-SE"/>
              </w:rPr>
              <w:t>le</w:t>
            </w:r>
            <w:r w:rsidRPr="005658BF">
              <w:rPr>
                <w:rFonts w:ascii="Aptos Narrow" w:eastAsia="Times New Roman" w:hAnsi="Aptos Narrow" w:cs="Times New Roman"/>
                <w:i/>
                <w:iCs/>
                <w:color w:val="000000"/>
                <w:lang w:val="sv-SE" w:eastAsia="sv-SE"/>
              </w:rPr>
              <w:t xml:space="preserve"> 1</w:t>
            </w:r>
          </w:p>
        </w:tc>
        <w:tc>
          <w:tcPr>
            <w:tcW w:w="978" w:type="dxa"/>
            <w:tcBorders>
              <w:top w:val="single" w:sz="8" w:space="0" w:color="auto"/>
              <w:left w:val="nil"/>
              <w:bottom w:val="single" w:sz="4" w:space="0" w:color="auto"/>
              <w:right w:val="nil"/>
            </w:tcBorders>
            <w:noWrap/>
            <w:vAlign w:val="bottom"/>
            <w:hideMark/>
          </w:tcPr>
          <w:p w14:paraId="11285F12" w14:textId="7547FC73" w:rsidR="005658BF" w:rsidRPr="005658BF" w:rsidRDefault="00D409F5" w:rsidP="005658BF">
            <w:pPr>
              <w:spacing w:after="0" w:line="240" w:lineRule="auto"/>
              <w:jc w:val="center"/>
              <w:rPr>
                <w:rFonts w:ascii="Aptos Narrow" w:eastAsia="Times New Roman" w:hAnsi="Aptos Narrow" w:cs="Times New Roman"/>
                <w:i/>
                <w:iCs/>
                <w:color w:val="000000"/>
                <w:lang w:val="sv-SE" w:eastAsia="sv-SE"/>
              </w:rPr>
            </w:pPr>
            <w:r w:rsidRPr="005658BF">
              <w:rPr>
                <w:rFonts w:ascii="Aptos Narrow" w:eastAsia="Times New Roman" w:hAnsi="Aptos Narrow" w:cs="Times New Roman"/>
                <w:i/>
                <w:iCs/>
                <w:color w:val="000000"/>
                <w:lang w:val="sv-SE" w:eastAsia="sv-SE"/>
              </w:rPr>
              <w:t>Variab</w:t>
            </w:r>
            <w:r>
              <w:rPr>
                <w:rFonts w:ascii="Aptos Narrow" w:eastAsia="Times New Roman" w:hAnsi="Aptos Narrow" w:cs="Times New Roman"/>
                <w:i/>
                <w:iCs/>
                <w:color w:val="000000"/>
                <w:lang w:val="sv-SE" w:eastAsia="sv-SE"/>
              </w:rPr>
              <w:t xml:space="preserve">le </w:t>
            </w:r>
            <w:r w:rsidRPr="005658BF">
              <w:rPr>
                <w:rFonts w:ascii="Aptos Narrow" w:eastAsia="Times New Roman" w:hAnsi="Aptos Narrow" w:cs="Times New Roman"/>
                <w:i/>
                <w:iCs/>
                <w:color w:val="000000"/>
                <w:lang w:val="sv-SE" w:eastAsia="sv-SE"/>
              </w:rPr>
              <w:t>2</w:t>
            </w:r>
          </w:p>
        </w:tc>
      </w:tr>
      <w:tr w:rsidR="005658BF" w:rsidRPr="005658BF" w14:paraId="12D795E1" w14:textId="77777777" w:rsidTr="00517F52">
        <w:trPr>
          <w:trHeight w:val="290"/>
        </w:trPr>
        <w:tc>
          <w:tcPr>
            <w:tcW w:w="2610" w:type="dxa"/>
            <w:tcBorders>
              <w:top w:val="nil"/>
              <w:left w:val="nil"/>
              <w:bottom w:val="nil"/>
              <w:right w:val="nil"/>
            </w:tcBorders>
            <w:noWrap/>
            <w:vAlign w:val="bottom"/>
            <w:hideMark/>
          </w:tcPr>
          <w:p w14:paraId="640EA88D" w14:textId="1D9D995D"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Me</w:t>
            </w:r>
            <w:r w:rsidR="00DA2C4C">
              <w:rPr>
                <w:rFonts w:ascii="Aptos Narrow" w:eastAsia="Times New Roman" w:hAnsi="Aptos Narrow" w:cs="Times New Roman"/>
                <w:color w:val="000000"/>
                <w:lang w:val="sv-SE" w:eastAsia="sv-SE"/>
              </w:rPr>
              <w:t>an</w:t>
            </w:r>
          </w:p>
        </w:tc>
        <w:tc>
          <w:tcPr>
            <w:tcW w:w="978" w:type="dxa"/>
            <w:tcBorders>
              <w:top w:val="nil"/>
              <w:left w:val="nil"/>
              <w:bottom w:val="nil"/>
              <w:right w:val="nil"/>
            </w:tcBorders>
            <w:noWrap/>
            <w:vAlign w:val="bottom"/>
            <w:hideMark/>
          </w:tcPr>
          <w:p w14:paraId="2165078F"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39</w:t>
            </w:r>
          </w:p>
        </w:tc>
        <w:tc>
          <w:tcPr>
            <w:tcW w:w="978" w:type="dxa"/>
            <w:tcBorders>
              <w:top w:val="nil"/>
              <w:left w:val="nil"/>
              <w:bottom w:val="nil"/>
              <w:right w:val="nil"/>
            </w:tcBorders>
            <w:noWrap/>
            <w:vAlign w:val="bottom"/>
            <w:hideMark/>
          </w:tcPr>
          <w:p w14:paraId="3BDFC6BA"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54,92857</w:t>
            </w:r>
          </w:p>
        </w:tc>
      </w:tr>
      <w:tr w:rsidR="005658BF" w:rsidRPr="005658BF" w14:paraId="315D3E06" w14:textId="77777777" w:rsidTr="00517F52">
        <w:trPr>
          <w:trHeight w:val="290"/>
        </w:trPr>
        <w:tc>
          <w:tcPr>
            <w:tcW w:w="2610" w:type="dxa"/>
            <w:tcBorders>
              <w:top w:val="nil"/>
              <w:left w:val="nil"/>
              <w:bottom w:val="nil"/>
              <w:right w:val="nil"/>
            </w:tcBorders>
            <w:noWrap/>
            <w:vAlign w:val="bottom"/>
            <w:hideMark/>
          </w:tcPr>
          <w:p w14:paraId="739D9713" w14:textId="114DE728"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Varian</w:t>
            </w:r>
            <w:r w:rsidR="00DA2C4C">
              <w:rPr>
                <w:rFonts w:ascii="Aptos Narrow" w:eastAsia="Times New Roman" w:hAnsi="Aptos Narrow" w:cs="Times New Roman"/>
                <w:color w:val="000000"/>
                <w:lang w:val="sv-SE" w:eastAsia="sv-SE"/>
              </w:rPr>
              <w:t>ce</w:t>
            </w:r>
          </w:p>
        </w:tc>
        <w:tc>
          <w:tcPr>
            <w:tcW w:w="978" w:type="dxa"/>
            <w:tcBorders>
              <w:top w:val="nil"/>
              <w:left w:val="nil"/>
              <w:bottom w:val="nil"/>
              <w:right w:val="nil"/>
            </w:tcBorders>
            <w:noWrap/>
            <w:vAlign w:val="bottom"/>
            <w:hideMark/>
          </w:tcPr>
          <w:p w14:paraId="7FB9B8E6"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148</w:t>
            </w:r>
          </w:p>
        </w:tc>
        <w:tc>
          <w:tcPr>
            <w:tcW w:w="978" w:type="dxa"/>
            <w:tcBorders>
              <w:top w:val="nil"/>
              <w:left w:val="nil"/>
              <w:bottom w:val="nil"/>
              <w:right w:val="nil"/>
            </w:tcBorders>
            <w:noWrap/>
            <w:vAlign w:val="bottom"/>
            <w:hideMark/>
          </w:tcPr>
          <w:p w14:paraId="12F73948"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118,8407</w:t>
            </w:r>
          </w:p>
        </w:tc>
      </w:tr>
      <w:tr w:rsidR="005658BF" w:rsidRPr="005658BF" w14:paraId="3189B30B" w14:textId="77777777" w:rsidTr="00517F52">
        <w:trPr>
          <w:trHeight w:val="290"/>
        </w:trPr>
        <w:tc>
          <w:tcPr>
            <w:tcW w:w="2610" w:type="dxa"/>
            <w:tcBorders>
              <w:top w:val="nil"/>
              <w:left w:val="nil"/>
              <w:bottom w:val="nil"/>
              <w:right w:val="nil"/>
            </w:tcBorders>
            <w:noWrap/>
            <w:vAlign w:val="bottom"/>
            <w:hideMark/>
          </w:tcPr>
          <w:p w14:paraId="61212EDD" w14:textId="5FEBC1E9"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Observation</w:t>
            </w:r>
            <w:r w:rsidR="00DA2C4C">
              <w:rPr>
                <w:rFonts w:ascii="Aptos Narrow" w:eastAsia="Times New Roman" w:hAnsi="Aptos Narrow" w:cs="Times New Roman"/>
                <w:color w:val="000000"/>
                <w:lang w:val="sv-SE" w:eastAsia="sv-SE"/>
              </w:rPr>
              <w:t>s</w:t>
            </w:r>
          </w:p>
        </w:tc>
        <w:tc>
          <w:tcPr>
            <w:tcW w:w="978" w:type="dxa"/>
            <w:tcBorders>
              <w:top w:val="nil"/>
              <w:left w:val="nil"/>
              <w:bottom w:val="nil"/>
              <w:right w:val="nil"/>
            </w:tcBorders>
            <w:noWrap/>
            <w:vAlign w:val="bottom"/>
            <w:hideMark/>
          </w:tcPr>
          <w:p w14:paraId="510FC773"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14</w:t>
            </w:r>
          </w:p>
        </w:tc>
        <w:tc>
          <w:tcPr>
            <w:tcW w:w="978" w:type="dxa"/>
            <w:tcBorders>
              <w:top w:val="nil"/>
              <w:left w:val="nil"/>
              <w:bottom w:val="nil"/>
              <w:right w:val="nil"/>
            </w:tcBorders>
            <w:noWrap/>
            <w:vAlign w:val="bottom"/>
            <w:hideMark/>
          </w:tcPr>
          <w:p w14:paraId="65636795"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14</w:t>
            </w:r>
          </w:p>
        </w:tc>
      </w:tr>
      <w:tr w:rsidR="005658BF" w:rsidRPr="005658BF" w14:paraId="4BDABD94" w14:textId="77777777" w:rsidTr="00517F52">
        <w:trPr>
          <w:trHeight w:val="290"/>
        </w:trPr>
        <w:tc>
          <w:tcPr>
            <w:tcW w:w="2610" w:type="dxa"/>
            <w:tcBorders>
              <w:top w:val="nil"/>
              <w:left w:val="nil"/>
              <w:bottom w:val="nil"/>
              <w:right w:val="nil"/>
            </w:tcBorders>
            <w:noWrap/>
            <w:vAlign w:val="bottom"/>
            <w:hideMark/>
          </w:tcPr>
          <w:p w14:paraId="0AA686C4" w14:textId="796B5A96"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Pearson</w:t>
            </w:r>
            <w:r w:rsidR="00D409F5">
              <w:rPr>
                <w:rFonts w:ascii="Aptos Narrow" w:eastAsia="Times New Roman" w:hAnsi="Aptos Narrow" w:cs="Times New Roman"/>
                <w:color w:val="000000"/>
                <w:lang w:val="sv-SE" w:eastAsia="sv-SE"/>
              </w:rPr>
              <w:t xml:space="preserve"> </w:t>
            </w:r>
            <w:r w:rsidR="00151C69">
              <w:rPr>
                <w:rFonts w:ascii="Aptos Narrow" w:eastAsia="Times New Roman" w:hAnsi="Aptos Narrow" w:cs="Times New Roman"/>
                <w:color w:val="000000"/>
                <w:lang w:val="sv-SE" w:eastAsia="sv-SE"/>
              </w:rPr>
              <w:t xml:space="preserve">- </w:t>
            </w:r>
            <w:r w:rsidR="00DA2C4C">
              <w:rPr>
                <w:rFonts w:ascii="Aptos Narrow" w:eastAsia="Times New Roman" w:hAnsi="Aptos Narrow" w:cs="Times New Roman"/>
                <w:color w:val="000000"/>
                <w:lang w:val="sv-SE" w:eastAsia="sv-SE"/>
              </w:rPr>
              <w:t>c</w:t>
            </w:r>
            <w:r w:rsidRPr="005658BF">
              <w:rPr>
                <w:rFonts w:ascii="Aptos Narrow" w:eastAsia="Times New Roman" w:hAnsi="Aptos Narrow" w:cs="Times New Roman"/>
                <w:color w:val="000000"/>
                <w:lang w:val="sv-SE" w:eastAsia="sv-SE"/>
              </w:rPr>
              <w:t>orrelation</w:t>
            </w:r>
          </w:p>
        </w:tc>
        <w:tc>
          <w:tcPr>
            <w:tcW w:w="978" w:type="dxa"/>
            <w:tcBorders>
              <w:top w:val="nil"/>
              <w:left w:val="nil"/>
              <w:bottom w:val="nil"/>
              <w:right w:val="nil"/>
            </w:tcBorders>
            <w:noWrap/>
            <w:vAlign w:val="bottom"/>
            <w:hideMark/>
          </w:tcPr>
          <w:p w14:paraId="318CB18B"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0,727346</w:t>
            </w:r>
          </w:p>
        </w:tc>
        <w:tc>
          <w:tcPr>
            <w:tcW w:w="978" w:type="dxa"/>
            <w:tcBorders>
              <w:top w:val="nil"/>
              <w:left w:val="nil"/>
              <w:bottom w:val="nil"/>
              <w:right w:val="nil"/>
            </w:tcBorders>
            <w:noWrap/>
            <w:vAlign w:val="bottom"/>
            <w:hideMark/>
          </w:tcPr>
          <w:p w14:paraId="7D83FF01"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0671EA3E" w14:textId="77777777" w:rsidTr="00517F52">
        <w:trPr>
          <w:trHeight w:val="290"/>
        </w:trPr>
        <w:tc>
          <w:tcPr>
            <w:tcW w:w="2610" w:type="dxa"/>
            <w:tcBorders>
              <w:top w:val="nil"/>
              <w:left w:val="nil"/>
              <w:bottom w:val="nil"/>
              <w:right w:val="nil"/>
            </w:tcBorders>
            <w:noWrap/>
            <w:vAlign w:val="bottom"/>
            <w:hideMark/>
          </w:tcPr>
          <w:p w14:paraId="21A7A61E" w14:textId="74162A3B" w:rsidR="005658BF" w:rsidRPr="005658BF" w:rsidRDefault="00D409F5" w:rsidP="005658BF">
            <w:pPr>
              <w:spacing w:after="0" w:line="240" w:lineRule="auto"/>
              <w:rPr>
                <w:rFonts w:ascii="Aptos Narrow" w:eastAsia="Times New Roman" w:hAnsi="Aptos Narrow" w:cs="Times New Roman"/>
                <w:color w:val="000000"/>
                <w:lang w:val="sv-SE" w:eastAsia="sv-SE"/>
              </w:rPr>
            </w:pPr>
            <w:r>
              <w:rPr>
                <w:rFonts w:ascii="Aptos Narrow" w:eastAsia="Times New Roman" w:hAnsi="Aptos Narrow" w:cs="Times New Roman"/>
                <w:color w:val="000000"/>
                <w:lang w:val="sv-SE" w:eastAsia="sv-SE"/>
              </w:rPr>
              <w:t>Hypothesized mean difference</w:t>
            </w:r>
          </w:p>
        </w:tc>
        <w:tc>
          <w:tcPr>
            <w:tcW w:w="978" w:type="dxa"/>
            <w:tcBorders>
              <w:top w:val="nil"/>
              <w:left w:val="nil"/>
              <w:bottom w:val="nil"/>
              <w:right w:val="nil"/>
            </w:tcBorders>
            <w:noWrap/>
            <w:vAlign w:val="bottom"/>
            <w:hideMark/>
          </w:tcPr>
          <w:p w14:paraId="379C8E16"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0</w:t>
            </w:r>
          </w:p>
        </w:tc>
        <w:tc>
          <w:tcPr>
            <w:tcW w:w="978" w:type="dxa"/>
            <w:tcBorders>
              <w:top w:val="nil"/>
              <w:left w:val="nil"/>
              <w:bottom w:val="nil"/>
              <w:right w:val="nil"/>
            </w:tcBorders>
            <w:noWrap/>
            <w:vAlign w:val="bottom"/>
            <w:hideMark/>
          </w:tcPr>
          <w:p w14:paraId="0C03BCE2"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701EEDF5" w14:textId="77777777" w:rsidTr="00517F52">
        <w:trPr>
          <w:trHeight w:val="290"/>
        </w:trPr>
        <w:tc>
          <w:tcPr>
            <w:tcW w:w="2610" w:type="dxa"/>
            <w:tcBorders>
              <w:top w:val="nil"/>
              <w:left w:val="nil"/>
              <w:bottom w:val="nil"/>
              <w:right w:val="nil"/>
            </w:tcBorders>
            <w:noWrap/>
            <w:vAlign w:val="bottom"/>
            <w:hideMark/>
          </w:tcPr>
          <w:p w14:paraId="5B341294" w14:textId="35408383" w:rsidR="005658BF" w:rsidRPr="005658BF" w:rsidRDefault="00DD1A71" w:rsidP="005658BF">
            <w:pPr>
              <w:spacing w:after="0" w:line="240" w:lineRule="auto"/>
              <w:rPr>
                <w:rFonts w:ascii="Aptos Narrow" w:eastAsia="Times New Roman" w:hAnsi="Aptos Narrow" w:cs="Times New Roman"/>
                <w:color w:val="000000"/>
                <w:lang w:val="sv-SE" w:eastAsia="sv-SE"/>
              </w:rPr>
            </w:pPr>
            <w:r>
              <w:rPr>
                <w:rFonts w:ascii="Aptos Narrow" w:eastAsia="Times New Roman" w:hAnsi="Aptos Narrow" w:cs="Times New Roman"/>
                <w:color w:val="000000"/>
                <w:lang w:val="sv-SE" w:eastAsia="sv-SE"/>
              </w:rPr>
              <w:t>d</w:t>
            </w:r>
            <w:r w:rsidR="005658BF" w:rsidRPr="005658BF">
              <w:rPr>
                <w:rFonts w:ascii="Aptos Narrow" w:eastAsia="Times New Roman" w:hAnsi="Aptos Narrow" w:cs="Times New Roman"/>
                <w:color w:val="000000"/>
                <w:lang w:val="sv-SE" w:eastAsia="sv-SE"/>
              </w:rPr>
              <w:t>f</w:t>
            </w:r>
          </w:p>
        </w:tc>
        <w:tc>
          <w:tcPr>
            <w:tcW w:w="978" w:type="dxa"/>
            <w:tcBorders>
              <w:top w:val="nil"/>
              <w:left w:val="nil"/>
              <w:bottom w:val="nil"/>
              <w:right w:val="nil"/>
            </w:tcBorders>
            <w:noWrap/>
            <w:vAlign w:val="bottom"/>
            <w:hideMark/>
          </w:tcPr>
          <w:p w14:paraId="77B9B199"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13</w:t>
            </w:r>
          </w:p>
        </w:tc>
        <w:tc>
          <w:tcPr>
            <w:tcW w:w="978" w:type="dxa"/>
            <w:tcBorders>
              <w:top w:val="nil"/>
              <w:left w:val="nil"/>
              <w:bottom w:val="nil"/>
              <w:right w:val="nil"/>
            </w:tcBorders>
            <w:noWrap/>
            <w:vAlign w:val="bottom"/>
            <w:hideMark/>
          </w:tcPr>
          <w:p w14:paraId="29DF21C3"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1F076994" w14:textId="77777777" w:rsidTr="00517F52">
        <w:trPr>
          <w:trHeight w:val="290"/>
        </w:trPr>
        <w:tc>
          <w:tcPr>
            <w:tcW w:w="2610" w:type="dxa"/>
            <w:tcBorders>
              <w:top w:val="nil"/>
              <w:left w:val="nil"/>
              <w:bottom w:val="nil"/>
              <w:right w:val="nil"/>
            </w:tcBorders>
            <w:noWrap/>
            <w:vAlign w:val="bottom"/>
            <w:hideMark/>
          </w:tcPr>
          <w:p w14:paraId="6D9BD214" w14:textId="0DACB547"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t-</w:t>
            </w:r>
            <w:r w:rsidR="00DD1A71">
              <w:rPr>
                <w:rFonts w:ascii="Aptos Narrow" w:eastAsia="Times New Roman" w:hAnsi="Aptos Narrow" w:cs="Times New Roman"/>
                <w:color w:val="000000"/>
                <w:lang w:val="sv-SE" w:eastAsia="sv-SE"/>
              </w:rPr>
              <w:t>Stat</w:t>
            </w:r>
          </w:p>
        </w:tc>
        <w:tc>
          <w:tcPr>
            <w:tcW w:w="978" w:type="dxa"/>
            <w:tcBorders>
              <w:top w:val="nil"/>
              <w:left w:val="nil"/>
              <w:bottom w:val="nil"/>
              <w:right w:val="nil"/>
            </w:tcBorders>
            <w:noWrap/>
            <w:vAlign w:val="bottom"/>
            <w:hideMark/>
          </w:tcPr>
          <w:p w14:paraId="0DD72FB2"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-6,93213</w:t>
            </w:r>
          </w:p>
        </w:tc>
        <w:tc>
          <w:tcPr>
            <w:tcW w:w="978" w:type="dxa"/>
            <w:tcBorders>
              <w:top w:val="nil"/>
              <w:left w:val="nil"/>
              <w:bottom w:val="nil"/>
              <w:right w:val="nil"/>
            </w:tcBorders>
            <w:noWrap/>
            <w:vAlign w:val="bottom"/>
            <w:hideMark/>
          </w:tcPr>
          <w:p w14:paraId="134D7ED5"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2166C2BD" w14:textId="77777777" w:rsidTr="00517F52">
        <w:trPr>
          <w:trHeight w:val="290"/>
        </w:trPr>
        <w:tc>
          <w:tcPr>
            <w:tcW w:w="2610" w:type="dxa"/>
            <w:tcBorders>
              <w:top w:val="nil"/>
              <w:left w:val="nil"/>
              <w:bottom w:val="nil"/>
              <w:right w:val="nil"/>
            </w:tcBorders>
            <w:noWrap/>
            <w:vAlign w:val="bottom"/>
            <w:hideMark/>
          </w:tcPr>
          <w:p w14:paraId="7A6A0F14" w14:textId="5624B5FB" w:rsidR="005658BF" w:rsidRPr="00EF29E6" w:rsidRDefault="005658BF" w:rsidP="005658BF">
            <w:pPr>
              <w:spacing w:after="0" w:line="240" w:lineRule="auto"/>
              <w:rPr>
                <w:rFonts w:ascii="Aptos Narrow" w:eastAsia="Times New Roman" w:hAnsi="Aptos Narrow" w:cs="Times New Roman"/>
                <w:color w:val="000000"/>
                <w:lang w:eastAsia="sv-SE"/>
              </w:rPr>
            </w:pPr>
            <w:r w:rsidRPr="00EF29E6">
              <w:rPr>
                <w:rFonts w:ascii="Aptos Narrow" w:eastAsia="Times New Roman" w:hAnsi="Aptos Narrow" w:cs="Times New Roman"/>
                <w:color w:val="000000"/>
                <w:lang w:eastAsia="sv-SE"/>
              </w:rPr>
              <w:t xml:space="preserve">P(T&lt;=t) </w:t>
            </w:r>
            <w:r w:rsidR="00EF29E6" w:rsidRPr="00EF29E6">
              <w:rPr>
                <w:rFonts w:ascii="Aptos Narrow" w:eastAsia="Times New Roman" w:hAnsi="Aptos Narrow" w:cs="Times New Roman"/>
                <w:color w:val="000000"/>
                <w:lang w:eastAsia="sv-SE"/>
              </w:rPr>
              <w:t>one-tail</w:t>
            </w:r>
            <w:r w:rsidR="00EF29E6">
              <w:rPr>
                <w:rFonts w:ascii="Aptos Narrow" w:eastAsia="Times New Roman" w:hAnsi="Aptos Narrow" w:cs="Times New Roman"/>
                <w:color w:val="000000"/>
                <w:lang w:eastAsia="sv-SE"/>
              </w:rPr>
              <w:t>ed</w:t>
            </w:r>
          </w:p>
        </w:tc>
        <w:tc>
          <w:tcPr>
            <w:tcW w:w="978" w:type="dxa"/>
            <w:tcBorders>
              <w:top w:val="nil"/>
              <w:left w:val="nil"/>
              <w:bottom w:val="nil"/>
              <w:right w:val="nil"/>
            </w:tcBorders>
            <w:noWrap/>
            <w:vAlign w:val="bottom"/>
            <w:hideMark/>
          </w:tcPr>
          <w:p w14:paraId="51D17AEF"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5,17E-06</w:t>
            </w:r>
          </w:p>
        </w:tc>
        <w:tc>
          <w:tcPr>
            <w:tcW w:w="978" w:type="dxa"/>
            <w:tcBorders>
              <w:top w:val="nil"/>
              <w:left w:val="nil"/>
              <w:bottom w:val="nil"/>
              <w:right w:val="nil"/>
            </w:tcBorders>
            <w:noWrap/>
            <w:vAlign w:val="bottom"/>
            <w:hideMark/>
          </w:tcPr>
          <w:p w14:paraId="6C6608A6"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4967E791" w14:textId="77777777" w:rsidTr="00517F52">
        <w:trPr>
          <w:trHeight w:val="290"/>
        </w:trPr>
        <w:tc>
          <w:tcPr>
            <w:tcW w:w="2610" w:type="dxa"/>
            <w:tcBorders>
              <w:top w:val="nil"/>
              <w:left w:val="nil"/>
              <w:bottom w:val="nil"/>
              <w:right w:val="nil"/>
            </w:tcBorders>
            <w:noWrap/>
            <w:vAlign w:val="bottom"/>
            <w:hideMark/>
          </w:tcPr>
          <w:p w14:paraId="7E499F01" w14:textId="63012429"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t-</w:t>
            </w:r>
            <w:r w:rsidR="00235286">
              <w:rPr>
                <w:rFonts w:ascii="Aptos Narrow" w:eastAsia="Times New Roman" w:hAnsi="Aptos Narrow" w:cs="Times New Roman"/>
                <w:color w:val="000000"/>
                <w:lang w:val="sv-SE" w:eastAsia="sv-SE"/>
              </w:rPr>
              <w:t>c</w:t>
            </w:r>
            <w:r w:rsidRPr="005658BF">
              <w:rPr>
                <w:rFonts w:ascii="Aptos Narrow" w:eastAsia="Times New Roman" w:hAnsi="Aptos Narrow" w:cs="Times New Roman"/>
                <w:color w:val="000000"/>
                <w:lang w:val="sv-SE" w:eastAsia="sv-SE"/>
              </w:rPr>
              <w:t>riti</w:t>
            </w:r>
            <w:r w:rsidR="00235286">
              <w:rPr>
                <w:rFonts w:ascii="Aptos Narrow" w:eastAsia="Times New Roman" w:hAnsi="Aptos Narrow" w:cs="Times New Roman"/>
                <w:color w:val="000000"/>
                <w:lang w:val="sv-SE" w:eastAsia="sv-SE"/>
              </w:rPr>
              <w:t>cal</w:t>
            </w:r>
            <w:r w:rsidRPr="005658BF">
              <w:rPr>
                <w:rFonts w:ascii="Aptos Narrow" w:eastAsia="Times New Roman" w:hAnsi="Aptos Narrow" w:cs="Times New Roman"/>
                <w:color w:val="000000"/>
                <w:lang w:val="sv-SE" w:eastAsia="sv-SE"/>
              </w:rPr>
              <w:t xml:space="preserve"> </w:t>
            </w:r>
            <w:r w:rsidR="00EF29E6">
              <w:rPr>
                <w:rFonts w:ascii="Aptos Narrow" w:eastAsia="Times New Roman" w:hAnsi="Aptos Narrow" w:cs="Times New Roman"/>
                <w:color w:val="000000"/>
                <w:lang w:val="sv-SE" w:eastAsia="sv-SE"/>
              </w:rPr>
              <w:t>one-tailed</w:t>
            </w:r>
          </w:p>
        </w:tc>
        <w:tc>
          <w:tcPr>
            <w:tcW w:w="978" w:type="dxa"/>
            <w:tcBorders>
              <w:top w:val="nil"/>
              <w:left w:val="nil"/>
              <w:bottom w:val="nil"/>
              <w:right w:val="nil"/>
            </w:tcBorders>
            <w:noWrap/>
            <w:vAlign w:val="bottom"/>
            <w:hideMark/>
          </w:tcPr>
          <w:p w14:paraId="6965DB1A"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1,770933</w:t>
            </w:r>
          </w:p>
        </w:tc>
        <w:tc>
          <w:tcPr>
            <w:tcW w:w="978" w:type="dxa"/>
            <w:tcBorders>
              <w:top w:val="nil"/>
              <w:left w:val="nil"/>
              <w:bottom w:val="nil"/>
              <w:right w:val="nil"/>
            </w:tcBorders>
            <w:noWrap/>
            <w:vAlign w:val="bottom"/>
            <w:hideMark/>
          </w:tcPr>
          <w:p w14:paraId="03936A76"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6F094F68" w14:textId="77777777" w:rsidTr="00517F52">
        <w:trPr>
          <w:trHeight w:val="290"/>
        </w:trPr>
        <w:tc>
          <w:tcPr>
            <w:tcW w:w="2610" w:type="dxa"/>
            <w:tcBorders>
              <w:top w:val="nil"/>
              <w:left w:val="nil"/>
              <w:bottom w:val="nil"/>
              <w:right w:val="nil"/>
            </w:tcBorders>
            <w:noWrap/>
            <w:vAlign w:val="bottom"/>
            <w:hideMark/>
          </w:tcPr>
          <w:p w14:paraId="322B7015" w14:textId="6143F647" w:rsidR="005658BF" w:rsidRPr="00EF29E6" w:rsidRDefault="005658BF" w:rsidP="005658BF">
            <w:pPr>
              <w:spacing w:after="0" w:line="240" w:lineRule="auto"/>
              <w:rPr>
                <w:rFonts w:ascii="Aptos Narrow" w:eastAsia="Times New Roman" w:hAnsi="Aptos Narrow" w:cs="Times New Roman"/>
                <w:color w:val="000000"/>
                <w:lang w:eastAsia="sv-SE"/>
              </w:rPr>
            </w:pPr>
            <w:r w:rsidRPr="00EF29E6">
              <w:rPr>
                <w:rFonts w:ascii="Aptos Narrow" w:eastAsia="Times New Roman" w:hAnsi="Aptos Narrow" w:cs="Times New Roman"/>
                <w:color w:val="000000"/>
                <w:lang w:eastAsia="sv-SE"/>
              </w:rPr>
              <w:t>P(T&lt;=t) t</w:t>
            </w:r>
            <w:r w:rsidR="00EF29E6" w:rsidRPr="00EF29E6">
              <w:rPr>
                <w:rFonts w:ascii="Aptos Narrow" w:eastAsia="Times New Roman" w:hAnsi="Aptos Narrow" w:cs="Times New Roman"/>
                <w:color w:val="000000"/>
                <w:lang w:eastAsia="sv-SE"/>
              </w:rPr>
              <w:t>wo-tail</w:t>
            </w:r>
            <w:r w:rsidR="00EF29E6">
              <w:rPr>
                <w:rFonts w:ascii="Aptos Narrow" w:eastAsia="Times New Roman" w:hAnsi="Aptos Narrow" w:cs="Times New Roman"/>
                <w:color w:val="000000"/>
                <w:lang w:eastAsia="sv-SE"/>
              </w:rPr>
              <w:t>ed</w:t>
            </w:r>
          </w:p>
        </w:tc>
        <w:tc>
          <w:tcPr>
            <w:tcW w:w="978" w:type="dxa"/>
            <w:tcBorders>
              <w:top w:val="nil"/>
              <w:left w:val="nil"/>
              <w:bottom w:val="nil"/>
              <w:right w:val="nil"/>
            </w:tcBorders>
            <w:noWrap/>
            <w:vAlign w:val="bottom"/>
            <w:hideMark/>
          </w:tcPr>
          <w:p w14:paraId="47779744"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1,03E-05</w:t>
            </w:r>
          </w:p>
        </w:tc>
        <w:tc>
          <w:tcPr>
            <w:tcW w:w="978" w:type="dxa"/>
            <w:tcBorders>
              <w:top w:val="nil"/>
              <w:left w:val="nil"/>
              <w:bottom w:val="nil"/>
              <w:right w:val="nil"/>
            </w:tcBorders>
            <w:noWrap/>
            <w:vAlign w:val="bottom"/>
            <w:hideMark/>
          </w:tcPr>
          <w:p w14:paraId="51F2EA09"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p>
        </w:tc>
      </w:tr>
      <w:tr w:rsidR="005658BF" w:rsidRPr="005658BF" w14:paraId="5184A2F7" w14:textId="77777777" w:rsidTr="00517F52">
        <w:trPr>
          <w:trHeight w:val="300"/>
        </w:trPr>
        <w:tc>
          <w:tcPr>
            <w:tcW w:w="2610" w:type="dxa"/>
            <w:tcBorders>
              <w:top w:val="nil"/>
              <w:left w:val="nil"/>
              <w:bottom w:val="single" w:sz="8" w:space="0" w:color="auto"/>
              <w:right w:val="nil"/>
            </w:tcBorders>
            <w:noWrap/>
            <w:vAlign w:val="bottom"/>
            <w:hideMark/>
          </w:tcPr>
          <w:p w14:paraId="53383773" w14:textId="74339BFC"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t-</w:t>
            </w:r>
            <w:r w:rsidR="00235286">
              <w:rPr>
                <w:rFonts w:ascii="Aptos Narrow" w:eastAsia="Times New Roman" w:hAnsi="Aptos Narrow" w:cs="Times New Roman"/>
                <w:color w:val="000000"/>
                <w:lang w:val="sv-SE" w:eastAsia="sv-SE"/>
              </w:rPr>
              <w:t>c</w:t>
            </w:r>
            <w:r w:rsidRPr="005658BF">
              <w:rPr>
                <w:rFonts w:ascii="Aptos Narrow" w:eastAsia="Times New Roman" w:hAnsi="Aptos Narrow" w:cs="Times New Roman"/>
                <w:color w:val="000000"/>
                <w:lang w:val="sv-SE" w:eastAsia="sv-SE"/>
              </w:rPr>
              <w:t>riti</w:t>
            </w:r>
            <w:r w:rsidR="00235286">
              <w:rPr>
                <w:rFonts w:ascii="Aptos Narrow" w:eastAsia="Times New Roman" w:hAnsi="Aptos Narrow" w:cs="Times New Roman"/>
                <w:color w:val="000000"/>
                <w:lang w:val="sv-SE" w:eastAsia="sv-SE"/>
              </w:rPr>
              <w:t>cal</w:t>
            </w:r>
            <w:r w:rsidRPr="005658BF">
              <w:rPr>
                <w:rFonts w:ascii="Aptos Narrow" w:eastAsia="Times New Roman" w:hAnsi="Aptos Narrow" w:cs="Times New Roman"/>
                <w:color w:val="000000"/>
                <w:lang w:val="sv-SE" w:eastAsia="sv-SE"/>
              </w:rPr>
              <w:t xml:space="preserve"> t</w:t>
            </w:r>
            <w:r w:rsidR="00EF29E6">
              <w:rPr>
                <w:rFonts w:ascii="Aptos Narrow" w:eastAsia="Times New Roman" w:hAnsi="Aptos Narrow" w:cs="Times New Roman"/>
                <w:color w:val="000000"/>
                <w:lang w:val="sv-SE" w:eastAsia="sv-SE"/>
              </w:rPr>
              <w:t>wo-tailed</w:t>
            </w:r>
          </w:p>
        </w:tc>
        <w:tc>
          <w:tcPr>
            <w:tcW w:w="978" w:type="dxa"/>
            <w:tcBorders>
              <w:top w:val="nil"/>
              <w:left w:val="nil"/>
              <w:bottom w:val="single" w:sz="8" w:space="0" w:color="auto"/>
              <w:right w:val="nil"/>
            </w:tcBorders>
            <w:noWrap/>
            <w:vAlign w:val="bottom"/>
            <w:hideMark/>
          </w:tcPr>
          <w:p w14:paraId="2EB41B8F" w14:textId="77777777" w:rsidR="005658BF" w:rsidRPr="005658BF" w:rsidRDefault="005658BF" w:rsidP="005658BF">
            <w:pPr>
              <w:spacing w:after="0" w:line="240" w:lineRule="auto"/>
              <w:jc w:val="right"/>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2,160369</w:t>
            </w:r>
          </w:p>
        </w:tc>
        <w:tc>
          <w:tcPr>
            <w:tcW w:w="978" w:type="dxa"/>
            <w:tcBorders>
              <w:top w:val="nil"/>
              <w:left w:val="nil"/>
              <w:bottom w:val="single" w:sz="8" w:space="0" w:color="auto"/>
              <w:right w:val="nil"/>
            </w:tcBorders>
            <w:noWrap/>
            <w:vAlign w:val="bottom"/>
            <w:hideMark/>
          </w:tcPr>
          <w:p w14:paraId="4E91FC30" w14:textId="77777777" w:rsidR="005658BF" w:rsidRPr="005658BF" w:rsidRDefault="005658BF" w:rsidP="005658BF">
            <w:pPr>
              <w:spacing w:after="0" w:line="240" w:lineRule="auto"/>
              <w:rPr>
                <w:rFonts w:ascii="Aptos Narrow" w:eastAsia="Times New Roman" w:hAnsi="Aptos Narrow" w:cs="Times New Roman"/>
                <w:color w:val="000000"/>
                <w:lang w:val="sv-SE" w:eastAsia="sv-SE"/>
              </w:rPr>
            </w:pPr>
            <w:r w:rsidRPr="005658BF">
              <w:rPr>
                <w:rFonts w:ascii="Aptos Narrow" w:eastAsia="Times New Roman" w:hAnsi="Aptos Narrow" w:cs="Times New Roman"/>
                <w:color w:val="000000"/>
                <w:lang w:val="sv-SE" w:eastAsia="sv-SE"/>
              </w:rPr>
              <w:t> </w:t>
            </w:r>
          </w:p>
        </w:tc>
      </w:tr>
    </w:tbl>
    <w:p w14:paraId="41421D02" w14:textId="77777777" w:rsidR="00360FDB" w:rsidRDefault="00360FDB" w:rsidP="00360FDB">
      <w:pPr>
        <w:pStyle w:val="Fotnotstext"/>
        <w:rPr>
          <w:rFonts w:ascii="Times New Roman" w:eastAsia="Times New Roman" w:hAnsi="Times New Roman"/>
          <w:sz w:val="24"/>
          <w:szCs w:val="24"/>
          <w:lang w:val="en-GB"/>
        </w:rPr>
      </w:pPr>
    </w:p>
    <w:p w14:paraId="0FCE3726" w14:textId="5E7BDAA1" w:rsidR="00360FDB" w:rsidRDefault="00517F52" w:rsidP="00480A4E">
      <w:pPr>
        <w:pStyle w:val="Fotnotstext"/>
        <w:spacing w:line="360" w:lineRule="auto"/>
        <w:jc w:val="both"/>
        <w:rPr>
          <w:rFonts w:ascii="Times New Roman" w:hAnsi="Times New Roman"/>
          <w:sz w:val="24"/>
          <w:szCs w:val="24"/>
          <w:lang w:val="en-GB"/>
        </w:rPr>
      </w:pPr>
      <w:r>
        <w:rPr>
          <w:rFonts w:ascii="Times New Roman" w:hAnsi="Times New Roman"/>
          <w:sz w:val="24"/>
          <w:szCs w:val="24"/>
          <w:lang w:val="en-GB"/>
        </w:rPr>
        <w:lastRenderedPageBreak/>
        <w:t>In table 6</w:t>
      </w:r>
      <w:r w:rsidR="00855D48">
        <w:rPr>
          <w:rFonts w:ascii="Times New Roman" w:hAnsi="Times New Roman"/>
          <w:sz w:val="24"/>
          <w:szCs w:val="24"/>
          <w:lang w:val="en-GB"/>
        </w:rPr>
        <w:t>, a</w:t>
      </w:r>
      <w:r w:rsidR="00F8422E" w:rsidRPr="00F8422E">
        <w:rPr>
          <w:rFonts w:ascii="Times New Roman" w:hAnsi="Times New Roman"/>
          <w:sz w:val="24"/>
          <w:szCs w:val="24"/>
          <w:lang w:val="en-GB"/>
        </w:rPr>
        <w:t xml:space="preserve"> paired-samples </w:t>
      </w:r>
      <w:r w:rsidR="00F8422E" w:rsidRPr="00F8422E">
        <w:rPr>
          <w:rFonts w:ascii="Times New Roman" w:hAnsi="Times New Roman"/>
          <w:i/>
          <w:iCs/>
          <w:sz w:val="24"/>
          <w:szCs w:val="24"/>
          <w:lang w:val="en-GB"/>
        </w:rPr>
        <w:t>t</w:t>
      </w:r>
      <w:r w:rsidR="00F8422E" w:rsidRPr="00F8422E">
        <w:rPr>
          <w:rFonts w:ascii="Times New Roman" w:hAnsi="Times New Roman"/>
          <w:sz w:val="24"/>
          <w:szCs w:val="24"/>
          <w:lang w:val="en-GB"/>
        </w:rPr>
        <w:t xml:space="preserve">-test was conducted to examine whether post-secondary participation changed between the first and third years </w:t>
      </w:r>
      <w:r w:rsidR="00FF6544">
        <w:rPr>
          <w:rFonts w:ascii="Times New Roman" w:hAnsi="Times New Roman"/>
          <w:sz w:val="24"/>
          <w:szCs w:val="24"/>
          <w:lang w:val="en-GB"/>
        </w:rPr>
        <w:t xml:space="preserve">after </w:t>
      </w:r>
      <w:r w:rsidR="00F8422E" w:rsidRPr="00F8422E">
        <w:rPr>
          <w:rFonts w:ascii="Times New Roman" w:hAnsi="Times New Roman"/>
          <w:sz w:val="24"/>
          <w:szCs w:val="24"/>
          <w:lang w:val="en-GB"/>
        </w:rPr>
        <w:t xml:space="preserve">secondary education. The analysis compared 14 matched observations representing female and male students across seven disability categories. Mean participation increased from 39.00% in the first year to 54.93% in the third year, representing an increase of 15.93 percentage points. The paired-samples </w:t>
      </w:r>
      <w:r w:rsidR="00F8422E" w:rsidRPr="00F8422E">
        <w:rPr>
          <w:rFonts w:ascii="Times New Roman" w:hAnsi="Times New Roman"/>
          <w:i/>
          <w:iCs/>
          <w:sz w:val="24"/>
          <w:szCs w:val="24"/>
          <w:lang w:val="en-GB"/>
        </w:rPr>
        <w:t>t</w:t>
      </w:r>
      <w:r w:rsidR="00F8422E" w:rsidRPr="00F8422E">
        <w:rPr>
          <w:rFonts w:ascii="Times New Roman" w:hAnsi="Times New Roman"/>
          <w:sz w:val="24"/>
          <w:szCs w:val="24"/>
          <w:lang w:val="en-GB"/>
        </w:rPr>
        <w:t xml:space="preserve">-test indicated that this increase was statistically significant, </w:t>
      </w:r>
      <w:r w:rsidR="00F8422E" w:rsidRPr="00F8422E">
        <w:rPr>
          <w:rFonts w:ascii="Times New Roman" w:hAnsi="Times New Roman"/>
          <w:i/>
          <w:iCs/>
          <w:sz w:val="24"/>
          <w:szCs w:val="24"/>
          <w:lang w:val="en-GB"/>
        </w:rPr>
        <w:t>t</w:t>
      </w:r>
      <w:r w:rsidR="00F8422E" w:rsidRPr="00F8422E">
        <w:rPr>
          <w:rFonts w:ascii="Times New Roman" w:hAnsi="Times New Roman"/>
          <w:sz w:val="24"/>
          <w:szCs w:val="24"/>
          <w:lang w:val="en-GB"/>
        </w:rPr>
        <w:t xml:space="preserve">(13) = −6.93, </w:t>
      </w:r>
      <w:r w:rsidR="00F8422E" w:rsidRPr="00F8422E">
        <w:rPr>
          <w:rFonts w:ascii="Times New Roman" w:hAnsi="Times New Roman"/>
          <w:i/>
          <w:iCs/>
          <w:sz w:val="24"/>
          <w:szCs w:val="24"/>
          <w:lang w:val="en-GB"/>
        </w:rPr>
        <w:t>p</w:t>
      </w:r>
      <w:r w:rsidR="00F8422E" w:rsidRPr="00F8422E">
        <w:rPr>
          <w:rFonts w:ascii="Times New Roman" w:hAnsi="Times New Roman"/>
          <w:sz w:val="24"/>
          <w:szCs w:val="24"/>
          <w:lang w:val="en-GB"/>
        </w:rPr>
        <w:t xml:space="preserve"> &lt; .001 (two-tailed). Therefore, the null hypothesis that there was no significant change in participation between the first and third years was rejected. The results indicate a statistically significant increase in post-secondary participation over the period examined.</w:t>
      </w:r>
    </w:p>
    <w:p w14:paraId="3B01B085" w14:textId="77777777" w:rsidR="00A41E14" w:rsidRDefault="00A41E14" w:rsidP="00480A4E">
      <w:pPr>
        <w:pStyle w:val="Fotnotstext"/>
        <w:spacing w:line="360" w:lineRule="auto"/>
        <w:jc w:val="both"/>
        <w:rPr>
          <w:rFonts w:ascii="Times New Roman" w:hAnsi="Times New Roman"/>
          <w:sz w:val="24"/>
          <w:szCs w:val="24"/>
          <w:lang w:val="en-GB"/>
        </w:rPr>
      </w:pPr>
    </w:p>
    <w:p w14:paraId="6EF680F6" w14:textId="06E8813C" w:rsidR="00B10221" w:rsidRPr="00A41E14" w:rsidRDefault="00A41E14" w:rsidP="00480A4E">
      <w:pPr>
        <w:pStyle w:val="Fotnotstext"/>
        <w:spacing w:line="360" w:lineRule="auto"/>
        <w:jc w:val="both"/>
        <w:rPr>
          <w:rFonts w:ascii="Times New Roman" w:hAnsi="Times New Roman"/>
          <w:sz w:val="24"/>
          <w:szCs w:val="24"/>
          <w:lang w:val="en-GB"/>
        </w:rPr>
      </w:pPr>
      <w:r w:rsidRPr="00A41E14">
        <w:rPr>
          <w:rFonts w:ascii="Times New Roman" w:hAnsi="Times New Roman"/>
          <w:sz w:val="24"/>
          <w:szCs w:val="24"/>
          <w:lang w:val="en-GB"/>
        </w:rPr>
        <w:t>There was a statistically significant difference in post-secondary participation between the first and third years following completion of secondary education.</w:t>
      </w:r>
      <w:r>
        <w:rPr>
          <w:rFonts w:ascii="Times New Roman" w:hAnsi="Times New Roman"/>
          <w:sz w:val="24"/>
          <w:szCs w:val="24"/>
          <w:lang w:val="en-GB"/>
        </w:rPr>
        <w:t xml:space="preserve"> </w:t>
      </w:r>
      <w:r w:rsidRPr="00A41E14">
        <w:rPr>
          <w:rFonts w:ascii="Times New Roman" w:hAnsi="Times New Roman"/>
          <w:sz w:val="24"/>
          <w:szCs w:val="24"/>
          <w:lang w:val="en-GB"/>
        </w:rPr>
        <w:t>Because the mean increased from 39.0% to 54.93%, the direction of the difference indicates an increase in</w:t>
      </w:r>
      <w:r w:rsidRPr="00A41E14">
        <w:rPr>
          <w:rFonts w:ascii="Times New Roman" w:hAnsi="Times New Roman"/>
          <w:b/>
          <w:bCs/>
          <w:sz w:val="24"/>
          <w:szCs w:val="24"/>
          <w:lang w:val="en-GB"/>
        </w:rPr>
        <w:t xml:space="preserve"> </w:t>
      </w:r>
      <w:r w:rsidRPr="00A41E14">
        <w:rPr>
          <w:rFonts w:ascii="Times New Roman" w:hAnsi="Times New Roman"/>
          <w:sz w:val="24"/>
          <w:szCs w:val="24"/>
          <w:lang w:val="en-GB"/>
        </w:rPr>
        <w:t>participation.</w:t>
      </w:r>
      <w:r>
        <w:rPr>
          <w:rFonts w:ascii="Times New Roman" w:hAnsi="Times New Roman"/>
          <w:sz w:val="24"/>
          <w:szCs w:val="24"/>
          <w:lang w:val="en-GB"/>
        </w:rPr>
        <w:t xml:space="preserve"> </w:t>
      </w:r>
      <w:r w:rsidRPr="00A41E14">
        <w:rPr>
          <w:rFonts w:ascii="Times New Roman" w:hAnsi="Times New Roman"/>
          <w:sz w:val="24"/>
          <w:szCs w:val="24"/>
          <w:lang w:val="en-GB"/>
        </w:rPr>
        <w:t xml:space="preserve">Importantly, the hypothesis test establishes that there is evidence of a difference; the </w:t>
      </w:r>
      <w:r w:rsidRPr="00F65153">
        <w:rPr>
          <w:rFonts w:ascii="Times New Roman" w:hAnsi="Times New Roman"/>
          <w:sz w:val="24"/>
          <w:szCs w:val="24"/>
          <w:lang w:val="en-GB"/>
        </w:rPr>
        <w:t>descriptive means</w:t>
      </w:r>
      <w:r w:rsidRPr="00A41E14">
        <w:rPr>
          <w:rFonts w:ascii="Times New Roman" w:hAnsi="Times New Roman"/>
          <w:sz w:val="24"/>
          <w:szCs w:val="24"/>
          <w:lang w:val="en-GB"/>
        </w:rPr>
        <w:t xml:space="preserve"> establish that the difference is an increase.</w:t>
      </w:r>
      <w:r w:rsidR="00C375E1">
        <w:rPr>
          <w:rFonts w:ascii="Times New Roman" w:hAnsi="Times New Roman"/>
          <w:sz w:val="24"/>
          <w:szCs w:val="24"/>
          <w:lang w:val="en-GB"/>
        </w:rPr>
        <w:t xml:space="preserve"> The m</w:t>
      </w:r>
      <w:r w:rsidR="00B10221" w:rsidRPr="00B10221">
        <w:rPr>
          <w:rFonts w:ascii="Times New Roman" w:hAnsi="Times New Roman"/>
          <w:sz w:val="24"/>
          <w:szCs w:val="24"/>
          <w:lang w:val="en-GB"/>
        </w:rPr>
        <w:t>ean participation</w:t>
      </w:r>
      <w:r w:rsidR="006D4645">
        <w:rPr>
          <w:rFonts w:ascii="Times New Roman" w:hAnsi="Times New Roman"/>
          <w:sz w:val="24"/>
          <w:szCs w:val="24"/>
          <w:lang w:val="en-GB"/>
        </w:rPr>
        <w:t xml:space="preserve"> as </w:t>
      </w:r>
      <w:r w:rsidR="007F2765">
        <w:rPr>
          <w:rFonts w:ascii="Times New Roman" w:hAnsi="Times New Roman"/>
          <w:sz w:val="24"/>
          <w:szCs w:val="24"/>
          <w:lang w:val="en-GB"/>
        </w:rPr>
        <w:t xml:space="preserve">well </w:t>
      </w:r>
      <w:r w:rsidR="007F2765" w:rsidRPr="00B10221">
        <w:rPr>
          <w:rFonts w:ascii="Times New Roman" w:hAnsi="Times New Roman"/>
          <w:sz w:val="24"/>
          <w:szCs w:val="24"/>
          <w:lang w:val="en-GB"/>
        </w:rPr>
        <w:t>across</w:t>
      </w:r>
      <w:r w:rsidR="00B10221" w:rsidRPr="00B10221">
        <w:rPr>
          <w:rFonts w:ascii="Times New Roman" w:hAnsi="Times New Roman"/>
          <w:sz w:val="24"/>
          <w:szCs w:val="24"/>
          <w:lang w:val="en-GB"/>
        </w:rPr>
        <w:t xml:space="preserve"> the matched disability-type and gender categories increased significantly between the first and third years</w:t>
      </w:r>
      <w:r w:rsidR="00BC12D3">
        <w:rPr>
          <w:rFonts w:ascii="Times New Roman" w:hAnsi="Times New Roman"/>
          <w:sz w:val="24"/>
          <w:szCs w:val="24"/>
          <w:lang w:val="en-GB"/>
        </w:rPr>
        <w:t>.</w:t>
      </w:r>
    </w:p>
    <w:p w14:paraId="34C1014B" w14:textId="77777777" w:rsidR="00A41E14" w:rsidRDefault="00A41E14" w:rsidP="00360FDB">
      <w:pPr>
        <w:pStyle w:val="Fotnotstext"/>
        <w:rPr>
          <w:rFonts w:ascii="Times New Roman" w:hAnsi="Times New Roman"/>
          <w:sz w:val="24"/>
          <w:szCs w:val="24"/>
          <w:lang w:val="en-GB"/>
        </w:rPr>
      </w:pPr>
    </w:p>
    <w:p w14:paraId="61E3A2A3" w14:textId="77777777" w:rsidR="00394C9E" w:rsidRPr="00A81D11" w:rsidRDefault="00394C9E" w:rsidP="00394C9E">
      <w:pPr>
        <w:rPr>
          <w:rFonts w:ascii="Times New Roman" w:eastAsia="Times New Roman" w:hAnsi="Times New Roman" w:cs="Times New Roman"/>
          <w:b/>
          <w:bCs/>
          <w:sz w:val="24"/>
          <w:szCs w:val="24"/>
          <w:lang w:eastAsia="sv-SE"/>
        </w:rPr>
      </w:pPr>
      <w:r w:rsidRPr="00A81D11">
        <w:rPr>
          <w:rFonts w:ascii="Times New Roman" w:eastAsia="Times New Roman" w:hAnsi="Times New Roman" w:cs="Times New Roman"/>
          <w:b/>
          <w:bCs/>
          <w:sz w:val="24"/>
          <w:szCs w:val="24"/>
          <w:lang w:eastAsia="sv-SE"/>
        </w:rPr>
        <w:t>Discussion</w:t>
      </w:r>
    </w:p>
    <w:p w14:paraId="72027914" w14:textId="77777777" w:rsidR="008415BA" w:rsidRPr="00A81D11" w:rsidRDefault="00394C9E" w:rsidP="00394C9E">
      <w:pPr>
        <w:rPr>
          <w:rFonts w:ascii="Times New Roman" w:eastAsia="Times New Roman" w:hAnsi="Times New Roman" w:cs="Times New Roman"/>
          <w:b/>
          <w:bCs/>
          <w:sz w:val="24"/>
          <w:szCs w:val="24"/>
          <w:lang w:eastAsia="sv-SE"/>
        </w:rPr>
      </w:pPr>
      <w:r w:rsidRPr="00A81D11">
        <w:rPr>
          <w:rFonts w:ascii="Times New Roman" w:eastAsia="Times New Roman" w:hAnsi="Times New Roman" w:cs="Times New Roman"/>
          <w:b/>
          <w:bCs/>
          <w:sz w:val="24"/>
          <w:szCs w:val="24"/>
          <w:lang w:eastAsia="sv-SE"/>
        </w:rPr>
        <w:t>Disability, Educational Participation and Unequal Opportunities</w:t>
      </w:r>
    </w:p>
    <w:p w14:paraId="3486BFBE" w14:textId="77777777" w:rsidR="00A81D11" w:rsidRPr="00A81D11" w:rsidRDefault="00A81D11" w:rsidP="00F751D8">
      <w:pPr>
        <w:pStyle w:val="isselectedend"/>
        <w:spacing w:line="360" w:lineRule="auto"/>
        <w:jc w:val="both"/>
        <w:rPr>
          <w:lang w:val="en-GB"/>
        </w:rPr>
      </w:pPr>
      <w:r w:rsidRPr="00A81D11">
        <w:rPr>
          <w:lang w:val="en-GB"/>
        </w:rPr>
        <w:t>The findings reveal a consistent descriptive gap in post-secondary education participation between students with and without disabilities across 2018–2020. Although participation increased over time for all groups, the gap remained evident, suggesting that improved overall participation did not necessarily eliminate unequal educational opportunities.</w:t>
      </w:r>
    </w:p>
    <w:p w14:paraId="3076B93C" w14:textId="30A5E684" w:rsidR="00A81D11" w:rsidRPr="00A81D11" w:rsidRDefault="00A81D11" w:rsidP="00F751D8">
      <w:pPr>
        <w:pStyle w:val="isselectedend"/>
        <w:spacing w:line="360" w:lineRule="auto"/>
        <w:jc w:val="both"/>
        <w:rPr>
          <w:lang w:val="en-GB"/>
        </w:rPr>
      </w:pPr>
      <w:r w:rsidRPr="00A81D11">
        <w:rPr>
          <w:lang w:val="en-GB"/>
        </w:rPr>
        <w:t xml:space="preserve">This pattern is relevant to the </w:t>
      </w:r>
      <w:r w:rsidR="00F751D8">
        <w:rPr>
          <w:lang w:val="en-GB"/>
        </w:rPr>
        <w:t>c</w:t>
      </w:r>
      <w:r w:rsidRPr="00A81D11">
        <w:rPr>
          <w:lang w:val="en-GB"/>
        </w:rPr>
        <w:t xml:space="preserve">apability </w:t>
      </w:r>
      <w:r w:rsidR="00F751D8">
        <w:rPr>
          <w:lang w:val="en-GB"/>
        </w:rPr>
        <w:t>a</w:t>
      </w:r>
      <w:r w:rsidRPr="00A81D11">
        <w:rPr>
          <w:lang w:val="en-GB"/>
        </w:rPr>
        <w:t>pproach</w:t>
      </w:r>
      <w:r w:rsidR="00F751D8">
        <w:rPr>
          <w:lang w:val="en-GB"/>
        </w:rPr>
        <w:t xml:space="preserve"> theory</w:t>
      </w:r>
      <w:r w:rsidRPr="00A81D11">
        <w:rPr>
          <w:lang w:val="en-GB"/>
        </w:rPr>
        <w:t>, which distinguishes formal access from substantive opportunities to achieve valued outcomes. Riddle (2020) argues that educational equality should be understood in terms of individuals' real opportunities rather than access to resources or formal rights alone. Similarly, Jandhyala (2021), drawing on Nussbaum's capabilities framework, emphasises education as a central entitlement that should be available to all. From this perspective, the continued participation gap may suggest that formal educational opportunities are not experienced equally by students with disabilities.</w:t>
      </w:r>
    </w:p>
    <w:p w14:paraId="55AD0B23" w14:textId="5563E191" w:rsidR="00A81D11" w:rsidRPr="00A81D11" w:rsidRDefault="00A81D11" w:rsidP="00F751D8">
      <w:pPr>
        <w:pStyle w:val="isselectedend"/>
        <w:spacing w:line="360" w:lineRule="auto"/>
        <w:jc w:val="both"/>
        <w:rPr>
          <w:lang w:val="en-GB"/>
        </w:rPr>
      </w:pPr>
      <w:r w:rsidRPr="00A81D11">
        <w:rPr>
          <w:lang w:val="en-GB"/>
        </w:rPr>
        <w:lastRenderedPageBreak/>
        <w:t>However, the findings should not be interpreted as evidence that disability itself causes lower participation. As a non-experimental study, this research cannot establish causal relationships or identify the mechanisms underlying the observed differences. Participation may instead reflect the interaction of educational, institutional, social, and individual conditions</w:t>
      </w:r>
      <w:r w:rsidR="00F17474">
        <w:rPr>
          <w:lang w:val="en-GB"/>
        </w:rPr>
        <w:t xml:space="preserve"> as suggested by </w:t>
      </w:r>
      <w:r w:rsidR="00F17474" w:rsidRPr="00F17474">
        <w:rPr>
          <w:lang w:val="en-GB"/>
        </w:rPr>
        <w:t>Moriña &amp; Carnerero</w:t>
      </w:r>
      <w:r w:rsidR="00F17474">
        <w:rPr>
          <w:lang w:val="en-GB"/>
        </w:rPr>
        <w:t xml:space="preserve"> (</w:t>
      </w:r>
      <w:r w:rsidR="00F17474" w:rsidRPr="00F17474">
        <w:rPr>
          <w:lang w:val="en-GB"/>
        </w:rPr>
        <w:t>2020</w:t>
      </w:r>
      <w:r w:rsidR="00AD5328" w:rsidRPr="00F17474">
        <w:rPr>
          <w:lang w:val="en-GB"/>
        </w:rPr>
        <w:t>)</w:t>
      </w:r>
      <w:r w:rsidR="00AD5328">
        <w:rPr>
          <w:lang w:val="en-GB"/>
        </w:rPr>
        <w:t>.</w:t>
      </w:r>
      <w:r w:rsidRPr="00A81D11">
        <w:rPr>
          <w:lang w:val="en-GB"/>
        </w:rPr>
        <w:t xml:space="preserve"> Stefánsdóttir and Björnsdóttir (2016) highlight the importance of educational initiatives in promoting equitable participation, while Lid (2026) emphasises that disability is shaped by the interaction between impairment and societal barriers. The findings are therefore more appropriately understood as evidence of unequal participation patterns than of individual deficits.</w:t>
      </w:r>
    </w:p>
    <w:p w14:paraId="6A911D79" w14:textId="77777777" w:rsidR="00A81D11" w:rsidRPr="00A81D11" w:rsidRDefault="00A81D11" w:rsidP="00F751D8">
      <w:pPr>
        <w:pStyle w:val="Normalwebb"/>
        <w:spacing w:line="360" w:lineRule="auto"/>
        <w:jc w:val="both"/>
        <w:rPr>
          <w:lang w:val="en-GB"/>
        </w:rPr>
      </w:pPr>
      <w:r w:rsidRPr="00A81D11">
        <w:rPr>
          <w:lang w:val="en-GB"/>
        </w:rPr>
        <w:t>Examining participation rather than access alone is also supported by Hart and Brando (2018), who argue that educational quality should be considered in relation to participation, empowerment, and equitable opportunities. Pandey (2021) similarly identifies higher education as important for employment opportunities and a dignified life for persons with disabilities. Nevertheless, increased participation should not automatically be equated with successful inclusion. Kutscher and Tuckwiller (2019) note that disabled students may experience lower completion rates despite increased enrolment. Thus, participation statistics offer an important but incomplete indication of educational equality.</w:t>
      </w:r>
    </w:p>
    <w:p w14:paraId="214149BD" w14:textId="6BF5FE66" w:rsidR="00A667F2" w:rsidRPr="00BE22A9" w:rsidRDefault="00DB447F" w:rsidP="00394C9E">
      <w:pPr>
        <w:rPr>
          <w:rFonts w:ascii="Times New Roman" w:eastAsia="Times New Roman" w:hAnsi="Times New Roman" w:cs="Times New Roman"/>
          <w:b/>
          <w:bCs/>
          <w:sz w:val="24"/>
          <w:szCs w:val="24"/>
          <w:lang w:eastAsia="sv-SE"/>
        </w:rPr>
      </w:pPr>
      <w:r w:rsidRPr="00BE22A9">
        <w:rPr>
          <w:rFonts w:ascii="Times New Roman" w:eastAsia="Times New Roman" w:hAnsi="Times New Roman" w:cs="Times New Roman"/>
          <w:b/>
          <w:bCs/>
          <w:sz w:val="24"/>
          <w:szCs w:val="24"/>
          <w:lang w:eastAsia="sv-SE"/>
        </w:rPr>
        <w:t>Participation Over the Three</w:t>
      </w:r>
      <w:r w:rsidR="00A667F2" w:rsidRPr="00BE22A9">
        <w:rPr>
          <w:rFonts w:ascii="Times New Roman" w:eastAsia="Times New Roman" w:hAnsi="Times New Roman" w:cs="Times New Roman"/>
          <w:b/>
          <w:bCs/>
          <w:sz w:val="24"/>
          <w:szCs w:val="24"/>
          <w:lang w:eastAsia="sv-SE"/>
        </w:rPr>
        <w:t xml:space="preserve"> </w:t>
      </w:r>
      <w:r w:rsidRPr="00BE22A9">
        <w:rPr>
          <w:rFonts w:ascii="Times New Roman" w:eastAsia="Times New Roman" w:hAnsi="Times New Roman" w:cs="Times New Roman"/>
          <w:b/>
          <w:bCs/>
          <w:sz w:val="24"/>
          <w:szCs w:val="24"/>
          <w:lang w:eastAsia="sv-SE"/>
        </w:rPr>
        <w:t>-Year Tr</w:t>
      </w:r>
      <w:r w:rsidR="00A667F2" w:rsidRPr="00BE22A9">
        <w:rPr>
          <w:rFonts w:ascii="Times New Roman" w:eastAsia="Times New Roman" w:hAnsi="Times New Roman" w:cs="Times New Roman"/>
          <w:b/>
          <w:bCs/>
          <w:sz w:val="24"/>
          <w:szCs w:val="24"/>
          <w:lang w:eastAsia="sv-SE"/>
        </w:rPr>
        <w:t>ansition</w:t>
      </w:r>
    </w:p>
    <w:p w14:paraId="0CEB64F8" w14:textId="77777777" w:rsidR="00C81776" w:rsidRPr="00C81776" w:rsidRDefault="00C81776" w:rsidP="007038D4">
      <w:pPr>
        <w:pStyle w:val="isselectedend"/>
        <w:spacing w:line="360" w:lineRule="auto"/>
        <w:jc w:val="both"/>
        <w:rPr>
          <w:lang w:val="en-GB"/>
        </w:rPr>
      </w:pPr>
      <w:r w:rsidRPr="00C81776">
        <w:rPr>
          <w:lang w:val="en-GB"/>
        </w:rPr>
        <w:t>The analysis of participation during the first three years following completion of secondary education indicated an upward descriptive trend. Mean participation increased from 9.00% (SD = 2.10) in the first year to 10.33% (SD = 2.25) in the second year and 11.83% (SD = 2.64) in the third year. However, the one-way ANOVA did not identify a statistically significant difference across the three years, F(2, 15) = 2.20, p = .145. Accordingly, the null hypothesis was not rejected.</w:t>
      </w:r>
    </w:p>
    <w:p w14:paraId="3D8D2ECC" w14:textId="77777777" w:rsidR="00C81776" w:rsidRPr="00C81776" w:rsidRDefault="00C81776" w:rsidP="007038D4">
      <w:pPr>
        <w:pStyle w:val="isselectedend"/>
        <w:spacing w:line="360" w:lineRule="auto"/>
        <w:jc w:val="both"/>
        <w:rPr>
          <w:lang w:val="en-GB"/>
        </w:rPr>
      </w:pPr>
      <w:r w:rsidRPr="00C81776">
        <w:rPr>
          <w:lang w:val="en-GB"/>
        </w:rPr>
        <w:t xml:space="preserve">The distinction between the descriptive and inferential findings is important. Although the increasing percentages suggest a possible pattern of gradual participation over time, the non-significant ANOVA does not provide sufficient statistical evidence to conclude that participation differed across the three years. The observed increase should therefore be interpreted cautiously rather than treated as evidence of a confirmed temporal effect. The limited analytical sample may have reduced the statistical power of the analysis, and a larger </w:t>
      </w:r>
      <w:r w:rsidRPr="00C81776">
        <w:rPr>
          <w:lang w:val="en-GB"/>
        </w:rPr>
        <w:lastRenderedPageBreak/>
        <w:t>sample could provide stronger evidence of whether participation changes systematically during this transition period.</w:t>
      </w:r>
    </w:p>
    <w:p w14:paraId="6C49247E" w14:textId="2F7DDA4D" w:rsidR="00C81776" w:rsidRPr="00C81776" w:rsidRDefault="00C81776" w:rsidP="007038D4">
      <w:pPr>
        <w:pStyle w:val="Normalwebb"/>
        <w:spacing w:line="360" w:lineRule="auto"/>
        <w:jc w:val="both"/>
        <w:rPr>
          <w:lang w:val="en-GB"/>
        </w:rPr>
      </w:pPr>
      <w:r w:rsidRPr="00C81776">
        <w:rPr>
          <w:lang w:val="en-GB"/>
        </w:rPr>
        <w:t xml:space="preserve">From a </w:t>
      </w:r>
      <w:r w:rsidR="007038D4">
        <w:rPr>
          <w:lang w:val="en-GB"/>
        </w:rPr>
        <w:t>c</w:t>
      </w:r>
      <w:r w:rsidRPr="00C81776">
        <w:rPr>
          <w:lang w:val="en-GB"/>
        </w:rPr>
        <w:t xml:space="preserve">apability </w:t>
      </w:r>
      <w:r w:rsidR="007038D4">
        <w:rPr>
          <w:lang w:val="en-GB"/>
        </w:rPr>
        <w:t>a</w:t>
      </w:r>
      <w:r w:rsidRPr="00C81776">
        <w:rPr>
          <w:lang w:val="en-GB"/>
        </w:rPr>
        <w:t>pproach perspective, however, the descriptive pattern remains theoretically relevant. Educational opportunities may not be realised at the same point in time for all students, and immediate participation after secondary education may not fully reflect an individual's longer-term opportunity to pursue further education. Nussbaum's emphasis on minimum capability thresholds highlights the responsibility of governments and educational systems to create conditions that enable individuals to exercise fundamental capabilities, including education (Jandhyala, 2021). The findings therefore raise an important methodological and conceptual question: whether measuring participation only immediately after secondary education is sufficient to evaluate educational opportunity. A longer transition period may provide a more comprehensive understanding of how educational opportunities are realised over time.</w:t>
      </w:r>
    </w:p>
    <w:p w14:paraId="6A7983AC" w14:textId="40DD92DE" w:rsidR="0054146C" w:rsidRPr="0054146C" w:rsidRDefault="0054146C" w:rsidP="00743F1A">
      <w:pPr>
        <w:spacing w:line="360" w:lineRule="auto"/>
        <w:jc w:val="both"/>
        <w:rPr>
          <w:rFonts w:ascii="Times New Roman" w:eastAsia="Times New Roman" w:hAnsi="Times New Roman" w:cs="Times New Roman"/>
          <w:b/>
          <w:bCs/>
          <w:sz w:val="24"/>
          <w:szCs w:val="24"/>
          <w:lang w:eastAsia="sv-SE"/>
        </w:rPr>
      </w:pPr>
      <w:r w:rsidRPr="0054146C">
        <w:rPr>
          <w:rFonts w:ascii="Times New Roman" w:eastAsia="Times New Roman" w:hAnsi="Times New Roman" w:cs="Times New Roman"/>
          <w:b/>
          <w:bCs/>
          <w:sz w:val="24"/>
          <w:szCs w:val="24"/>
          <w:lang w:eastAsia="sv-SE"/>
        </w:rPr>
        <w:t>Year</w:t>
      </w:r>
      <w:r w:rsidR="00854660" w:rsidRPr="0054146C">
        <w:rPr>
          <w:rFonts w:ascii="Times New Roman" w:eastAsia="Times New Roman" w:hAnsi="Times New Roman" w:cs="Times New Roman"/>
          <w:b/>
          <w:bCs/>
          <w:sz w:val="24"/>
          <w:szCs w:val="24"/>
          <w:lang w:eastAsia="sv-SE"/>
        </w:rPr>
        <w:t xml:space="preserve"> 1</w:t>
      </w:r>
      <w:r w:rsidR="006F5A5A" w:rsidRPr="0054146C">
        <w:rPr>
          <w:rFonts w:ascii="Times New Roman" w:eastAsia="Times New Roman" w:hAnsi="Times New Roman" w:cs="Times New Roman"/>
          <w:b/>
          <w:bCs/>
          <w:sz w:val="24"/>
          <w:szCs w:val="24"/>
          <w:lang w:eastAsia="sv-SE"/>
        </w:rPr>
        <w:t xml:space="preserve"> to Year 3: Evidence of Later Participation</w:t>
      </w:r>
    </w:p>
    <w:p w14:paraId="7EE9817B" w14:textId="3149777B" w:rsidR="00394C9E" w:rsidRPr="00394C9E" w:rsidRDefault="00394C9E" w:rsidP="00743F1A">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 xml:space="preserve">The paired-samples analysis provides stronger evidence of change when the first and third years are compared directly. Participation increased from 39.00% in Year 1 to 54.93% in Year 3, representing a mean increase of 15.93 percentage points. The paired-samples </w:t>
      </w:r>
      <w:r w:rsidRPr="00394C9E">
        <w:rPr>
          <w:rFonts w:ascii="Times New Roman" w:eastAsia="Times New Roman" w:hAnsi="Times New Roman" w:cs="Times New Roman"/>
          <w:i/>
          <w:iCs/>
          <w:sz w:val="24"/>
          <w:szCs w:val="24"/>
          <w:lang w:eastAsia="sv-SE"/>
        </w:rPr>
        <w:t>t</w:t>
      </w:r>
      <w:r w:rsidRPr="00394C9E">
        <w:rPr>
          <w:rFonts w:ascii="Times New Roman" w:eastAsia="Times New Roman" w:hAnsi="Times New Roman" w:cs="Times New Roman"/>
          <w:sz w:val="24"/>
          <w:szCs w:val="24"/>
          <w:lang w:eastAsia="sv-SE"/>
        </w:rPr>
        <w:t xml:space="preserve">-test indicated a statistically significant difference, </w:t>
      </w:r>
      <w:r w:rsidRPr="00394C9E">
        <w:rPr>
          <w:rFonts w:ascii="Times New Roman" w:eastAsia="Times New Roman" w:hAnsi="Times New Roman" w:cs="Times New Roman"/>
          <w:i/>
          <w:iCs/>
          <w:sz w:val="24"/>
          <w:szCs w:val="24"/>
          <w:lang w:eastAsia="sv-SE"/>
        </w:rPr>
        <w:t>t</w:t>
      </w:r>
      <w:r w:rsidRPr="00394C9E">
        <w:rPr>
          <w:rFonts w:ascii="Times New Roman" w:eastAsia="Times New Roman" w:hAnsi="Times New Roman" w:cs="Times New Roman"/>
          <w:sz w:val="24"/>
          <w:szCs w:val="24"/>
          <w:lang w:eastAsia="sv-SE"/>
        </w:rPr>
        <w:t xml:space="preserve">(13) = -6.93, </w:t>
      </w:r>
      <w:r w:rsidRPr="00394C9E">
        <w:rPr>
          <w:rFonts w:ascii="Times New Roman" w:eastAsia="Times New Roman" w:hAnsi="Times New Roman" w:cs="Times New Roman"/>
          <w:i/>
          <w:iCs/>
          <w:sz w:val="24"/>
          <w:szCs w:val="24"/>
          <w:lang w:eastAsia="sv-SE"/>
        </w:rPr>
        <w:t>p</w:t>
      </w:r>
      <w:r w:rsidRPr="00394C9E">
        <w:rPr>
          <w:rFonts w:ascii="Times New Roman" w:eastAsia="Times New Roman" w:hAnsi="Times New Roman" w:cs="Times New Roman"/>
          <w:sz w:val="24"/>
          <w:szCs w:val="24"/>
          <w:lang w:eastAsia="sv-SE"/>
        </w:rPr>
        <w:t xml:space="preserve"> &lt; .001.</w:t>
      </w:r>
    </w:p>
    <w:p w14:paraId="5F194F68" w14:textId="77777777" w:rsidR="00394C9E" w:rsidRPr="00394C9E" w:rsidRDefault="00394C9E" w:rsidP="00743F1A">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This finding suggests that participation among the matched disability groups represented in the analysis was considerably higher by the third year. Importantly, this result complements rather than contradicts the ANOVA finding. The ANOVA examined differences across three periods simultaneously, whereas the paired test specifically examined the change between Year 1 and Year 3. The results therefore suggest that the difference may become more apparent over a longer transition period than when the three years are considered together.</w:t>
      </w:r>
    </w:p>
    <w:p w14:paraId="69082F35" w14:textId="379FEA71" w:rsidR="00394C9E" w:rsidRPr="00394C9E" w:rsidRDefault="00DB2184" w:rsidP="00743F1A">
      <w:pPr>
        <w:spacing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Further, t</w:t>
      </w:r>
      <w:r w:rsidR="00394C9E" w:rsidRPr="00394C9E">
        <w:rPr>
          <w:rFonts w:ascii="Times New Roman" w:eastAsia="Times New Roman" w:hAnsi="Times New Roman" w:cs="Times New Roman"/>
          <w:sz w:val="24"/>
          <w:szCs w:val="24"/>
          <w:lang w:eastAsia="sv-SE"/>
        </w:rPr>
        <w:t>he finding challenges an assumption that educational transition should be understood primarily in terms of immediate entry after secondary education. Biagiotti et al. (2026) emphasi</w:t>
      </w:r>
      <w:r>
        <w:rPr>
          <w:rFonts w:ascii="Times New Roman" w:eastAsia="Times New Roman" w:hAnsi="Times New Roman" w:cs="Times New Roman"/>
          <w:sz w:val="24"/>
          <w:szCs w:val="24"/>
          <w:lang w:eastAsia="sv-SE"/>
        </w:rPr>
        <w:t>z</w:t>
      </w:r>
      <w:r w:rsidR="00394C9E" w:rsidRPr="00394C9E">
        <w:rPr>
          <w:rFonts w:ascii="Times New Roman" w:eastAsia="Times New Roman" w:hAnsi="Times New Roman" w:cs="Times New Roman"/>
          <w:sz w:val="24"/>
          <w:szCs w:val="24"/>
          <w:lang w:eastAsia="sv-SE"/>
        </w:rPr>
        <w:t>e that post-secondary education can contribute to social inclusion, independence, and future opportunities, while also identifying continuing barriers to participation. Bettencourt et al. (2022) and Wells (2026) similarly report continuing inequalities affecting disabled students' educational pathways. The present findings may therefore indicate that some students enter post-secondary education later, although the available data cannot establish why this occurs.</w:t>
      </w:r>
    </w:p>
    <w:p w14:paraId="7A07E9B4" w14:textId="709AD7DC" w:rsidR="00394C9E" w:rsidRPr="00394C9E" w:rsidRDefault="00394C9E" w:rsidP="00CD62D0">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lastRenderedPageBreak/>
        <w:t xml:space="preserve">The </w:t>
      </w:r>
      <w:r w:rsidR="00B37A60">
        <w:rPr>
          <w:rFonts w:ascii="Times New Roman" w:eastAsia="Times New Roman" w:hAnsi="Times New Roman" w:cs="Times New Roman"/>
          <w:sz w:val="24"/>
          <w:szCs w:val="24"/>
          <w:lang w:eastAsia="sv-SE"/>
        </w:rPr>
        <w:t>c</w:t>
      </w:r>
      <w:r w:rsidRPr="00394C9E">
        <w:rPr>
          <w:rFonts w:ascii="Times New Roman" w:eastAsia="Times New Roman" w:hAnsi="Times New Roman" w:cs="Times New Roman"/>
          <w:sz w:val="24"/>
          <w:szCs w:val="24"/>
          <w:lang w:eastAsia="sv-SE"/>
        </w:rPr>
        <w:t xml:space="preserve">apability </w:t>
      </w:r>
      <w:r w:rsidR="00B37A60">
        <w:rPr>
          <w:rFonts w:ascii="Times New Roman" w:eastAsia="Times New Roman" w:hAnsi="Times New Roman" w:cs="Times New Roman"/>
          <w:sz w:val="24"/>
          <w:szCs w:val="24"/>
          <w:lang w:eastAsia="sv-SE"/>
        </w:rPr>
        <w:t>a</w:t>
      </w:r>
      <w:r w:rsidRPr="00394C9E">
        <w:rPr>
          <w:rFonts w:ascii="Times New Roman" w:eastAsia="Times New Roman" w:hAnsi="Times New Roman" w:cs="Times New Roman"/>
          <w:sz w:val="24"/>
          <w:szCs w:val="24"/>
          <w:lang w:eastAsia="sv-SE"/>
        </w:rPr>
        <w:t>pproach offers one possible interpretation. Students may possess formal access to educational resources but differ in their ability to convert those resources into actual participation because of social and institutional conditions. Rasse and Sevilla (2023) emphasi</w:t>
      </w:r>
      <w:r w:rsidR="00B37A60">
        <w:rPr>
          <w:rFonts w:ascii="Times New Roman" w:eastAsia="Times New Roman" w:hAnsi="Times New Roman" w:cs="Times New Roman"/>
          <w:sz w:val="24"/>
          <w:szCs w:val="24"/>
          <w:lang w:eastAsia="sv-SE"/>
        </w:rPr>
        <w:t>z</w:t>
      </w:r>
      <w:r w:rsidRPr="00394C9E">
        <w:rPr>
          <w:rFonts w:ascii="Times New Roman" w:eastAsia="Times New Roman" w:hAnsi="Times New Roman" w:cs="Times New Roman"/>
          <w:sz w:val="24"/>
          <w:szCs w:val="24"/>
          <w:lang w:eastAsia="sv-SE"/>
        </w:rPr>
        <w:t xml:space="preserve">e that education can both promote social inclusion and reproduce inequalities. Consequently, delayed participation should not automatically be interpreted as an individual choice or deficit. </w:t>
      </w:r>
      <w:r w:rsidR="007B50AE">
        <w:rPr>
          <w:rFonts w:ascii="Times New Roman" w:eastAsia="Times New Roman" w:hAnsi="Times New Roman" w:cs="Times New Roman"/>
          <w:sz w:val="24"/>
          <w:szCs w:val="24"/>
          <w:lang w:eastAsia="sv-SE"/>
        </w:rPr>
        <w:t>Indeed, i</w:t>
      </w:r>
      <w:r w:rsidRPr="00394C9E">
        <w:rPr>
          <w:rFonts w:ascii="Times New Roman" w:eastAsia="Times New Roman" w:hAnsi="Times New Roman" w:cs="Times New Roman"/>
          <w:sz w:val="24"/>
          <w:szCs w:val="24"/>
          <w:lang w:eastAsia="sv-SE"/>
        </w:rPr>
        <w:t xml:space="preserve">t may reflect differences in the conditions under which students are able to exercise educational opportunities. </w:t>
      </w:r>
      <w:r w:rsidR="004D422D">
        <w:rPr>
          <w:rFonts w:ascii="Times New Roman" w:eastAsia="Times New Roman" w:hAnsi="Times New Roman" w:cs="Times New Roman"/>
          <w:sz w:val="24"/>
          <w:szCs w:val="24"/>
          <w:lang w:eastAsia="sv-SE"/>
        </w:rPr>
        <w:t>Similarly</w:t>
      </w:r>
      <w:r w:rsidRPr="00394C9E">
        <w:rPr>
          <w:rFonts w:ascii="Times New Roman" w:eastAsia="Times New Roman" w:hAnsi="Times New Roman" w:cs="Times New Roman"/>
          <w:sz w:val="24"/>
          <w:szCs w:val="24"/>
          <w:lang w:eastAsia="sv-SE"/>
        </w:rPr>
        <w:t xml:space="preserve">, the present study cannot identify whether delayed participation results from </w:t>
      </w:r>
      <w:r w:rsidR="008476CC">
        <w:rPr>
          <w:rFonts w:ascii="Times New Roman" w:eastAsia="Times New Roman" w:hAnsi="Times New Roman" w:cs="Times New Roman"/>
          <w:sz w:val="24"/>
          <w:szCs w:val="24"/>
          <w:lang w:eastAsia="sv-SE"/>
        </w:rPr>
        <w:t>other factors su</w:t>
      </w:r>
      <w:r w:rsidR="007E0A3B">
        <w:rPr>
          <w:rFonts w:ascii="Times New Roman" w:eastAsia="Times New Roman" w:hAnsi="Times New Roman" w:cs="Times New Roman"/>
          <w:sz w:val="24"/>
          <w:szCs w:val="24"/>
          <w:lang w:eastAsia="sv-SE"/>
        </w:rPr>
        <w:t>ch as</w:t>
      </w:r>
      <w:r w:rsidRPr="00394C9E">
        <w:rPr>
          <w:rFonts w:ascii="Times New Roman" w:eastAsia="Times New Roman" w:hAnsi="Times New Roman" w:cs="Times New Roman"/>
          <w:sz w:val="24"/>
          <w:szCs w:val="24"/>
          <w:lang w:eastAsia="sv-SE"/>
        </w:rPr>
        <w:t xml:space="preserve"> institutional barriers</w:t>
      </w:r>
      <w:r w:rsidR="007E0A3B">
        <w:rPr>
          <w:rFonts w:ascii="Times New Roman" w:eastAsia="Times New Roman" w:hAnsi="Times New Roman" w:cs="Times New Roman"/>
          <w:sz w:val="24"/>
          <w:szCs w:val="24"/>
          <w:lang w:eastAsia="sv-SE"/>
        </w:rPr>
        <w:t xml:space="preserve"> or</w:t>
      </w:r>
      <w:r w:rsidRPr="00394C9E">
        <w:rPr>
          <w:rFonts w:ascii="Times New Roman" w:eastAsia="Times New Roman" w:hAnsi="Times New Roman" w:cs="Times New Roman"/>
          <w:sz w:val="24"/>
          <w:szCs w:val="24"/>
          <w:lang w:eastAsia="sv-SE"/>
        </w:rPr>
        <w:t xml:space="preserve"> personal circumstances</w:t>
      </w:r>
      <w:r w:rsidR="007E0A3B">
        <w:rPr>
          <w:rFonts w:ascii="Times New Roman" w:eastAsia="Times New Roman" w:hAnsi="Times New Roman" w:cs="Times New Roman"/>
          <w:sz w:val="24"/>
          <w:szCs w:val="24"/>
          <w:lang w:eastAsia="sv-SE"/>
        </w:rPr>
        <w:t>.</w:t>
      </w:r>
    </w:p>
    <w:p w14:paraId="090EBB2A" w14:textId="77777777" w:rsidR="00235355" w:rsidRPr="00235355" w:rsidRDefault="00235355" w:rsidP="00394C9E">
      <w:pPr>
        <w:rPr>
          <w:rFonts w:ascii="Times New Roman" w:eastAsia="Times New Roman" w:hAnsi="Times New Roman" w:cs="Times New Roman"/>
          <w:b/>
          <w:bCs/>
          <w:sz w:val="24"/>
          <w:szCs w:val="24"/>
          <w:lang w:eastAsia="sv-SE"/>
        </w:rPr>
      </w:pPr>
      <w:r w:rsidRPr="00235355">
        <w:rPr>
          <w:rFonts w:ascii="Times New Roman" w:eastAsia="Times New Roman" w:hAnsi="Times New Roman" w:cs="Times New Roman"/>
          <w:b/>
          <w:bCs/>
          <w:sz w:val="24"/>
          <w:szCs w:val="24"/>
          <w:lang w:eastAsia="sv-SE"/>
        </w:rPr>
        <w:t>Disability Type, Gender and Intersecting Patterns</w:t>
      </w:r>
    </w:p>
    <w:p w14:paraId="6583C2D8" w14:textId="33028CCA" w:rsidR="00394C9E" w:rsidRPr="00394C9E" w:rsidRDefault="00394C9E" w:rsidP="00235355">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 xml:space="preserve">The analysis further demonstrates why disability should not be treated as a homogeneous category. </w:t>
      </w:r>
      <w:r w:rsidR="00FE7380">
        <w:rPr>
          <w:rFonts w:ascii="Times New Roman" w:eastAsia="Times New Roman" w:hAnsi="Times New Roman" w:cs="Times New Roman"/>
          <w:sz w:val="24"/>
          <w:szCs w:val="24"/>
          <w:lang w:eastAsia="sv-SE"/>
        </w:rPr>
        <w:t>According to the re</w:t>
      </w:r>
      <w:r w:rsidR="00F35B3B">
        <w:rPr>
          <w:rFonts w:ascii="Times New Roman" w:eastAsia="Times New Roman" w:hAnsi="Times New Roman" w:cs="Times New Roman"/>
          <w:sz w:val="24"/>
          <w:szCs w:val="24"/>
          <w:lang w:eastAsia="sv-SE"/>
        </w:rPr>
        <w:t>sults f</w:t>
      </w:r>
      <w:r w:rsidRPr="00394C9E">
        <w:rPr>
          <w:rFonts w:ascii="Times New Roman" w:eastAsia="Times New Roman" w:hAnsi="Times New Roman" w:cs="Times New Roman"/>
          <w:sz w:val="24"/>
          <w:szCs w:val="24"/>
          <w:lang w:eastAsia="sv-SE"/>
        </w:rPr>
        <w:t>emale participation was higher among students with dyslexia, deafness, and psychiatric disabilities, whereas male participation was higher among students with language impairments. The largest gender difference occurred among deaf students, at 36 percentage points, while the difference among students with language impairments was 24 percentage points. These contrasting patterns suggest that gender does not operate uniformly across disability categories.</w:t>
      </w:r>
    </w:p>
    <w:p w14:paraId="0AD6C15F" w14:textId="4E641992" w:rsidR="00394C9E" w:rsidRPr="00394C9E" w:rsidRDefault="007D1D56" w:rsidP="00235355">
      <w:pPr>
        <w:spacing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 xml:space="preserve">Further, </w:t>
      </w:r>
      <w:r w:rsidRPr="00394C9E">
        <w:rPr>
          <w:rFonts w:ascii="Times New Roman" w:eastAsia="Times New Roman" w:hAnsi="Times New Roman" w:cs="Times New Roman"/>
          <w:sz w:val="24"/>
          <w:szCs w:val="24"/>
          <w:lang w:eastAsia="sv-SE"/>
        </w:rPr>
        <w:t>this</w:t>
      </w:r>
      <w:r w:rsidR="00394C9E" w:rsidRPr="00394C9E">
        <w:rPr>
          <w:rFonts w:ascii="Times New Roman" w:eastAsia="Times New Roman" w:hAnsi="Times New Roman" w:cs="Times New Roman"/>
          <w:sz w:val="24"/>
          <w:szCs w:val="24"/>
          <w:lang w:eastAsia="sv-SE"/>
        </w:rPr>
        <w:t xml:space="preserve"> finding is consistent with Nef et al. (2023), who argue that social categories such as gender and disability can shape unequal opportunities in different ways. Keung and Ho (2020) similarly identify gender as a structural factor influencing educational expectations and opportunities. The present findings therefore support a more differentiated understanding of educational inequality in which disability status alone may conceal important variation within the disabled student population.</w:t>
      </w:r>
    </w:p>
    <w:p w14:paraId="6BC51860" w14:textId="188AD8D9" w:rsidR="00394C9E" w:rsidRPr="00394C9E" w:rsidRDefault="007D1D56" w:rsidP="007D1D56">
      <w:pPr>
        <w:spacing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Here, t</w:t>
      </w:r>
      <w:r w:rsidR="00394C9E" w:rsidRPr="00394C9E">
        <w:rPr>
          <w:rFonts w:ascii="Times New Roman" w:eastAsia="Times New Roman" w:hAnsi="Times New Roman" w:cs="Times New Roman"/>
          <w:sz w:val="24"/>
          <w:szCs w:val="24"/>
          <w:lang w:eastAsia="sv-SE"/>
        </w:rPr>
        <w:t xml:space="preserve">he </w:t>
      </w:r>
      <w:r>
        <w:rPr>
          <w:rFonts w:ascii="Times New Roman" w:eastAsia="Times New Roman" w:hAnsi="Times New Roman" w:cs="Times New Roman"/>
          <w:sz w:val="24"/>
          <w:szCs w:val="24"/>
          <w:lang w:eastAsia="sv-SE"/>
        </w:rPr>
        <w:t>c</w:t>
      </w:r>
      <w:r w:rsidR="00394C9E" w:rsidRPr="00394C9E">
        <w:rPr>
          <w:rFonts w:ascii="Times New Roman" w:eastAsia="Times New Roman" w:hAnsi="Times New Roman" w:cs="Times New Roman"/>
          <w:sz w:val="24"/>
          <w:szCs w:val="24"/>
          <w:lang w:eastAsia="sv-SE"/>
        </w:rPr>
        <w:t xml:space="preserve">apability </w:t>
      </w:r>
      <w:r>
        <w:rPr>
          <w:rFonts w:ascii="Times New Roman" w:eastAsia="Times New Roman" w:hAnsi="Times New Roman" w:cs="Times New Roman"/>
          <w:sz w:val="24"/>
          <w:szCs w:val="24"/>
          <w:lang w:eastAsia="sv-SE"/>
        </w:rPr>
        <w:t>a</w:t>
      </w:r>
      <w:r w:rsidR="00394C9E" w:rsidRPr="00394C9E">
        <w:rPr>
          <w:rFonts w:ascii="Times New Roman" w:eastAsia="Times New Roman" w:hAnsi="Times New Roman" w:cs="Times New Roman"/>
          <w:sz w:val="24"/>
          <w:szCs w:val="24"/>
          <w:lang w:eastAsia="sv-SE"/>
        </w:rPr>
        <w:t>pproach is useful</w:t>
      </w:r>
      <w:r>
        <w:rPr>
          <w:rFonts w:ascii="Times New Roman" w:eastAsia="Times New Roman" w:hAnsi="Times New Roman" w:cs="Times New Roman"/>
          <w:sz w:val="24"/>
          <w:szCs w:val="24"/>
          <w:lang w:eastAsia="sv-SE"/>
        </w:rPr>
        <w:t xml:space="preserve"> </w:t>
      </w:r>
      <w:r w:rsidR="00394C9E" w:rsidRPr="00394C9E">
        <w:rPr>
          <w:rFonts w:ascii="Times New Roman" w:eastAsia="Times New Roman" w:hAnsi="Times New Roman" w:cs="Times New Roman"/>
          <w:sz w:val="24"/>
          <w:szCs w:val="24"/>
          <w:lang w:eastAsia="sv-SE"/>
        </w:rPr>
        <w:t xml:space="preserve">because it focuses on the conditions that enable individuals to convert resources into valued functionings. Riddle (2020) argues that having access to a resource does not necessarily mean that an individual has the capability to use it effectively. Disability type may be associated with different support requirements, accessibility needs, educational experiences, and institutional responses, while gender may intersect with these circumstances. However, the current dataset </w:t>
      </w:r>
      <w:r w:rsidR="00C54433">
        <w:rPr>
          <w:rFonts w:ascii="Times New Roman" w:eastAsia="Times New Roman" w:hAnsi="Times New Roman" w:cs="Times New Roman"/>
          <w:sz w:val="24"/>
          <w:szCs w:val="24"/>
          <w:lang w:eastAsia="sv-SE"/>
        </w:rPr>
        <w:t xml:space="preserve">lacks </w:t>
      </w:r>
      <w:r w:rsidR="00394C9E" w:rsidRPr="00394C9E">
        <w:rPr>
          <w:rFonts w:ascii="Times New Roman" w:eastAsia="Times New Roman" w:hAnsi="Times New Roman" w:cs="Times New Roman"/>
          <w:sz w:val="24"/>
          <w:szCs w:val="24"/>
          <w:lang w:eastAsia="sv-SE"/>
        </w:rPr>
        <w:t>sufficient information to identify these mechanisms directly. The gender differences should therefore be treated as descriptive patterns rather than evidence of a causal gender effect.</w:t>
      </w:r>
    </w:p>
    <w:p w14:paraId="034503EE" w14:textId="5C44D16F" w:rsidR="00394C9E" w:rsidRPr="00394C9E" w:rsidRDefault="00741691" w:rsidP="007D1D56">
      <w:pPr>
        <w:spacing w:line="360" w:lineRule="auto"/>
        <w:jc w:val="both"/>
        <w:rPr>
          <w:rFonts w:ascii="Times New Roman" w:eastAsia="Times New Roman" w:hAnsi="Times New Roman" w:cs="Times New Roman"/>
          <w:sz w:val="24"/>
          <w:szCs w:val="24"/>
          <w:lang w:eastAsia="sv-SE"/>
        </w:rPr>
      </w:pPr>
      <w:r>
        <w:rPr>
          <w:rFonts w:ascii="Times New Roman" w:eastAsia="Times New Roman" w:hAnsi="Times New Roman" w:cs="Times New Roman"/>
          <w:sz w:val="24"/>
          <w:szCs w:val="24"/>
          <w:lang w:eastAsia="sv-SE"/>
        </w:rPr>
        <w:t>More so, t</w:t>
      </w:r>
      <w:r w:rsidR="00394C9E" w:rsidRPr="00394C9E">
        <w:rPr>
          <w:rFonts w:ascii="Times New Roman" w:eastAsia="Times New Roman" w:hAnsi="Times New Roman" w:cs="Times New Roman"/>
          <w:sz w:val="24"/>
          <w:szCs w:val="24"/>
          <w:lang w:eastAsia="sv-SE"/>
        </w:rPr>
        <w:t xml:space="preserve">he substantial variation between disability groups also reinforces the need for caution when interpreting aggregate disability statistics. Bartolomei et al. (2024) highlight the difficulty </w:t>
      </w:r>
      <w:r w:rsidR="00394C9E" w:rsidRPr="00394C9E">
        <w:rPr>
          <w:rFonts w:ascii="Times New Roman" w:eastAsia="Times New Roman" w:hAnsi="Times New Roman" w:cs="Times New Roman"/>
          <w:sz w:val="24"/>
          <w:szCs w:val="24"/>
          <w:lang w:eastAsia="sv-SE"/>
        </w:rPr>
        <w:lastRenderedPageBreak/>
        <w:t>of defining and measuring capabilities and the possibility of hierarchies and clustering among capabilities. Similarly, Azmoodeh et al. (2023) emphasi</w:t>
      </w:r>
      <w:r w:rsidR="004D422D">
        <w:rPr>
          <w:rFonts w:ascii="Times New Roman" w:eastAsia="Times New Roman" w:hAnsi="Times New Roman" w:cs="Times New Roman"/>
          <w:sz w:val="24"/>
          <w:szCs w:val="24"/>
          <w:lang w:eastAsia="sv-SE"/>
        </w:rPr>
        <w:t>z</w:t>
      </w:r>
      <w:r w:rsidR="00394C9E" w:rsidRPr="00394C9E">
        <w:rPr>
          <w:rFonts w:ascii="Times New Roman" w:eastAsia="Times New Roman" w:hAnsi="Times New Roman" w:cs="Times New Roman"/>
          <w:sz w:val="24"/>
          <w:szCs w:val="24"/>
          <w:lang w:eastAsia="sv-SE"/>
        </w:rPr>
        <w:t xml:space="preserve">e that equitable access involves more than formal availability </w:t>
      </w:r>
      <w:r w:rsidR="004D422D">
        <w:rPr>
          <w:rFonts w:ascii="Times New Roman" w:eastAsia="Times New Roman" w:hAnsi="Times New Roman" w:cs="Times New Roman"/>
          <w:sz w:val="24"/>
          <w:szCs w:val="24"/>
          <w:lang w:eastAsia="sv-SE"/>
        </w:rPr>
        <w:t xml:space="preserve">to </w:t>
      </w:r>
      <w:r w:rsidR="00394C9E" w:rsidRPr="00394C9E">
        <w:rPr>
          <w:rFonts w:ascii="Times New Roman" w:eastAsia="Times New Roman" w:hAnsi="Times New Roman" w:cs="Times New Roman"/>
          <w:sz w:val="24"/>
          <w:szCs w:val="24"/>
          <w:lang w:eastAsia="sv-SE"/>
        </w:rPr>
        <w:t>include time, cost, and accessibility required to reach opportunities. The variation found in this study suggests that equal provision does not necessarily produce equal participation.</w:t>
      </w:r>
    </w:p>
    <w:p w14:paraId="3CBCBCC1" w14:textId="77777777" w:rsidR="001A5489" w:rsidRPr="001A5489" w:rsidRDefault="001A5489" w:rsidP="00394C9E">
      <w:pPr>
        <w:rPr>
          <w:rFonts w:ascii="Times New Roman" w:eastAsia="Times New Roman" w:hAnsi="Times New Roman" w:cs="Times New Roman"/>
          <w:b/>
          <w:bCs/>
          <w:sz w:val="24"/>
          <w:szCs w:val="24"/>
          <w:lang w:eastAsia="sv-SE"/>
        </w:rPr>
      </w:pPr>
      <w:r w:rsidRPr="001A5489">
        <w:rPr>
          <w:rFonts w:ascii="Times New Roman" w:eastAsia="Times New Roman" w:hAnsi="Times New Roman" w:cs="Times New Roman"/>
          <w:b/>
          <w:bCs/>
          <w:sz w:val="24"/>
          <w:szCs w:val="24"/>
          <w:lang w:eastAsia="sv-SE"/>
        </w:rPr>
        <w:t>Implications for educational Equity</w:t>
      </w:r>
    </w:p>
    <w:p w14:paraId="6908831B" w14:textId="45ADEF28" w:rsidR="00394C9E" w:rsidRPr="00394C9E" w:rsidRDefault="00394C9E" w:rsidP="001A5489">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Taken together, the findings indicate that post-secondary participation should be understood as a process rather than only as an immediate outcome following secondary education. The persistent participation gap between students with and without disabilities, the increase between Year 1 and Year 3, and the variation across disability types and gender all point towards a complex pattern of educational inequality.</w:t>
      </w:r>
    </w:p>
    <w:p w14:paraId="069A7F1D" w14:textId="4670A83E" w:rsidR="00394C9E" w:rsidRPr="00394C9E" w:rsidRDefault="00394C9E" w:rsidP="001A5489">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Smeplass et al. (2024) emphasi</w:t>
      </w:r>
      <w:r w:rsidR="0056220E">
        <w:rPr>
          <w:rFonts w:ascii="Times New Roman" w:eastAsia="Times New Roman" w:hAnsi="Times New Roman" w:cs="Times New Roman"/>
          <w:sz w:val="24"/>
          <w:szCs w:val="24"/>
          <w:lang w:eastAsia="sv-SE"/>
        </w:rPr>
        <w:t>z</w:t>
      </w:r>
      <w:r w:rsidRPr="00394C9E">
        <w:rPr>
          <w:rFonts w:ascii="Times New Roman" w:eastAsia="Times New Roman" w:hAnsi="Times New Roman" w:cs="Times New Roman"/>
          <w:sz w:val="24"/>
          <w:szCs w:val="24"/>
          <w:lang w:eastAsia="sv-SE"/>
        </w:rPr>
        <w:t xml:space="preserve">e the distinction between equality of opportunity and equality of outcome, while Carballo et al. (2019) demonstrate that inclusion in higher education remains challenging for students with disabilities. The findings of this study support this distinction: increasing participation does not necessarily mean that educational opportunities have become equally distributed. </w:t>
      </w:r>
      <w:r w:rsidR="0064397A">
        <w:rPr>
          <w:rFonts w:ascii="Times New Roman" w:eastAsia="Times New Roman" w:hAnsi="Times New Roman" w:cs="Times New Roman"/>
          <w:sz w:val="24"/>
          <w:szCs w:val="24"/>
          <w:lang w:eastAsia="sv-SE"/>
        </w:rPr>
        <w:t>Similarly, f</w:t>
      </w:r>
      <w:r w:rsidRPr="00394C9E">
        <w:rPr>
          <w:rFonts w:ascii="Times New Roman" w:eastAsia="Times New Roman" w:hAnsi="Times New Roman" w:cs="Times New Roman"/>
          <w:sz w:val="24"/>
          <w:szCs w:val="24"/>
          <w:lang w:eastAsia="sv-SE"/>
        </w:rPr>
        <w:t xml:space="preserve">rom a </w:t>
      </w:r>
      <w:r w:rsidR="0064397A">
        <w:rPr>
          <w:rFonts w:ascii="Times New Roman" w:eastAsia="Times New Roman" w:hAnsi="Times New Roman" w:cs="Times New Roman"/>
          <w:sz w:val="24"/>
          <w:szCs w:val="24"/>
          <w:lang w:eastAsia="sv-SE"/>
        </w:rPr>
        <w:t>c</w:t>
      </w:r>
      <w:r w:rsidRPr="00394C9E">
        <w:rPr>
          <w:rFonts w:ascii="Times New Roman" w:eastAsia="Times New Roman" w:hAnsi="Times New Roman" w:cs="Times New Roman"/>
          <w:sz w:val="24"/>
          <w:szCs w:val="24"/>
          <w:lang w:eastAsia="sv-SE"/>
        </w:rPr>
        <w:t xml:space="preserve">apability </w:t>
      </w:r>
      <w:r w:rsidR="0064397A">
        <w:rPr>
          <w:rFonts w:ascii="Times New Roman" w:eastAsia="Times New Roman" w:hAnsi="Times New Roman" w:cs="Times New Roman"/>
          <w:sz w:val="24"/>
          <w:szCs w:val="24"/>
          <w:lang w:eastAsia="sv-SE"/>
        </w:rPr>
        <w:t>a</w:t>
      </w:r>
      <w:r w:rsidRPr="00394C9E">
        <w:rPr>
          <w:rFonts w:ascii="Times New Roman" w:eastAsia="Times New Roman" w:hAnsi="Times New Roman" w:cs="Times New Roman"/>
          <w:sz w:val="24"/>
          <w:szCs w:val="24"/>
          <w:lang w:eastAsia="sv-SE"/>
        </w:rPr>
        <w:t>pproach perspective, the central issue is therefore not simply whether students participate, but whether they have genuine opportunities to pursue educational pathways they value.</w:t>
      </w:r>
    </w:p>
    <w:p w14:paraId="700B3DB2" w14:textId="4E74E79F" w:rsidR="00394C9E" w:rsidRPr="00394C9E" w:rsidRDefault="00394C9E" w:rsidP="00F723A7">
      <w:pPr>
        <w:spacing w:line="360" w:lineRule="auto"/>
        <w:jc w:val="both"/>
        <w:rPr>
          <w:rFonts w:ascii="Times New Roman" w:eastAsia="Times New Roman" w:hAnsi="Times New Roman" w:cs="Times New Roman"/>
          <w:sz w:val="24"/>
          <w:szCs w:val="24"/>
          <w:lang w:eastAsia="sv-SE"/>
        </w:rPr>
      </w:pPr>
      <w:r w:rsidRPr="00394C9E">
        <w:rPr>
          <w:rFonts w:ascii="Times New Roman" w:eastAsia="Times New Roman" w:hAnsi="Times New Roman" w:cs="Times New Roman"/>
          <w:sz w:val="24"/>
          <w:szCs w:val="24"/>
          <w:lang w:eastAsia="sv-SE"/>
        </w:rPr>
        <w:t xml:space="preserve">Overall, the findings provide evidence of important disparities in post-secondary education participation while also demonstrating that these disparities vary according to time, disability type, and gender. The </w:t>
      </w:r>
      <w:r w:rsidR="001536C4">
        <w:rPr>
          <w:rFonts w:ascii="Times New Roman" w:eastAsia="Times New Roman" w:hAnsi="Times New Roman" w:cs="Times New Roman"/>
          <w:sz w:val="24"/>
          <w:szCs w:val="24"/>
          <w:lang w:eastAsia="sv-SE"/>
        </w:rPr>
        <w:t>c</w:t>
      </w:r>
      <w:r w:rsidRPr="00394C9E">
        <w:rPr>
          <w:rFonts w:ascii="Times New Roman" w:eastAsia="Times New Roman" w:hAnsi="Times New Roman" w:cs="Times New Roman"/>
          <w:sz w:val="24"/>
          <w:szCs w:val="24"/>
          <w:lang w:eastAsia="sv-SE"/>
        </w:rPr>
        <w:t xml:space="preserve">apability </w:t>
      </w:r>
      <w:r w:rsidR="001536C4">
        <w:rPr>
          <w:rFonts w:ascii="Times New Roman" w:eastAsia="Times New Roman" w:hAnsi="Times New Roman" w:cs="Times New Roman"/>
          <w:sz w:val="24"/>
          <w:szCs w:val="24"/>
          <w:lang w:eastAsia="sv-SE"/>
        </w:rPr>
        <w:t>a</w:t>
      </w:r>
      <w:r w:rsidRPr="00394C9E">
        <w:rPr>
          <w:rFonts w:ascii="Times New Roman" w:eastAsia="Times New Roman" w:hAnsi="Times New Roman" w:cs="Times New Roman"/>
          <w:sz w:val="24"/>
          <w:szCs w:val="24"/>
          <w:lang w:eastAsia="sv-SE"/>
        </w:rPr>
        <w:t>pproach helps interpret these differences as potentially reflecting unequal conditions for converting educational resources and</w:t>
      </w:r>
      <w:r w:rsidR="00022CAD">
        <w:rPr>
          <w:rFonts w:ascii="Times New Roman" w:eastAsia="Times New Roman" w:hAnsi="Times New Roman" w:cs="Times New Roman"/>
          <w:sz w:val="24"/>
          <w:szCs w:val="24"/>
          <w:lang w:eastAsia="sv-SE"/>
        </w:rPr>
        <w:t xml:space="preserve"> </w:t>
      </w:r>
      <w:r w:rsidRPr="00394C9E">
        <w:rPr>
          <w:rFonts w:ascii="Times New Roman" w:eastAsia="Times New Roman" w:hAnsi="Times New Roman" w:cs="Times New Roman"/>
          <w:sz w:val="24"/>
          <w:szCs w:val="24"/>
          <w:lang w:eastAsia="sv-SE"/>
        </w:rPr>
        <w:t>rights into real educational opportunities. Nevertheless, because the study relies on existing register data and a non-experimental design, the findings cannot establish the specific causes of these disparities. Future research should therefore investigate the institutional, social, and educational factors that may explain why some disabled students participate later or at lower rates than others.</w:t>
      </w:r>
    </w:p>
    <w:p w14:paraId="5B2788B4" w14:textId="3636CCFB" w:rsidR="00E92B5E" w:rsidRPr="000B2051" w:rsidRDefault="00C30D94" w:rsidP="000B2051">
      <w:pPr>
        <w:rPr>
          <w:rFonts w:ascii="Times New Roman" w:eastAsia="Times New Roman" w:hAnsi="Times New Roman" w:cs="Times New Roman"/>
          <w:sz w:val="24"/>
          <w:szCs w:val="24"/>
          <w:lang w:eastAsia="sv-SE"/>
        </w:rPr>
      </w:pPr>
      <w:r w:rsidRPr="00C30D94">
        <w:rPr>
          <w:rFonts w:ascii="Times New Roman" w:eastAsia="Times New Roman" w:hAnsi="Times New Roman" w:cs="Times New Roman"/>
          <w:sz w:val="24"/>
          <w:szCs w:val="24"/>
          <w:lang w:eastAsia="sv-SE"/>
        </w:rPr>
        <w:tab/>
      </w:r>
      <w:r w:rsidRPr="00C30D94">
        <w:rPr>
          <w:rFonts w:ascii="Times New Roman" w:eastAsia="Times New Roman" w:hAnsi="Times New Roman" w:cs="Times New Roman"/>
          <w:sz w:val="24"/>
          <w:szCs w:val="24"/>
          <w:lang w:eastAsia="sv-SE"/>
        </w:rPr>
        <w:tab/>
      </w:r>
      <w:r w:rsidRPr="00C30D94">
        <w:rPr>
          <w:rFonts w:ascii="Times New Roman" w:eastAsia="Times New Roman" w:hAnsi="Times New Roman" w:cs="Times New Roman"/>
          <w:sz w:val="24"/>
          <w:szCs w:val="24"/>
          <w:lang w:eastAsia="sv-SE"/>
        </w:rPr>
        <w:tab/>
      </w:r>
      <w:r w:rsidRPr="00C30D94">
        <w:rPr>
          <w:rFonts w:ascii="Times New Roman" w:eastAsia="Times New Roman" w:hAnsi="Times New Roman" w:cs="Times New Roman"/>
          <w:sz w:val="24"/>
          <w:szCs w:val="24"/>
          <w:lang w:eastAsia="sv-SE"/>
        </w:rPr>
        <w:tab/>
      </w:r>
      <w:r w:rsidRPr="00C30D94">
        <w:rPr>
          <w:rFonts w:ascii="Times New Roman" w:eastAsia="Times New Roman" w:hAnsi="Times New Roman" w:cs="Times New Roman"/>
          <w:sz w:val="24"/>
          <w:szCs w:val="24"/>
          <w:lang w:eastAsia="sv-SE"/>
        </w:rPr>
        <w:tab/>
      </w:r>
      <w:r w:rsidRPr="00C30D94">
        <w:rPr>
          <w:rFonts w:ascii="Times New Roman" w:eastAsia="Times New Roman" w:hAnsi="Times New Roman" w:cs="Times New Roman"/>
          <w:sz w:val="24"/>
          <w:szCs w:val="24"/>
          <w:lang w:eastAsia="sv-SE"/>
        </w:rPr>
        <w:tab/>
      </w:r>
    </w:p>
    <w:p w14:paraId="16FDDB37" w14:textId="538E1A27" w:rsidR="00AA7320" w:rsidRPr="0010487A" w:rsidRDefault="00AA7320" w:rsidP="007513A9">
      <w:pPr>
        <w:pStyle w:val="isselectedend"/>
        <w:rPr>
          <w:b/>
          <w:bCs/>
          <w:lang w:val="en-GB"/>
        </w:rPr>
      </w:pPr>
      <w:r w:rsidRPr="0010487A">
        <w:rPr>
          <w:b/>
          <w:bCs/>
          <w:lang w:val="en-GB"/>
        </w:rPr>
        <w:t>Limitations of the study</w:t>
      </w:r>
    </w:p>
    <w:p w14:paraId="5F92070D" w14:textId="77777777" w:rsidR="0010487A" w:rsidRPr="008C3E8B" w:rsidRDefault="0010487A" w:rsidP="008C3E8B">
      <w:pPr>
        <w:pStyle w:val="isselectedend"/>
        <w:spacing w:line="360" w:lineRule="auto"/>
        <w:jc w:val="both"/>
        <w:rPr>
          <w:lang w:val="en-GB"/>
        </w:rPr>
      </w:pPr>
      <w:r w:rsidRPr="0010487A">
        <w:rPr>
          <w:lang w:val="en-GB"/>
        </w:rPr>
        <w:t xml:space="preserve">Several limitations should be considered when interpreting the findings. First, limitations arose during dataset preparation and cleaning. Non-numerical entries and observations outside the scope of the research questions or variables under investigation were excluded. Although </w:t>
      </w:r>
      <w:r w:rsidRPr="0010487A">
        <w:rPr>
          <w:lang w:val="en-GB"/>
        </w:rPr>
        <w:lastRenderedPageBreak/>
        <w:t xml:space="preserve">necessary for statistical analysis, these decisions reduced the number of observations and may have affected the representativeness of the findings. The results should therefore be interpreted cautiously, particularly regarding their generalisability to the wider population of Swedish students. </w:t>
      </w:r>
      <w:r w:rsidRPr="008C3E8B">
        <w:rPr>
          <w:lang w:val="en-GB"/>
        </w:rPr>
        <w:t>In addition, categorising capabilities, functionings, and their indicators is inherently challenging and involves subjective judgements about how these concepts should be classified (Bartolomei et al., 2024).</w:t>
      </w:r>
    </w:p>
    <w:p w14:paraId="0025765D" w14:textId="77777777" w:rsidR="0010487A" w:rsidRPr="008C3E8B" w:rsidRDefault="0010487A" w:rsidP="008C3E8B">
      <w:pPr>
        <w:pStyle w:val="isselectedend"/>
        <w:spacing w:line="360" w:lineRule="auto"/>
        <w:jc w:val="both"/>
        <w:rPr>
          <w:lang w:val="en-GB"/>
        </w:rPr>
      </w:pPr>
      <w:r w:rsidRPr="008C3E8B">
        <w:rPr>
          <w:lang w:val="en-GB"/>
        </w:rPr>
        <w:t>A further limitation concerns the small analytical samples used in some analyses. The ANOVA included six observations for each of the three periods, while the paired-samples t-test was based on 14 matched observations representing seven disability categories across female and male students. Such small samples reduce statistical power, make significant differences more difficult to detect, and limit reliable assessment of assumptions such as normality. The use of aggregated percentage data also restricts examination of variation between individual students. Consequently, the findings should be understood as patterns within the available data rather than as evidence necessarily applicable to all students with disabilities.</w:t>
      </w:r>
    </w:p>
    <w:p w14:paraId="383A6BD5" w14:textId="5E368CCC" w:rsidR="0010487A" w:rsidRPr="008C3E8B" w:rsidRDefault="009C4A6B" w:rsidP="008C3E8B">
      <w:pPr>
        <w:pStyle w:val="isselectedend"/>
        <w:spacing w:line="360" w:lineRule="auto"/>
        <w:jc w:val="both"/>
        <w:rPr>
          <w:lang w:val="en-GB"/>
        </w:rPr>
      </w:pPr>
      <w:r>
        <w:rPr>
          <w:lang w:val="en-GB"/>
        </w:rPr>
        <w:t>Further, t</w:t>
      </w:r>
      <w:r w:rsidR="0010487A" w:rsidRPr="008C3E8B">
        <w:rPr>
          <w:lang w:val="en-GB"/>
        </w:rPr>
        <w:t>he selection and application of statistical procedures also presented challenges, particularly in determining appropriate tests for the data structure and assessing assumptions such as homogeneity of variance. Th</w:t>
      </w:r>
      <w:r w:rsidR="004853C1">
        <w:rPr>
          <w:lang w:val="en-GB"/>
        </w:rPr>
        <w:t>erefore,</w:t>
      </w:r>
      <w:r w:rsidR="0010487A" w:rsidRPr="008C3E8B">
        <w:rPr>
          <w:lang w:val="en-GB"/>
        </w:rPr>
        <w:t xml:space="preserve"> consideration of alternative statistical approaches</w:t>
      </w:r>
      <w:r w:rsidR="004853C1">
        <w:rPr>
          <w:lang w:val="en-GB"/>
        </w:rPr>
        <w:t xml:space="preserve"> was required</w:t>
      </w:r>
      <w:r w:rsidR="0010487A" w:rsidRPr="008C3E8B">
        <w:rPr>
          <w:lang w:val="en-GB"/>
        </w:rPr>
        <w:t>, a challenge not uncommon among researchers with less extensive statistical experience (Darna et al., 2024). These difficulties highlight the importance of statistical expertise and careful attention to the assumptions underlying each procedure.</w:t>
      </w:r>
    </w:p>
    <w:p w14:paraId="34479E00" w14:textId="58B098EB" w:rsidR="0010487A" w:rsidRPr="008C3E8B" w:rsidRDefault="0010487A" w:rsidP="008C3E8B">
      <w:pPr>
        <w:pStyle w:val="Normalwebb"/>
        <w:spacing w:line="360" w:lineRule="auto"/>
        <w:jc w:val="both"/>
        <w:rPr>
          <w:lang w:val="en-GB"/>
        </w:rPr>
      </w:pPr>
      <w:r w:rsidRPr="008C3E8B">
        <w:rPr>
          <w:lang w:val="en-GB"/>
        </w:rPr>
        <w:t xml:space="preserve">Finally, the study's reliance primarily on quantitative literature limited the theoretical interpretation of the </w:t>
      </w:r>
      <w:r w:rsidR="001A3EBD">
        <w:rPr>
          <w:lang w:val="en-GB"/>
        </w:rPr>
        <w:t>c</w:t>
      </w:r>
      <w:r w:rsidRPr="008C3E8B">
        <w:rPr>
          <w:lang w:val="en-GB"/>
        </w:rPr>
        <w:t xml:space="preserve">apability </w:t>
      </w:r>
      <w:r w:rsidR="001A3EBD">
        <w:rPr>
          <w:lang w:val="en-GB"/>
        </w:rPr>
        <w:t>a</w:t>
      </w:r>
      <w:r w:rsidRPr="008C3E8B">
        <w:rPr>
          <w:lang w:val="en-GB"/>
        </w:rPr>
        <w:t>pproach. Qualitative and conceptual studies might have provided richer insights into students' lived experiences and educational opportunities; however, methodological consistency required limiting the literature base. As a result, the study identifies participation patterns and differences but cannot fully explain the experiences or mechanisms underlying them.</w:t>
      </w:r>
    </w:p>
    <w:p w14:paraId="041F871D" w14:textId="77777777" w:rsidR="00E01368" w:rsidRDefault="00E01368" w:rsidP="00332710">
      <w:pPr>
        <w:rPr>
          <w:rFonts w:ascii="Times New Roman" w:eastAsia="Times New Roman" w:hAnsi="Times New Roman" w:cs="Times New Roman"/>
          <w:b/>
          <w:bCs/>
          <w:sz w:val="24"/>
          <w:szCs w:val="24"/>
          <w:lang w:eastAsia="sv-SE"/>
        </w:rPr>
      </w:pPr>
    </w:p>
    <w:p w14:paraId="23313F9B" w14:textId="4570FDB0" w:rsidR="006F08A3" w:rsidRPr="00746DA8" w:rsidRDefault="00746DA8" w:rsidP="00480CB0">
      <w:pPr>
        <w:spacing w:line="360" w:lineRule="auto"/>
        <w:jc w:val="both"/>
        <w:rPr>
          <w:rFonts w:ascii="Times New Roman" w:eastAsia="Times New Roman" w:hAnsi="Times New Roman" w:cs="Times New Roman"/>
          <w:b/>
          <w:bCs/>
          <w:sz w:val="24"/>
          <w:szCs w:val="24"/>
          <w:lang w:eastAsia="sv-SE"/>
        </w:rPr>
      </w:pPr>
      <w:r w:rsidRPr="00746DA8">
        <w:rPr>
          <w:rFonts w:ascii="Times New Roman" w:eastAsia="Times New Roman" w:hAnsi="Times New Roman" w:cs="Times New Roman"/>
          <w:b/>
          <w:bCs/>
          <w:sz w:val="24"/>
          <w:szCs w:val="24"/>
          <w:lang w:eastAsia="sv-SE"/>
        </w:rPr>
        <w:t>Conclusion</w:t>
      </w:r>
    </w:p>
    <w:p w14:paraId="24EE69CA" w14:textId="77777777" w:rsidR="00165D28" w:rsidRPr="00165D28" w:rsidRDefault="00165D28" w:rsidP="00165D28">
      <w:pPr>
        <w:pStyle w:val="isselectedend"/>
        <w:spacing w:line="360" w:lineRule="auto"/>
        <w:jc w:val="both"/>
        <w:rPr>
          <w:lang w:val="en-GB"/>
        </w:rPr>
      </w:pPr>
      <w:r w:rsidRPr="00165D28">
        <w:rPr>
          <w:lang w:val="en-GB"/>
        </w:rPr>
        <w:t xml:space="preserve">This study examined patterns of post-secondary education participation among students with and without disabilities in Sweden, focusing on disability type, gender, and participation during </w:t>
      </w:r>
      <w:r w:rsidRPr="00165D28">
        <w:rPr>
          <w:lang w:val="en-GB"/>
        </w:rPr>
        <w:lastRenderedPageBreak/>
        <w:t>the three years following completion of secondary education. The findings indicate variation according to disability status, disability type, gender, and time. Although students with disabilities generally showed lower participation, participation increased across the period examined. Differences between disability groups were considerable, while gender differences varied in direction and magnitude across disability categories.</w:t>
      </w:r>
    </w:p>
    <w:p w14:paraId="695D40D9" w14:textId="69922072" w:rsidR="00165D28" w:rsidRPr="00165D28" w:rsidRDefault="00165D28" w:rsidP="00F8310D">
      <w:pPr>
        <w:pStyle w:val="isselectedend"/>
        <w:spacing w:line="360" w:lineRule="auto"/>
        <w:jc w:val="both"/>
        <w:rPr>
          <w:lang w:val="en-GB"/>
        </w:rPr>
      </w:pPr>
      <w:r w:rsidRPr="00165D28">
        <w:rPr>
          <w:lang w:val="en-GB"/>
        </w:rPr>
        <w:t xml:space="preserve">Interpreted through the </w:t>
      </w:r>
      <w:r w:rsidR="00F8310D">
        <w:rPr>
          <w:lang w:val="en-GB"/>
        </w:rPr>
        <w:t>c</w:t>
      </w:r>
      <w:r w:rsidRPr="00165D28">
        <w:rPr>
          <w:lang w:val="en-GB"/>
        </w:rPr>
        <w:t xml:space="preserve">apability </w:t>
      </w:r>
      <w:r w:rsidR="00F8310D">
        <w:rPr>
          <w:lang w:val="en-GB"/>
        </w:rPr>
        <w:t>a</w:t>
      </w:r>
      <w:r w:rsidRPr="00165D28">
        <w:rPr>
          <w:lang w:val="en-GB"/>
        </w:rPr>
        <w:t>pproach, these findings suggest that participation should be understood not only as an educational outcome but also in relation to the opportunities and conditions that enable individuals to pursue valued educational pathways. Differences in participation may reflect unequal opportunities to convert educational resources and available support into actual participation. The significant increase between the first and third years also indicates that transition to post-secondary education is not necessarily immediate. Variation across disability types and gender further highlights the importance of avoiding a one-dimensional understanding of students with disabilities and considering these dimensions together when examining educational participation.</w:t>
      </w:r>
    </w:p>
    <w:p w14:paraId="398DB633" w14:textId="5F2D1B37" w:rsidR="00165D28" w:rsidRPr="00165D28" w:rsidRDefault="00F32948" w:rsidP="00F8310D">
      <w:pPr>
        <w:pStyle w:val="Normalwebb"/>
        <w:spacing w:line="360" w:lineRule="auto"/>
        <w:jc w:val="both"/>
        <w:rPr>
          <w:lang w:val="en-GB"/>
        </w:rPr>
      </w:pPr>
      <w:r>
        <w:rPr>
          <w:lang w:val="en-GB"/>
        </w:rPr>
        <w:t>In conclusion, this</w:t>
      </w:r>
      <w:r w:rsidR="00165D28" w:rsidRPr="00165D28">
        <w:rPr>
          <w:lang w:val="en-GB"/>
        </w:rPr>
        <w:t xml:space="preserve"> study contributes to a more differentiated understanding of post-secondary participation across disability and gender groups over time. However, the small analytical samples and aggregated percentage data limit generalisability and prevent causal conclusions about the factors underlying observed differences. Despite these limitations, the findings may help educational policymakers and practitioners identify groups requiring additional support. Future research using larger individual-level datasets should examine how institutional support, socioeconomic circumstances, disability-related barriers, and gender shape educational pathways and how educational systems can expand the capabilities and opportunities of students with disabilities.</w:t>
      </w:r>
    </w:p>
    <w:p w14:paraId="34CE6BD4" w14:textId="77777777" w:rsidR="00750379" w:rsidRDefault="00750379" w:rsidP="00E844EC">
      <w:pPr>
        <w:rPr>
          <w:rFonts w:ascii="Times New Roman" w:eastAsia="Times New Roman" w:hAnsi="Times New Roman" w:cs="Times New Roman"/>
          <w:sz w:val="24"/>
          <w:szCs w:val="24"/>
          <w:lang w:eastAsia="sv-SE"/>
        </w:rPr>
      </w:pPr>
    </w:p>
    <w:p w14:paraId="2C3F17AA" w14:textId="77777777" w:rsidR="00554354" w:rsidRDefault="00554354" w:rsidP="00E0592A">
      <w:pPr>
        <w:spacing w:after="0" w:line="240" w:lineRule="auto"/>
        <w:rPr>
          <w:rFonts w:ascii="Times New Roman" w:eastAsia="Times New Roman" w:hAnsi="Times New Roman" w:cs="Times New Roman"/>
          <w:sz w:val="24"/>
          <w:szCs w:val="24"/>
          <w:lang w:eastAsia="sv-SE"/>
        </w:rPr>
      </w:pPr>
    </w:p>
    <w:p w14:paraId="0E91A3F1"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4B943C54"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47B54910"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502AD67C"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5A997D21"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4C40D2CC"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5649001C"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1C8B5E70"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4554734F"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128EC5E8" w14:textId="77777777" w:rsidR="000146FA" w:rsidRDefault="000146FA" w:rsidP="00E0592A">
      <w:pPr>
        <w:spacing w:after="0" w:line="240" w:lineRule="auto"/>
        <w:rPr>
          <w:rFonts w:ascii="Times New Roman" w:eastAsia="Times New Roman" w:hAnsi="Times New Roman" w:cs="Times New Roman"/>
          <w:sz w:val="24"/>
          <w:szCs w:val="24"/>
          <w:lang w:eastAsia="sv-SE"/>
        </w:rPr>
      </w:pPr>
    </w:p>
    <w:p w14:paraId="6D199780" w14:textId="77777777" w:rsidR="00554354" w:rsidRPr="00B11CFA" w:rsidRDefault="00554354" w:rsidP="00E0592A">
      <w:pPr>
        <w:spacing w:after="0" w:line="240" w:lineRule="auto"/>
        <w:rPr>
          <w:rFonts w:ascii="Times New Roman" w:eastAsia="Times New Roman" w:hAnsi="Times New Roman" w:cs="Times New Roman"/>
          <w:vanish/>
          <w:sz w:val="24"/>
          <w:szCs w:val="24"/>
          <w:lang w:eastAsia="sv-SE"/>
        </w:rPr>
      </w:pPr>
    </w:p>
    <w:p w14:paraId="61EE05B0" w14:textId="674ADC22" w:rsidR="00E0592A" w:rsidRPr="00B11CFA" w:rsidRDefault="00E0592A" w:rsidP="00E0592A">
      <w:pPr>
        <w:spacing w:after="0" w:line="240" w:lineRule="auto"/>
        <w:rPr>
          <w:rFonts w:ascii="Times New Roman" w:eastAsia="Times New Roman" w:hAnsi="Times New Roman" w:cs="Times New Roman"/>
          <w:sz w:val="24"/>
          <w:szCs w:val="24"/>
          <w:highlight w:val="green"/>
          <w:lang w:eastAsia="sv-SE"/>
        </w:rPr>
      </w:pPr>
    </w:p>
    <w:p w14:paraId="1BD54C2F" w14:textId="77777777" w:rsidR="000146FA" w:rsidRDefault="000146FA" w:rsidP="000146FA">
      <w:pPr>
        <w:spacing w:line="276" w:lineRule="auto"/>
        <w:rPr>
          <w:rFonts w:ascii="Times New Roman" w:hAnsi="Times New Roman" w:cs="Times New Roman"/>
          <w:sz w:val="24"/>
          <w:szCs w:val="24"/>
        </w:rPr>
      </w:pPr>
      <w:r w:rsidRPr="00DA1196">
        <w:rPr>
          <w:rFonts w:ascii="Times New Roman" w:hAnsi="Times New Roman" w:cs="Times New Roman"/>
          <w:b/>
          <w:bCs/>
          <w:sz w:val="24"/>
          <w:szCs w:val="24"/>
        </w:rPr>
        <w:t>Sources:</w:t>
      </w:r>
      <w:r>
        <w:rPr>
          <w:rFonts w:ascii="Times New Roman" w:hAnsi="Times New Roman" w:cs="Times New Roman"/>
          <w:sz w:val="24"/>
          <w:szCs w:val="24"/>
        </w:rPr>
        <w:t xml:space="preserve"> </w:t>
      </w:r>
    </w:p>
    <w:p w14:paraId="60D85B39"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C46EC7">
        <w:rPr>
          <w:rFonts w:ascii="Times New Roman" w:eastAsia="Times New Roman" w:hAnsi="Times New Roman" w:cs="Times New Roman"/>
          <w:sz w:val="24"/>
          <w:szCs w:val="24"/>
          <w:lang w:eastAsia="sv-SE"/>
        </w:rPr>
        <w:t xml:space="preserve">Ainscow, M., Slee, R., &amp; Best, M. (2019). Editorial: the Salamanca Statement: 25 years on. </w:t>
      </w:r>
      <w:r w:rsidRPr="00C46EC7">
        <w:rPr>
          <w:rFonts w:ascii="Times New Roman" w:eastAsia="Times New Roman" w:hAnsi="Times New Roman" w:cs="Times New Roman"/>
          <w:i/>
          <w:iCs/>
          <w:sz w:val="24"/>
          <w:szCs w:val="24"/>
          <w:lang w:eastAsia="sv-SE"/>
        </w:rPr>
        <w:t>International Journal of Inclusive Education</w:t>
      </w:r>
      <w:r w:rsidRPr="00C46EC7">
        <w:rPr>
          <w:rFonts w:ascii="Times New Roman" w:eastAsia="Times New Roman" w:hAnsi="Times New Roman" w:cs="Times New Roman"/>
          <w:sz w:val="24"/>
          <w:szCs w:val="24"/>
          <w:lang w:eastAsia="sv-SE"/>
        </w:rPr>
        <w:t xml:space="preserve">, </w:t>
      </w:r>
      <w:r w:rsidRPr="00C46EC7">
        <w:rPr>
          <w:rFonts w:ascii="Times New Roman" w:eastAsia="Times New Roman" w:hAnsi="Times New Roman" w:cs="Times New Roman"/>
          <w:i/>
          <w:iCs/>
          <w:sz w:val="24"/>
          <w:szCs w:val="24"/>
          <w:lang w:eastAsia="sv-SE"/>
        </w:rPr>
        <w:t>23</w:t>
      </w:r>
      <w:r w:rsidRPr="00C46EC7">
        <w:rPr>
          <w:rFonts w:ascii="Times New Roman" w:eastAsia="Times New Roman" w:hAnsi="Times New Roman" w:cs="Times New Roman"/>
          <w:sz w:val="24"/>
          <w:szCs w:val="24"/>
          <w:lang w:eastAsia="sv-SE"/>
        </w:rPr>
        <w:t xml:space="preserve">(7–8), 671–676. </w:t>
      </w:r>
      <w:hyperlink r:id="rId9" w:history="1">
        <w:r w:rsidRPr="00F17950">
          <w:rPr>
            <w:rStyle w:val="Hyperlnk"/>
            <w:rFonts w:ascii="Times New Roman" w:eastAsia="Times New Roman" w:hAnsi="Times New Roman" w:cs="Times New Roman"/>
            <w:sz w:val="24"/>
            <w:szCs w:val="24"/>
            <w:lang w:eastAsia="sv-SE"/>
          </w:rPr>
          <w:t>https://doi.org/10.1080/13603116.2019.1622800</w:t>
        </w:r>
      </w:hyperlink>
    </w:p>
    <w:p w14:paraId="673083BA" w14:textId="77777777" w:rsidR="000146FA" w:rsidRPr="00065788" w:rsidRDefault="000146FA" w:rsidP="000146FA">
      <w:pPr>
        <w:spacing w:after="0" w:line="276" w:lineRule="auto"/>
        <w:rPr>
          <w:rFonts w:ascii="Times New Roman" w:eastAsia="Times New Roman" w:hAnsi="Times New Roman" w:cs="Times New Roman"/>
          <w:sz w:val="24"/>
          <w:szCs w:val="24"/>
          <w:lang w:eastAsia="sv-SE"/>
        </w:rPr>
      </w:pPr>
    </w:p>
    <w:p w14:paraId="4B3A7799" w14:textId="77777777" w:rsidR="000146FA" w:rsidRPr="0046480A" w:rsidRDefault="000146FA" w:rsidP="000146FA">
      <w:pPr>
        <w:spacing w:after="0" w:line="276" w:lineRule="auto"/>
        <w:rPr>
          <w:rFonts w:ascii="Times New Roman" w:eastAsia="Times New Roman" w:hAnsi="Times New Roman" w:cs="Times New Roman"/>
          <w:sz w:val="24"/>
          <w:szCs w:val="24"/>
          <w:lang w:eastAsia="sv-SE"/>
        </w:rPr>
      </w:pPr>
      <w:r w:rsidRPr="0046480A">
        <w:rPr>
          <w:rFonts w:ascii="Times New Roman" w:eastAsia="Times New Roman" w:hAnsi="Times New Roman" w:cs="Times New Roman"/>
          <w:sz w:val="24"/>
          <w:szCs w:val="24"/>
          <w:lang w:eastAsia="sv-SE"/>
        </w:rPr>
        <w:t xml:space="preserve">Akin, D., &amp; Huang, L. M. (2019). Perceptions of College Students with Disabilities. </w:t>
      </w:r>
      <w:r w:rsidRPr="0046480A">
        <w:rPr>
          <w:rFonts w:ascii="Times New Roman" w:eastAsia="Times New Roman" w:hAnsi="Times New Roman" w:cs="Times New Roman"/>
          <w:i/>
          <w:iCs/>
          <w:sz w:val="24"/>
          <w:szCs w:val="24"/>
          <w:lang w:eastAsia="sv-SE"/>
        </w:rPr>
        <w:t>Journal of Postsecondary Education and Disability (Print)</w:t>
      </w:r>
      <w:r w:rsidRPr="0046480A">
        <w:rPr>
          <w:rFonts w:ascii="Times New Roman" w:eastAsia="Times New Roman" w:hAnsi="Times New Roman" w:cs="Times New Roman"/>
          <w:sz w:val="24"/>
          <w:szCs w:val="24"/>
          <w:lang w:eastAsia="sv-SE"/>
        </w:rPr>
        <w:t xml:space="preserve">, </w:t>
      </w:r>
      <w:r w:rsidRPr="0046480A">
        <w:rPr>
          <w:rFonts w:ascii="Times New Roman" w:eastAsia="Times New Roman" w:hAnsi="Times New Roman" w:cs="Times New Roman"/>
          <w:i/>
          <w:iCs/>
          <w:sz w:val="24"/>
          <w:szCs w:val="24"/>
          <w:lang w:eastAsia="sv-SE"/>
        </w:rPr>
        <w:t>32</w:t>
      </w:r>
      <w:r w:rsidRPr="0046480A">
        <w:rPr>
          <w:rFonts w:ascii="Times New Roman" w:eastAsia="Times New Roman" w:hAnsi="Times New Roman" w:cs="Times New Roman"/>
          <w:sz w:val="24"/>
          <w:szCs w:val="24"/>
          <w:lang w:eastAsia="sv-SE"/>
        </w:rPr>
        <w:t>(1), 21.</w:t>
      </w:r>
    </w:p>
    <w:p w14:paraId="1D0AFA2E"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492C8922"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D20F77">
        <w:rPr>
          <w:rFonts w:ascii="Times New Roman" w:eastAsia="Times New Roman" w:hAnsi="Times New Roman" w:cs="Times New Roman"/>
          <w:sz w:val="24"/>
          <w:szCs w:val="24"/>
          <w:lang w:eastAsia="sv-SE"/>
        </w:rPr>
        <w:t xml:space="preserve">Albers, M. J. (2017). </w:t>
      </w:r>
      <w:r w:rsidRPr="00D20F77">
        <w:rPr>
          <w:rFonts w:ascii="Times New Roman" w:eastAsia="Times New Roman" w:hAnsi="Times New Roman" w:cs="Times New Roman"/>
          <w:i/>
          <w:iCs/>
          <w:sz w:val="24"/>
          <w:szCs w:val="24"/>
          <w:lang w:eastAsia="sv-SE"/>
        </w:rPr>
        <w:t>Introduction to Quantitative Data Analysis in the Behavioral and Social Sciences</w:t>
      </w:r>
      <w:r w:rsidRPr="00D20F77">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sz w:val="24"/>
          <w:szCs w:val="24"/>
          <w:lang w:eastAsia="sv-SE"/>
        </w:rPr>
        <w:t>Wiley Global Research (STMS).</w:t>
      </w:r>
    </w:p>
    <w:p w14:paraId="4C95AFB3"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25823168" w14:textId="77777777" w:rsidR="000146FA" w:rsidRPr="007B2B48" w:rsidRDefault="000146FA" w:rsidP="000146FA">
      <w:pPr>
        <w:spacing w:after="0" w:line="240" w:lineRule="auto"/>
        <w:rPr>
          <w:rFonts w:ascii="Times New Roman" w:eastAsia="Times New Roman" w:hAnsi="Times New Roman" w:cs="Times New Roman"/>
          <w:sz w:val="24"/>
          <w:szCs w:val="24"/>
          <w:lang w:eastAsia="sv-SE"/>
        </w:rPr>
      </w:pPr>
      <w:r w:rsidRPr="00F8482C">
        <w:rPr>
          <w:rFonts w:ascii="Times New Roman" w:eastAsia="Times New Roman" w:hAnsi="Times New Roman" w:cs="Times New Roman"/>
          <w:sz w:val="24"/>
          <w:szCs w:val="24"/>
          <w:lang w:eastAsia="sv-SE"/>
        </w:rPr>
        <w:t xml:space="preserve">Azmoodeh, M., Haghighi, F., &amp; Motieyan, H. (2023). The capability approach and social equity in transport: Understanding factors affecting capabilities of urban residents, using structural equation modeling. </w:t>
      </w:r>
      <w:r w:rsidRPr="007B2B48">
        <w:rPr>
          <w:rFonts w:ascii="Times New Roman" w:eastAsia="Times New Roman" w:hAnsi="Times New Roman" w:cs="Times New Roman"/>
          <w:i/>
          <w:iCs/>
          <w:sz w:val="24"/>
          <w:szCs w:val="24"/>
          <w:lang w:eastAsia="sv-SE"/>
        </w:rPr>
        <w:t>Transport Policy</w:t>
      </w:r>
      <w:r w:rsidRPr="007B2B48">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i/>
          <w:iCs/>
          <w:sz w:val="24"/>
          <w:szCs w:val="24"/>
          <w:lang w:eastAsia="sv-SE"/>
        </w:rPr>
        <w:t>142</w:t>
      </w:r>
      <w:r w:rsidRPr="007B2B48">
        <w:rPr>
          <w:rFonts w:ascii="Times New Roman" w:eastAsia="Times New Roman" w:hAnsi="Times New Roman" w:cs="Times New Roman"/>
          <w:sz w:val="24"/>
          <w:szCs w:val="24"/>
          <w:lang w:eastAsia="sv-SE"/>
        </w:rPr>
        <w:t xml:space="preserve">, 137–151. </w:t>
      </w:r>
      <w:hyperlink r:id="rId10" w:history="1">
        <w:r w:rsidRPr="007B2B48">
          <w:rPr>
            <w:rStyle w:val="Hyperlnk"/>
            <w:rFonts w:ascii="Times New Roman" w:eastAsia="Times New Roman" w:hAnsi="Times New Roman" w:cs="Times New Roman"/>
            <w:sz w:val="24"/>
            <w:szCs w:val="24"/>
            <w:lang w:eastAsia="sv-SE"/>
          </w:rPr>
          <w:t>https://doi.org/10.1016/j.tranpol.2023.08.010</w:t>
        </w:r>
      </w:hyperlink>
    </w:p>
    <w:p w14:paraId="0EAE3249"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4BCBC348"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7B2B48">
        <w:rPr>
          <w:rFonts w:ascii="Times New Roman" w:eastAsia="Times New Roman" w:hAnsi="Times New Roman" w:cs="Times New Roman"/>
          <w:sz w:val="24"/>
          <w:szCs w:val="24"/>
          <w:lang w:eastAsia="sv-SE"/>
        </w:rPr>
        <w:t xml:space="preserve">Barros, A. C. K. de M., &amp; Diniz, P. I. R. (2025). </w:t>
      </w:r>
      <w:r w:rsidRPr="009329D4">
        <w:rPr>
          <w:rFonts w:ascii="Times New Roman" w:eastAsia="Times New Roman" w:hAnsi="Times New Roman" w:cs="Times New Roman"/>
          <w:sz w:val="24"/>
          <w:szCs w:val="24"/>
          <w:lang w:eastAsia="sv-SE"/>
        </w:rPr>
        <w:t xml:space="preserve">The Capability Approach: Multidimensional Poverty, Global Justice, and Global South Perspectives. </w:t>
      </w:r>
      <w:r w:rsidRPr="007B2B48">
        <w:rPr>
          <w:rFonts w:ascii="Times New Roman" w:eastAsia="Times New Roman" w:hAnsi="Times New Roman" w:cs="Times New Roman"/>
          <w:i/>
          <w:iCs/>
          <w:sz w:val="24"/>
          <w:szCs w:val="24"/>
          <w:lang w:eastAsia="sv-SE"/>
        </w:rPr>
        <w:t>Contexto Internacional</w:t>
      </w:r>
      <w:r w:rsidRPr="007B2B48">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i/>
          <w:iCs/>
          <w:sz w:val="24"/>
          <w:szCs w:val="24"/>
          <w:lang w:eastAsia="sv-SE"/>
        </w:rPr>
        <w:t>47</w:t>
      </w:r>
      <w:r w:rsidRPr="007B2B48">
        <w:rPr>
          <w:rFonts w:ascii="Times New Roman" w:eastAsia="Times New Roman" w:hAnsi="Times New Roman" w:cs="Times New Roman"/>
          <w:sz w:val="24"/>
          <w:szCs w:val="24"/>
          <w:lang w:eastAsia="sv-SE"/>
        </w:rPr>
        <w:t xml:space="preserve">(1). </w:t>
      </w:r>
      <w:hyperlink r:id="rId11" w:history="1">
        <w:r w:rsidRPr="007B2B48">
          <w:rPr>
            <w:rStyle w:val="Hyperlnk"/>
            <w:rFonts w:ascii="Times New Roman" w:eastAsia="Times New Roman" w:hAnsi="Times New Roman" w:cs="Times New Roman"/>
            <w:sz w:val="24"/>
            <w:szCs w:val="24"/>
            <w:lang w:eastAsia="sv-SE"/>
          </w:rPr>
          <w:t>https://doi.org/10.1590/s0102-8529.20254701e20230027</w:t>
        </w:r>
      </w:hyperlink>
    </w:p>
    <w:p w14:paraId="630F73CD"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62DA66B9"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CC40E0">
        <w:rPr>
          <w:rFonts w:ascii="Times New Roman" w:eastAsia="Times New Roman" w:hAnsi="Times New Roman" w:cs="Times New Roman"/>
          <w:sz w:val="24"/>
          <w:szCs w:val="24"/>
          <w:lang w:eastAsia="sv-SE"/>
        </w:rPr>
        <w:t>Bartolomei, L., Blundo-Canto, G., &amp; De Muro, P. (2024). How is the Capability Approach Applied to Assess Well-being Impacts? A Systematic Review. </w:t>
      </w:r>
      <w:r w:rsidRPr="00CC40E0">
        <w:rPr>
          <w:rFonts w:ascii="Times New Roman" w:eastAsia="Times New Roman" w:hAnsi="Times New Roman" w:cs="Times New Roman"/>
          <w:i/>
          <w:iCs/>
          <w:sz w:val="24"/>
          <w:szCs w:val="24"/>
          <w:lang w:eastAsia="sv-SE"/>
        </w:rPr>
        <w:t>Journal of Human Development and Capabilities</w:t>
      </w:r>
      <w:r w:rsidRPr="00CC40E0">
        <w:rPr>
          <w:rFonts w:ascii="Times New Roman" w:eastAsia="Times New Roman" w:hAnsi="Times New Roman" w:cs="Times New Roman"/>
          <w:sz w:val="24"/>
          <w:szCs w:val="24"/>
          <w:lang w:eastAsia="sv-SE"/>
        </w:rPr>
        <w:t>, </w:t>
      </w:r>
      <w:r w:rsidRPr="00CC40E0">
        <w:rPr>
          <w:rFonts w:ascii="Times New Roman" w:eastAsia="Times New Roman" w:hAnsi="Times New Roman" w:cs="Times New Roman"/>
          <w:i/>
          <w:iCs/>
          <w:sz w:val="24"/>
          <w:szCs w:val="24"/>
          <w:lang w:eastAsia="sv-SE"/>
        </w:rPr>
        <w:t>25</w:t>
      </w:r>
      <w:r w:rsidRPr="00CC40E0">
        <w:rPr>
          <w:rFonts w:ascii="Times New Roman" w:eastAsia="Times New Roman" w:hAnsi="Times New Roman" w:cs="Times New Roman"/>
          <w:sz w:val="24"/>
          <w:szCs w:val="24"/>
          <w:lang w:eastAsia="sv-SE"/>
        </w:rPr>
        <w:t xml:space="preserve">(3), 367–399. </w:t>
      </w:r>
      <w:hyperlink r:id="rId12" w:history="1">
        <w:r w:rsidRPr="00EF1651">
          <w:rPr>
            <w:rStyle w:val="Hyperlnk"/>
            <w:rFonts w:ascii="Times New Roman" w:eastAsia="Times New Roman" w:hAnsi="Times New Roman" w:cs="Times New Roman"/>
            <w:sz w:val="24"/>
            <w:szCs w:val="24"/>
            <w:lang w:eastAsia="sv-SE"/>
          </w:rPr>
          <w:t>https://doi.org/10.1080/19452829.2024.2369502</w:t>
        </w:r>
      </w:hyperlink>
    </w:p>
    <w:p w14:paraId="6FA3AC95"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7520C71D" w14:textId="77777777" w:rsidR="000146FA" w:rsidRDefault="000146FA" w:rsidP="000146FA">
      <w:pPr>
        <w:spacing w:after="0" w:line="276" w:lineRule="auto"/>
      </w:pPr>
      <w:r w:rsidRPr="00E322E7">
        <w:rPr>
          <w:rFonts w:ascii="Times New Roman" w:eastAsia="Times New Roman" w:hAnsi="Times New Roman" w:cs="Times New Roman"/>
          <w:sz w:val="24"/>
          <w:szCs w:val="24"/>
          <w:lang w:eastAsia="sv-SE"/>
        </w:rPr>
        <w:t xml:space="preserve">Bettencourt, G. M., Wells, R. S., &amp; Abbott, J. A. (2022). The Iterative College Choice Process of Students with Disabilities: A Mixed-Methods Study. </w:t>
      </w:r>
      <w:r w:rsidRPr="00E322E7">
        <w:rPr>
          <w:rFonts w:ascii="Times New Roman" w:eastAsia="Times New Roman" w:hAnsi="Times New Roman" w:cs="Times New Roman"/>
          <w:i/>
          <w:iCs/>
          <w:sz w:val="24"/>
          <w:szCs w:val="24"/>
          <w:lang w:eastAsia="sv-SE"/>
        </w:rPr>
        <w:t>Teachers College Record (1970)</w:t>
      </w:r>
      <w:r w:rsidRPr="00E322E7">
        <w:rPr>
          <w:rFonts w:ascii="Times New Roman" w:eastAsia="Times New Roman" w:hAnsi="Times New Roman" w:cs="Times New Roman"/>
          <w:sz w:val="24"/>
          <w:szCs w:val="24"/>
          <w:lang w:eastAsia="sv-SE"/>
        </w:rPr>
        <w:t xml:space="preserve">, </w:t>
      </w:r>
      <w:r w:rsidRPr="00E322E7">
        <w:rPr>
          <w:rFonts w:ascii="Times New Roman" w:eastAsia="Times New Roman" w:hAnsi="Times New Roman" w:cs="Times New Roman"/>
          <w:i/>
          <w:iCs/>
          <w:sz w:val="24"/>
          <w:szCs w:val="24"/>
          <w:lang w:eastAsia="sv-SE"/>
        </w:rPr>
        <w:t>124</w:t>
      </w:r>
      <w:r w:rsidRPr="00E322E7">
        <w:rPr>
          <w:rFonts w:ascii="Times New Roman" w:eastAsia="Times New Roman" w:hAnsi="Times New Roman" w:cs="Times New Roman"/>
          <w:sz w:val="24"/>
          <w:szCs w:val="24"/>
          <w:lang w:eastAsia="sv-SE"/>
        </w:rPr>
        <w:t xml:space="preserve">(9), 149–174. </w:t>
      </w:r>
      <w:hyperlink r:id="rId13" w:history="1">
        <w:r w:rsidRPr="00E322E7">
          <w:rPr>
            <w:rStyle w:val="Hyperlnk"/>
            <w:rFonts w:ascii="Times New Roman" w:eastAsia="Times New Roman" w:hAnsi="Times New Roman" w:cs="Times New Roman"/>
            <w:sz w:val="24"/>
            <w:szCs w:val="24"/>
            <w:lang w:eastAsia="sv-SE"/>
          </w:rPr>
          <w:t>https://doi.org/10.1177/01614681221132944</w:t>
        </w:r>
      </w:hyperlink>
    </w:p>
    <w:p w14:paraId="05838E76" w14:textId="77777777" w:rsidR="000146FA" w:rsidRDefault="000146FA" w:rsidP="000146FA">
      <w:pPr>
        <w:spacing w:after="0" w:line="276" w:lineRule="auto"/>
      </w:pPr>
    </w:p>
    <w:p w14:paraId="22FD0023" w14:textId="77777777" w:rsidR="000146FA" w:rsidRPr="009A7C54" w:rsidRDefault="000146FA" w:rsidP="000146FA">
      <w:pPr>
        <w:spacing w:after="0" w:line="276" w:lineRule="auto"/>
        <w:rPr>
          <w:rFonts w:ascii="Times New Roman" w:eastAsia="Times New Roman" w:hAnsi="Times New Roman" w:cs="Times New Roman"/>
          <w:sz w:val="24"/>
          <w:szCs w:val="24"/>
          <w:lang w:eastAsia="sv-SE"/>
        </w:rPr>
      </w:pPr>
      <w:r w:rsidRPr="00E322E7">
        <w:rPr>
          <w:rFonts w:ascii="Times New Roman" w:eastAsia="Times New Roman" w:hAnsi="Times New Roman" w:cs="Times New Roman"/>
          <w:sz w:val="24"/>
          <w:szCs w:val="24"/>
          <w:lang w:eastAsia="sv-SE"/>
        </w:rPr>
        <w:t xml:space="preserve">Biagiotti, G., Schreuer, N., Moriña, A., &amp; Cohen, H. (2026). Towards an inclusive understanding of career development in higher education: reflections of graduates with disabilities. </w:t>
      </w:r>
      <w:r w:rsidRPr="00E322E7">
        <w:rPr>
          <w:rFonts w:ascii="Times New Roman" w:eastAsia="Times New Roman" w:hAnsi="Times New Roman" w:cs="Times New Roman"/>
          <w:i/>
          <w:iCs/>
          <w:sz w:val="24"/>
          <w:szCs w:val="24"/>
          <w:lang w:eastAsia="sv-SE"/>
        </w:rPr>
        <w:t>European Journal of Higher Education</w:t>
      </w:r>
      <w:r w:rsidRPr="00E322E7">
        <w:rPr>
          <w:rFonts w:ascii="Times New Roman" w:eastAsia="Times New Roman" w:hAnsi="Times New Roman" w:cs="Times New Roman"/>
          <w:sz w:val="24"/>
          <w:szCs w:val="24"/>
          <w:lang w:eastAsia="sv-SE"/>
        </w:rPr>
        <w:t xml:space="preserve">, 1–22. </w:t>
      </w:r>
      <w:hyperlink r:id="rId14" w:history="1">
        <w:r w:rsidRPr="00E322E7">
          <w:rPr>
            <w:rStyle w:val="Hyperlnk"/>
            <w:rFonts w:ascii="Times New Roman" w:eastAsia="Times New Roman" w:hAnsi="Times New Roman" w:cs="Times New Roman"/>
            <w:sz w:val="24"/>
            <w:szCs w:val="24"/>
            <w:lang w:eastAsia="sv-SE"/>
          </w:rPr>
          <w:t>https://doi.org/10.1080/21568235.2026.2672468</w:t>
        </w:r>
      </w:hyperlink>
    </w:p>
    <w:p w14:paraId="5EFB0C30" w14:textId="77777777" w:rsidR="000146FA" w:rsidRPr="009A7C54" w:rsidRDefault="000146FA" w:rsidP="000146FA">
      <w:pPr>
        <w:spacing w:after="0" w:line="276" w:lineRule="auto"/>
        <w:rPr>
          <w:rFonts w:ascii="Times New Roman" w:eastAsia="Times New Roman" w:hAnsi="Times New Roman" w:cs="Times New Roman"/>
          <w:sz w:val="24"/>
          <w:szCs w:val="24"/>
          <w:lang w:eastAsia="sv-SE"/>
        </w:rPr>
      </w:pPr>
    </w:p>
    <w:p w14:paraId="600F8698"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E322E7">
        <w:rPr>
          <w:rFonts w:ascii="Times New Roman" w:eastAsia="Times New Roman" w:hAnsi="Times New Roman" w:cs="Times New Roman"/>
          <w:sz w:val="24"/>
          <w:szCs w:val="24"/>
          <w:lang w:eastAsia="sv-SE"/>
        </w:rPr>
        <w:t xml:space="preserve">Boeren, E. (2018). The methodological underdog: A review of quantitative research in the key adult education journals. </w:t>
      </w:r>
      <w:r w:rsidRPr="00E322E7">
        <w:rPr>
          <w:rFonts w:ascii="Times New Roman" w:eastAsia="Times New Roman" w:hAnsi="Times New Roman" w:cs="Times New Roman"/>
          <w:i/>
          <w:iCs/>
          <w:sz w:val="24"/>
          <w:szCs w:val="24"/>
          <w:lang w:eastAsia="sv-SE"/>
        </w:rPr>
        <w:t>Adult Education Quarterly</w:t>
      </w:r>
      <w:r w:rsidRPr="00E322E7">
        <w:rPr>
          <w:rFonts w:ascii="Times New Roman" w:eastAsia="Times New Roman" w:hAnsi="Times New Roman" w:cs="Times New Roman"/>
          <w:sz w:val="24"/>
          <w:szCs w:val="24"/>
          <w:lang w:eastAsia="sv-SE"/>
        </w:rPr>
        <w:t xml:space="preserve">, </w:t>
      </w:r>
      <w:r w:rsidRPr="00E322E7">
        <w:rPr>
          <w:rFonts w:ascii="Times New Roman" w:eastAsia="Times New Roman" w:hAnsi="Times New Roman" w:cs="Times New Roman"/>
          <w:i/>
          <w:iCs/>
          <w:sz w:val="24"/>
          <w:szCs w:val="24"/>
          <w:lang w:eastAsia="sv-SE"/>
        </w:rPr>
        <w:t>68</w:t>
      </w:r>
      <w:r w:rsidRPr="00E322E7">
        <w:rPr>
          <w:rFonts w:ascii="Times New Roman" w:eastAsia="Times New Roman" w:hAnsi="Times New Roman" w:cs="Times New Roman"/>
          <w:sz w:val="24"/>
          <w:szCs w:val="24"/>
          <w:lang w:eastAsia="sv-SE"/>
        </w:rPr>
        <w:t xml:space="preserve">(1), 63–79. </w:t>
      </w:r>
      <w:hyperlink r:id="rId15" w:history="1">
        <w:r w:rsidRPr="00E322E7">
          <w:rPr>
            <w:rStyle w:val="Hyperlnk"/>
            <w:rFonts w:ascii="Times New Roman" w:eastAsia="Times New Roman" w:hAnsi="Times New Roman" w:cs="Times New Roman"/>
            <w:sz w:val="24"/>
            <w:szCs w:val="24"/>
            <w:lang w:eastAsia="sv-SE"/>
          </w:rPr>
          <w:t>https://doi.org/10.1177/0741713617739347</w:t>
        </w:r>
      </w:hyperlink>
    </w:p>
    <w:p w14:paraId="4EAB6A68"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211DF4EB"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976CE7">
        <w:rPr>
          <w:rFonts w:ascii="Times New Roman" w:eastAsia="Times New Roman" w:hAnsi="Times New Roman" w:cs="Times New Roman"/>
          <w:sz w:val="24"/>
          <w:szCs w:val="24"/>
          <w:lang w:eastAsia="sv-SE"/>
        </w:rPr>
        <w:t xml:space="preserve">Carballo, R., Morgado, B., &amp; Cortés-Vega, M. D. (2021). Transforming faculty conceptions of disability and inclusive education through a training programme. </w:t>
      </w:r>
      <w:r w:rsidRPr="007B2B48">
        <w:rPr>
          <w:rFonts w:ascii="Times New Roman" w:eastAsia="Times New Roman" w:hAnsi="Times New Roman" w:cs="Times New Roman"/>
          <w:i/>
          <w:iCs/>
          <w:sz w:val="24"/>
          <w:szCs w:val="24"/>
          <w:lang w:eastAsia="sv-SE"/>
        </w:rPr>
        <w:t>International Journal of Inclusive Education</w:t>
      </w:r>
      <w:r w:rsidRPr="007B2B48">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i/>
          <w:iCs/>
          <w:sz w:val="24"/>
          <w:szCs w:val="24"/>
          <w:lang w:eastAsia="sv-SE"/>
        </w:rPr>
        <w:t>25</w:t>
      </w:r>
      <w:r w:rsidRPr="007B2B48">
        <w:rPr>
          <w:rFonts w:ascii="Times New Roman" w:eastAsia="Times New Roman" w:hAnsi="Times New Roman" w:cs="Times New Roman"/>
          <w:sz w:val="24"/>
          <w:szCs w:val="24"/>
          <w:lang w:eastAsia="sv-SE"/>
        </w:rPr>
        <w:t xml:space="preserve">(7), 843–859. </w:t>
      </w:r>
      <w:hyperlink r:id="rId16" w:history="1">
        <w:r w:rsidRPr="007B2B48">
          <w:rPr>
            <w:rStyle w:val="Hyperlnk"/>
            <w:rFonts w:ascii="Times New Roman" w:eastAsia="Times New Roman" w:hAnsi="Times New Roman" w:cs="Times New Roman"/>
            <w:sz w:val="24"/>
            <w:szCs w:val="24"/>
            <w:lang w:eastAsia="sv-SE"/>
          </w:rPr>
          <w:t>https://doi.org/10.1080/13603116.2019.1579874</w:t>
        </w:r>
      </w:hyperlink>
    </w:p>
    <w:p w14:paraId="1549ACBF"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p>
    <w:p w14:paraId="4674D8E7"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0BB1F4A1"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BA1CA3">
        <w:rPr>
          <w:rFonts w:ascii="Times New Roman" w:eastAsia="Times New Roman" w:hAnsi="Times New Roman" w:cs="Times New Roman"/>
          <w:sz w:val="24"/>
          <w:szCs w:val="24"/>
          <w:lang w:eastAsia="sv-SE"/>
        </w:rPr>
        <w:lastRenderedPageBreak/>
        <w:t xml:space="preserve">Creswell, J. W., &amp; Creswell, J. D. (2018). </w:t>
      </w:r>
      <w:r w:rsidRPr="00BA1CA3">
        <w:rPr>
          <w:rFonts w:ascii="Times New Roman" w:eastAsia="Times New Roman" w:hAnsi="Times New Roman" w:cs="Times New Roman"/>
          <w:i/>
          <w:iCs/>
          <w:sz w:val="24"/>
          <w:szCs w:val="24"/>
          <w:lang w:eastAsia="sv-SE"/>
        </w:rPr>
        <w:t>Research design: qualitative, quantitative, and Mixed Methods Approaches</w:t>
      </w:r>
      <w:r w:rsidRPr="00BA1CA3">
        <w:rPr>
          <w:rFonts w:ascii="Times New Roman" w:eastAsia="Times New Roman" w:hAnsi="Times New Roman" w:cs="Times New Roman"/>
          <w:sz w:val="24"/>
          <w:szCs w:val="24"/>
          <w:lang w:eastAsia="sv-SE"/>
        </w:rPr>
        <w:t xml:space="preserve"> (5th ed.). </w:t>
      </w:r>
      <w:r w:rsidRPr="007B2B48">
        <w:rPr>
          <w:rFonts w:ascii="Times New Roman" w:eastAsia="Times New Roman" w:hAnsi="Times New Roman" w:cs="Times New Roman"/>
          <w:sz w:val="24"/>
          <w:szCs w:val="24"/>
          <w:lang w:eastAsia="sv-SE"/>
        </w:rPr>
        <w:t>SAGE Publications.</w:t>
      </w:r>
    </w:p>
    <w:p w14:paraId="45028EBE"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0E2AE917"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E322E7">
        <w:rPr>
          <w:rFonts w:ascii="Times New Roman" w:eastAsia="Times New Roman" w:hAnsi="Times New Roman" w:cs="Times New Roman"/>
          <w:sz w:val="24"/>
          <w:szCs w:val="24"/>
          <w:lang w:eastAsia="sv-SE"/>
        </w:rPr>
        <w:t xml:space="preserve">Delacre, M., Leys, C., Mora, Y. L., &amp; Lakens, D. (2019). Taking Parametric Assumptions Seriously: Arguments for the Use of Welch’s F-test instead of the Classical F-test in One-Way ANOVA. </w:t>
      </w:r>
      <w:r w:rsidRPr="00E322E7">
        <w:rPr>
          <w:rFonts w:ascii="Times New Roman" w:eastAsia="Times New Roman" w:hAnsi="Times New Roman" w:cs="Times New Roman"/>
          <w:i/>
          <w:iCs/>
          <w:sz w:val="24"/>
          <w:szCs w:val="24"/>
          <w:lang w:eastAsia="sv-SE"/>
        </w:rPr>
        <w:t>International Review of Social Psychology</w:t>
      </w:r>
      <w:r w:rsidRPr="00E322E7">
        <w:rPr>
          <w:rFonts w:ascii="Times New Roman" w:eastAsia="Times New Roman" w:hAnsi="Times New Roman" w:cs="Times New Roman"/>
          <w:sz w:val="24"/>
          <w:szCs w:val="24"/>
          <w:lang w:eastAsia="sv-SE"/>
        </w:rPr>
        <w:t xml:space="preserve">, </w:t>
      </w:r>
      <w:r w:rsidRPr="00E322E7">
        <w:rPr>
          <w:rFonts w:ascii="Times New Roman" w:eastAsia="Times New Roman" w:hAnsi="Times New Roman" w:cs="Times New Roman"/>
          <w:i/>
          <w:iCs/>
          <w:sz w:val="24"/>
          <w:szCs w:val="24"/>
          <w:lang w:eastAsia="sv-SE"/>
        </w:rPr>
        <w:t>32</w:t>
      </w:r>
      <w:r w:rsidRPr="00E322E7">
        <w:rPr>
          <w:rFonts w:ascii="Times New Roman" w:eastAsia="Times New Roman" w:hAnsi="Times New Roman" w:cs="Times New Roman"/>
          <w:sz w:val="24"/>
          <w:szCs w:val="24"/>
          <w:lang w:eastAsia="sv-SE"/>
        </w:rPr>
        <w:t xml:space="preserve">(1), 13. </w:t>
      </w:r>
      <w:hyperlink r:id="rId17" w:history="1">
        <w:r w:rsidRPr="00E322E7">
          <w:rPr>
            <w:rStyle w:val="Hyperlnk"/>
            <w:rFonts w:ascii="Times New Roman" w:eastAsia="Times New Roman" w:hAnsi="Times New Roman" w:cs="Times New Roman"/>
            <w:sz w:val="24"/>
            <w:szCs w:val="24"/>
            <w:lang w:eastAsia="sv-SE"/>
          </w:rPr>
          <w:t>https://doi.org/10.5334/irsp.198</w:t>
        </w:r>
      </w:hyperlink>
    </w:p>
    <w:p w14:paraId="1F3CD792"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7C26C910" w14:textId="77777777" w:rsidR="000146FA" w:rsidRPr="009A7C54" w:rsidRDefault="000146FA" w:rsidP="000146FA">
      <w:pPr>
        <w:spacing w:after="0" w:line="276" w:lineRule="auto"/>
        <w:rPr>
          <w:rFonts w:ascii="Times New Roman" w:eastAsia="Times New Roman" w:hAnsi="Times New Roman" w:cs="Times New Roman"/>
          <w:sz w:val="24"/>
          <w:szCs w:val="24"/>
          <w:lang w:eastAsia="sv-SE"/>
        </w:rPr>
      </w:pPr>
      <w:r w:rsidRPr="002C5611">
        <w:rPr>
          <w:rFonts w:ascii="Times New Roman" w:eastAsia="Times New Roman" w:hAnsi="Times New Roman" w:cs="Times New Roman"/>
          <w:sz w:val="24"/>
          <w:szCs w:val="24"/>
          <w:lang w:val="sv-SE" w:eastAsia="sv-SE"/>
        </w:rPr>
        <w:t xml:space="preserve">Hart, C. S., &amp; Brando, N. (2018). </w:t>
      </w:r>
      <w:r w:rsidRPr="0007423A">
        <w:rPr>
          <w:rFonts w:ascii="Times New Roman" w:eastAsia="Times New Roman" w:hAnsi="Times New Roman" w:cs="Times New Roman"/>
          <w:sz w:val="24"/>
          <w:szCs w:val="24"/>
          <w:lang w:eastAsia="sv-SE"/>
        </w:rPr>
        <w:t xml:space="preserve">A capability approach to children’s well-being, agency and participatory rights in education. </w:t>
      </w:r>
      <w:r w:rsidRPr="0007423A">
        <w:rPr>
          <w:rFonts w:ascii="Times New Roman" w:eastAsia="Times New Roman" w:hAnsi="Times New Roman" w:cs="Times New Roman"/>
          <w:i/>
          <w:iCs/>
          <w:sz w:val="24"/>
          <w:szCs w:val="24"/>
          <w:lang w:eastAsia="sv-SE"/>
        </w:rPr>
        <w:t>European Journal of Education</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53</w:t>
      </w:r>
      <w:r w:rsidRPr="0007423A">
        <w:rPr>
          <w:rFonts w:ascii="Times New Roman" w:eastAsia="Times New Roman" w:hAnsi="Times New Roman" w:cs="Times New Roman"/>
          <w:sz w:val="24"/>
          <w:szCs w:val="24"/>
          <w:lang w:eastAsia="sv-SE"/>
        </w:rPr>
        <w:t xml:space="preserve">(3), 293–309. </w:t>
      </w:r>
      <w:hyperlink r:id="rId18" w:history="1">
        <w:r w:rsidRPr="0007423A">
          <w:rPr>
            <w:rStyle w:val="Hyperlnk"/>
            <w:rFonts w:ascii="Times New Roman" w:eastAsia="Times New Roman" w:hAnsi="Times New Roman" w:cs="Times New Roman"/>
            <w:sz w:val="24"/>
            <w:szCs w:val="24"/>
            <w:lang w:eastAsia="sv-SE"/>
          </w:rPr>
          <w:t>https://doi.org/10.1111/ejed.12284</w:t>
        </w:r>
      </w:hyperlink>
    </w:p>
    <w:p w14:paraId="76FC6086" w14:textId="77777777" w:rsidR="000146FA" w:rsidRPr="00D46C9D" w:rsidRDefault="000146FA" w:rsidP="000146FA">
      <w:pPr>
        <w:spacing w:after="0" w:line="276" w:lineRule="auto"/>
        <w:rPr>
          <w:rFonts w:ascii="Times New Roman" w:eastAsia="Times New Roman" w:hAnsi="Times New Roman" w:cs="Times New Roman"/>
          <w:sz w:val="24"/>
          <w:szCs w:val="24"/>
          <w:lang w:eastAsia="sv-SE"/>
        </w:rPr>
      </w:pPr>
    </w:p>
    <w:p w14:paraId="4B0FDC4E" w14:textId="77777777" w:rsidR="000146FA" w:rsidRDefault="000146FA" w:rsidP="000146FA">
      <w:pPr>
        <w:spacing w:after="0" w:line="276" w:lineRule="auto"/>
        <w:rPr>
          <w:rFonts w:ascii="Times New Roman" w:eastAsia="Times New Roman" w:hAnsi="Times New Roman" w:cs="Times New Roman"/>
          <w:sz w:val="24"/>
          <w:szCs w:val="24"/>
          <w:lang w:val="sv-SE" w:eastAsia="sv-SE"/>
        </w:rPr>
      </w:pPr>
      <w:r w:rsidRPr="0007423A">
        <w:rPr>
          <w:rFonts w:ascii="Times New Roman" w:eastAsia="Times New Roman" w:hAnsi="Times New Roman" w:cs="Times New Roman"/>
          <w:sz w:val="24"/>
          <w:szCs w:val="24"/>
          <w:lang w:eastAsia="sv-SE"/>
        </w:rPr>
        <w:t xml:space="preserve">Jandhyala, M. (2021). A Framework for a Capabilities-Based Approach to Copyright. </w:t>
      </w:r>
      <w:r w:rsidRPr="0007423A">
        <w:rPr>
          <w:rFonts w:ascii="Times New Roman" w:eastAsia="Times New Roman" w:hAnsi="Times New Roman" w:cs="Times New Roman"/>
          <w:i/>
          <w:iCs/>
          <w:sz w:val="24"/>
          <w:szCs w:val="24"/>
          <w:lang w:val="sv-SE" w:eastAsia="sv-SE"/>
        </w:rPr>
        <w:t>Revista Direito GV</w:t>
      </w:r>
      <w:r w:rsidRPr="0007423A">
        <w:rPr>
          <w:rFonts w:ascii="Times New Roman" w:eastAsia="Times New Roman" w:hAnsi="Times New Roman" w:cs="Times New Roman"/>
          <w:sz w:val="24"/>
          <w:szCs w:val="24"/>
          <w:lang w:val="sv-SE" w:eastAsia="sv-SE"/>
        </w:rPr>
        <w:t xml:space="preserve">, </w:t>
      </w:r>
      <w:r w:rsidRPr="0007423A">
        <w:rPr>
          <w:rFonts w:ascii="Times New Roman" w:eastAsia="Times New Roman" w:hAnsi="Times New Roman" w:cs="Times New Roman"/>
          <w:i/>
          <w:iCs/>
          <w:sz w:val="24"/>
          <w:szCs w:val="24"/>
          <w:lang w:val="sv-SE" w:eastAsia="sv-SE"/>
        </w:rPr>
        <w:t>17</w:t>
      </w:r>
      <w:r w:rsidRPr="0007423A">
        <w:rPr>
          <w:rFonts w:ascii="Times New Roman" w:eastAsia="Times New Roman" w:hAnsi="Times New Roman" w:cs="Times New Roman"/>
          <w:sz w:val="24"/>
          <w:szCs w:val="24"/>
          <w:lang w:val="sv-SE" w:eastAsia="sv-SE"/>
        </w:rPr>
        <w:t xml:space="preserve">(2), e2123. </w:t>
      </w:r>
      <w:hyperlink r:id="rId19" w:history="1">
        <w:r w:rsidRPr="0007423A">
          <w:rPr>
            <w:rStyle w:val="Hyperlnk"/>
            <w:rFonts w:ascii="Times New Roman" w:eastAsia="Times New Roman" w:hAnsi="Times New Roman" w:cs="Times New Roman"/>
            <w:sz w:val="24"/>
            <w:szCs w:val="24"/>
            <w:lang w:val="sv-SE" w:eastAsia="sv-SE"/>
          </w:rPr>
          <w:t>https://doi.org/10.1590/2317-6172202123</w:t>
        </w:r>
      </w:hyperlink>
    </w:p>
    <w:p w14:paraId="3A837E45" w14:textId="77777777" w:rsidR="000146FA" w:rsidRPr="009A7C54" w:rsidRDefault="000146FA" w:rsidP="000146FA">
      <w:pPr>
        <w:spacing w:after="0" w:line="276" w:lineRule="auto"/>
        <w:rPr>
          <w:rFonts w:ascii="Times New Roman" w:eastAsia="Times New Roman" w:hAnsi="Times New Roman" w:cs="Times New Roman"/>
          <w:sz w:val="24"/>
          <w:szCs w:val="24"/>
          <w:lang w:val="sv-SE" w:eastAsia="sv-SE"/>
        </w:rPr>
      </w:pPr>
    </w:p>
    <w:p w14:paraId="618FE00D" w14:textId="77777777" w:rsidR="000146FA" w:rsidRPr="009A7C54" w:rsidRDefault="000146FA" w:rsidP="000146FA">
      <w:pPr>
        <w:spacing w:after="0" w:line="276" w:lineRule="auto"/>
        <w:rPr>
          <w:rFonts w:ascii="Times New Roman" w:eastAsia="Times New Roman" w:hAnsi="Times New Roman" w:cs="Times New Roman"/>
          <w:sz w:val="24"/>
          <w:szCs w:val="24"/>
          <w:lang w:eastAsia="sv-SE"/>
        </w:rPr>
      </w:pPr>
      <w:r w:rsidRPr="0007423A">
        <w:rPr>
          <w:rFonts w:ascii="Times New Roman" w:eastAsia="Times New Roman" w:hAnsi="Times New Roman" w:cs="Times New Roman"/>
          <w:sz w:val="24"/>
          <w:szCs w:val="24"/>
          <w:lang w:val="sv-SE" w:eastAsia="sv-SE"/>
        </w:rPr>
        <w:t xml:space="preserve">Keung, C. P. C., &amp; Ho, E. S. C. (2020). </w:t>
      </w:r>
      <w:r w:rsidRPr="0007423A">
        <w:rPr>
          <w:rFonts w:ascii="Times New Roman" w:eastAsia="Times New Roman" w:hAnsi="Times New Roman" w:cs="Times New Roman"/>
          <w:sz w:val="24"/>
          <w:szCs w:val="24"/>
          <w:lang w:eastAsia="sv-SE"/>
        </w:rPr>
        <w:t xml:space="preserve">Structure and Agency in Adolescents’ Expectations of Pursuing Post-secondary Education. </w:t>
      </w:r>
      <w:r w:rsidRPr="0007423A">
        <w:rPr>
          <w:rFonts w:ascii="Times New Roman" w:eastAsia="Times New Roman" w:hAnsi="Times New Roman" w:cs="Times New Roman"/>
          <w:i/>
          <w:iCs/>
          <w:sz w:val="24"/>
          <w:szCs w:val="24"/>
          <w:lang w:eastAsia="sv-SE"/>
        </w:rPr>
        <w:t>Research in Higher Education</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61</w:t>
      </w:r>
      <w:r w:rsidRPr="0007423A">
        <w:rPr>
          <w:rFonts w:ascii="Times New Roman" w:eastAsia="Times New Roman" w:hAnsi="Times New Roman" w:cs="Times New Roman"/>
          <w:sz w:val="24"/>
          <w:szCs w:val="24"/>
          <w:lang w:eastAsia="sv-SE"/>
        </w:rPr>
        <w:t xml:space="preserve">(2), 270–295. </w:t>
      </w:r>
      <w:hyperlink r:id="rId20" w:history="1">
        <w:r w:rsidRPr="0007423A">
          <w:rPr>
            <w:rStyle w:val="Hyperlnk"/>
            <w:rFonts w:ascii="Times New Roman" w:eastAsia="Times New Roman" w:hAnsi="Times New Roman" w:cs="Times New Roman"/>
            <w:sz w:val="24"/>
            <w:szCs w:val="24"/>
            <w:lang w:eastAsia="sv-SE"/>
          </w:rPr>
          <w:t>https://doi.org/10.1007/s11162-019-09574-8</w:t>
        </w:r>
      </w:hyperlink>
    </w:p>
    <w:p w14:paraId="67933B65"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165A8861"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045F9A">
        <w:rPr>
          <w:rFonts w:ascii="Times New Roman" w:eastAsia="Times New Roman" w:hAnsi="Times New Roman" w:cs="Times New Roman"/>
          <w:sz w:val="24"/>
          <w:szCs w:val="24"/>
          <w:lang w:eastAsia="sv-SE"/>
        </w:rPr>
        <w:t xml:space="preserve">Kotronoulas, G., Miguel, S., Dowling, M., Fernández-Ortega, P., Colomer-Lahiguera, S., Bağçivan, G., Pape, E., Drury, A., Semple, C., Dieperink, K. B., &amp; Papadopoulou, C. (2023). An Overview of the Fundamentals of Data Management, Analysis, and Interpretation in Quantitative Research. </w:t>
      </w:r>
      <w:r w:rsidRPr="00045F9A">
        <w:rPr>
          <w:rFonts w:ascii="Times New Roman" w:eastAsia="Times New Roman" w:hAnsi="Times New Roman" w:cs="Times New Roman"/>
          <w:i/>
          <w:iCs/>
          <w:sz w:val="24"/>
          <w:szCs w:val="24"/>
          <w:lang w:eastAsia="sv-SE"/>
        </w:rPr>
        <w:t>Seminars in Oncology Nursing</w:t>
      </w:r>
      <w:r w:rsidRPr="00045F9A">
        <w:rPr>
          <w:rFonts w:ascii="Times New Roman" w:eastAsia="Times New Roman" w:hAnsi="Times New Roman" w:cs="Times New Roman"/>
          <w:sz w:val="24"/>
          <w:szCs w:val="24"/>
          <w:lang w:eastAsia="sv-SE"/>
        </w:rPr>
        <w:t xml:space="preserve">, </w:t>
      </w:r>
      <w:r w:rsidRPr="00045F9A">
        <w:rPr>
          <w:rFonts w:ascii="Times New Roman" w:eastAsia="Times New Roman" w:hAnsi="Times New Roman" w:cs="Times New Roman"/>
          <w:i/>
          <w:iCs/>
          <w:sz w:val="24"/>
          <w:szCs w:val="24"/>
          <w:lang w:eastAsia="sv-SE"/>
        </w:rPr>
        <w:t>39</w:t>
      </w:r>
      <w:r w:rsidRPr="00045F9A">
        <w:rPr>
          <w:rFonts w:ascii="Times New Roman" w:eastAsia="Times New Roman" w:hAnsi="Times New Roman" w:cs="Times New Roman"/>
          <w:sz w:val="24"/>
          <w:szCs w:val="24"/>
          <w:lang w:eastAsia="sv-SE"/>
        </w:rPr>
        <w:t xml:space="preserve">(2), Article 151398. </w:t>
      </w:r>
      <w:hyperlink r:id="rId21" w:history="1">
        <w:r w:rsidRPr="007B2B48">
          <w:rPr>
            <w:rStyle w:val="Hyperlnk"/>
            <w:rFonts w:ascii="Times New Roman" w:eastAsia="Times New Roman" w:hAnsi="Times New Roman" w:cs="Times New Roman"/>
            <w:sz w:val="24"/>
            <w:szCs w:val="24"/>
            <w:lang w:eastAsia="sv-SE"/>
          </w:rPr>
          <w:t>https://doi.org/10.1016/j.soncn.2023.151398</w:t>
        </w:r>
      </w:hyperlink>
    </w:p>
    <w:p w14:paraId="2A2EC04A"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p>
    <w:p w14:paraId="5E93A28F" w14:textId="77777777" w:rsidR="000146FA" w:rsidRPr="00045F9A" w:rsidRDefault="000146FA" w:rsidP="000146FA">
      <w:pPr>
        <w:spacing w:after="0" w:line="276" w:lineRule="auto"/>
        <w:rPr>
          <w:rFonts w:ascii="Times New Roman" w:eastAsia="Times New Roman" w:hAnsi="Times New Roman" w:cs="Times New Roman"/>
          <w:sz w:val="24"/>
          <w:szCs w:val="24"/>
          <w:lang w:eastAsia="sv-SE"/>
        </w:rPr>
      </w:pPr>
      <w:r w:rsidRPr="007B2B48">
        <w:rPr>
          <w:rFonts w:ascii="Times New Roman" w:eastAsia="Times New Roman" w:hAnsi="Times New Roman" w:cs="Times New Roman"/>
          <w:sz w:val="24"/>
          <w:szCs w:val="24"/>
          <w:lang w:eastAsia="sv-SE"/>
        </w:rPr>
        <w:t xml:space="preserve">Kutscher, E. L., &amp; Tuckwiller, E. D. (2019). </w:t>
      </w:r>
      <w:r w:rsidRPr="0040010D">
        <w:rPr>
          <w:rFonts w:ascii="Times New Roman" w:eastAsia="Times New Roman" w:hAnsi="Times New Roman" w:cs="Times New Roman"/>
          <w:sz w:val="24"/>
          <w:szCs w:val="24"/>
          <w:lang w:eastAsia="sv-SE"/>
        </w:rPr>
        <w:t>Persistence in higher education for students with disabilities: A mixed systematic review. </w:t>
      </w:r>
      <w:r w:rsidRPr="0040010D">
        <w:rPr>
          <w:rFonts w:ascii="Times New Roman" w:eastAsia="Times New Roman" w:hAnsi="Times New Roman" w:cs="Times New Roman"/>
          <w:i/>
          <w:iCs/>
          <w:sz w:val="24"/>
          <w:szCs w:val="24"/>
          <w:lang w:eastAsia="sv-SE"/>
        </w:rPr>
        <w:t>Journal of Diversity in Higher Education, 12</w:t>
      </w:r>
      <w:r w:rsidRPr="0040010D">
        <w:rPr>
          <w:rFonts w:ascii="Times New Roman" w:eastAsia="Times New Roman" w:hAnsi="Times New Roman" w:cs="Times New Roman"/>
          <w:sz w:val="24"/>
          <w:szCs w:val="24"/>
          <w:lang w:eastAsia="sv-SE"/>
        </w:rPr>
        <w:t>(2), 136–155. </w:t>
      </w:r>
      <w:hyperlink r:id="rId22" w:tgtFrame="_blank" w:history="1">
        <w:r w:rsidRPr="0040010D">
          <w:rPr>
            <w:rStyle w:val="Hyperlnk"/>
            <w:rFonts w:ascii="Times New Roman" w:eastAsia="Times New Roman" w:hAnsi="Times New Roman" w:cs="Times New Roman"/>
            <w:sz w:val="24"/>
            <w:szCs w:val="24"/>
            <w:lang w:eastAsia="sv-SE"/>
          </w:rPr>
          <w:t>https://doi.org/10.1037/dhe0000088</w:t>
        </w:r>
      </w:hyperlink>
    </w:p>
    <w:p w14:paraId="60D03352"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2E4DB5CB" w14:textId="77777777" w:rsidR="000146FA" w:rsidRPr="000146FA" w:rsidRDefault="000146FA" w:rsidP="000146FA">
      <w:pPr>
        <w:spacing w:after="0" w:line="276" w:lineRule="auto"/>
        <w:rPr>
          <w:rFonts w:ascii="Times New Roman" w:eastAsia="Times New Roman" w:hAnsi="Times New Roman" w:cs="Times New Roman"/>
          <w:sz w:val="24"/>
          <w:szCs w:val="24"/>
          <w:lang w:eastAsia="sv-SE"/>
        </w:rPr>
      </w:pPr>
      <w:r w:rsidRPr="00F457AD">
        <w:rPr>
          <w:rFonts w:ascii="Times New Roman" w:eastAsia="Times New Roman" w:hAnsi="Times New Roman" w:cs="Times New Roman"/>
          <w:sz w:val="24"/>
          <w:szCs w:val="24"/>
          <w:lang w:eastAsia="sv-SE"/>
        </w:rPr>
        <w:t xml:space="preserve">Lamey, A. (2007). [Rev. of </w:t>
      </w:r>
      <w:r w:rsidRPr="00F457AD">
        <w:rPr>
          <w:rFonts w:ascii="Times New Roman" w:eastAsia="Times New Roman" w:hAnsi="Times New Roman" w:cs="Times New Roman"/>
          <w:i/>
          <w:iCs/>
          <w:sz w:val="24"/>
          <w:szCs w:val="24"/>
          <w:lang w:eastAsia="sv-SE"/>
        </w:rPr>
        <w:t>Frontiers of Justice: Disability, Nationality, Species Membership - by Martha C. Nussbaum</w:t>
      </w:r>
      <w:r w:rsidRPr="00F457AD">
        <w:rPr>
          <w:rFonts w:ascii="Times New Roman" w:eastAsia="Times New Roman" w:hAnsi="Times New Roman" w:cs="Times New Roman"/>
          <w:sz w:val="24"/>
          <w:szCs w:val="24"/>
          <w:lang w:eastAsia="sv-SE"/>
        </w:rPr>
        <w:t xml:space="preserve">]. </w:t>
      </w:r>
      <w:r w:rsidRPr="000146FA">
        <w:rPr>
          <w:rFonts w:ascii="Times New Roman" w:eastAsia="Times New Roman" w:hAnsi="Times New Roman" w:cs="Times New Roman"/>
          <w:i/>
          <w:iCs/>
          <w:sz w:val="24"/>
          <w:szCs w:val="24"/>
          <w:lang w:eastAsia="sv-SE"/>
        </w:rPr>
        <w:t>Philosophical Books</w:t>
      </w:r>
      <w:r w:rsidRPr="000146FA">
        <w:rPr>
          <w:rFonts w:ascii="Times New Roman" w:eastAsia="Times New Roman" w:hAnsi="Times New Roman" w:cs="Times New Roman"/>
          <w:sz w:val="24"/>
          <w:szCs w:val="24"/>
          <w:lang w:eastAsia="sv-SE"/>
        </w:rPr>
        <w:t xml:space="preserve">, </w:t>
      </w:r>
      <w:r w:rsidRPr="000146FA">
        <w:rPr>
          <w:rFonts w:ascii="Times New Roman" w:eastAsia="Times New Roman" w:hAnsi="Times New Roman" w:cs="Times New Roman"/>
          <w:i/>
          <w:iCs/>
          <w:sz w:val="24"/>
          <w:szCs w:val="24"/>
          <w:lang w:eastAsia="sv-SE"/>
        </w:rPr>
        <w:t>48</w:t>
      </w:r>
      <w:r w:rsidRPr="000146FA">
        <w:rPr>
          <w:rFonts w:ascii="Times New Roman" w:eastAsia="Times New Roman" w:hAnsi="Times New Roman" w:cs="Times New Roman"/>
          <w:sz w:val="24"/>
          <w:szCs w:val="24"/>
          <w:lang w:eastAsia="sv-SE"/>
        </w:rPr>
        <w:t xml:space="preserve">(4), 376–381. </w:t>
      </w:r>
      <w:hyperlink r:id="rId23" w:history="1">
        <w:r w:rsidRPr="000146FA">
          <w:rPr>
            <w:rStyle w:val="Hyperlnk"/>
            <w:rFonts w:ascii="Times New Roman" w:eastAsia="Times New Roman" w:hAnsi="Times New Roman" w:cs="Times New Roman"/>
            <w:sz w:val="24"/>
            <w:szCs w:val="24"/>
            <w:lang w:eastAsia="sv-SE"/>
          </w:rPr>
          <w:t>https://doi.org/10.1111/j.1468-0149.2007.00453_8.x</w:t>
        </w:r>
      </w:hyperlink>
    </w:p>
    <w:p w14:paraId="764400E3"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29E303FF" w14:textId="77777777" w:rsidR="000146FA" w:rsidRDefault="000146FA" w:rsidP="000146FA">
      <w:pPr>
        <w:spacing w:after="0" w:line="276" w:lineRule="auto"/>
        <w:rPr>
          <w:rFonts w:ascii="Times New Roman" w:eastAsia="Times New Roman" w:hAnsi="Times New Roman" w:cs="Times New Roman"/>
          <w:sz w:val="24"/>
          <w:szCs w:val="24"/>
          <w:lang w:val="sv-SE" w:eastAsia="sv-SE"/>
        </w:rPr>
      </w:pPr>
      <w:r w:rsidRPr="006C000D">
        <w:rPr>
          <w:rFonts w:ascii="Times New Roman" w:eastAsia="Times New Roman" w:hAnsi="Times New Roman" w:cs="Times New Roman"/>
          <w:sz w:val="24"/>
          <w:szCs w:val="24"/>
          <w:lang w:eastAsia="sv-SE"/>
        </w:rPr>
        <w:t xml:space="preserve">Lid, I. M. (2026). Contextualising access: Universal design and individual accommodation. In </w:t>
      </w:r>
      <w:r w:rsidRPr="006C000D">
        <w:rPr>
          <w:rFonts w:ascii="Times New Roman" w:eastAsia="Times New Roman" w:hAnsi="Times New Roman" w:cs="Times New Roman"/>
          <w:i/>
          <w:iCs/>
          <w:sz w:val="24"/>
          <w:szCs w:val="24"/>
          <w:lang w:eastAsia="sv-SE"/>
        </w:rPr>
        <w:t>Recognising Disability in Higher Education</w:t>
      </w:r>
      <w:r w:rsidRPr="006C000D">
        <w:rPr>
          <w:rFonts w:ascii="Times New Roman" w:eastAsia="Times New Roman" w:hAnsi="Times New Roman" w:cs="Times New Roman"/>
          <w:sz w:val="24"/>
          <w:szCs w:val="24"/>
          <w:lang w:eastAsia="sv-SE"/>
        </w:rPr>
        <w:t xml:space="preserve"> (1st ed., Vol. 1, pp. 50–61). </w:t>
      </w:r>
      <w:r w:rsidRPr="006C000D">
        <w:rPr>
          <w:rFonts w:ascii="Times New Roman" w:eastAsia="Times New Roman" w:hAnsi="Times New Roman" w:cs="Times New Roman"/>
          <w:sz w:val="24"/>
          <w:szCs w:val="24"/>
          <w:lang w:val="sv-SE" w:eastAsia="sv-SE"/>
        </w:rPr>
        <w:t xml:space="preserve">Routledge. </w:t>
      </w:r>
      <w:hyperlink r:id="rId24" w:history="1">
        <w:r w:rsidRPr="00F17950">
          <w:rPr>
            <w:rStyle w:val="Hyperlnk"/>
            <w:rFonts w:ascii="Times New Roman" w:eastAsia="Times New Roman" w:hAnsi="Times New Roman" w:cs="Times New Roman"/>
            <w:sz w:val="24"/>
            <w:szCs w:val="24"/>
            <w:lang w:val="sv-SE" w:eastAsia="sv-SE"/>
          </w:rPr>
          <w:t>https://doi.org/10.4324/9781003671077-5</w:t>
        </w:r>
      </w:hyperlink>
    </w:p>
    <w:p w14:paraId="051D071C" w14:textId="77777777" w:rsidR="000146FA" w:rsidRPr="009A7C54" w:rsidRDefault="000146FA" w:rsidP="000146FA">
      <w:pPr>
        <w:spacing w:after="0" w:line="276" w:lineRule="auto"/>
        <w:rPr>
          <w:rFonts w:ascii="Times New Roman" w:eastAsia="Times New Roman" w:hAnsi="Times New Roman" w:cs="Times New Roman"/>
          <w:sz w:val="24"/>
          <w:szCs w:val="24"/>
          <w:lang w:val="sv-SE" w:eastAsia="sv-SE"/>
        </w:rPr>
      </w:pPr>
    </w:p>
    <w:p w14:paraId="45A67CDC" w14:textId="77777777" w:rsidR="000146FA" w:rsidRPr="007B2B48" w:rsidRDefault="000146FA" w:rsidP="000146FA">
      <w:pPr>
        <w:spacing w:line="276" w:lineRule="auto"/>
        <w:rPr>
          <w:lang w:val="sv-SE"/>
        </w:rPr>
      </w:pPr>
      <w:r w:rsidRPr="0007423A">
        <w:rPr>
          <w:rFonts w:ascii="Times New Roman" w:hAnsi="Times New Roman" w:cs="Times New Roman"/>
          <w:i/>
          <w:iCs/>
          <w:sz w:val="24"/>
          <w:szCs w:val="24"/>
          <w:lang w:val="sv-SE"/>
        </w:rPr>
        <w:t>Läroplan för anpassade grundskolan (Lgra22) - Skolverket</w:t>
      </w:r>
      <w:r w:rsidRPr="0007423A">
        <w:rPr>
          <w:rFonts w:ascii="Times New Roman" w:hAnsi="Times New Roman" w:cs="Times New Roman"/>
          <w:sz w:val="24"/>
          <w:szCs w:val="24"/>
          <w:lang w:val="sv-SE"/>
        </w:rPr>
        <w:t xml:space="preserve">. (2026). Skolverket.se. </w:t>
      </w:r>
      <w:hyperlink r:id="rId25" w:history="1">
        <w:r w:rsidRPr="0007423A">
          <w:rPr>
            <w:rStyle w:val="Hyperlnk"/>
            <w:rFonts w:ascii="Times New Roman" w:hAnsi="Times New Roman" w:cs="Times New Roman"/>
            <w:sz w:val="24"/>
            <w:szCs w:val="24"/>
            <w:lang w:val="sv-SE"/>
          </w:rPr>
          <w:t>https://www.skolverket.se/undervisning/anpassade-grundskolan/laroplan-for-anpassade-grundskolan-lgra22/curriculums/lgra22?schooltype=gran&amp;typeofsyllabus=course_syllabus&amp;timespan=latest&amp;tosheading=kursplaner&amp;hassubjects=true</w:t>
        </w:r>
      </w:hyperlink>
    </w:p>
    <w:p w14:paraId="1F10ECE6" w14:textId="77777777" w:rsidR="000146FA" w:rsidRPr="00F658AA" w:rsidRDefault="000146FA" w:rsidP="000146FA">
      <w:pPr>
        <w:spacing w:line="276" w:lineRule="auto"/>
        <w:rPr>
          <w:rFonts w:ascii="Times New Roman" w:hAnsi="Times New Roman" w:cs="Times New Roman"/>
          <w:sz w:val="24"/>
          <w:szCs w:val="24"/>
        </w:rPr>
      </w:pPr>
      <w:r w:rsidRPr="00C9362A">
        <w:rPr>
          <w:rFonts w:ascii="Times New Roman" w:hAnsi="Times New Roman" w:cs="Times New Roman"/>
          <w:sz w:val="24"/>
          <w:szCs w:val="24"/>
          <w:lang w:val="sv-SE"/>
        </w:rPr>
        <w:lastRenderedPageBreak/>
        <w:t xml:space="preserve">Madaus, J. W., Gelbar, N., Dukes, L. L., Lalor, A. R., Lombardi, A., Kowitt, J., &amp; Faggella-Luby, M. N. (2018). </w:t>
      </w:r>
      <w:r w:rsidRPr="00C9362A">
        <w:rPr>
          <w:rFonts w:ascii="Times New Roman" w:hAnsi="Times New Roman" w:cs="Times New Roman"/>
          <w:sz w:val="24"/>
          <w:szCs w:val="24"/>
        </w:rPr>
        <w:t xml:space="preserve">Literature on postsecondary disability services: A call for research guidelines. </w:t>
      </w:r>
      <w:r w:rsidRPr="007B2B48">
        <w:rPr>
          <w:rFonts w:ascii="Times New Roman" w:hAnsi="Times New Roman" w:cs="Times New Roman"/>
          <w:i/>
          <w:iCs/>
          <w:sz w:val="24"/>
          <w:szCs w:val="24"/>
        </w:rPr>
        <w:t>Journal of Diversity in Higher Education</w:t>
      </w:r>
      <w:r w:rsidRPr="007B2B48">
        <w:rPr>
          <w:rFonts w:ascii="Times New Roman" w:hAnsi="Times New Roman" w:cs="Times New Roman"/>
          <w:sz w:val="24"/>
          <w:szCs w:val="24"/>
        </w:rPr>
        <w:t xml:space="preserve">, </w:t>
      </w:r>
      <w:r w:rsidRPr="007B2B48">
        <w:rPr>
          <w:rFonts w:ascii="Times New Roman" w:hAnsi="Times New Roman" w:cs="Times New Roman"/>
          <w:i/>
          <w:iCs/>
          <w:sz w:val="24"/>
          <w:szCs w:val="24"/>
        </w:rPr>
        <w:t>11</w:t>
      </w:r>
      <w:r w:rsidRPr="007B2B48">
        <w:rPr>
          <w:rFonts w:ascii="Times New Roman" w:hAnsi="Times New Roman" w:cs="Times New Roman"/>
          <w:sz w:val="24"/>
          <w:szCs w:val="24"/>
        </w:rPr>
        <w:t xml:space="preserve">(2), 133–145. </w:t>
      </w:r>
      <w:hyperlink r:id="rId26" w:history="1">
        <w:r w:rsidRPr="007B2B48">
          <w:rPr>
            <w:rStyle w:val="Hyperlnk"/>
            <w:rFonts w:ascii="Times New Roman" w:hAnsi="Times New Roman" w:cs="Times New Roman"/>
            <w:sz w:val="24"/>
            <w:szCs w:val="24"/>
          </w:rPr>
          <w:t>https://doi.org/10.1037/dhe0000045</w:t>
        </w:r>
      </w:hyperlink>
    </w:p>
    <w:p w14:paraId="675CF963"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F658AA">
        <w:rPr>
          <w:rFonts w:ascii="Times New Roman" w:eastAsia="Times New Roman" w:hAnsi="Times New Roman" w:cs="Times New Roman"/>
          <w:sz w:val="24"/>
          <w:szCs w:val="24"/>
          <w:lang w:eastAsia="sv-SE"/>
        </w:rPr>
        <w:t xml:space="preserve">McShane, B. B., Bradlow, E. T., Lynch, J. G., &amp; Meyer, R. J. (2024). “Statistical Significance” and Statistical Reporting: Moving Beyond Binary. </w:t>
      </w:r>
      <w:r w:rsidRPr="00F658AA">
        <w:rPr>
          <w:rFonts w:ascii="Times New Roman" w:eastAsia="Times New Roman" w:hAnsi="Times New Roman" w:cs="Times New Roman"/>
          <w:i/>
          <w:iCs/>
          <w:sz w:val="24"/>
          <w:szCs w:val="24"/>
          <w:lang w:eastAsia="sv-SE"/>
        </w:rPr>
        <w:t>Journal of Marketing</w:t>
      </w:r>
      <w:r w:rsidRPr="00F658AA">
        <w:rPr>
          <w:rFonts w:ascii="Times New Roman" w:eastAsia="Times New Roman" w:hAnsi="Times New Roman" w:cs="Times New Roman"/>
          <w:sz w:val="24"/>
          <w:szCs w:val="24"/>
          <w:lang w:eastAsia="sv-SE"/>
        </w:rPr>
        <w:t xml:space="preserve">, </w:t>
      </w:r>
      <w:r w:rsidRPr="00F658AA">
        <w:rPr>
          <w:rFonts w:ascii="Times New Roman" w:eastAsia="Times New Roman" w:hAnsi="Times New Roman" w:cs="Times New Roman"/>
          <w:i/>
          <w:iCs/>
          <w:sz w:val="24"/>
          <w:szCs w:val="24"/>
          <w:lang w:eastAsia="sv-SE"/>
        </w:rPr>
        <w:t>88</w:t>
      </w:r>
      <w:r w:rsidRPr="00F658AA">
        <w:rPr>
          <w:rFonts w:ascii="Times New Roman" w:eastAsia="Times New Roman" w:hAnsi="Times New Roman" w:cs="Times New Roman"/>
          <w:sz w:val="24"/>
          <w:szCs w:val="24"/>
          <w:lang w:eastAsia="sv-SE"/>
        </w:rPr>
        <w:t xml:space="preserve">(3), 1–19. </w:t>
      </w:r>
      <w:hyperlink r:id="rId27" w:history="1">
        <w:r w:rsidRPr="00F658AA">
          <w:rPr>
            <w:rStyle w:val="Hyperlnk"/>
            <w:rFonts w:ascii="Times New Roman" w:eastAsia="Times New Roman" w:hAnsi="Times New Roman" w:cs="Times New Roman"/>
            <w:sz w:val="24"/>
            <w:szCs w:val="24"/>
            <w:lang w:eastAsia="sv-SE"/>
          </w:rPr>
          <w:t>https://doi.org/10.1177/00222429231216910</w:t>
        </w:r>
      </w:hyperlink>
    </w:p>
    <w:p w14:paraId="74D82FE4" w14:textId="77777777" w:rsidR="000146FA" w:rsidRPr="005A3F52" w:rsidRDefault="000146FA" w:rsidP="000146FA">
      <w:pPr>
        <w:spacing w:after="0" w:line="276" w:lineRule="auto"/>
        <w:rPr>
          <w:rFonts w:ascii="Times New Roman" w:eastAsia="Times New Roman" w:hAnsi="Times New Roman" w:cs="Times New Roman"/>
          <w:sz w:val="24"/>
          <w:szCs w:val="24"/>
          <w:lang w:eastAsia="sv-SE"/>
        </w:rPr>
      </w:pPr>
    </w:p>
    <w:p w14:paraId="24B2315F"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12798E">
        <w:rPr>
          <w:rFonts w:ascii="Times New Roman" w:eastAsia="Times New Roman" w:hAnsi="Times New Roman" w:cs="Times New Roman"/>
          <w:sz w:val="24"/>
          <w:szCs w:val="24"/>
          <w:lang w:eastAsia="sv-SE"/>
        </w:rPr>
        <w:t xml:space="preserve">Moriña, A., &amp; Carnerero, F. (2020). Conceptions of Disability at Education: A Systematic Review. </w:t>
      </w:r>
      <w:r w:rsidRPr="0012798E">
        <w:rPr>
          <w:rFonts w:ascii="Times New Roman" w:eastAsia="Times New Roman" w:hAnsi="Times New Roman" w:cs="Times New Roman"/>
          <w:i/>
          <w:iCs/>
          <w:sz w:val="24"/>
          <w:szCs w:val="24"/>
          <w:lang w:eastAsia="sv-SE"/>
        </w:rPr>
        <w:t>International Journal of Disability, Development and Education</w:t>
      </w:r>
      <w:r w:rsidRPr="0012798E">
        <w:rPr>
          <w:rFonts w:ascii="Times New Roman" w:eastAsia="Times New Roman" w:hAnsi="Times New Roman" w:cs="Times New Roman"/>
          <w:sz w:val="24"/>
          <w:szCs w:val="24"/>
          <w:lang w:eastAsia="sv-SE"/>
        </w:rPr>
        <w:t xml:space="preserve">, </w:t>
      </w:r>
      <w:r w:rsidRPr="0012798E">
        <w:rPr>
          <w:rFonts w:ascii="Times New Roman" w:eastAsia="Times New Roman" w:hAnsi="Times New Roman" w:cs="Times New Roman"/>
          <w:i/>
          <w:iCs/>
          <w:sz w:val="24"/>
          <w:szCs w:val="24"/>
          <w:lang w:eastAsia="sv-SE"/>
        </w:rPr>
        <w:t>69</w:t>
      </w:r>
      <w:r w:rsidRPr="0012798E">
        <w:rPr>
          <w:rFonts w:ascii="Times New Roman" w:eastAsia="Times New Roman" w:hAnsi="Times New Roman" w:cs="Times New Roman"/>
          <w:sz w:val="24"/>
          <w:szCs w:val="24"/>
          <w:lang w:eastAsia="sv-SE"/>
        </w:rPr>
        <w:t xml:space="preserve">(3), 1–15. </w:t>
      </w:r>
      <w:hyperlink r:id="rId28" w:history="1">
        <w:r w:rsidRPr="00EF1651">
          <w:rPr>
            <w:rStyle w:val="Hyperlnk"/>
            <w:rFonts w:ascii="Times New Roman" w:eastAsia="Times New Roman" w:hAnsi="Times New Roman" w:cs="Times New Roman"/>
            <w:sz w:val="24"/>
            <w:szCs w:val="24"/>
            <w:lang w:eastAsia="sv-SE"/>
          </w:rPr>
          <w:t>https://doi.org/10.1080/1034912x.2020.1749239</w:t>
        </w:r>
      </w:hyperlink>
    </w:p>
    <w:p w14:paraId="631CC095" w14:textId="77777777" w:rsidR="000146FA" w:rsidRPr="005A3F52" w:rsidRDefault="000146FA" w:rsidP="000146FA">
      <w:pPr>
        <w:spacing w:after="0" w:line="276" w:lineRule="auto"/>
        <w:rPr>
          <w:rFonts w:ascii="Times New Roman" w:eastAsia="Times New Roman" w:hAnsi="Times New Roman" w:cs="Times New Roman"/>
          <w:sz w:val="24"/>
          <w:szCs w:val="24"/>
          <w:lang w:eastAsia="sv-SE"/>
        </w:rPr>
      </w:pPr>
    </w:p>
    <w:p w14:paraId="6115015F" w14:textId="77777777" w:rsidR="000146FA" w:rsidRDefault="000146FA" w:rsidP="000146FA">
      <w:pPr>
        <w:spacing w:after="0" w:line="276" w:lineRule="auto"/>
      </w:pPr>
      <w:r w:rsidRPr="00F658AA">
        <w:rPr>
          <w:rFonts w:ascii="Times New Roman" w:eastAsia="Times New Roman" w:hAnsi="Times New Roman" w:cs="Times New Roman"/>
          <w:sz w:val="24"/>
          <w:szCs w:val="24"/>
          <w:lang w:eastAsia="sv-SE"/>
        </w:rPr>
        <w:t xml:space="preserve">Mutanga, O., &amp; Walker, M. (2015). Towards a Disability-inclusive Higher Education Policy through the Capabilities Approach. </w:t>
      </w:r>
      <w:r w:rsidRPr="00F658AA">
        <w:rPr>
          <w:rFonts w:ascii="Times New Roman" w:eastAsia="Times New Roman" w:hAnsi="Times New Roman" w:cs="Times New Roman"/>
          <w:i/>
          <w:iCs/>
          <w:sz w:val="24"/>
          <w:szCs w:val="24"/>
          <w:lang w:eastAsia="sv-SE"/>
        </w:rPr>
        <w:t>Journal of Human Development and Capabilities</w:t>
      </w:r>
      <w:r w:rsidRPr="00F658AA">
        <w:rPr>
          <w:rFonts w:ascii="Times New Roman" w:eastAsia="Times New Roman" w:hAnsi="Times New Roman" w:cs="Times New Roman"/>
          <w:sz w:val="24"/>
          <w:szCs w:val="24"/>
          <w:lang w:eastAsia="sv-SE"/>
        </w:rPr>
        <w:t xml:space="preserve">, </w:t>
      </w:r>
      <w:r w:rsidRPr="00F658AA">
        <w:rPr>
          <w:rFonts w:ascii="Times New Roman" w:eastAsia="Times New Roman" w:hAnsi="Times New Roman" w:cs="Times New Roman"/>
          <w:i/>
          <w:iCs/>
          <w:sz w:val="24"/>
          <w:szCs w:val="24"/>
          <w:lang w:eastAsia="sv-SE"/>
        </w:rPr>
        <w:t>16</w:t>
      </w:r>
      <w:r w:rsidRPr="00F658AA">
        <w:rPr>
          <w:rFonts w:ascii="Times New Roman" w:eastAsia="Times New Roman" w:hAnsi="Times New Roman" w:cs="Times New Roman"/>
          <w:sz w:val="24"/>
          <w:szCs w:val="24"/>
          <w:lang w:eastAsia="sv-SE"/>
        </w:rPr>
        <w:t xml:space="preserve">(4), 501–517. </w:t>
      </w:r>
      <w:hyperlink r:id="rId29" w:history="1">
        <w:r w:rsidRPr="00F658AA">
          <w:rPr>
            <w:rStyle w:val="Hyperlnk"/>
            <w:rFonts w:ascii="Times New Roman" w:eastAsia="Times New Roman" w:hAnsi="Times New Roman" w:cs="Times New Roman"/>
            <w:sz w:val="24"/>
            <w:szCs w:val="24"/>
            <w:lang w:eastAsia="sv-SE"/>
          </w:rPr>
          <w:t>https://doi.org/10.1080/19452829.2015.1101410</w:t>
        </w:r>
      </w:hyperlink>
    </w:p>
    <w:p w14:paraId="7DE29344" w14:textId="77777777" w:rsidR="000146FA" w:rsidRDefault="000146FA" w:rsidP="000146FA">
      <w:pPr>
        <w:spacing w:after="0" w:line="276" w:lineRule="auto"/>
      </w:pPr>
    </w:p>
    <w:p w14:paraId="78389E45" w14:textId="77777777" w:rsidR="000146FA" w:rsidRPr="007B2B48" w:rsidRDefault="000146FA" w:rsidP="000146FA">
      <w:pPr>
        <w:spacing w:after="0" w:line="276" w:lineRule="auto"/>
        <w:rPr>
          <w:rFonts w:ascii="Times New Roman" w:hAnsi="Times New Roman" w:cs="Times New Roman"/>
          <w:sz w:val="24"/>
          <w:szCs w:val="24"/>
        </w:rPr>
      </w:pPr>
      <w:r w:rsidRPr="00007C54">
        <w:rPr>
          <w:rFonts w:ascii="Times New Roman" w:hAnsi="Times New Roman" w:cs="Times New Roman"/>
          <w:sz w:val="24"/>
          <w:szCs w:val="24"/>
        </w:rPr>
        <w:t xml:space="preserve">Mweshi, G., &amp; Muhyila, M. (2024). Determining a Statistical Analysis for the Quantitative Study. </w:t>
      </w:r>
      <w:r w:rsidRPr="007B2B48">
        <w:rPr>
          <w:rFonts w:ascii="Times New Roman" w:hAnsi="Times New Roman" w:cs="Times New Roman"/>
          <w:i/>
          <w:iCs/>
          <w:sz w:val="24"/>
          <w:szCs w:val="24"/>
        </w:rPr>
        <w:t>Research Gate</w:t>
      </w:r>
      <w:r w:rsidRPr="007B2B48">
        <w:rPr>
          <w:rFonts w:ascii="Times New Roman" w:hAnsi="Times New Roman" w:cs="Times New Roman"/>
          <w:sz w:val="24"/>
          <w:szCs w:val="24"/>
        </w:rPr>
        <w:t xml:space="preserve">, </w:t>
      </w:r>
      <w:r w:rsidRPr="007B2B48">
        <w:rPr>
          <w:rFonts w:ascii="Times New Roman" w:hAnsi="Times New Roman" w:cs="Times New Roman"/>
          <w:i/>
          <w:iCs/>
          <w:sz w:val="24"/>
          <w:szCs w:val="24"/>
        </w:rPr>
        <w:t>07,</w:t>
      </w:r>
      <w:r w:rsidRPr="007B2B48">
        <w:rPr>
          <w:rFonts w:ascii="Times New Roman" w:hAnsi="Times New Roman" w:cs="Times New Roman"/>
          <w:sz w:val="24"/>
          <w:szCs w:val="24"/>
        </w:rPr>
        <w:t xml:space="preserve"> (04,), 187–231. </w:t>
      </w:r>
      <w:hyperlink r:id="rId30" w:history="1">
        <w:r w:rsidRPr="007B2B48">
          <w:rPr>
            <w:rStyle w:val="Hyperlnk"/>
            <w:rFonts w:ascii="Times New Roman" w:hAnsi="Times New Roman" w:cs="Times New Roman"/>
            <w:sz w:val="24"/>
            <w:szCs w:val="24"/>
          </w:rPr>
          <w:t>https://doi.org/10.14738/assrj.117.17018</w:t>
        </w:r>
      </w:hyperlink>
    </w:p>
    <w:p w14:paraId="2F1CC5F6"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7DE342CF" w14:textId="77777777" w:rsidR="000146FA" w:rsidRPr="00B11CFA" w:rsidRDefault="000146FA" w:rsidP="000146FA">
      <w:pPr>
        <w:spacing w:after="0" w:line="276" w:lineRule="auto"/>
        <w:rPr>
          <w:rFonts w:ascii="Times New Roman" w:eastAsia="Times New Roman" w:hAnsi="Times New Roman" w:cs="Times New Roman"/>
          <w:sz w:val="24"/>
          <w:szCs w:val="24"/>
          <w:lang w:eastAsia="sv-SE"/>
        </w:rPr>
      </w:pPr>
      <w:r w:rsidRPr="000146FA">
        <w:rPr>
          <w:rFonts w:ascii="Times New Roman" w:eastAsia="Times New Roman" w:hAnsi="Times New Roman" w:cs="Times New Roman"/>
          <w:sz w:val="24"/>
          <w:szCs w:val="24"/>
          <w:lang w:eastAsia="sv-SE"/>
        </w:rPr>
        <w:t xml:space="preserve">Nana Darna, Iwan Setiawan, M. Aziz Basari, &amp; Kasman Kasman. </w:t>
      </w:r>
      <w:r w:rsidRPr="00F658AA">
        <w:rPr>
          <w:rFonts w:ascii="Times New Roman" w:eastAsia="Times New Roman" w:hAnsi="Times New Roman" w:cs="Times New Roman"/>
          <w:sz w:val="24"/>
          <w:szCs w:val="24"/>
          <w:lang w:eastAsia="sv-SE"/>
        </w:rPr>
        <w:t xml:space="preserve">(2024). Smart strategy in statistics: choosing appropriate test tools for data and hypotheses in quantitative research. </w:t>
      </w:r>
      <w:r w:rsidRPr="00F658AA">
        <w:rPr>
          <w:rFonts w:ascii="Times New Roman" w:eastAsia="Times New Roman" w:hAnsi="Times New Roman" w:cs="Times New Roman"/>
          <w:i/>
          <w:iCs/>
          <w:sz w:val="24"/>
          <w:szCs w:val="24"/>
          <w:lang w:eastAsia="sv-SE"/>
        </w:rPr>
        <w:t>JPPI (Jurnal Penelitian Pendidikan Indonesia) (Online)</w:t>
      </w:r>
      <w:r w:rsidRPr="00F658AA">
        <w:rPr>
          <w:rFonts w:ascii="Times New Roman" w:eastAsia="Times New Roman" w:hAnsi="Times New Roman" w:cs="Times New Roman"/>
          <w:sz w:val="24"/>
          <w:szCs w:val="24"/>
          <w:lang w:eastAsia="sv-SE"/>
        </w:rPr>
        <w:t xml:space="preserve">, </w:t>
      </w:r>
      <w:r w:rsidRPr="00F658AA">
        <w:rPr>
          <w:rFonts w:ascii="Times New Roman" w:eastAsia="Times New Roman" w:hAnsi="Times New Roman" w:cs="Times New Roman"/>
          <w:i/>
          <w:iCs/>
          <w:sz w:val="24"/>
          <w:szCs w:val="24"/>
          <w:lang w:eastAsia="sv-SE"/>
        </w:rPr>
        <w:t>10</w:t>
      </w:r>
      <w:r w:rsidRPr="00F658AA">
        <w:rPr>
          <w:rFonts w:ascii="Times New Roman" w:eastAsia="Times New Roman" w:hAnsi="Times New Roman" w:cs="Times New Roman"/>
          <w:sz w:val="24"/>
          <w:szCs w:val="24"/>
          <w:lang w:eastAsia="sv-SE"/>
        </w:rPr>
        <w:t xml:space="preserve">(2), 843–851. </w:t>
      </w:r>
      <w:hyperlink r:id="rId31" w:history="1">
        <w:r w:rsidRPr="00F658AA">
          <w:rPr>
            <w:rStyle w:val="Hyperlnk"/>
            <w:rFonts w:ascii="Times New Roman" w:eastAsia="Times New Roman" w:hAnsi="Times New Roman" w:cs="Times New Roman"/>
            <w:sz w:val="24"/>
            <w:szCs w:val="24"/>
            <w:lang w:eastAsia="sv-SE"/>
          </w:rPr>
          <w:t>https://doi.org/10.29210/020243691</w:t>
        </w:r>
      </w:hyperlink>
    </w:p>
    <w:p w14:paraId="1286F43E"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5E549782"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F658AA">
        <w:rPr>
          <w:rFonts w:ascii="Times New Roman" w:eastAsia="Times New Roman" w:hAnsi="Times New Roman" w:cs="Times New Roman"/>
          <w:sz w:val="24"/>
          <w:szCs w:val="24"/>
          <w:lang w:eastAsia="sv-SE"/>
        </w:rPr>
        <w:t xml:space="preserve">Nef, D. P., Nef, S., &amp; Kruetli, P. (2023). Putting people back at the center of livelihood vulnerability analysis. </w:t>
      </w:r>
      <w:r w:rsidRPr="00F658AA">
        <w:rPr>
          <w:rFonts w:ascii="Times New Roman" w:eastAsia="Times New Roman" w:hAnsi="Times New Roman" w:cs="Times New Roman"/>
          <w:i/>
          <w:iCs/>
          <w:sz w:val="24"/>
          <w:szCs w:val="24"/>
          <w:lang w:eastAsia="sv-SE"/>
        </w:rPr>
        <w:t>SN Social Sciences</w:t>
      </w:r>
      <w:r w:rsidRPr="00F658AA">
        <w:rPr>
          <w:rFonts w:ascii="Times New Roman" w:eastAsia="Times New Roman" w:hAnsi="Times New Roman" w:cs="Times New Roman"/>
          <w:sz w:val="24"/>
          <w:szCs w:val="24"/>
          <w:lang w:eastAsia="sv-SE"/>
        </w:rPr>
        <w:t xml:space="preserve">, </w:t>
      </w:r>
      <w:r w:rsidRPr="00F658AA">
        <w:rPr>
          <w:rFonts w:ascii="Times New Roman" w:eastAsia="Times New Roman" w:hAnsi="Times New Roman" w:cs="Times New Roman"/>
          <w:i/>
          <w:iCs/>
          <w:sz w:val="24"/>
          <w:szCs w:val="24"/>
          <w:lang w:eastAsia="sv-SE"/>
        </w:rPr>
        <w:t>3</w:t>
      </w:r>
      <w:r w:rsidRPr="00F658AA">
        <w:rPr>
          <w:rFonts w:ascii="Times New Roman" w:eastAsia="Times New Roman" w:hAnsi="Times New Roman" w:cs="Times New Roman"/>
          <w:sz w:val="24"/>
          <w:szCs w:val="24"/>
          <w:lang w:eastAsia="sv-SE"/>
        </w:rPr>
        <w:t xml:space="preserve">(11), Article 184. </w:t>
      </w:r>
      <w:hyperlink r:id="rId32" w:history="1">
        <w:r w:rsidRPr="00F658AA">
          <w:rPr>
            <w:rStyle w:val="Hyperlnk"/>
            <w:rFonts w:ascii="Times New Roman" w:eastAsia="Times New Roman" w:hAnsi="Times New Roman" w:cs="Times New Roman"/>
            <w:sz w:val="24"/>
            <w:szCs w:val="24"/>
            <w:lang w:eastAsia="sv-SE"/>
          </w:rPr>
          <w:t>https://doi.org/10.1007/s43545-023-00775-8</w:t>
        </w:r>
      </w:hyperlink>
    </w:p>
    <w:p w14:paraId="6E453DC6" w14:textId="77777777" w:rsidR="000146FA" w:rsidRDefault="000146FA" w:rsidP="000146FA">
      <w:pPr>
        <w:spacing w:after="0" w:line="276" w:lineRule="auto"/>
        <w:rPr>
          <w:rFonts w:ascii="Times New Roman" w:eastAsia="Times New Roman" w:hAnsi="Times New Roman" w:cs="Times New Roman"/>
          <w:sz w:val="24"/>
          <w:szCs w:val="24"/>
          <w:lang w:eastAsia="sv-SE"/>
        </w:rPr>
      </w:pPr>
    </w:p>
    <w:p w14:paraId="715FD62E"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B051C8">
        <w:rPr>
          <w:rFonts w:ascii="Times New Roman" w:eastAsia="Times New Roman" w:hAnsi="Times New Roman" w:cs="Times New Roman"/>
          <w:sz w:val="24"/>
          <w:szCs w:val="24"/>
          <w:lang w:eastAsia="sv-SE"/>
        </w:rPr>
        <w:t xml:space="preserve">Nieminen, J. H. (2022). A spanner in the works: the portrayal of disabled students in assessment adjustment research. </w:t>
      </w:r>
      <w:r w:rsidRPr="007B2B48">
        <w:rPr>
          <w:rFonts w:ascii="Times New Roman" w:eastAsia="Times New Roman" w:hAnsi="Times New Roman" w:cs="Times New Roman"/>
          <w:i/>
          <w:iCs/>
          <w:sz w:val="24"/>
          <w:szCs w:val="24"/>
          <w:lang w:eastAsia="sv-SE"/>
        </w:rPr>
        <w:t>International Studies in Sociology of Education</w:t>
      </w:r>
      <w:r w:rsidRPr="007B2B48">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i/>
          <w:iCs/>
          <w:sz w:val="24"/>
          <w:szCs w:val="24"/>
          <w:lang w:eastAsia="sv-SE"/>
        </w:rPr>
        <w:t>32</w:t>
      </w:r>
      <w:r w:rsidRPr="007B2B48">
        <w:rPr>
          <w:rFonts w:ascii="Times New Roman" w:eastAsia="Times New Roman" w:hAnsi="Times New Roman" w:cs="Times New Roman"/>
          <w:sz w:val="24"/>
          <w:szCs w:val="24"/>
          <w:lang w:eastAsia="sv-SE"/>
        </w:rPr>
        <w:t xml:space="preserve">(1), 30–55. </w:t>
      </w:r>
      <w:hyperlink r:id="rId33" w:history="1">
        <w:r w:rsidRPr="007B2B48">
          <w:rPr>
            <w:rStyle w:val="Hyperlnk"/>
            <w:rFonts w:ascii="Times New Roman" w:eastAsia="Times New Roman" w:hAnsi="Times New Roman" w:cs="Times New Roman"/>
            <w:sz w:val="24"/>
            <w:szCs w:val="24"/>
            <w:lang w:eastAsia="sv-SE"/>
          </w:rPr>
          <w:t>https://doi.org/10.1080/09620214.2022.2118809</w:t>
        </w:r>
      </w:hyperlink>
    </w:p>
    <w:p w14:paraId="04A8894B" w14:textId="77777777" w:rsidR="000146FA" w:rsidRPr="00CD725F" w:rsidRDefault="000146FA" w:rsidP="000146FA">
      <w:pPr>
        <w:spacing w:after="0" w:line="276" w:lineRule="auto"/>
        <w:rPr>
          <w:rFonts w:ascii="Times New Roman" w:eastAsia="Times New Roman" w:hAnsi="Times New Roman" w:cs="Times New Roman"/>
          <w:sz w:val="24"/>
          <w:szCs w:val="24"/>
          <w:lang w:eastAsia="sv-SE"/>
        </w:rPr>
      </w:pPr>
    </w:p>
    <w:p w14:paraId="50A7A8FC" w14:textId="77777777" w:rsidR="000146FA" w:rsidRPr="00CD725F" w:rsidRDefault="000146FA" w:rsidP="000146FA">
      <w:pPr>
        <w:spacing w:line="276" w:lineRule="auto"/>
        <w:rPr>
          <w:rFonts w:ascii="Times New Roman" w:hAnsi="Times New Roman" w:cs="Times New Roman"/>
          <w:sz w:val="24"/>
          <w:szCs w:val="24"/>
        </w:rPr>
      </w:pPr>
      <w:r w:rsidRPr="00F658AA">
        <w:rPr>
          <w:rFonts w:ascii="Times New Roman" w:hAnsi="Times New Roman" w:cs="Times New Roman"/>
          <w:sz w:val="24"/>
          <w:szCs w:val="24"/>
        </w:rPr>
        <w:t xml:space="preserve">Pandey, A. (2021). Roadblock on the Way of Disabled Students in the Higher Education. </w:t>
      </w:r>
      <w:r w:rsidRPr="00F658AA">
        <w:rPr>
          <w:rFonts w:ascii="Times New Roman" w:hAnsi="Times New Roman" w:cs="Times New Roman"/>
          <w:i/>
          <w:iCs/>
          <w:sz w:val="24"/>
          <w:szCs w:val="24"/>
        </w:rPr>
        <w:t>Issues and Ideas in Education</w:t>
      </w:r>
      <w:r w:rsidRPr="00F658AA">
        <w:rPr>
          <w:rFonts w:ascii="Times New Roman" w:hAnsi="Times New Roman" w:cs="Times New Roman"/>
          <w:sz w:val="24"/>
          <w:szCs w:val="24"/>
        </w:rPr>
        <w:t xml:space="preserve">, </w:t>
      </w:r>
      <w:r w:rsidRPr="00F658AA">
        <w:rPr>
          <w:rFonts w:ascii="Times New Roman" w:hAnsi="Times New Roman" w:cs="Times New Roman"/>
          <w:i/>
          <w:iCs/>
          <w:sz w:val="24"/>
          <w:szCs w:val="24"/>
        </w:rPr>
        <w:t>9</w:t>
      </w:r>
      <w:r w:rsidRPr="00F658AA">
        <w:rPr>
          <w:rFonts w:ascii="Times New Roman" w:hAnsi="Times New Roman" w:cs="Times New Roman"/>
          <w:sz w:val="24"/>
          <w:szCs w:val="24"/>
        </w:rPr>
        <w:t xml:space="preserve">(2), 97–102. </w:t>
      </w:r>
      <w:hyperlink r:id="rId34" w:history="1">
        <w:r w:rsidRPr="00F658AA">
          <w:rPr>
            <w:rStyle w:val="Hyperlnk"/>
            <w:rFonts w:ascii="Times New Roman" w:hAnsi="Times New Roman" w:cs="Times New Roman"/>
            <w:sz w:val="24"/>
            <w:szCs w:val="24"/>
          </w:rPr>
          <w:t>https://doi.org/10.15415/iie.2021.92009</w:t>
        </w:r>
      </w:hyperlink>
    </w:p>
    <w:p w14:paraId="4B0AA1DD" w14:textId="77777777" w:rsidR="000146FA" w:rsidRDefault="000146FA" w:rsidP="000146FA">
      <w:pPr>
        <w:spacing w:line="276" w:lineRule="auto"/>
      </w:pPr>
      <w:r w:rsidRPr="00F658AA">
        <w:rPr>
          <w:rFonts w:ascii="Times New Roman" w:hAnsi="Times New Roman" w:cs="Times New Roman"/>
          <w:i/>
          <w:iCs/>
          <w:sz w:val="24"/>
          <w:szCs w:val="24"/>
        </w:rPr>
        <w:t>Persons with disabilities in the EU</w:t>
      </w:r>
      <w:r w:rsidRPr="00F658AA">
        <w:rPr>
          <w:rFonts w:ascii="Times New Roman" w:hAnsi="Times New Roman" w:cs="Times New Roman"/>
          <w:sz w:val="24"/>
          <w:szCs w:val="24"/>
        </w:rPr>
        <w:t xml:space="preserve">. (2025, December 2). European Commission. </w:t>
      </w:r>
      <w:hyperlink r:id="rId35" w:history="1">
        <w:r w:rsidRPr="00F658AA">
          <w:rPr>
            <w:rStyle w:val="Hyperlnk"/>
            <w:rFonts w:ascii="Times New Roman" w:hAnsi="Times New Roman" w:cs="Times New Roman"/>
            <w:sz w:val="24"/>
            <w:szCs w:val="24"/>
          </w:rPr>
          <w:t>https://commission.europa.eu/strategy-and-policy/policies/justice-and-fundamental-rights/disability/persons-disabilities-eu_en</w:t>
        </w:r>
      </w:hyperlink>
    </w:p>
    <w:p w14:paraId="71F07EB6"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63061D">
        <w:rPr>
          <w:rFonts w:ascii="Times New Roman" w:eastAsia="Times New Roman" w:hAnsi="Times New Roman" w:cs="Times New Roman"/>
          <w:sz w:val="24"/>
          <w:szCs w:val="24"/>
          <w:lang w:val="sv-SE" w:eastAsia="sv-SE"/>
        </w:rPr>
        <w:t xml:space="preserve">Rahman, Md. M., Tasnim, F., Mukta, M. Z., Abedin, A., &amp; Aryal, K. R. (2022). </w:t>
      </w:r>
      <w:r w:rsidRPr="0063061D">
        <w:rPr>
          <w:rFonts w:ascii="Times New Roman" w:eastAsia="Times New Roman" w:hAnsi="Times New Roman" w:cs="Times New Roman"/>
          <w:sz w:val="24"/>
          <w:szCs w:val="24"/>
          <w:lang w:eastAsia="sv-SE"/>
        </w:rPr>
        <w:t xml:space="preserve">Assessing Barriers in Humanitarian Supply Chains for Cyclone in Coastal Areas of Bangladesh: An Interpretive Structural Modeling (ISM) Approach. </w:t>
      </w:r>
      <w:r w:rsidRPr="0063061D">
        <w:rPr>
          <w:rFonts w:ascii="Times New Roman" w:eastAsia="Times New Roman" w:hAnsi="Times New Roman" w:cs="Times New Roman"/>
          <w:i/>
          <w:iCs/>
          <w:sz w:val="24"/>
          <w:szCs w:val="24"/>
          <w:lang w:eastAsia="sv-SE"/>
        </w:rPr>
        <w:t>Sustainability</w:t>
      </w:r>
      <w:r w:rsidRPr="0063061D">
        <w:rPr>
          <w:rFonts w:ascii="Times New Roman" w:eastAsia="Times New Roman" w:hAnsi="Times New Roman" w:cs="Times New Roman"/>
          <w:sz w:val="24"/>
          <w:szCs w:val="24"/>
          <w:lang w:eastAsia="sv-SE"/>
        </w:rPr>
        <w:t xml:space="preserve">, </w:t>
      </w:r>
      <w:r w:rsidRPr="0063061D">
        <w:rPr>
          <w:rFonts w:ascii="Times New Roman" w:eastAsia="Times New Roman" w:hAnsi="Times New Roman" w:cs="Times New Roman"/>
          <w:i/>
          <w:iCs/>
          <w:sz w:val="24"/>
          <w:szCs w:val="24"/>
          <w:lang w:eastAsia="sv-SE"/>
        </w:rPr>
        <w:t>14</w:t>
      </w:r>
      <w:r w:rsidRPr="0063061D">
        <w:rPr>
          <w:rFonts w:ascii="Times New Roman" w:eastAsia="Times New Roman" w:hAnsi="Times New Roman" w:cs="Times New Roman"/>
          <w:sz w:val="24"/>
          <w:szCs w:val="24"/>
          <w:lang w:eastAsia="sv-SE"/>
        </w:rPr>
        <w:t xml:space="preserve">(15), 9724. </w:t>
      </w:r>
      <w:hyperlink r:id="rId36" w:history="1">
        <w:r w:rsidRPr="00EF1651">
          <w:rPr>
            <w:rStyle w:val="Hyperlnk"/>
            <w:rFonts w:ascii="Times New Roman" w:eastAsia="Times New Roman" w:hAnsi="Times New Roman" w:cs="Times New Roman"/>
            <w:sz w:val="24"/>
            <w:szCs w:val="24"/>
            <w:lang w:eastAsia="sv-SE"/>
          </w:rPr>
          <w:t>https://doi.org/10.3390/su14159724</w:t>
        </w:r>
      </w:hyperlink>
    </w:p>
    <w:p w14:paraId="323A0DBF" w14:textId="77777777" w:rsidR="000146FA" w:rsidRPr="00F658AA" w:rsidRDefault="000146FA" w:rsidP="000146FA">
      <w:pPr>
        <w:spacing w:after="0" w:line="276" w:lineRule="auto"/>
        <w:rPr>
          <w:rFonts w:ascii="Times New Roman" w:eastAsia="Times New Roman" w:hAnsi="Times New Roman" w:cs="Times New Roman"/>
          <w:sz w:val="24"/>
          <w:szCs w:val="24"/>
          <w:lang w:eastAsia="sv-SE"/>
        </w:rPr>
      </w:pPr>
    </w:p>
    <w:p w14:paraId="782E1527" w14:textId="77777777" w:rsidR="000146FA" w:rsidRPr="0007423A" w:rsidRDefault="000146FA" w:rsidP="000146FA">
      <w:pPr>
        <w:spacing w:after="0" w:line="276" w:lineRule="auto"/>
        <w:rPr>
          <w:rFonts w:ascii="Times New Roman" w:eastAsia="Times New Roman" w:hAnsi="Times New Roman" w:cs="Times New Roman"/>
          <w:sz w:val="24"/>
          <w:szCs w:val="24"/>
          <w:lang w:eastAsia="sv-SE"/>
        </w:rPr>
      </w:pPr>
      <w:r w:rsidRPr="000146FA">
        <w:rPr>
          <w:rFonts w:ascii="Times New Roman" w:eastAsia="Times New Roman" w:hAnsi="Times New Roman" w:cs="Times New Roman"/>
          <w:sz w:val="24"/>
          <w:szCs w:val="24"/>
          <w:lang w:eastAsia="sv-SE"/>
        </w:rPr>
        <w:lastRenderedPageBreak/>
        <w:t xml:space="preserve">Rasse, C., &amp; Sevilla, M. P. (2023). </w:t>
      </w:r>
      <w:r w:rsidRPr="0007423A">
        <w:rPr>
          <w:rFonts w:ascii="Times New Roman" w:eastAsia="Times New Roman" w:hAnsi="Times New Roman" w:cs="Times New Roman"/>
          <w:sz w:val="24"/>
          <w:szCs w:val="24"/>
          <w:lang w:eastAsia="sv-SE"/>
        </w:rPr>
        <w:t xml:space="preserve">Marginality and Citizenship Education in Secondary Vocational and Technical Education (VTE). A Vision from the Capability Approach. </w:t>
      </w:r>
      <w:r w:rsidRPr="0007423A">
        <w:rPr>
          <w:rFonts w:ascii="Times New Roman" w:eastAsia="Times New Roman" w:hAnsi="Times New Roman" w:cs="Times New Roman"/>
          <w:i/>
          <w:iCs/>
          <w:sz w:val="24"/>
          <w:szCs w:val="24"/>
          <w:lang w:eastAsia="sv-SE"/>
        </w:rPr>
        <w:t>Journal of Human Development and Capabilities</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24</w:t>
      </w:r>
      <w:r w:rsidRPr="0007423A">
        <w:rPr>
          <w:rFonts w:ascii="Times New Roman" w:eastAsia="Times New Roman" w:hAnsi="Times New Roman" w:cs="Times New Roman"/>
          <w:sz w:val="24"/>
          <w:szCs w:val="24"/>
          <w:lang w:eastAsia="sv-SE"/>
        </w:rPr>
        <w:t xml:space="preserve">(2), 234–252. </w:t>
      </w:r>
      <w:hyperlink r:id="rId37" w:history="1">
        <w:r w:rsidRPr="0007423A">
          <w:rPr>
            <w:rStyle w:val="Hyperlnk"/>
            <w:rFonts w:ascii="Times New Roman" w:eastAsia="Times New Roman" w:hAnsi="Times New Roman" w:cs="Times New Roman"/>
            <w:sz w:val="24"/>
            <w:szCs w:val="24"/>
            <w:lang w:eastAsia="sv-SE"/>
          </w:rPr>
          <w:t>https://doi.org/10.1080/19452829.2023.2200239</w:t>
        </w:r>
      </w:hyperlink>
    </w:p>
    <w:p w14:paraId="1AEE5EEC" w14:textId="77777777" w:rsidR="000146FA" w:rsidRPr="0007423A" w:rsidRDefault="000146FA" w:rsidP="000146FA">
      <w:pPr>
        <w:spacing w:line="276" w:lineRule="auto"/>
      </w:pPr>
    </w:p>
    <w:p w14:paraId="45BC50FC" w14:textId="77777777" w:rsidR="000146FA" w:rsidRPr="00EB7080" w:rsidRDefault="000146FA" w:rsidP="000146FA">
      <w:pPr>
        <w:spacing w:after="0" w:line="276" w:lineRule="auto"/>
        <w:rPr>
          <w:rFonts w:ascii="Times New Roman" w:eastAsia="Times New Roman" w:hAnsi="Times New Roman" w:cs="Times New Roman"/>
          <w:sz w:val="24"/>
          <w:szCs w:val="24"/>
          <w:lang w:eastAsia="sv-SE"/>
        </w:rPr>
      </w:pPr>
      <w:r w:rsidRPr="0007423A">
        <w:rPr>
          <w:rFonts w:ascii="Times New Roman" w:eastAsia="Times New Roman" w:hAnsi="Times New Roman" w:cs="Times New Roman"/>
          <w:sz w:val="24"/>
          <w:szCs w:val="24"/>
          <w:lang w:eastAsia="sv-SE"/>
        </w:rPr>
        <w:t xml:space="preserve">Riddle, C. A. (2020). Disability and Disadvantage in the Capabilities Approach. In A. Cureton &amp; D. T. Wasserman (Eds.), </w:t>
      </w:r>
      <w:r w:rsidRPr="0007423A">
        <w:rPr>
          <w:rFonts w:ascii="Times New Roman" w:eastAsia="Times New Roman" w:hAnsi="Times New Roman" w:cs="Times New Roman"/>
          <w:i/>
          <w:iCs/>
          <w:sz w:val="24"/>
          <w:szCs w:val="24"/>
          <w:lang w:eastAsia="sv-SE"/>
        </w:rPr>
        <w:t>The Oxford Handbook of Philosophy and Disability</w:t>
      </w:r>
      <w:r w:rsidRPr="0007423A">
        <w:rPr>
          <w:rFonts w:ascii="Times New Roman" w:eastAsia="Times New Roman" w:hAnsi="Times New Roman" w:cs="Times New Roman"/>
          <w:sz w:val="24"/>
          <w:szCs w:val="24"/>
          <w:lang w:eastAsia="sv-SE"/>
        </w:rPr>
        <w:t xml:space="preserve">. Oxford University Press. </w:t>
      </w:r>
      <w:hyperlink r:id="rId38" w:history="1">
        <w:r w:rsidRPr="0007423A">
          <w:rPr>
            <w:rStyle w:val="Hyperlnk"/>
            <w:rFonts w:ascii="Times New Roman" w:eastAsia="Times New Roman" w:hAnsi="Times New Roman" w:cs="Times New Roman"/>
            <w:sz w:val="24"/>
            <w:szCs w:val="24"/>
            <w:lang w:eastAsia="sv-SE"/>
          </w:rPr>
          <w:t>https://doi.org/10.1093/oxfordhb/9780190622879.013.19</w:t>
        </w:r>
      </w:hyperlink>
    </w:p>
    <w:p w14:paraId="647BB7CD" w14:textId="77777777" w:rsidR="000146FA" w:rsidRDefault="000146FA" w:rsidP="000146FA">
      <w:pPr>
        <w:spacing w:line="276" w:lineRule="auto"/>
        <w:rPr>
          <w:rFonts w:ascii="Times New Roman" w:hAnsi="Times New Roman" w:cs="Times New Roman"/>
          <w:sz w:val="24"/>
          <w:szCs w:val="24"/>
        </w:rPr>
      </w:pPr>
    </w:p>
    <w:p w14:paraId="79470EA8" w14:textId="77777777" w:rsidR="000146FA" w:rsidRPr="00B11CFA" w:rsidRDefault="000146FA" w:rsidP="000146FA">
      <w:pPr>
        <w:spacing w:line="276" w:lineRule="auto"/>
        <w:rPr>
          <w:rFonts w:ascii="Times New Roman" w:hAnsi="Times New Roman" w:cs="Times New Roman"/>
          <w:sz w:val="24"/>
          <w:szCs w:val="24"/>
        </w:rPr>
      </w:pPr>
      <w:r w:rsidRPr="0007423A">
        <w:rPr>
          <w:rFonts w:ascii="Times New Roman" w:hAnsi="Times New Roman" w:cs="Times New Roman"/>
          <w:sz w:val="24"/>
          <w:szCs w:val="24"/>
        </w:rPr>
        <w:t xml:space="preserve">Saharan, V. A., Kulhari, H., &amp; Jadhav, H. R. (2024). </w:t>
      </w:r>
      <w:r w:rsidRPr="0007423A">
        <w:rPr>
          <w:rFonts w:ascii="Times New Roman" w:hAnsi="Times New Roman" w:cs="Times New Roman"/>
          <w:i/>
          <w:iCs/>
          <w:sz w:val="24"/>
          <w:szCs w:val="24"/>
        </w:rPr>
        <w:t>Principles of Research Methodology and Ethics in Pharmaceutical Sciences</w:t>
      </w:r>
      <w:r w:rsidRPr="0007423A">
        <w:rPr>
          <w:rFonts w:ascii="Times New Roman" w:hAnsi="Times New Roman" w:cs="Times New Roman"/>
          <w:sz w:val="24"/>
          <w:szCs w:val="24"/>
        </w:rPr>
        <w:t xml:space="preserve">. CRC Press. </w:t>
      </w:r>
      <w:hyperlink r:id="rId39" w:history="1">
        <w:r w:rsidRPr="0007423A">
          <w:rPr>
            <w:rStyle w:val="Hyperlnk"/>
            <w:rFonts w:ascii="Times New Roman" w:hAnsi="Times New Roman" w:cs="Times New Roman"/>
            <w:sz w:val="24"/>
            <w:szCs w:val="24"/>
          </w:rPr>
          <w:t>https://doi.org/10.1201/9781003088226</w:t>
        </w:r>
      </w:hyperlink>
    </w:p>
    <w:p w14:paraId="360A4568" w14:textId="77777777" w:rsidR="000146FA" w:rsidRPr="007B2B48" w:rsidRDefault="000146FA" w:rsidP="000146FA">
      <w:pPr>
        <w:spacing w:after="0" w:line="276" w:lineRule="auto"/>
        <w:rPr>
          <w:rFonts w:ascii="Times New Roman" w:eastAsia="Times New Roman" w:hAnsi="Times New Roman" w:cs="Times New Roman"/>
          <w:sz w:val="24"/>
          <w:szCs w:val="24"/>
          <w:lang w:eastAsia="sv-SE"/>
        </w:rPr>
      </w:pPr>
      <w:r w:rsidRPr="003434A9">
        <w:rPr>
          <w:rFonts w:ascii="Times New Roman" w:eastAsia="Times New Roman" w:hAnsi="Times New Roman" w:cs="Times New Roman"/>
          <w:sz w:val="24"/>
          <w:szCs w:val="24"/>
          <w:lang w:eastAsia="sv-SE"/>
        </w:rPr>
        <w:t xml:space="preserve">Shaw, A. (2025). Inclusion of higher education disabled students: a Q-methodology study of lecturers’ attitudes. </w:t>
      </w:r>
      <w:r w:rsidRPr="007B2B48">
        <w:rPr>
          <w:rFonts w:ascii="Times New Roman" w:eastAsia="Times New Roman" w:hAnsi="Times New Roman" w:cs="Times New Roman"/>
          <w:i/>
          <w:iCs/>
          <w:sz w:val="24"/>
          <w:szCs w:val="24"/>
          <w:lang w:eastAsia="sv-SE"/>
        </w:rPr>
        <w:t>Teaching in Higher Education</w:t>
      </w:r>
      <w:r w:rsidRPr="007B2B48">
        <w:rPr>
          <w:rFonts w:ascii="Times New Roman" w:eastAsia="Times New Roman" w:hAnsi="Times New Roman" w:cs="Times New Roman"/>
          <w:sz w:val="24"/>
          <w:szCs w:val="24"/>
          <w:lang w:eastAsia="sv-SE"/>
        </w:rPr>
        <w:t xml:space="preserve">, </w:t>
      </w:r>
      <w:r w:rsidRPr="007B2B48">
        <w:rPr>
          <w:rFonts w:ascii="Times New Roman" w:eastAsia="Times New Roman" w:hAnsi="Times New Roman" w:cs="Times New Roman"/>
          <w:i/>
          <w:iCs/>
          <w:sz w:val="24"/>
          <w:szCs w:val="24"/>
          <w:lang w:eastAsia="sv-SE"/>
        </w:rPr>
        <w:t>30</w:t>
      </w:r>
      <w:r w:rsidRPr="007B2B48">
        <w:rPr>
          <w:rFonts w:ascii="Times New Roman" w:eastAsia="Times New Roman" w:hAnsi="Times New Roman" w:cs="Times New Roman"/>
          <w:sz w:val="24"/>
          <w:szCs w:val="24"/>
          <w:lang w:eastAsia="sv-SE"/>
        </w:rPr>
        <w:t xml:space="preserve">(4), 821–842. </w:t>
      </w:r>
      <w:hyperlink r:id="rId40" w:history="1">
        <w:r w:rsidRPr="007B2B48">
          <w:rPr>
            <w:rStyle w:val="Hyperlnk"/>
            <w:rFonts w:ascii="Times New Roman" w:eastAsia="Times New Roman" w:hAnsi="Times New Roman" w:cs="Times New Roman"/>
            <w:sz w:val="24"/>
            <w:szCs w:val="24"/>
            <w:lang w:eastAsia="sv-SE"/>
          </w:rPr>
          <w:t>https://doi.org/10.1080/13562517.2023.2280266</w:t>
        </w:r>
      </w:hyperlink>
    </w:p>
    <w:p w14:paraId="431582B8" w14:textId="77777777" w:rsidR="000146FA" w:rsidRDefault="000146FA" w:rsidP="000146FA">
      <w:pPr>
        <w:spacing w:line="276" w:lineRule="auto"/>
        <w:rPr>
          <w:rFonts w:ascii="Times New Roman" w:hAnsi="Times New Roman" w:cs="Times New Roman"/>
          <w:sz w:val="24"/>
          <w:szCs w:val="24"/>
        </w:rPr>
      </w:pPr>
    </w:p>
    <w:p w14:paraId="2B44A1D0" w14:textId="77777777" w:rsidR="000146FA" w:rsidRPr="00CD725F" w:rsidRDefault="000146FA" w:rsidP="000146FA">
      <w:pPr>
        <w:spacing w:line="276" w:lineRule="auto"/>
        <w:rPr>
          <w:rFonts w:ascii="Times New Roman" w:eastAsia="Times New Roman" w:hAnsi="Times New Roman" w:cs="Times New Roman"/>
          <w:sz w:val="24"/>
          <w:szCs w:val="24"/>
          <w:lang w:eastAsia="sv-SE"/>
        </w:rPr>
      </w:pPr>
      <w:r w:rsidRPr="0007423A">
        <w:rPr>
          <w:rFonts w:ascii="Times New Roman" w:eastAsia="Times New Roman" w:hAnsi="Times New Roman" w:cs="Times New Roman"/>
          <w:sz w:val="24"/>
          <w:szCs w:val="24"/>
          <w:lang w:eastAsia="sv-SE"/>
        </w:rPr>
        <w:t xml:space="preserve">Smeplass, E., Rapp, A. C., &amp; Corral-Granados, A. (2024). Understanding how institutional dynamics can contribute to educational inequality in Nordic cities. </w:t>
      </w:r>
      <w:r w:rsidRPr="0007423A">
        <w:rPr>
          <w:rFonts w:ascii="Times New Roman" w:eastAsia="Times New Roman" w:hAnsi="Times New Roman" w:cs="Times New Roman"/>
          <w:i/>
          <w:iCs/>
          <w:sz w:val="24"/>
          <w:szCs w:val="24"/>
          <w:lang w:eastAsia="sv-SE"/>
        </w:rPr>
        <w:t>Oxford Review of Education</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50</w:t>
      </w:r>
      <w:r w:rsidRPr="0007423A">
        <w:rPr>
          <w:rFonts w:ascii="Times New Roman" w:eastAsia="Times New Roman" w:hAnsi="Times New Roman" w:cs="Times New Roman"/>
          <w:sz w:val="24"/>
          <w:szCs w:val="24"/>
          <w:lang w:eastAsia="sv-SE"/>
        </w:rPr>
        <w:t xml:space="preserve">(2), 290–307. </w:t>
      </w:r>
      <w:hyperlink r:id="rId41" w:history="1">
        <w:r w:rsidRPr="0007423A">
          <w:rPr>
            <w:rStyle w:val="Hyperlnk"/>
            <w:rFonts w:ascii="Times New Roman" w:eastAsia="Times New Roman" w:hAnsi="Times New Roman" w:cs="Times New Roman"/>
            <w:sz w:val="24"/>
            <w:szCs w:val="24"/>
            <w:lang w:eastAsia="sv-SE"/>
          </w:rPr>
          <w:t>https://doi.org/10.1080/03054985.2023.2274027</w:t>
        </w:r>
      </w:hyperlink>
    </w:p>
    <w:p w14:paraId="030081A8" w14:textId="77777777" w:rsidR="000146FA" w:rsidRPr="009A7C54" w:rsidRDefault="000146FA" w:rsidP="000146FA">
      <w:pPr>
        <w:spacing w:before="100" w:beforeAutospacing="1" w:after="100" w:afterAutospacing="1" w:line="276" w:lineRule="auto"/>
        <w:rPr>
          <w:rFonts w:ascii="Times New Roman" w:eastAsia="Times New Roman" w:hAnsi="Times New Roman" w:cs="Times New Roman"/>
          <w:sz w:val="24"/>
          <w:szCs w:val="24"/>
          <w:lang w:eastAsia="sv-SE"/>
        </w:rPr>
      </w:pPr>
      <w:r w:rsidRPr="0007423A">
        <w:rPr>
          <w:rFonts w:ascii="Times New Roman" w:eastAsia="Times New Roman" w:hAnsi="Times New Roman" w:cs="Times New Roman"/>
          <w:sz w:val="24"/>
          <w:szCs w:val="24"/>
          <w:lang w:eastAsia="sv-SE"/>
        </w:rPr>
        <w:t xml:space="preserve">Statistics Sweden. (2024, November 27). </w:t>
      </w:r>
      <w:r w:rsidRPr="0007423A">
        <w:rPr>
          <w:rFonts w:ascii="Times New Roman" w:eastAsia="Times New Roman" w:hAnsi="Times New Roman" w:cs="Times New Roman"/>
          <w:i/>
          <w:iCs/>
          <w:sz w:val="24"/>
          <w:szCs w:val="24"/>
          <w:lang w:eastAsia="sv-SE"/>
        </w:rPr>
        <w:t>Young people with disabilities feel down more often than their peers</w:t>
      </w:r>
      <w:r w:rsidRPr="0007423A">
        <w:rPr>
          <w:rFonts w:ascii="Times New Roman" w:eastAsia="Times New Roman" w:hAnsi="Times New Roman" w:cs="Times New Roman"/>
          <w:sz w:val="24"/>
          <w:szCs w:val="24"/>
          <w:lang w:eastAsia="sv-SE"/>
        </w:rPr>
        <w:t xml:space="preserve">. </w:t>
      </w:r>
      <w:hyperlink r:id="rId42" w:tgtFrame="_new" w:history="1">
        <w:r w:rsidRPr="0007423A">
          <w:rPr>
            <w:rFonts w:ascii="Times New Roman" w:eastAsia="Times New Roman" w:hAnsi="Times New Roman" w:cs="Times New Roman"/>
            <w:color w:val="0000FF"/>
            <w:sz w:val="24"/>
            <w:szCs w:val="24"/>
            <w:u w:val="single"/>
            <w:lang w:eastAsia="sv-SE"/>
          </w:rPr>
          <w:t>https://www.scb.se/en/finding-statistics/statistics-by-subject-area/population-and-living-conditions/living-conditions/children-and-their-families/pong/statistical-news/children-and-their-families2/</w:t>
        </w:r>
      </w:hyperlink>
      <w:r w:rsidRPr="009A7C54">
        <w:rPr>
          <w:rFonts w:ascii="Times New Roman" w:eastAsia="Times New Roman" w:hAnsi="Times New Roman" w:cs="Times New Roman"/>
          <w:sz w:val="24"/>
          <w:szCs w:val="24"/>
          <w:lang w:eastAsia="sv-SE"/>
        </w:rPr>
        <w:t xml:space="preserve"> </w:t>
      </w:r>
    </w:p>
    <w:p w14:paraId="457ABC62"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07423A">
        <w:rPr>
          <w:rFonts w:ascii="Times New Roman" w:eastAsia="Times New Roman" w:hAnsi="Times New Roman" w:cs="Times New Roman"/>
          <w:sz w:val="24"/>
          <w:szCs w:val="24"/>
          <w:lang w:val="sv-SE" w:eastAsia="sv-SE"/>
        </w:rPr>
        <w:t xml:space="preserve">Stefánsdóttir, G. V., &amp; Björnsdóttir, K. (2016). </w:t>
      </w:r>
      <w:r w:rsidRPr="0007423A">
        <w:rPr>
          <w:rFonts w:ascii="Times New Roman" w:eastAsia="Times New Roman" w:hAnsi="Times New Roman" w:cs="Times New Roman"/>
          <w:sz w:val="24"/>
          <w:szCs w:val="24"/>
          <w:lang w:eastAsia="sv-SE"/>
        </w:rPr>
        <w:t xml:space="preserve">‘I am a college student’ postsecondary education for students with intellectual disabilities. </w:t>
      </w:r>
      <w:r w:rsidRPr="0007423A">
        <w:rPr>
          <w:rFonts w:ascii="Times New Roman" w:eastAsia="Times New Roman" w:hAnsi="Times New Roman" w:cs="Times New Roman"/>
          <w:i/>
          <w:iCs/>
          <w:sz w:val="24"/>
          <w:szCs w:val="24"/>
          <w:lang w:eastAsia="sv-SE"/>
        </w:rPr>
        <w:t>Scandinavian Journal of Disability Research: SJDR</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18</w:t>
      </w:r>
      <w:r w:rsidRPr="0007423A">
        <w:rPr>
          <w:rFonts w:ascii="Times New Roman" w:eastAsia="Times New Roman" w:hAnsi="Times New Roman" w:cs="Times New Roman"/>
          <w:sz w:val="24"/>
          <w:szCs w:val="24"/>
          <w:lang w:eastAsia="sv-SE"/>
        </w:rPr>
        <w:t xml:space="preserve">(4), 328–342. </w:t>
      </w:r>
      <w:hyperlink r:id="rId43" w:history="1">
        <w:r w:rsidRPr="0007423A">
          <w:rPr>
            <w:rStyle w:val="Hyperlnk"/>
            <w:rFonts w:ascii="Times New Roman" w:eastAsia="Times New Roman" w:hAnsi="Times New Roman" w:cs="Times New Roman"/>
            <w:sz w:val="24"/>
            <w:szCs w:val="24"/>
            <w:lang w:eastAsia="sv-SE"/>
          </w:rPr>
          <w:t>https://doi.org/10.1080/15017419.2015.1114019</w:t>
        </w:r>
      </w:hyperlink>
    </w:p>
    <w:p w14:paraId="1099D7D8" w14:textId="77777777" w:rsidR="000146FA" w:rsidRPr="009A7C54" w:rsidRDefault="000146FA" w:rsidP="000146FA">
      <w:pPr>
        <w:spacing w:after="0" w:line="276" w:lineRule="auto"/>
        <w:rPr>
          <w:rFonts w:ascii="Times New Roman" w:eastAsia="Times New Roman" w:hAnsi="Times New Roman" w:cs="Times New Roman"/>
          <w:sz w:val="24"/>
          <w:szCs w:val="24"/>
          <w:lang w:eastAsia="sv-SE"/>
        </w:rPr>
      </w:pPr>
    </w:p>
    <w:p w14:paraId="78FA3496" w14:textId="77777777" w:rsidR="000146FA" w:rsidRPr="00941D22" w:rsidRDefault="000146FA" w:rsidP="000146FA">
      <w:pPr>
        <w:spacing w:line="276" w:lineRule="auto"/>
        <w:rPr>
          <w:rFonts w:ascii="Times New Roman" w:hAnsi="Times New Roman" w:cs="Times New Roman"/>
          <w:sz w:val="24"/>
          <w:szCs w:val="24"/>
          <w:lang w:val="sv-SE"/>
        </w:rPr>
      </w:pPr>
      <w:r w:rsidRPr="0007423A">
        <w:rPr>
          <w:rFonts w:ascii="Times New Roman" w:hAnsi="Times New Roman" w:cs="Times New Roman"/>
          <w:i/>
          <w:iCs/>
          <w:sz w:val="24"/>
          <w:szCs w:val="24"/>
        </w:rPr>
        <w:t>Young people with disabilities feel down more often than their peers</w:t>
      </w:r>
      <w:r w:rsidRPr="0007423A">
        <w:rPr>
          <w:rFonts w:ascii="Times New Roman" w:hAnsi="Times New Roman" w:cs="Times New Roman"/>
          <w:sz w:val="24"/>
          <w:szCs w:val="24"/>
        </w:rPr>
        <w:t xml:space="preserve">. </w:t>
      </w:r>
      <w:r w:rsidRPr="0007423A">
        <w:rPr>
          <w:rFonts w:ascii="Times New Roman" w:hAnsi="Times New Roman" w:cs="Times New Roman"/>
          <w:sz w:val="24"/>
          <w:szCs w:val="24"/>
          <w:lang w:val="sv-SE"/>
        </w:rPr>
        <w:t xml:space="preserve">(2023). Statistikmyndigheten SCB. </w:t>
      </w:r>
      <w:hyperlink r:id="rId44" w:history="1">
        <w:r w:rsidRPr="0007423A">
          <w:rPr>
            <w:rStyle w:val="Hyperlnk"/>
            <w:rFonts w:ascii="Times New Roman" w:hAnsi="Times New Roman" w:cs="Times New Roman"/>
            <w:sz w:val="24"/>
            <w:szCs w:val="24"/>
            <w:lang w:val="sv-SE"/>
          </w:rPr>
          <w:t>https://www.scb.se/en/finding-statistics/statistics-by-subject-area/population-and-living-conditions/living-conditions/children-and-their-families/pong/statistical-news/children-and-their-families2/</w:t>
        </w:r>
      </w:hyperlink>
    </w:p>
    <w:p w14:paraId="31C04465" w14:textId="77777777" w:rsidR="000146FA" w:rsidRPr="000146FA" w:rsidRDefault="000146FA" w:rsidP="000146FA">
      <w:pPr>
        <w:spacing w:after="0" w:line="276" w:lineRule="auto"/>
        <w:rPr>
          <w:lang w:val="sv-SE"/>
        </w:rPr>
      </w:pPr>
    </w:p>
    <w:p w14:paraId="380CB1BB" w14:textId="77777777" w:rsidR="000146FA" w:rsidRPr="000146FA" w:rsidRDefault="000146FA" w:rsidP="000146FA">
      <w:pPr>
        <w:spacing w:after="0" w:line="276" w:lineRule="auto"/>
        <w:rPr>
          <w:rFonts w:ascii="Times New Roman" w:eastAsia="Times New Roman" w:hAnsi="Times New Roman" w:cs="Times New Roman"/>
          <w:sz w:val="24"/>
          <w:szCs w:val="24"/>
          <w:lang w:eastAsia="sv-SE"/>
        </w:rPr>
      </w:pPr>
      <w:r w:rsidRPr="00643476">
        <w:rPr>
          <w:rFonts w:ascii="Times New Roman" w:eastAsia="Times New Roman" w:hAnsi="Times New Roman" w:cs="Times New Roman"/>
          <w:sz w:val="24"/>
          <w:szCs w:val="24"/>
          <w:lang w:eastAsia="sv-SE"/>
        </w:rPr>
        <w:t xml:space="preserve">Valentini, L. (2011). [Rev. of </w:t>
      </w:r>
      <w:r w:rsidRPr="00643476">
        <w:rPr>
          <w:rFonts w:ascii="Times New Roman" w:eastAsia="Times New Roman" w:hAnsi="Times New Roman" w:cs="Times New Roman"/>
          <w:i/>
          <w:iCs/>
          <w:sz w:val="24"/>
          <w:szCs w:val="24"/>
          <w:lang w:eastAsia="sv-SE"/>
        </w:rPr>
        <w:t>Measuring Justice: Primary Goods and Capabilities</w:t>
      </w:r>
      <w:r w:rsidRPr="00643476">
        <w:rPr>
          <w:rFonts w:ascii="Times New Roman" w:eastAsia="Times New Roman" w:hAnsi="Times New Roman" w:cs="Times New Roman"/>
          <w:sz w:val="24"/>
          <w:szCs w:val="24"/>
          <w:lang w:eastAsia="sv-SE"/>
        </w:rPr>
        <w:t xml:space="preserve">]. </w:t>
      </w:r>
      <w:r w:rsidRPr="000146FA">
        <w:rPr>
          <w:rFonts w:ascii="Times New Roman" w:eastAsia="Times New Roman" w:hAnsi="Times New Roman" w:cs="Times New Roman"/>
          <w:i/>
          <w:iCs/>
          <w:sz w:val="24"/>
          <w:szCs w:val="24"/>
          <w:lang w:eastAsia="sv-SE"/>
        </w:rPr>
        <w:t>Ethics &amp; International Affairs</w:t>
      </w:r>
      <w:r w:rsidRPr="000146FA">
        <w:rPr>
          <w:rFonts w:ascii="Times New Roman" w:eastAsia="Times New Roman" w:hAnsi="Times New Roman" w:cs="Times New Roman"/>
          <w:sz w:val="24"/>
          <w:szCs w:val="24"/>
          <w:lang w:eastAsia="sv-SE"/>
        </w:rPr>
        <w:t xml:space="preserve">, </w:t>
      </w:r>
      <w:r w:rsidRPr="000146FA">
        <w:rPr>
          <w:rFonts w:ascii="Times New Roman" w:eastAsia="Times New Roman" w:hAnsi="Times New Roman" w:cs="Times New Roman"/>
          <w:i/>
          <w:iCs/>
          <w:sz w:val="24"/>
          <w:szCs w:val="24"/>
          <w:lang w:eastAsia="sv-SE"/>
        </w:rPr>
        <w:t>25</w:t>
      </w:r>
      <w:r w:rsidRPr="000146FA">
        <w:rPr>
          <w:rFonts w:ascii="Times New Roman" w:eastAsia="Times New Roman" w:hAnsi="Times New Roman" w:cs="Times New Roman"/>
          <w:sz w:val="24"/>
          <w:szCs w:val="24"/>
          <w:lang w:eastAsia="sv-SE"/>
        </w:rPr>
        <w:t xml:space="preserve">(1), 95. </w:t>
      </w:r>
      <w:hyperlink r:id="rId45" w:history="1">
        <w:r w:rsidRPr="000146FA">
          <w:rPr>
            <w:rStyle w:val="Hyperlnk"/>
            <w:rFonts w:ascii="Times New Roman" w:eastAsia="Times New Roman" w:hAnsi="Times New Roman" w:cs="Times New Roman"/>
            <w:sz w:val="24"/>
            <w:szCs w:val="24"/>
            <w:lang w:eastAsia="sv-SE"/>
          </w:rPr>
          <w:t>https://doi.org/10.1017/S0892679410000122</w:t>
        </w:r>
      </w:hyperlink>
    </w:p>
    <w:p w14:paraId="5A0B2102" w14:textId="77777777" w:rsidR="000146FA" w:rsidRPr="009E4A7F" w:rsidRDefault="000146FA" w:rsidP="000146FA">
      <w:pPr>
        <w:spacing w:after="0" w:line="276" w:lineRule="auto"/>
        <w:rPr>
          <w:rFonts w:ascii="Times New Roman" w:eastAsia="Times New Roman" w:hAnsi="Times New Roman" w:cs="Times New Roman"/>
          <w:sz w:val="24"/>
          <w:szCs w:val="24"/>
          <w:lang w:eastAsia="sv-SE"/>
        </w:rPr>
      </w:pPr>
    </w:p>
    <w:p w14:paraId="77FE2DE7" w14:textId="77777777" w:rsidR="000146FA" w:rsidRDefault="000146FA" w:rsidP="000146FA">
      <w:pPr>
        <w:spacing w:after="0" w:line="276" w:lineRule="auto"/>
      </w:pPr>
      <w:r w:rsidRPr="0007423A">
        <w:rPr>
          <w:rFonts w:ascii="Times New Roman" w:eastAsia="Times New Roman" w:hAnsi="Times New Roman" w:cs="Times New Roman"/>
          <w:sz w:val="24"/>
          <w:szCs w:val="24"/>
          <w:lang w:eastAsia="sv-SE"/>
        </w:rPr>
        <w:t xml:space="preserve">Wells, R. (2026). Unequal Access: Disability and Socioeconomic Inequality in College Enrollment. </w:t>
      </w:r>
      <w:r w:rsidRPr="0007423A">
        <w:rPr>
          <w:rFonts w:ascii="Times New Roman" w:eastAsia="Times New Roman" w:hAnsi="Times New Roman" w:cs="Times New Roman"/>
          <w:i/>
          <w:iCs/>
          <w:sz w:val="24"/>
          <w:szCs w:val="24"/>
          <w:lang w:eastAsia="sv-SE"/>
        </w:rPr>
        <w:t>Research in Higher Education</w:t>
      </w:r>
      <w:r w:rsidRPr="0007423A">
        <w:rPr>
          <w:rFonts w:ascii="Times New Roman" w:eastAsia="Times New Roman" w:hAnsi="Times New Roman" w:cs="Times New Roman"/>
          <w:sz w:val="24"/>
          <w:szCs w:val="24"/>
          <w:lang w:eastAsia="sv-SE"/>
        </w:rPr>
        <w:t xml:space="preserve">, </w:t>
      </w:r>
      <w:r w:rsidRPr="0007423A">
        <w:rPr>
          <w:rFonts w:ascii="Times New Roman" w:eastAsia="Times New Roman" w:hAnsi="Times New Roman" w:cs="Times New Roman"/>
          <w:i/>
          <w:iCs/>
          <w:sz w:val="24"/>
          <w:szCs w:val="24"/>
          <w:lang w:eastAsia="sv-SE"/>
        </w:rPr>
        <w:t>67</w:t>
      </w:r>
      <w:r w:rsidRPr="0007423A">
        <w:rPr>
          <w:rFonts w:ascii="Times New Roman" w:eastAsia="Times New Roman" w:hAnsi="Times New Roman" w:cs="Times New Roman"/>
          <w:sz w:val="24"/>
          <w:szCs w:val="24"/>
          <w:lang w:eastAsia="sv-SE"/>
        </w:rPr>
        <w:t xml:space="preserve">(2), Article 8. </w:t>
      </w:r>
      <w:hyperlink r:id="rId46" w:history="1">
        <w:r w:rsidRPr="0007423A">
          <w:rPr>
            <w:rStyle w:val="Hyperlnk"/>
            <w:rFonts w:ascii="Times New Roman" w:eastAsia="Times New Roman" w:hAnsi="Times New Roman" w:cs="Times New Roman"/>
            <w:sz w:val="24"/>
            <w:szCs w:val="24"/>
            <w:lang w:eastAsia="sv-SE"/>
          </w:rPr>
          <w:t>https://doi.org/10.1007/s11162-025-09878-y</w:t>
        </w:r>
      </w:hyperlink>
    </w:p>
    <w:p w14:paraId="6D33F180" w14:textId="77777777" w:rsidR="000146FA" w:rsidRDefault="000146FA" w:rsidP="000146FA">
      <w:pPr>
        <w:spacing w:after="0" w:line="276" w:lineRule="auto"/>
      </w:pPr>
    </w:p>
    <w:p w14:paraId="7CC49BA1" w14:textId="77777777" w:rsidR="000146FA" w:rsidRDefault="000146FA" w:rsidP="000146FA">
      <w:pPr>
        <w:spacing w:after="0" w:line="276" w:lineRule="auto"/>
        <w:rPr>
          <w:rFonts w:ascii="Times New Roman" w:eastAsia="Times New Roman" w:hAnsi="Times New Roman" w:cs="Times New Roman"/>
          <w:sz w:val="24"/>
          <w:szCs w:val="24"/>
          <w:lang w:eastAsia="sv-SE"/>
        </w:rPr>
      </w:pPr>
      <w:r w:rsidRPr="001C40B0">
        <w:rPr>
          <w:rFonts w:ascii="Times New Roman" w:eastAsia="Times New Roman" w:hAnsi="Times New Roman" w:cs="Times New Roman"/>
          <w:sz w:val="24"/>
          <w:szCs w:val="24"/>
          <w:lang w:eastAsia="sv-SE"/>
        </w:rPr>
        <w:lastRenderedPageBreak/>
        <w:t xml:space="preserve">Xu, Y., Chan, H.-Y., Chen, A., Chim, T.-Y., &amp; Liu, X. (2024). Aged and wheeled mobility in transit-oriented development: The capabilities approach. </w:t>
      </w:r>
      <w:r w:rsidRPr="001C40B0">
        <w:rPr>
          <w:rFonts w:ascii="Times New Roman" w:eastAsia="Times New Roman" w:hAnsi="Times New Roman" w:cs="Times New Roman"/>
          <w:i/>
          <w:iCs/>
          <w:sz w:val="24"/>
          <w:szCs w:val="24"/>
          <w:lang w:eastAsia="sv-SE"/>
        </w:rPr>
        <w:t>Transportation Research. Part D, Transport and Environment</w:t>
      </w:r>
      <w:r w:rsidRPr="001C40B0">
        <w:rPr>
          <w:rFonts w:ascii="Times New Roman" w:eastAsia="Times New Roman" w:hAnsi="Times New Roman" w:cs="Times New Roman"/>
          <w:sz w:val="24"/>
          <w:szCs w:val="24"/>
          <w:lang w:eastAsia="sv-SE"/>
        </w:rPr>
        <w:t xml:space="preserve">, </w:t>
      </w:r>
      <w:r w:rsidRPr="001C40B0">
        <w:rPr>
          <w:rFonts w:ascii="Times New Roman" w:eastAsia="Times New Roman" w:hAnsi="Times New Roman" w:cs="Times New Roman"/>
          <w:i/>
          <w:iCs/>
          <w:sz w:val="24"/>
          <w:szCs w:val="24"/>
          <w:lang w:eastAsia="sv-SE"/>
        </w:rPr>
        <w:t>127</w:t>
      </w:r>
      <w:r w:rsidRPr="001C40B0">
        <w:rPr>
          <w:rFonts w:ascii="Times New Roman" w:eastAsia="Times New Roman" w:hAnsi="Times New Roman" w:cs="Times New Roman"/>
          <w:sz w:val="24"/>
          <w:szCs w:val="24"/>
          <w:lang w:eastAsia="sv-SE"/>
        </w:rPr>
        <w:t xml:space="preserve">, Article 104058. </w:t>
      </w:r>
      <w:hyperlink r:id="rId47" w:history="1">
        <w:r w:rsidRPr="00EF1651">
          <w:rPr>
            <w:rStyle w:val="Hyperlnk"/>
            <w:rFonts w:ascii="Times New Roman" w:eastAsia="Times New Roman" w:hAnsi="Times New Roman" w:cs="Times New Roman"/>
            <w:sz w:val="24"/>
            <w:szCs w:val="24"/>
            <w:lang w:eastAsia="sv-SE"/>
          </w:rPr>
          <w:t>https://doi.org/10.1016/j.trd.2024.104058</w:t>
        </w:r>
      </w:hyperlink>
    </w:p>
    <w:p w14:paraId="1D93717E" w14:textId="77777777" w:rsidR="000146FA" w:rsidRPr="0088137A" w:rsidRDefault="000146FA" w:rsidP="000146FA">
      <w:pPr>
        <w:spacing w:after="0" w:line="276" w:lineRule="auto"/>
        <w:rPr>
          <w:rFonts w:ascii="Times New Roman" w:eastAsia="Times New Roman" w:hAnsi="Times New Roman" w:cs="Times New Roman"/>
          <w:sz w:val="24"/>
          <w:szCs w:val="24"/>
          <w:lang w:eastAsia="sv-SE"/>
        </w:rPr>
      </w:pPr>
    </w:p>
    <w:p w14:paraId="3C75A7F2" w14:textId="77777777" w:rsidR="000146FA" w:rsidRDefault="000146FA" w:rsidP="000146FA">
      <w:pPr>
        <w:spacing w:line="276" w:lineRule="auto"/>
        <w:rPr>
          <w:rFonts w:ascii="Times New Roman" w:hAnsi="Times New Roman" w:cs="Times New Roman"/>
          <w:sz w:val="24"/>
          <w:szCs w:val="24"/>
        </w:rPr>
      </w:pPr>
      <w:r w:rsidRPr="0007423A">
        <w:rPr>
          <w:rFonts w:ascii="Times New Roman" w:hAnsi="Times New Roman" w:cs="Times New Roman"/>
          <w:sz w:val="24"/>
          <w:szCs w:val="24"/>
        </w:rPr>
        <w:t xml:space="preserve">Yusup, M., Naufal, R. S., &amp; Hardini, M. (2019). Management of Utilizing Data Analysis and Hypothesis Testing in Improving the Quality of Research Reports. </w:t>
      </w:r>
      <w:r w:rsidRPr="0007423A">
        <w:rPr>
          <w:rFonts w:ascii="Times New Roman" w:hAnsi="Times New Roman" w:cs="Times New Roman"/>
          <w:i/>
          <w:iCs/>
          <w:sz w:val="24"/>
          <w:szCs w:val="24"/>
        </w:rPr>
        <w:t>Aptisi Transactions on Management (ATM)</w:t>
      </w:r>
      <w:r w:rsidRPr="0007423A">
        <w:rPr>
          <w:rFonts w:ascii="Times New Roman" w:hAnsi="Times New Roman" w:cs="Times New Roman"/>
          <w:sz w:val="24"/>
          <w:szCs w:val="24"/>
        </w:rPr>
        <w:t xml:space="preserve">, </w:t>
      </w:r>
      <w:r w:rsidRPr="0007423A">
        <w:rPr>
          <w:rFonts w:ascii="Times New Roman" w:hAnsi="Times New Roman" w:cs="Times New Roman"/>
          <w:i/>
          <w:iCs/>
          <w:sz w:val="24"/>
          <w:szCs w:val="24"/>
        </w:rPr>
        <w:t>2</w:t>
      </w:r>
      <w:r w:rsidRPr="0007423A">
        <w:rPr>
          <w:rFonts w:ascii="Times New Roman" w:hAnsi="Times New Roman" w:cs="Times New Roman"/>
          <w:sz w:val="24"/>
          <w:szCs w:val="24"/>
        </w:rPr>
        <w:t xml:space="preserve">(2), 159–167. </w:t>
      </w:r>
      <w:hyperlink r:id="rId48" w:history="1">
        <w:r w:rsidRPr="0007423A">
          <w:rPr>
            <w:rStyle w:val="Hyperlnk"/>
            <w:rFonts w:ascii="Times New Roman" w:hAnsi="Times New Roman" w:cs="Times New Roman"/>
            <w:sz w:val="24"/>
            <w:szCs w:val="24"/>
          </w:rPr>
          <w:t>https://doi.org/10.33050/atm.v2i2.789</w:t>
        </w:r>
      </w:hyperlink>
    </w:p>
    <w:p w14:paraId="08B8B919" w14:textId="77777777" w:rsidR="000146FA" w:rsidRPr="009B08C2" w:rsidRDefault="000146FA" w:rsidP="000146FA">
      <w:pPr>
        <w:spacing w:line="276" w:lineRule="auto"/>
        <w:rPr>
          <w:rFonts w:ascii="Times New Roman" w:hAnsi="Times New Roman" w:cs="Times New Roman"/>
          <w:sz w:val="24"/>
          <w:szCs w:val="24"/>
        </w:rPr>
      </w:pPr>
    </w:p>
    <w:p w14:paraId="31A1A0D1" w14:textId="77777777" w:rsidR="000146FA" w:rsidRDefault="000146FA" w:rsidP="000146FA">
      <w:pPr>
        <w:spacing w:line="276" w:lineRule="auto"/>
        <w:rPr>
          <w:rFonts w:ascii="Times New Roman" w:hAnsi="Times New Roman" w:cs="Times New Roman"/>
          <w:sz w:val="24"/>
          <w:szCs w:val="24"/>
        </w:rPr>
      </w:pPr>
    </w:p>
    <w:p w14:paraId="20A33643" w14:textId="77777777" w:rsidR="000146FA" w:rsidRPr="006B6329" w:rsidRDefault="000146FA" w:rsidP="000146FA">
      <w:pPr>
        <w:spacing w:line="276" w:lineRule="auto"/>
        <w:rPr>
          <w:rFonts w:ascii="Times New Roman" w:hAnsi="Times New Roman" w:cs="Times New Roman"/>
          <w:sz w:val="24"/>
          <w:szCs w:val="24"/>
        </w:rPr>
      </w:pPr>
    </w:p>
    <w:p w14:paraId="599E517C" w14:textId="77777777" w:rsidR="002C0211" w:rsidRDefault="002C0211" w:rsidP="008276AB">
      <w:pPr>
        <w:spacing w:after="0" w:line="360" w:lineRule="auto"/>
        <w:jc w:val="both"/>
        <w:rPr>
          <w:rFonts w:ascii="Times New Roman" w:eastAsia="Times New Roman" w:hAnsi="Times New Roman" w:cs="Times New Roman"/>
          <w:b/>
          <w:bCs/>
          <w:sz w:val="24"/>
          <w:szCs w:val="24"/>
          <w:lang w:eastAsia="sv-SE"/>
        </w:rPr>
      </w:pPr>
    </w:p>
    <w:p w14:paraId="421AE102"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024BF1C3"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62169102"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429F21D1"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7102A317"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286E475B"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03FAB6F2"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442DBED6"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6C688B02"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6994001F"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33ECB4E6"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529CBA89"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44AE2676"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57F99B40"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47BA34C4"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553DEBFA"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6C448541"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2529BD4C"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088E71E6"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2D0FAE7C" w14:textId="77777777" w:rsidR="000B3BEA" w:rsidRDefault="000B3BEA" w:rsidP="008276AB">
      <w:pPr>
        <w:spacing w:after="0" w:line="360" w:lineRule="auto"/>
        <w:jc w:val="both"/>
        <w:rPr>
          <w:rFonts w:ascii="Times New Roman" w:eastAsia="Times New Roman" w:hAnsi="Times New Roman" w:cs="Times New Roman"/>
          <w:b/>
          <w:bCs/>
          <w:sz w:val="24"/>
          <w:szCs w:val="24"/>
          <w:lang w:eastAsia="sv-SE"/>
        </w:rPr>
      </w:pPr>
    </w:p>
    <w:p w14:paraId="31FFEFE6"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08A0DDE4"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5E3039FF" w14:textId="77777777" w:rsidR="00A81D7F" w:rsidRDefault="00A81D7F" w:rsidP="008276AB">
      <w:pPr>
        <w:spacing w:after="0" w:line="360" w:lineRule="auto"/>
        <w:jc w:val="both"/>
        <w:rPr>
          <w:rFonts w:ascii="Times New Roman" w:eastAsia="Times New Roman" w:hAnsi="Times New Roman" w:cs="Times New Roman"/>
          <w:b/>
          <w:bCs/>
          <w:sz w:val="24"/>
          <w:szCs w:val="24"/>
          <w:lang w:eastAsia="sv-SE"/>
        </w:rPr>
      </w:pPr>
    </w:p>
    <w:p w14:paraId="0023DB97" w14:textId="7590ADCF" w:rsidR="00E0592A" w:rsidRPr="00AB24C2" w:rsidRDefault="00AB24C2" w:rsidP="008276AB">
      <w:pPr>
        <w:spacing w:after="0" w:line="360" w:lineRule="auto"/>
        <w:jc w:val="both"/>
        <w:rPr>
          <w:rFonts w:ascii="Times New Roman" w:eastAsia="Times New Roman" w:hAnsi="Times New Roman" w:cs="Times New Roman"/>
          <w:b/>
          <w:bCs/>
          <w:sz w:val="24"/>
          <w:szCs w:val="24"/>
          <w:lang w:eastAsia="sv-SE"/>
        </w:rPr>
      </w:pPr>
      <w:r w:rsidRPr="00AB24C2">
        <w:rPr>
          <w:rFonts w:ascii="Times New Roman" w:eastAsia="Times New Roman" w:hAnsi="Times New Roman" w:cs="Times New Roman"/>
          <w:b/>
          <w:bCs/>
          <w:sz w:val="24"/>
          <w:szCs w:val="24"/>
          <w:lang w:eastAsia="sv-SE"/>
        </w:rPr>
        <w:lastRenderedPageBreak/>
        <w:t xml:space="preserve">Appendix A: </w:t>
      </w:r>
      <w:r w:rsidRPr="002C0211">
        <w:rPr>
          <w:rFonts w:ascii="Times New Roman" w:eastAsia="Times New Roman" w:hAnsi="Times New Roman" w:cs="Times New Roman"/>
          <w:b/>
          <w:bCs/>
          <w:sz w:val="24"/>
          <w:szCs w:val="24"/>
          <w:lang w:eastAsia="sv-SE"/>
        </w:rPr>
        <w:t>Cleaned Analytical Dataset</w:t>
      </w:r>
    </w:p>
    <w:p w14:paraId="183B144E" w14:textId="7B2490AA" w:rsidR="00A81D7F" w:rsidRPr="008276AB" w:rsidRDefault="008276AB" w:rsidP="008276AB">
      <w:pPr>
        <w:spacing w:after="0" w:line="360" w:lineRule="auto"/>
        <w:jc w:val="both"/>
        <w:rPr>
          <w:rFonts w:ascii="Times New Roman" w:eastAsia="Times New Roman" w:hAnsi="Times New Roman" w:cs="Times New Roman"/>
          <w:sz w:val="24"/>
          <w:szCs w:val="24"/>
          <w:lang w:eastAsia="sv-SE"/>
        </w:rPr>
      </w:pPr>
      <w:r w:rsidRPr="008276AB">
        <w:rPr>
          <w:rFonts w:ascii="Times New Roman" w:eastAsia="Times New Roman" w:hAnsi="Times New Roman" w:cs="Times New Roman"/>
          <w:sz w:val="24"/>
          <w:szCs w:val="24"/>
          <w:lang w:eastAsia="sv-SE"/>
        </w:rPr>
        <w:t>The dataset presented in this appendix represents the cleaned analytical dataset used for the statistical analyses. Observations containing non-numerical entries or falling outside the scope of the research questions were excluded during data preparation.</w:t>
      </w:r>
    </w:p>
    <w:p w14:paraId="56D07AA6" w14:textId="02C2154C" w:rsidR="00A81D7F" w:rsidRDefault="00A81D7F" w:rsidP="00334E45">
      <w:r w:rsidRPr="00A81D7F">
        <w:rPr>
          <w:noProof/>
        </w:rPr>
        <w:drawing>
          <wp:inline distT="0" distB="0" distL="0" distR="0" wp14:anchorId="74942A10" wp14:editId="568EA343">
            <wp:extent cx="6680932" cy="7612641"/>
            <wp:effectExtent l="0" t="0" r="5715" b="7620"/>
            <wp:docPr id="1923450821"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680932" cy="7612641"/>
                    </a:xfrm>
                    <a:prstGeom prst="rect">
                      <a:avLst/>
                    </a:prstGeom>
                    <a:noFill/>
                    <a:ln>
                      <a:noFill/>
                    </a:ln>
                  </pic:spPr>
                </pic:pic>
              </a:graphicData>
            </a:graphic>
          </wp:inline>
        </w:drawing>
      </w:r>
    </w:p>
    <w:sectPr w:rsidR="00A81D7F">
      <w:footerReference w:type="default" r:id="rId5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5283D" w14:textId="77777777" w:rsidR="00054153" w:rsidRDefault="00054153" w:rsidP="007F2454">
      <w:pPr>
        <w:spacing w:after="0" w:line="240" w:lineRule="auto"/>
      </w:pPr>
      <w:r>
        <w:separator/>
      </w:r>
    </w:p>
  </w:endnote>
  <w:endnote w:type="continuationSeparator" w:id="0">
    <w:p w14:paraId="7F807773" w14:textId="77777777" w:rsidR="00054153" w:rsidRDefault="00054153" w:rsidP="007F2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177166"/>
      <w:docPartObj>
        <w:docPartGallery w:val="Page Numbers (Bottom of Page)"/>
        <w:docPartUnique/>
      </w:docPartObj>
    </w:sdtPr>
    <w:sdtContent>
      <w:p w14:paraId="541390D5" w14:textId="13803DAF" w:rsidR="0090777A" w:rsidRDefault="0090777A">
        <w:pPr>
          <w:pStyle w:val="Sidfot"/>
          <w:jc w:val="right"/>
        </w:pPr>
        <w:r>
          <w:fldChar w:fldCharType="begin"/>
        </w:r>
        <w:r>
          <w:instrText>PAGE   \* MERGEFORMAT</w:instrText>
        </w:r>
        <w:r>
          <w:fldChar w:fldCharType="separate"/>
        </w:r>
        <w:r>
          <w:rPr>
            <w:lang w:val="sv-SE"/>
          </w:rPr>
          <w:t>2</w:t>
        </w:r>
        <w:r>
          <w:fldChar w:fldCharType="end"/>
        </w:r>
      </w:p>
    </w:sdtContent>
  </w:sdt>
  <w:p w14:paraId="33416E60" w14:textId="77777777" w:rsidR="0090777A" w:rsidRDefault="0090777A">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B424C" w14:textId="77777777" w:rsidR="00054153" w:rsidRDefault="00054153" w:rsidP="007F2454">
      <w:pPr>
        <w:spacing w:after="0" w:line="240" w:lineRule="auto"/>
      </w:pPr>
      <w:r>
        <w:separator/>
      </w:r>
    </w:p>
  </w:footnote>
  <w:footnote w:type="continuationSeparator" w:id="0">
    <w:p w14:paraId="6E38CA50" w14:textId="77777777" w:rsidR="00054153" w:rsidRDefault="00054153" w:rsidP="007F2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84CEE"/>
    <w:multiLevelType w:val="multilevel"/>
    <w:tmpl w:val="00BED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7F41F0"/>
    <w:multiLevelType w:val="hybridMultilevel"/>
    <w:tmpl w:val="9CD6409C"/>
    <w:lvl w:ilvl="0" w:tplc="041D0001">
      <w:start w:val="1"/>
      <w:numFmt w:val="bullet"/>
      <w:lvlText w:val=""/>
      <w:lvlJc w:val="left"/>
      <w:pPr>
        <w:ind w:left="1800" w:hanging="360"/>
      </w:pPr>
      <w:rPr>
        <w:rFonts w:ascii="Symbol" w:hAnsi="Symbol" w:hint="default"/>
      </w:rPr>
    </w:lvl>
    <w:lvl w:ilvl="1" w:tplc="041D0003" w:tentative="1">
      <w:start w:val="1"/>
      <w:numFmt w:val="bullet"/>
      <w:lvlText w:val="o"/>
      <w:lvlJc w:val="left"/>
      <w:pPr>
        <w:ind w:left="2520" w:hanging="360"/>
      </w:pPr>
      <w:rPr>
        <w:rFonts w:ascii="Courier New" w:hAnsi="Courier New" w:cs="Courier New" w:hint="default"/>
      </w:rPr>
    </w:lvl>
    <w:lvl w:ilvl="2" w:tplc="041D0005" w:tentative="1">
      <w:start w:val="1"/>
      <w:numFmt w:val="bullet"/>
      <w:lvlText w:val=""/>
      <w:lvlJc w:val="left"/>
      <w:pPr>
        <w:ind w:left="3240" w:hanging="360"/>
      </w:pPr>
      <w:rPr>
        <w:rFonts w:ascii="Wingdings" w:hAnsi="Wingdings" w:hint="default"/>
      </w:rPr>
    </w:lvl>
    <w:lvl w:ilvl="3" w:tplc="041D0001" w:tentative="1">
      <w:start w:val="1"/>
      <w:numFmt w:val="bullet"/>
      <w:lvlText w:val=""/>
      <w:lvlJc w:val="left"/>
      <w:pPr>
        <w:ind w:left="3960" w:hanging="360"/>
      </w:pPr>
      <w:rPr>
        <w:rFonts w:ascii="Symbol" w:hAnsi="Symbol" w:hint="default"/>
      </w:rPr>
    </w:lvl>
    <w:lvl w:ilvl="4" w:tplc="041D0003" w:tentative="1">
      <w:start w:val="1"/>
      <w:numFmt w:val="bullet"/>
      <w:lvlText w:val="o"/>
      <w:lvlJc w:val="left"/>
      <w:pPr>
        <w:ind w:left="4680" w:hanging="360"/>
      </w:pPr>
      <w:rPr>
        <w:rFonts w:ascii="Courier New" w:hAnsi="Courier New" w:cs="Courier New" w:hint="default"/>
      </w:rPr>
    </w:lvl>
    <w:lvl w:ilvl="5" w:tplc="041D0005" w:tentative="1">
      <w:start w:val="1"/>
      <w:numFmt w:val="bullet"/>
      <w:lvlText w:val=""/>
      <w:lvlJc w:val="left"/>
      <w:pPr>
        <w:ind w:left="5400" w:hanging="360"/>
      </w:pPr>
      <w:rPr>
        <w:rFonts w:ascii="Wingdings" w:hAnsi="Wingdings" w:hint="default"/>
      </w:rPr>
    </w:lvl>
    <w:lvl w:ilvl="6" w:tplc="041D0001" w:tentative="1">
      <w:start w:val="1"/>
      <w:numFmt w:val="bullet"/>
      <w:lvlText w:val=""/>
      <w:lvlJc w:val="left"/>
      <w:pPr>
        <w:ind w:left="6120" w:hanging="360"/>
      </w:pPr>
      <w:rPr>
        <w:rFonts w:ascii="Symbol" w:hAnsi="Symbol" w:hint="default"/>
      </w:rPr>
    </w:lvl>
    <w:lvl w:ilvl="7" w:tplc="041D0003" w:tentative="1">
      <w:start w:val="1"/>
      <w:numFmt w:val="bullet"/>
      <w:lvlText w:val="o"/>
      <w:lvlJc w:val="left"/>
      <w:pPr>
        <w:ind w:left="6840" w:hanging="360"/>
      </w:pPr>
      <w:rPr>
        <w:rFonts w:ascii="Courier New" w:hAnsi="Courier New" w:cs="Courier New" w:hint="default"/>
      </w:rPr>
    </w:lvl>
    <w:lvl w:ilvl="8" w:tplc="041D0005" w:tentative="1">
      <w:start w:val="1"/>
      <w:numFmt w:val="bullet"/>
      <w:lvlText w:val=""/>
      <w:lvlJc w:val="left"/>
      <w:pPr>
        <w:ind w:left="7560" w:hanging="360"/>
      </w:pPr>
      <w:rPr>
        <w:rFonts w:ascii="Wingdings" w:hAnsi="Wingdings" w:hint="default"/>
      </w:rPr>
    </w:lvl>
  </w:abstractNum>
  <w:abstractNum w:abstractNumId="2" w15:restartNumberingAfterBreak="0">
    <w:nsid w:val="3FBC462E"/>
    <w:multiLevelType w:val="hybridMultilevel"/>
    <w:tmpl w:val="24CC28C2"/>
    <w:lvl w:ilvl="0" w:tplc="FFFFFFFF">
      <w:start w:val="1"/>
      <w:numFmt w:val="decimal"/>
      <w:lvlText w:val="%1."/>
      <w:lvlJc w:val="left"/>
      <w:pPr>
        <w:ind w:left="720" w:hanging="360"/>
      </w:p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 w15:restartNumberingAfterBreak="0">
    <w:nsid w:val="4161678C"/>
    <w:multiLevelType w:val="multilevel"/>
    <w:tmpl w:val="6A20B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7617F3"/>
    <w:multiLevelType w:val="hybridMultilevel"/>
    <w:tmpl w:val="F21833FC"/>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 w15:restartNumberingAfterBreak="0">
    <w:nsid w:val="71A0676C"/>
    <w:multiLevelType w:val="hybridMultilevel"/>
    <w:tmpl w:val="B07ACA30"/>
    <w:lvl w:ilvl="0" w:tplc="041D0001">
      <w:start w:val="1"/>
      <w:numFmt w:val="bullet"/>
      <w:lvlText w:val=""/>
      <w:lvlJc w:val="left"/>
      <w:pPr>
        <w:ind w:left="1800" w:hanging="360"/>
      </w:pPr>
      <w:rPr>
        <w:rFonts w:ascii="Symbol" w:hAnsi="Symbol" w:hint="default"/>
      </w:rPr>
    </w:lvl>
    <w:lvl w:ilvl="1" w:tplc="041D0003" w:tentative="1">
      <w:start w:val="1"/>
      <w:numFmt w:val="bullet"/>
      <w:lvlText w:val="o"/>
      <w:lvlJc w:val="left"/>
      <w:pPr>
        <w:ind w:left="2520" w:hanging="360"/>
      </w:pPr>
      <w:rPr>
        <w:rFonts w:ascii="Courier New" w:hAnsi="Courier New" w:cs="Courier New" w:hint="default"/>
      </w:rPr>
    </w:lvl>
    <w:lvl w:ilvl="2" w:tplc="041D0005" w:tentative="1">
      <w:start w:val="1"/>
      <w:numFmt w:val="bullet"/>
      <w:lvlText w:val=""/>
      <w:lvlJc w:val="left"/>
      <w:pPr>
        <w:ind w:left="3240" w:hanging="360"/>
      </w:pPr>
      <w:rPr>
        <w:rFonts w:ascii="Wingdings" w:hAnsi="Wingdings" w:hint="default"/>
      </w:rPr>
    </w:lvl>
    <w:lvl w:ilvl="3" w:tplc="041D0001" w:tentative="1">
      <w:start w:val="1"/>
      <w:numFmt w:val="bullet"/>
      <w:lvlText w:val=""/>
      <w:lvlJc w:val="left"/>
      <w:pPr>
        <w:ind w:left="3960" w:hanging="360"/>
      </w:pPr>
      <w:rPr>
        <w:rFonts w:ascii="Symbol" w:hAnsi="Symbol" w:hint="default"/>
      </w:rPr>
    </w:lvl>
    <w:lvl w:ilvl="4" w:tplc="041D0003" w:tentative="1">
      <w:start w:val="1"/>
      <w:numFmt w:val="bullet"/>
      <w:lvlText w:val="o"/>
      <w:lvlJc w:val="left"/>
      <w:pPr>
        <w:ind w:left="4680" w:hanging="360"/>
      </w:pPr>
      <w:rPr>
        <w:rFonts w:ascii="Courier New" w:hAnsi="Courier New" w:cs="Courier New" w:hint="default"/>
      </w:rPr>
    </w:lvl>
    <w:lvl w:ilvl="5" w:tplc="041D0005" w:tentative="1">
      <w:start w:val="1"/>
      <w:numFmt w:val="bullet"/>
      <w:lvlText w:val=""/>
      <w:lvlJc w:val="left"/>
      <w:pPr>
        <w:ind w:left="5400" w:hanging="360"/>
      </w:pPr>
      <w:rPr>
        <w:rFonts w:ascii="Wingdings" w:hAnsi="Wingdings" w:hint="default"/>
      </w:rPr>
    </w:lvl>
    <w:lvl w:ilvl="6" w:tplc="041D0001" w:tentative="1">
      <w:start w:val="1"/>
      <w:numFmt w:val="bullet"/>
      <w:lvlText w:val=""/>
      <w:lvlJc w:val="left"/>
      <w:pPr>
        <w:ind w:left="6120" w:hanging="360"/>
      </w:pPr>
      <w:rPr>
        <w:rFonts w:ascii="Symbol" w:hAnsi="Symbol" w:hint="default"/>
      </w:rPr>
    </w:lvl>
    <w:lvl w:ilvl="7" w:tplc="041D0003" w:tentative="1">
      <w:start w:val="1"/>
      <w:numFmt w:val="bullet"/>
      <w:lvlText w:val="o"/>
      <w:lvlJc w:val="left"/>
      <w:pPr>
        <w:ind w:left="6840" w:hanging="360"/>
      </w:pPr>
      <w:rPr>
        <w:rFonts w:ascii="Courier New" w:hAnsi="Courier New" w:cs="Courier New" w:hint="default"/>
      </w:rPr>
    </w:lvl>
    <w:lvl w:ilvl="8" w:tplc="041D0005" w:tentative="1">
      <w:start w:val="1"/>
      <w:numFmt w:val="bullet"/>
      <w:lvlText w:val=""/>
      <w:lvlJc w:val="left"/>
      <w:pPr>
        <w:ind w:left="7560" w:hanging="360"/>
      </w:pPr>
      <w:rPr>
        <w:rFonts w:ascii="Wingdings" w:hAnsi="Wingdings" w:hint="default"/>
      </w:rPr>
    </w:lvl>
  </w:abstractNum>
  <w:abstractNum w:abstractNumId="6" w15:restartNumberingAfterBreak="0">
    <w:nsid w:val="73182455"/>
    <w:multiLevelType w:val="hybridMultilevel"/>
    <w:tmpl w:val="F7EA82B8"/>
    <w:lvl w:ilvl="0" w:tplc="041D0001">
      <w:start w:val="1"/>
      <w:numFmt w:val="bullet"/>
      <w:lvlText w:val=""/>
      <w:lvlJc w:val="left"/>
      <w:pPr>
        <w:ind w:left="1800" w:hanging="360"/>
      </w:pPr>
      <w:rPr>
        <w:rFonts w:ascii="Symbol" w:hAnsi="Symbol" w:hint="default"/>
      </w:rPr>
    </w:lvl>
    <w:lvl w:ilvl="1" w:tplc="041D0003" w:tentative="1">
      <w:start w:val="1"/>
      <w:numFmt w:val="bullet"/>
      <w:lvlText w:val="o"/>
      <w:lvlJc w:val="left"/>
      <w:pPr>
        <w:ind w:left="2520" w:hanging="360"/>
      </w:pPr>
      <w:rPr>
        <w:rFonts w:ascii="Courier New" w:hAnsi="Courier New" w:cs="Courier New" w:hint="default"/>
      </w:rPr>
    </w:lvl>
    <w:lvl w:ilvl="2" w:tplc="041D0005" w:tentative="1">
      <w:start w:val="1"/>
      <w:numFmt w:val="bullet"/>
      <w:lvlText w:val=""/>
      <w:lvlJc w:val="left"/>
      <w:pPr>
        <w:ind w:left="3240" w:hanging="360"/>
      </w:pPr>
      <w:rPr>
        <w:rFonts w:ascii="Wingdings" w:hAnsi="Wingdings" w:hint="default"/>
      </w:rPr>
    </w:lvl>
    <w:lvl w:ilvl="3" w:tplc="041D0001" w:tentative="1">
      <w:start w:val="1"/>
      <w:numFmt w:val="bullet"/>
      <w:lvlText w:val=""/>
      <w:lvlJc w:val="left"/>
      <w:pPr>
        <w:ind w:left="3960" w:hanging="360"/>
      </w:pPr>
      <w:rPr>
        <w:rFonts w:ascii="Symbol" w:hAnsi="Symbol" w:hint="default"/>
      </w:rPr>
    </w:lvl>
    <w:lvl w:ilvl="4" w:tplc="041D0003" w:tentative="1">
      <w:start w:val="1"/>
      <w:numFmt w:val="bullet"/>
      <w:lvlText w:val="o"/>
      <w:lvlJc w:val="left"/>
      <w:pPr>
        <w:ind w:left="4680" w:hanging="360"/>
      </w:pPr>
      <w:rPr>
        <w:rFonts w:ascii="Courier New" w:hAnsi="Courier New" w:cs="Courier New" w:hint="default"/>
      </w:rPr>
    </w:lvl>
    <w:lvl w:ilvl="5" w:tplc="041D0005" w:tentative="1">
      <w:start w:val="1"/>
      <w:numFmt w:val="bullet"/>
      <w:lvlText w:val=""/>
      <w:lvlJc w:val="left"/>
      <w:pPr>
        <w:ind w:left="5400" w:hanging="360"/>
      </w:pPr>
      <w:rPr>
        <w:rFonts w:ascii="Wingdings" w:hAnsi="Wingdings" w:hint="default"/>
      </w:rPr>
    </w:lvl>
    <w:lvl w:ilvl="6" w:tplc="041D0001" w:tentative="1">
      <w:start w:val="1"/>
      <w:numFmt w:val="bullet"/>
      <w:lvlText w:val=""/>
      <w:lvlJc w:val="left"/>
      <w:pPr>
        <w:ind w:left="6120" w:hanging="360"/>
      </w:pPr>
      <w:rPr>
        <w:rFonts w:ascii="Symbol" w:hAnsi="Symbol" w:hint="default"/>
      </w:rPr>
    </w:lvl>
    <w:lvl w:ilvl="7" w:tplc="041D0003" w:tentative="1">
      <w:start w:val="1"/>
      <w:numFmt w:val="bullet"/>
      <w:lvlText w:val="o"/>
      <w:lvlJc w:val="left"/>
      <w:pPr>
        <w:ind w:left="6840" w:hanging="360"/>
      </w:pPr>
      <w:rPr>
        <w:rFonts w:ascii="Courier New" w:hAnsi="Courier New" w:cs="Courier New" w:hint="default"/>
      </w:rPr>
    </w:lvl>
    <w:lvl w:ilvl="8" w:tplc="041D0005" w:tentative="1">
      <w:start w:val="1"/>
      <w:numFmt w:val="bullet"/>
      <w:lvlText w:val=""/>
      <w:lvlJc w:val="left"/>
      <w:pPr>
        <w:ind w:left="7560" w:hanging="360"/>
      </w:pPr>
      <w:rPr>
        <w:rFonts w:ascii="Wingdings" w:hAnsi="Wingdings" w:hint="default"/>
      </w:rPr>
    </w:lvl>
  </w:abstractNum>
  <w:num w:numId="1" w16cid:durableId="1114061527">
    <w:abstractNumId w:val="1"/>
  </w:num>
  <w:num w:numId="2" w16cid:durableId="2131971793">
    <w:abstractNumId w:val="5"/>
  </w:num>
  <w:num w:numId="3" w16cid:durableId="1226915466">
    <w:abstractNumId w:val="6"/>
  </w:num>
  <w:num w:numId="4" w16cid:durableId="804155625">
    <w:abstractNumId w:val="0"/>
  </w:num>
  <w:num w:numId="5" w16cid:durableId="550192140">
    <w:abstractNumId w:val="2"/>
  </w:num>
  <w:num w:numId="6" w16cid:durableId="1245064090">
    <w:abstractNumId w:val="3"/>
  </w:num>
  <w:num w:numId="7" w16cid:durableId="21092730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1304"/>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96"/>
    <w:rsid w:val="00000362"/>
    <w:rsid w:val="00000B11"/>
    <w:rsid w:val="00000DA2"/>
    <w:rsid w:val="000024CA"/>
    <w:rsid w:val="00003D66"/>
    <w:rsid w:val="0000424A"/>
    <w:rsid w:val="000048CE"/>
    <w:rsid w:val="0000797D"/>
    <w:rsid w:val="0000798D"/>
    <w:rsid w:val="00007C54"/>
    <w:rsid w:val="00010296"/>
    <w:rsid w:val="000104A1"/>
    <w:rsid w:val="000121B5"/>
    <w:rsid w:val="00012341"/>
    <w:rsid w:val="00012CBA"/>
    <w:rsid w:val="00012F0E"/>
    <w:rsid w:val="000146FA"/>
    <w:rsid w:val="00014923"/>
    <w:rsid w:val="00014E27"/>
    <w:rsid w:val="0001584A"/>
    <w:rsid w:val="0001703F"/>
    <w:rsid w:val="00017555"/>
    <w:rsid w:val="0001760D"/>
    <w:rsid w:val="00020158"/>
    <w:rsid w:val="00021608"/>
    <w:rsid w:val="000223D4"/>
    <w:rsid w:val="00022CAD"/>
    <w:rsid w:val="0002336C"/>
    <w:rsid w:val="00025D50"/>
    <w:rsid w:val="00026956"/>
    <w:rsid w:val="000276C9"/>
    <w:rsid w:val="000303AB"/>
    <w:rsid w:val="000315C6"/>
    <w:rsid w:val="00031A2E"/>
    <w:rsid w:val="00033D63"/>
    <w:rsid w:val="00040A6B"/>
    <w:rsid w:val="00041406"/>
    <w:rsid w:val="000430F2"/>
    <w:rsid w:val="000434C9"/>
    <w:rsid w:val="00045457"/>
    <w:rsid w:val="00045F9A"/>
    <w:rsid w:val="0004620B"/>
    <w:rsid w:val="00046894"/>
    <w:rsid w:val="00050EA4"/>
    <w:rsid w:val="00054153"/>
    <w:rsid w:val="000542D1"/>
    <w:rsid w:val="0005510C"/>
    <w:rsid w:val="00057A41"/>
    <w:rsid w:val="00057BF4"/>
    <w:rsid w:val="00057EF6"/>
    <w:rsid w:val="000602C3"/>
    <w:rsid w:val="00060EF5"/>
    <w:rsid w:val="000610A4"/>
    <w:rsid w:val="000633B3"/>
    <w:rsid w:val="0006354B"/>
    <w:rsid w:val="0006372F"/>
    <w:rsid w:val="00063BF8"/>
    <w:rsid w:val="0006422F"/>
    <w:rsid w:val="000652C0"/>
    <w:rsid w:val="00065788"/>
    <w:rsid w:val="00065D8E"/>
    <w:rsid w:val="0006627E"/>
    <w:rsid w:val="00066537"/>
    <w:rsid w:val="000678B2"/>
    <w:rsid w:val="00067BC1"/>
    <w:rsid w:val="00067E8D"/>
    <w:rsid w:val="00073679"/>
    <w:rsid w:val="00073AE0"/>
    <w:rsid w:val="00073D83"/>
    <w:rsid w:val="00074050"/>
    <w:rsid w:val="00074198"/>
    <w:rsid w:val="0007423A"/>
    <w:rsid w:val="000744CB"/>
    <w:rsid w:val="0007512D"/>
    <w:rsid w:val="00075586"/>
    <w:rsid w:val="000762D2"/>
    <w:rsid w:val="0007642E"/>
    <w:rsid w:val="000764AC"/>
    <w:rsid w:val="00077A74"/>
    <w:rsid w:val="00077B69"/>
    <w:rsid w:val="000801F7"/>
    <w:rsid w:val="00080C17"/>
    <w:rsid w:val="00081915"/>
    <w:rsid w:val="00082158"/>
    <w:rsid w:val="00082F72"/>
    <w:rsid w:val="00084BB8"/>
    <w:rsid w:val="00085AAB"/>
    <w:rsid w:val="00085C94"/>
    <w:rsid w:val="00086D6C"/>
    <w:rsid w:val="00087CC5"/>
    <w:rsid w:val="00087F11"/>
    <w:rsid w:val="00091FC3"/>
    <w:rsid w:val="00093ED5"/>
    <w:rsid w:val="000949E6"/>
    <w:rsid w:val="00095CF3"/>
    <w:rsid w:val="000966E7"/>
    <w:rsid w:val="00096A23"/>
    <w:rsid w:val="000973BF"/>
    <w:rsid w:val="0009776F"/>
    <w:rsid w:val="00097E2F"/>
    <w:rsid w:val="000A05CD"/>
    <w:rsid w:val="000A239B"/>
    <w:rsid w:val="000A2D98"/>
    <w:rsid w:val="000A37EC"/>
    <w:rsid w:val="000A5B6D"/>
    <w:rsid w:val="000A5E12"/>
    <w:rsid w:val="000A6028"/>
    <w:rsid w:val="000A6678"/>
    <w:rsid w:val="000A6F02"/>
    <w:rsid w:val="000B0499"/>
    <w:rsid w:val="000B1200"/>
    <w:rsid w:val="000B2051"/>
    <w:rsid w:val="000B219A"/>
    <w:rsid w:val="000B2353"/>
    <w:rsid w:val="000B3BEA"/>
    <w:rsid w:val="000B4EB9"/>
    <w:rsid w:val="000B53E0"/>
    <w:rsid w:val="000B5522"/>
    <w:rsid w:val="000B555D"/>
    <w:rsid w:val="000B568A"/>
    <w:rsid w:val="000B638A"/>
    <w:rsid w:val="000B7B5D"/>
    <w:rsid w:val="000C0EA6"/>
    <w:rsid w:val="000C124D"/>
    <w:rsid w:val="000C27EA"/>
    <w:rsid w:val="000C3433"/>
    <w:rsid w:val="000C3BDA"/>
    <w:rsid w:val="000C3F5C"/>
    <w:rsid w:val="000C6398"/>
    <w:rsid w:val="000C6724"/>
    <w:rsid w:val="000C67E3"/>
    <w:rsid w:val="000C6C00"/>
    <w:rsid w:val="000C6EDC"/>
    <w:rsid w:val="000D27AA"/>
    <w:rsid w:val="000D3573"/>
    <w:rsid w:val="000D4253"/>
    <w:rsid w:val="000D4D05"/>
    <w:rsid w:val="000D5703"/>
    <w:rsid w:val="000D59F6"/>
    <w:rsid w:val="000D5DF1"/>
    <w:rsid w:val="000E05D6"/>
    <w:rsid w:val="000E0B27"/>
    <w:rsid w:val="000E235D"/>
    <w:rsid w:val="000E299C"/>
    <w:rsid w:val="000E3237"/>
    <w:rsid w:val="000E3A33"/>
    <w:rsid w:val="000E3DFB"/>
    <w:rsid w:val="000E3E3D"/>
    <w:rsid w:val="000E542B"/>
    <w:rsid w:val="000E634B"/>
    <w:rsid w:val="000E6C2A"/>
    <w:rsid w:val="000E7B27"/>
    <w:rsid w:val="000F28A3"/>
    <w:rsid w:val="000F2E12"/>
    <w:rsid w:val="000F498B"/>
    <w:rsid w:val="000F4DB4"/>
    <w:rsid w:val="000F4ED7"/>
    <w:rsid w:val="000F503D"/>
    <w:rsid w:val="000F6077"/>
    <w:rsid w:val="00101BD8"/>
    <w:rsid w:val="00103C5C"/>
    <w:rsid w:val="001045FC"/>
    <w:rsid w:val="0010487A"/>
    <w:rsid w:val="00104D58"/>
    <w:rsid w:val="00107034"/>
    <w:rsid w:val="001105A6"/>
    <w:rsid w:val="0011085C"/>
    <w:rsid w:val="00111B55"/>
    <w:rsid w:val="00111D2E"/>
    <w:rsid w:val="001137D0"/>
    <w:rsid w:val="00113EAD"/>
    <w:rsid w:val="001141B6"/>
    <w:rsid w:val="00114AF4"/>
    <w:rsid w:val="00116399"/>
    <w:rsid w:val="001169E7"/>
    <w:rsid w:val="0011704E"/>
    <w:rsid w:val="001178A9"/>
    <w:rsid w:val="00117CEA"/>
    <w:rsid w:val="00117D19"/>
    <w:rsid w:val="00121177"/>
    <w:rsid w:val="001212F6"/>
    <w:rsid w:val="001214AE"/>
    <w:rsid w:val="001220A6"/>
    <w:rsid w:val="001225D2"/>
    <w:rsid w:val="001245ED"/>
    <w:rsid w:val="00124679"/>
    <w:rsid w:val="00125F9A"/>
    <w:rsid w:val="0012798E"/>
    <w:rsid w:val="001319F1"/>
    <w:rsid w:val="00133AA3"/>
    <w:rsid w:val="00133DF3"/>
    <w:rsid w:val="001349B5"/>
    <w:rsid w:val="00134A81"/>
    <w:rsid w:val="00134CD1"/>
    <w:rsid w:val="00137E7A"/>
    <w:rsid w:val="00140642"/>
    <w:rsid w:val="00141972"/>
    <w:rsid w:val="001462E7"/>
    <w:rsid w:val="0014782E"/>
    <w:rsid w:val="00147A1A"/>
    <w:rsid w:val="001500F8"/>
    <w:rsid w:val="00150328"/>
    <w:rsid w:val="00150567"/>
    <w:rsid w:val="001506E7"/>
    <w:rsid w:val="00150D54"/>
    <w:rsid w:val="00151C69"/>
    <w:rsid w:val="00152FD5"/>
    <w:rsid w:val="001536C4"/>
    <w:rsid w:val="0015391E"/>
    <w:rsid w:val="00154106"/>
    <w:rsid w:val="001575A8"/>
    <w:rsid w:val="0016031C"/>
    <w:rsid w:val="00161698"/>
    <w:rsid w:val="001619F1"/>
    <w:rsid w:val="00162437"/>
    <w:rsid w:val="00162C3A"/>
    <w:rsid w:val="00163400"/>
    <w:rsid w:val="00163DE6"/>
    <w:rsid w:val="00164156"/>
    <w:rsid w:val="001649DD"/>
    <w:rsid w:val="00165763"/>
    <w:rsid w:val="00165D28"/>
    <w:rsid w:val="00166C2A"/>
    <w:rsid w:val="0017009A"/>
    <w:rsid w:val="00170102"/>
    <w:rsid w:val="001731DE"/>
    <w:rsid w:val="00173A63"/>
    <w:rsid w:val="00174BD1"/>
    <w:rsid w:val="00174E72"/>
    <w:rsid w:val="00175D21"/>
    <w:rsid w:val="00175D63"/>
    <w:rsid w:val="0017691F"/>
    <w:rsid w:val="00177967"/>
    <w:rsid w:val="00181323"/>
    <w:rsid w:val="00181539"/>
    <w:rsid w:val="001835D2"/>
    <w:rsid w:val="00184212"/>
    <w:rsid w:val="00186DDC"/>
    <w:rsid w:val="00187D27"/>
    <w:rsid w:val="00187DC9"/>
    <w:rsid w:val="0019034C"/>
    <w:rsid w:val="00192DCE"/>
    <w:rsid w:val="0019415B"/>
    <w:rsid w:val="00194CAD"/>
    <w:rsid w:val="00194CE0"/>
    <w:rsid w:val="00194ED8"/>
    <w:rsid w:val="001958D9"/>
    <w:rsid w:val="00196B2D"/>
    <w:rsid w:val="001A00F9"/>
    <w:rsid w:val="001A1141"/>
    <w:rsid w:val="001A16C3"/>
    <w:rsid w:val="001A1EAF"/>
    <w:rsid w:val="001A3EBD"/>
    <w:rsid w:val="001A4BFE"/>
    <w:rsid w:val="001A4CB4"/>
    <w:rsid w:val="001A51C1"/>
    <w:rsid w:val="001A5489"/>
    <w:rsid w:val="001A6FDB"/>
    <w:rsid w:val="001A7E63"/>
    <w:rsid w:val="001B09B6"/>
    <w:rsid w:val="001B1005"/>
    <w:rsid w:val="001B15C0"/>
    <w:rsid w:val="001B1AD5"/>
    <w:rsid w:val="001B1D7D"/>
    <w:rsid w:val="001B2124"/>
    <w:rsid w:val="001B275F"/>
    <w:rsid w:val="001B53F3"/>
    <w:rsid w:val="001B567C"/>
    <w:rsid w:val="001B61E9"/>
    <w:rsid w:val="001B6583"/>
    <w:rsid w:val="001B6B4E"/>
    <w:rsid w:val="001C0927"/>
    <w:rsid w:val="001C178B"/>
    <w:rsid w:val="001C20A2"/>
    <w:rsid w:val="001C37EA"/>
    <w:rsid w:val="001C3B97"/>
    <w:rsid w:val="001C40B0"/>
    <w:rsid w:val="001C500A"/>
    <w:rsid w:val="001C67B5"/>
    <w:rsid w:val="001C6E11"/>
    <w:rsid w:val="001D06AB"/>
    <w:rsid w:val="001D080B"/>
    <w:rsid w:val="001D249B"/>
    <w:rsid w:val="001D2F5B"/>
    <w:rsid w:val="001D3DC4"/>
    <w:rsid w:val="001D3FDC"/>
    <w:rsid w:val="001D4F44"/>
    <w:rsid w:val="001D5572"/>
    <w:rsid w:val="001D5716"/>
    <w:rsid w:val="001D7407"/>
    <w:rsid w:val="001E018C"/>
    <w:rsid w:val="001E09B6"/>
    <w:rsid w:val="001E2A8C"/>
    <w:rsid w:val="001E3CC0"/>
    <w:rsid w:val="001E4C66"/>
    <w:rsid w:val="001E52C5"/>
    <w:rsid w:val="001E624E"/>
    <w:rsid w:val="001E6F79"/>
    <w:rsid w:val="001E70DE"/>
    <w:rsid w:val="001E75A1"/>
    <w:rsid w:val="001F029E"/>
    <w:rsid w:val="001F1F0F"/>
    <w:rsid w:val="001F3504"/>
    <w:rsid w:val="001F454C"/>
    <w:rsid w:val="001F5261"/>
    <w:rsid w:val="001F52C1"/>
    <w:rsid w:val="001F6319"/>
    <w:rsid w:val="001F632C"/>
    <w:rsid w:val="001F6CA5"/>
    <w:rsid w:val="001F6DA0"/>
    <w:rsid w:val="002000B7"/>
    <w:rsid w:val="002017A0"/>
    <w:rsid w:val="00201B96"/>
    <w:rsid w:val="0020301E"/>
    <w:rsid w:val="0020409D"/>
    <w:rsid w:val="002063AE"/>
    <w:rsid w:val="002068D1"/>
    <w:rsid w:val="00206C08"/>
    <w:rsid w:val="00212211"/>
    <w:rsid w:val="00212373"/>
    <w:rsid w:val="002126AD"/>
    <w:rsid w:val="0021422B"/>
    <w:rsid w:val="00214326"/>
    <w:rsid w:val="00215ACB"/>
    <w:rsid w:val="002214C4"/>
    <w:rsid w:val="00221E28"/>
    <w:rsid w:val="0022405C"/>
    <w:rsid w:val="00224388"/>
    <w:rsid w:val="00226A2A"/>
    <w:rsid w:val="00226AE6"/>
    <w:rsid w:val="00226E3B"/>
    <w:rsid w:val="002276E9"/>
    <w:rsid w:val="00227A71"/>
    <w:rsid w:val="00232CB9"/>
    <w:rsid w:val="002338E1"/>
    <w:rsid w:val="0023396E"/>
    <w:rsid w:val="00234050"/>
    <w:rsid w:val="00235286"/>
    <w:rsid w:val="00235355"/>
    <w:rsid w:val="002366C5"/>
    <w:rsid w:val="0023745B"/>
    <w:rsid w:val="00237622"/>
    <w:rsid w:val="00237BC2"/>
    <w:rsid w:val="00237BF0"/>
    <w:rsid w:val="00240AF1"/>
    <w:rsid w:val="00244693"/>
    <w:rsid w:val="00245119"/>
    <w:rsid w:val="00246AF4"/>
    <w:rsid w:val="00246F31"/>
    <w:rsid w:val="0024787E"/>
    <w:rsid w:val="00247885"/>
    <w:rsid w:val="00247B0D"/>
    <w:rsid w:val="002504CE"/>
    <w:rsid w:val="0025075D"/>
    <w:rsid w:val="00251645"/>
    <w:rsid w:val="00252216"/>
    <w:rsid w:val="0025390C"/>
    <w:rsid w:val="00253FA3"/>
    <w:rsid w:val="00254143"/>
    <w:rsid w:val="00254196"/>
    <w:rsid w:val="002551C0"/>
    <w:rsid w:val="00255ACE"/>
    <w:rsid w:val="002564E7"/>
    <w:rsid w:val="0025651E"/>
    <w:rsid w:val="00256D60"/>
    <w:rsid w:val="002570DC"/>
    <w:rsid w:val="0026102A"/>
    <w:rsid w:val="002625E3"/>
    <w:rsid w:val="00263004"/>
    <w:rsid w:val="002639A0"/>
    <w:rsid w:val="00264AD7"/>
    <w:rsid w:val="0026516A"/>
    <w:rsid w:val="002661C1"/>
    <w:rsid w:val="002663C6"/>
    <w:rsid w:val="002678F7"/>
    <w:rsid w:val="002700A3"/>
    <w:rsid w:val="002707FA"/>
    <w:rsid w:val="002716D6"/>
    <w:rsid w:val="00272AE2"/>
    <w:rsid w:val="00273BE0"/>
    <w:rsid w:val="00273BEC"/>
    <w:rsid w:val="00273D24"/>
    <w:rsid w:val="00276523"/>
    <w:rsid w:val="00280591"/>
    <w:rsid w:val="002816EE"/>
    <w:rsid w:val="00282573"/>
    <w:rsid w:val="00283DE3"/>
    <w:rsid w:val="00284E90"/>
    <w:rsid w:val="0028518A"/>
    <w:rsid w:val="00285735"/>
    <w:rsid w:val="00285FC1"/>
    <w:rsid w:val="002869E0"/>
    <w:rsid w:val="00290118"/>
    <w:rsid w:val="0029036A"/>
    <w:rsid w:val="00290549"/>
    <w:rsid w:val="0029061D"/>
    <w:rsid w:val="0029119C"/>
    <w:rsid w:val="002937AE"/>
    <w:rsid w:val="00294F03"/>
    <w:rsid w:val="00295E9B"/>
    <w:rsid w:val="002A0AFA"/>
    <w:rsid w:val="002A0C5F"/>
    <w:rsid w:val="002A54D6"/>
    <w:rsid w:val="002A6149"/>
    <w:rsid w:val="002A6C7A"/>
    <w:rsid w:val="002B2948"/>
    <w:rsid w:val="002B2EA9"/>
    <w:rsid w:val="002B38C0"/>
    <w:rsid w:val="002B3CCB"/>
    <w:rsid w:val="002B425E"/>
    <w:rsid w:val="002B4D50"/>
    <w:rsid w:val="002B59B8"/>
    <w:rsid w:val="002B5EB0"/>
    <w:rsid w:val="002B5F28"/>
    <w:rsid w:val="002C0211"/>
    <w:rsid w:val="002C168D"/>
    <w:rsid w:val="002C1813"/>
    <w:rsid w:val="002C474F"/>
    <w:rsid w:val="002C5611"/>
    <w:rsid w:val="002D063D"/>
    <w:rsid w:val="002D3CF7"/>
    <w:rsid w:val="002D3ED3"/>
    <w:rsid w:val="002D4048"/>
    <w:rsid w:val="002D42DE"/>
    <w:rsid w:val="002D588E"/>
    <w:rsid w:val="002D6A63"/>
    <w:rsid w:val="002D6E86"/>
    <w:rsid w:val="002D7203"/>
    <w:rsid w:val="002E06BE"/>
    <w:rsid w:val="002E21B0"/>
    <w:rsid w:val="002E2FF4"/>
    <w:rsid w:val="002E366C"/>
    <w:rsid w:val="002E3E0D"/>
    <w:rsid w:val="002E42D8"/>
    <w:rsid w:val="002E4BA1"/>
    <w:rsid w:val="002E6113"/>
    <w:rsid w:val="002E7708"/>
    <w:rsid w:val="002E7E7F"/>
    <w:rsid w:val="002E7FE2"/>
    <w:rsid w:val="002F0FD9"/>
    <w:rsid w:val="002F3758"/>
    <w:rsid w:val="002F3F6C"/>
    <w:rsid w:val="002F4225"/>
    <w:rsid w:val="002F5BE5"/>
    <w:rsid w:val="002F6D68"/>
    <w:rsid w:val="0030001E"/>
    <w:rsid w:val="0030061D"/>
    <w:rsid w:val="003007D7"/>
    <w:rsid w:val="00300A9E"/>
    <w:rsid w:val="00300FA4"/>
    <w:rsid w:val="003014DF"/>
    <w:rsid w:val="003014FD"/>
    <w:rsid w:val="00301E16"/>
    <w:rsid w:val="00302C7F"/>
    <w:rsid w:val="00304514"/>
    <w:rsid w:val="0030491C"/>
    <w:rsid w:val="00304B24"/>
    <w:rsid w:val="00305A78"/>
    <w:rsid w:val="00307826"/>
    <w:rsid w:val="0030785D"/>
    <w:rsid w:val="003079B0"/>
    <w:rsid w:val="0031083D"/>
    <w:rsid w:val="003111B1"/>
    <w:rsid w:val="00312B2C"/>
    <w:rsid w:val="0031336A"/>
    <w:rsid w:val="0031624B"/>
    <w:rsid w:val="00316994"/>
    <w:rsid w:val="00317058"/>
    <w:rsid w:val="00321563"/>
    <w:rsid w:val="003216A1"/>
    <w:rsid w:val="00322089"/>
    <w:rsid w:val="00322440"/>
    <w:rsid w:val="003227A4"/>
    <w:rsid w:val="00323217"/>
    <w:rsid w:val="00324A00"/>
    <w:rsid w:val="003259CB"/>
    <w:rsid w:val="00325E64"/>
    <w:rsid w:val="00330432"/>
    <w:rsid w:val="0033263E"/>
    <w:rsid w:val="00332710"/>
    <w:rsid w:val="0033404E"/>
    <w:rsid w:val="00334E45"/>
    <w:rsid w:val="003358F2"/>
    <w:rsid w:val="00337B3B"/>
    <w:rsid w:val="00340E1E"/>
    <w:rsid w:val="00341436"/>
    <w:rsid w:val="00341505"/>
    <w:rsid w:val="0034172B"/>
    <w:rsid w:val="003427F0"/>
    <w:rsid w:val="003432A8"/>
    <w:rsid w:val="003434A9"/>
    <w:rsid w:val="00343C61"/>
    <w:rsid w:val="00343E1B"/>
    <w:rsid w:val="0034473C"/>
    <w:rsid w:val="00344BF0"/>
    <w:rsid w:val="00344DF9"/>
    <w:rsid w:val="003456B4"/>
    <w:rsid w:val="00345ADC"/>
    <w:rsid w:val="003466FC"/>
    <w:rsid w:val="00347552"/>
    <w:rsid w:val="00351519"/>
    <w:rsid w:val="00351A15"/>
    <w:rsid w:val="00351DFA"/>
    <w:rsid w:val="00352006"/>
    <w:rsid w:val="00352395"/>
    <w:rsid w:val="00352E7A"/>
    <w:rsid w:val="00354D04"/>
    <w:rsid w:val="00355386"/>
    <w:rsid w:val="00356FE4"/>
    <w:rsid w:val="003570C0"/>
    <w:rsid w:val="00360FDB"/>
    <w:rsid w:val="00361E4B"/>
    <w:rsid w:val="003624C2"/>
    <w:rsid w:val="00362714"/>
    <w:rsid w:val="00363318"/>
    <w:rsid w:val="00366702"/>
    <w:rsid w:val="003700BE"/>
    <w:rsid w:val="0037075A"/>
    <w:rsid w:val="00370F08"/>
    <w:rsid w:val="003717B8"/>
    <w:rsid w:val="0037205D"/>
    <w:rsid w:val="00372494"/>
    <w:rsid w:val="00375392"/>
    <w:rsid w:val="00380667"/>
    <w:rsid w:val="00381A62"/>
    <w:rsid w:val="00382B71"/>
    <w:rsid w:val="00382E37"/>
    <w:rsid w:val="003866F4"/>
    <w:rsid w:val="0039020B"/>
    <w:rsid w:val="003909D4"/>
    <w:rsid w:val="00390F52"/>
    <w:rsid w:val="00391555"/>
    <w:rsid w:val="003928B1"/>
    <w:rsid w:val="00394AC6"/>
    <w:rsid w:val="00394C9E"/>
    <w:rsid w:val="00395120"/>
    <w:rsid w:val="00396890"/>
    <w:rsid w:val="003A0D77"/>
    <w:rsid w:val="003A23D5"/>
    <w:rsid w:val="003A2F0F"/>
    <w:rsid w:val="003A31D9"/>
    <w:rsid w:val="003A468B"/>
    <w:rsid w:val="003A472E"/>
    <w:rsid w:val="003A51D9"/>
    <w:rsid w:val="003A560A"/>
    <w:rsid w:val="003A5A6B"/>
    <w:rsid w:val="003A5EC0"/>
    <w:rsid w:val="003A614E"/>
    <w:rsid w:val="003A67A0"/>
    <w:rsid w:val="003A6973"/>
    <w:rsid w:val="003B0261"/>
    <w:rsid w:val="003B22C2"/>
    <w:rsid w:val="003B2C8C"/>
    <w:rsid w:val="003B3E4F"/>
    <w:rsid w:val="003B43FD"/>
    <w:rsid w:val="003B49C5"/>
    <w:rsid w:val="003B535B"/>
    <w:rsid w:val="003B5E8C"/>
    <w:rsid w:val="003B7D29"/>
    <w:rsid w:val="003C2647"/>
    <w:rsid w:val="003C2B9E"/>
    <w:rsid w:val="003C3815"/>
    <w:rsid w:val="003C47FD"/>
    <w:rsid w:val="003C4FB9"/>
    <w:rsid w:val="003C54FC"/>
    <w:rsid w:val="003C5ADD"/>
    <w:rsid w:val="003C6821"/>
    <w:rsid w:val="003C7A19"/>
    <w:rsid w:val="003D1566"/>
    <w:rsid w:val="003D1A44"/>
    <w:rsid w:val="003D27C7"/>
    <w:rsid w:val="003D2F7D"/>
    <w:rsid w:val="003D3238"/>
    <w:rsid w:val="003D3C3D"/>
    <w:rsid w:val="003D5425"/>
    <w:rsid w:val="003D5A42"/>
    <w:rsid w:val="003D7469"/>
    <w:rsid w:val="003D7710"/>
    <w:rsid w:val="003E1FBF"/>
    <w:rsid w:val="003E2578"/>
    <w:rsid w:val="003E2593"/>
    <w:rsid w:val="003E2881"/>
    <w:rsid w:val="003E2BCF"/>
    <w:rsid w:val="003E3387"/>
    <w:rsid w:val="003E5382"/>
    <w:rsid w:val="003E5EC6"/>
    <w:rsid w:val="003E747B"/>
    <w:rsid w:val="003F0D6A"/>
    <w:rsid w:val="003F30F8"/>
    <w:rsid w:val="003F3277"/>
    <w:rsid w:val="003F4389"/>
    <w:rsid w:val="003F4AE0"/>
    <w:rsid w:val="003F744F"/>
    <w:rsid w:val="003F79BD"/>
    <w:rsid w:val="003F7F1C"/>
    <w:rsid w:val="0040010D"/>
    <w:rsid w:val="00401DFA"/>
    <w:rsid w:val="00401EA8"/>
    <w:rsid w:val="00403384"/>
    <w:rsid w:val="00405820"/>
    <w:rsid w:val="0041029A"/>
    <w:rsid w:val="00410915"/>
    <w:rsid w:val="00413E8E"/>
    <w:rsid w:val="00415852"/>
    <w:rsid w:val="00415AF8"/>
    <w:rsid w:val="00415F91"/>
    <w:rsid w:val="00417C81"/>
    <w:rsid w:val="004207CF"/>
    <w:rsid w:val="00421D08"/>
    <w:rsid w:val="00422259"/>
    <w:rsid w:val="00422D33"/>
    <w:rsid w:val="004243D8"/>
    <w:rsid w:val="00425466"/>
    <w:rsid w:val="00425481"/>
    <w:rsid w:val="00426219"/>
    <w:rsid w:val="00430084"/>
    <w:rsid w:val="004301B5"/>
    <w:rsid w:val="00430BD6"/>
    <w:rsid w:val="004312A0"/>
    <w:rsid w:val="004320C0"/>
    <w:rsid w:val="0043215B"/>
    <w:rsid w:val="00433389"/>
    <w:rsid w:val="004335D1"/>
    <w:rsid w:val="00433979"/>
    <w:rsid w:val="00433983"/>
    <w:rsid w:val="00433D93"/>
    <w:rsid w:val="00436623"/>
    <w:rsid w:val="004367B6"/>
    <w:rsid w:val="004373C2"/>
    <w:rsid w:val="004407A2"/>
    <w:rsid w:val="004409D2"/>
    <w:rsid w:val="0044262E"/>
    <w:rsid w:val="004449DB"/>
    <w:rsid w:val="00447F0B"/>
    <w:rsid w:val="004506AA"/>
    <w:rsid w:val="004507BE"/>
    <w:rsid w:val="00450A76"/>
    <w:rsid w:val="004510DA"/>
    <w:rsid w:val="004528F5"/>
    <w:rsid w:val="0045348C"/>
    <w:rsid w:val="004538E6"/>
    <w:rsid w:val="004541B7"/>
    <w:rsid w:val="0045565B"/>
    <w:rsid w:val="00455FF1"/>
    <w:rsid w:val="00456229"/>
    <w:rsid w:val="00456637"/>
    <w:rsid w:val="0045795B"/>
    <w:rsid w:val="00460829"/>
    <w:rsid w:val="0046480A"/>
    <w:rsid w:val="00466F6F"/>
    <w:rsid w:val="004670E6"/>
    <w:rsid w:val="00467B6B"/>
    <w:rsid w:val="00472B4F"/>
    <w:rsid w:val="00473C90"/>
    <w:rsid w:val="00473CBC"/>
    <w:rsid w:val="00474378"/>
    <w:rsid w:val="0047492F"/>
    <w:rsid w:val="00474DA6"/>
    <w:rsid w:val="00475651"/>
    <w:rsid w:val="00475ACF"/>
    <w:rsid w:val="00475C4C"/>
    <w:rsid w:val="00475D73"/>
    <w:rsid w:val="00480286"/>
    <w:rsid w:val="00480668"/>
    <w:rsid w:val="00480A4E"/>
    <w:rsid w:val="00480CB0"/>
    <w:rsid w:val="00481614"/>
    <w:rsid w:val="00482A70"/>
    <w:rsid w:val="00483041"/>
    <w:rsid w:val="004842E5"/>
    <w:rsid w:val="00484F6D"/>
    <w:rsid w:val="004853C1"/>
    <w:rsid w:val="004855F0"/>
    <w:rsid w:val="00485EB7"/>
    <w:rsid w:val="0048660F"/>
    <w:rsid w:val="004878DD"/>
    <w:rsid w:val="00487CC1"/>
    <w:rsid w:val="0049260F"/>
    <w:rsid w:val="004948FF"/>
    <w:rsid w:val="00497BF8"/>
    <w:rsid w:val="004A1E91"/>
    <w:rsid w:val="004A2DB9"/>
    <w:rsid w:val="004A3822"/>
    <w:rsid w:val="004A45CF"/>
    <w:rsid w:val="004A525E"/>
    <w:rsid w:val="004A77BD"/>
    <w:rsid w:val="004A7B42"/>
    <w:rsid w:val="004B050D"/>
    <w:rsid w:val="004B3DD9"/>
    <w:rsid w:val="004B47E3"/>
    <w:rsid w:val="004B562D"/>
    <w:rsid w:val="004B5CC1"/>
    <w:rsid w:val="004B5CEF"/>
    <w:rsid w:val="004B65B4"/>
    <w:rsid w:val="004B7A3F"/>
    <w:rsid w:val="004B7AA5"/>
    <w:rsid w:val="004C0311"/>
    <w:rsid w:val="004C0D18"/>
    <w:rsid w:val="004C0E91"/>
    <w:rsid w:val="004C0EC9"/>
    <w:rsid w:val="004C171F"/>
    <w:rsid w:val="004C1A61"/>
    <w:rsid w:val="004C2C7A"/>
    <w:rsid w:val="004C4B02"/>
    <w:rsid w:val="004C58E6"/>
    <w:rsid w:val="004D0873"/>
    <w:rsid w:val="004D0925"/>
    <w:rsid w:val="004D3CE5"/>
    <w:rsid w:val="004D422D"/>
    <w:rsid w:val="004D5033"/>
    <w:rsid w:val="004D56DC"/>
    <w:rsid w:val="004D6867"/>
    <w:rsid w:val="004D6C8D"/>
    <w:rsid w:val="004E1868"/>
    <w:rsid w:val="004E1ED4"/>
    <w:rsid w:val="004E41A9"/>
    <w:rsid w:val="004E53C9"/>
    <w:rsid w:val="004E54D8"/>
    <w:rsid w:val="004E6AE7"/>
    <w:rsid w:val="004F05E8"/>
    <w:rsid w:val="004F158E"/>
    <w:rsid w:val="004F33BE"/>
    <w:rsid w:val="004F5EB9"/>
    <w:rsid w:val="004F739F"/>
    <w:rsid w:val="004F7A4A"/>
    <w:rsid w:val="004F7BF4"/>
    <w:rsid w:val="00500A28"/>
    <w:rsid w:val="00500F07"/>
    <w:rsid w:val="0050101F"/>
    <w:rsid w:val="005013F9"/>
    <w:rsid w:val="00505317"/>
    <w:rsid w:val="00505E62"/>
    <w:rsid w:val="005066A9"/>
    <w:rsid w:val="00506975"/>
    <w:rsid w:val="005076F4"/>
    <w:rsid w:val="0051033F"/>
    <w:rsid w:val="00514A42"/>
    <w:rsid w:val="00514D9F"/>
    <w:rsid w:val="00514F21"/>
    <w:rsid w:val="00514FC7"/>
    <w:rsid w:val="0051501A"/>
    <w:rsid w:val="005171B7"/>
    <w:rsid w:val="00517F52"/>
    <w:rsid w:val="005208B8"/>
    <w:rsid w:val="0052111C"/>
    <w:rsid w:val="00522CF6"/>
    <w:rsid w:val="005243D6"/>
    <w:rsid w:val="00525292"/>
    <w:rsid w:val="0052552E"/>
    <w:rsid w:val="00526DD7"/>
    <w:rsid w:val="005307F7"/>
    <w:rsid w:val="00531C60"/>
    <w:rsid w:val="0053434A"/>
    <w:rsid w:val="0053491C"/>
    <w:rsid w:val="00535457"/>
    <w:rsid w:val="00535861"/>
    <w:rsid w:val="005358BB"/>
    <w:rsid w:val="00536294"/>
    <w:rsid w:val="0053637F"/>
    <w:rsid w:val="00536A3C"/>
    <w:rsid w:val="00536F3E"/>
    <w:rsid w:val="0053758A"/>
    <w:rsid w:val="0054117F"/>
    <w:rsid w:val="0054146C"/>
    <w:rsid w:val="00541606"/>
    <w:rsid w:val="00541B2B"/>
    <w:rsid w:val="00543CC5"/>
    <w:rsid w:val="0054560B"/>
    <w:rsid w:val="00545AB6"/>
    <w:rsid w:val="005469DD"/>
    <w:rsid w:val="00550A9E"/>
    <w:rsid w:val="00551D7F"/>
    <w:rsid w:val="00554354"/>
    <w:rsid w:val="005547B3"/>
    <w:rsid w:val="005553D3"/>
    <w:rsid w:val="005562E5"/>
    <w:rsid w:val="0055760C"/>
    <w:rsid w:val="00557704"/>
    <w:rsid w:val="00557C26"/>
    <w:rsid w:val="005601A0"/>
    <w:rsid w:val="00560397"/>
    <w:rsid w:val="005607A3"/>
    <w:rsid w:val="0056189A"/>
    <w:rsid w:val="00561C4B"/>
    <w:rsid w:val="0056220E"/>
    <w:rsid w:val="00562BEA"/>
    <w:rsid w:val="00563484"/>
    <w:rsid w:val="00563F33"/>
    <w:rsid w:val="00564427"/>
    <w:rsid w:val="005649AF"/>
    <w:rsid w:val="005649F1"/>
    <w:rsid w:val="00564E98"/>
    <w:rsid w:val="005658BF"/>
    <w:rsid w:val="00565A19"/>
    <w:rsid w:val="00565A50"/>
    <w:rsid w:val="00565E0E"/>
    <w:rsid w:val="005662FA"/>
    <w:rsid w:val="0056694C"/>
    <w:rsid w:val="00567FEF"/>
    <w:rsid w:val="00570732"/>
    <w:rsid w:val="00571015"/>
    <w:rsid w:val="00571D51"/>
    <w:rsid w:val="00571FE2"/>
    <w:rsid w:val="0057394D"/>
    <w:rsid w:val="0057406A"/>
    <w:rsid w:val="005740FD"/>
    <w:rsid w:val="0057588A"/>
    <w:rsid w:val="00575DF0"/>
    <w:rsid w:val="00575E96"/>
    <w:rsid w:val="00576627"/>
    <w:rsid w:val="00577FC6"/>
    <w:rsid w:val="005802EA"/>
    <w:rsid w:val="00580523"/>
    <w:rsid w:val="005813FD"/>
    <w:rsid w:val="00582ED3"/>
    <w:rsid w:val="00583F4E"/>
    <w:rsid w:val="00584BC4"/>
    <w:rsid w:val="0058550F"/>
    <w:rsid w:val="0058678C"/>
    <w:rsid w:val="00587914"/>
    <w:rsid w:val="00587B26"/>
    <w:rsid w:val="0059015C"/>
    <w:rsid w:val="00590B5E"/>
    <w:rsid w:val="00591296"/>
    <w:rsid w:val="005913DD"/>
    <w:rsid w:val="00591A0B"/>
    <w:rsid w:val="00591F9D"/>
    <w:rsid w:val="005924FA"/>
    <w:rsid w:val="00593406"/>
    <w:rsid w:val="00593558"/>
    <w:rsid w:val="00593D1C"/>
    <w:rsid w:val="00593E8D"/>
    <w:rsid w:val="00594304"/>
    <w:rsid w:val="00594885"/>
    <w:rsid w:val="005948DC"/>
    <w:rsid w:val="00594DDD"/>
    <w:rsid w:val="0059781A"/>
    <w:rsid w:val="005A0316"/>
    <w:rsid w:val="005A0844"/>
    <w:rsid w:val="005A12EC"/>
    <w:rsid w:val="005A34EA"/>
    <w:rsid w:val="005A3F52"/>
    <w:rsid w:val="005A5351"/>
    <w:rsid w:val="005A5E50"/>
    <w:rsid w:val="005A6A3F"/>
    <w:rsid w:val="005A6A63"/>
    <w:rsid w:val="005A6D3A"/>
    <w:rsid w:val="005B26DA"/>
    <w:rsid w:val="005B3907"/>
    <w:rsid w:val="005B4E93"/>
    <w:rsid w:val="005B5E0A"/>
    <w:rsid w:val="005B75F8"/>
    <w:rsid w:val="005B77AD"/>
    <w:rsid w:val="005C0631"/>
    <w:rsid w:val="005C1139"/>
    <w:rsid w:val="005C1A74"/>
    <w:rsid w:val="005C1FEA"/>
    <w:rsid w:val="005C1FF0"/>
    <w:rsid w:val="005C36A7"/>
    <w:rsid w:val="005C4A99"/>
    <w:rsid w:val="005D2437"/>
    <w:rsid w:val="005D2E03"/>
    <w:rsid w:val="005E0A46"/>
    <w:rsid w:val="005E0A92"/>
    <w:rsid w:val="005E1680"/>
    <w:rsid w:val="005E1909"/>
    <w:rsid w:val="005E1A57"/>
    <w:rsid w:val="005E2AAF"/>
    <w:rsid w:val="005E3138"/>
    <w:rsid w:val="005E47B3"/>
    <w:rsid w:val="005E573D"/>
    <w:rsid w:val="005E5E31"/>
    <w:rsid w:val="005E6274"/>
    <w:rsid w:val="005E67CA"/>
    <w:rsid w:val="005E7E1E"/>
    <w:rsid w:val="005E7F7C"/>
    <w:rsid w:val="005F0633"/>
    <w:rsid w:val="005F1A9C"/>
    <w:rsid w:val="005F1EED"/>
    <w:rsid w:val="005F271D"/>
    <w:rsid w:val="005F3D62"/>
    <w:rsid w:val="005F4410"/>
    <w:rsid w:val="005F47CB"/>
    <w:rsid w:val="005F56AF"/>
    <w:rsid w:val="005F5B52"/>
    <w:rsid w:val="005F5BFB"/>
    <w:rsid w:val="00601CDD"/>
    <w:rsid w:val="006022A6"/>
    <w:rsid w:val="006041A9"/>
    <w:rsid w:val="00605C09"/>
    <w:rsid w:val="00606139"/>
    <w:rsid w:val="0060720D"/>
    <w:rsid w:val="00607275"/>
    <w:rsid w:val="006111C3"/>
    <w:rsid w:val="00613422"/>
    <w:rsid w:val="006134F2"/>
    <w:rsid w:val="00613609"/>
    <w:rsid w:val="00617153"/>
    <w:rsid w:val="00620E8B"/>
    <w:rsid w:val="00620FC5"/>
    <w:rsid w:val="0062140A"/>
    <w:rsid w:val="00621DC4"/>
    <w:rsid w:val="0062200E"/>
    <w:rsid w:val="0062217B"/>
    <w:rsid w:val="00622BBE"/>
    <w:rsid w:val="006233E7"/>
    <w:rsid w:val="00623F56"/>
    <w:rsid w:val="006247D7"/>
    <w:rsid w:val="006249B9"/>
    <w:rsid w:val="006250C9"/>
    <w:rsid w:val="0062570B"/>
    <w:rsid w:val="00625A5B"/>
    <w:rsid w:val="00626BD6"/>
    <w:rsid w:val="006301AB"/>
    <w:rsid w:val="0063061D"/>
    <w:rsid w:val="006316B5"/>
    <w:rsid w:val="0063285C"/>
    <w:rsid w:val="006353D0"/>
    <w:rsid w:val="00635920"/>
    <w:rsid w:val="0063672D"/>
    <w:rsid w:val="00637016"/>
    <w:rsid w:val="006372F7"/>
    <w:rsid w:val="00637DC6"/>
    <w:rsid w:val="00637F0F"/>
    <w:rsid w:val="006412FC"/>
    <w:rsid w:val="0064232B"/>
    <w:rsid w:val="00642FFE"/>
    <w:rsid w:val="0064335E"/>
    <w:rsid w:val="00643476"/>
    <w:rsid w:val="0064397A"/>
    <w:rsid w:val="006439E0"/>
    <w:rsid w:val="00644238"/>
    <w:rsid w:val="0064504E"/>
    <w:rsid w:val="006460C1"/>
    <w:rsid w:val="006470FD"/>
    <w:rsid w:val="006472BD"/>
    <w:rsid w:val="006501BC"/>
    <w:rsid w:val="00650ECE"/>
    <w:rsid w:val="0065136A"/>
    <w:rsid w:val="0065245D"/>
    <w:rsid w:val="00653218"/>
    <w:rsid w:val="006532BB"/>
    <w:rsid w:val="00653647"/>
    <w:rsid w:val="00653F93"/>
    <w:rsid w:val="0065411D"/>
    <w:rsid w:val="006547A7"/>
    <w:rsid w:val="006549FA"/>
    <w:rsid w:val="00654B47"/>
    <w:rsid w:val="00655277"/>
    <w:rsid w:val="006567F2"/>
    <w:rsid w:val="0065791A"/>
    <w:rsid w:val="00660A96"/>
    <w:rsid w:val="00660C48"/>
    <w:rsid w:val="0066168B"/>
    <w:rsid w:val="00662177"/>
    <w:rsid w:val="00663C16"/>
    <w:rsid w:val="006663C6"/>
    <w:rsid w:val="00666814"/>
    <w:rsid w:val="006673C0"/>
    <w:rsid w:val="00667974"/>
    <w:rsid w:val="00670D9C"/>
    <w:rsid w:val="00671072"/>
    <w:rsid w:val="0067168C"/>
    <w:rsid w:val="00671935"/>
    <w:rsid w:val="00671FF1"/>
    <w:rsid w:val="006779DA"/>
    <w:rsid w:val="00677F8A"/>
    <w:rsid w:val="0068074F"/>
    <w:rsid w:val="00683A38"/>
    <w:rsid w:val="00684B27"/>
    <w:rsid w:val="006868AA"/>
    <w:rsid w:val="00687E45"/>
    <w:rsid w:val="0069065B"/>
    <w:rsid w:val="00691067"/>
    <w:rsid w:val="00692540"/>
    <w:rsid w:val="00692A84"/>
    <w:rsid w:val="00695589"/>
    <w:rsid w:val="0069639D"/>
    <w:rsid w:val="006964B5"/>
    <w:rsid w:val="00697152"/>
    <w:rsid w:val="006A26A0"/>
    <w:rsid w:val="006A2D15"/>
    <w:rsid w:val="006A35F4"/>
    <w:rsid w:val="006A45C9"/>
    <w:rsid w:val="006A48CC"/>
    <w:rsid w:val="006A4DC2"/>
    <w:rsid w:val="006A4F1D"/>
    <w:rsid w:val="006A553E"/>
    <w:rsid w:val="006A59D3"/>
    <w:rsid w:val="006A60AD"/>
    <w:rsid w:val="006A77FE"/>
    <w:rsid w:val="006A794D"/>
    <w:rsid w:val="006B26E7"/>
    <w:rsid w:val="006B6036"/>
    <w:rsid w:val="006B6329"/>
    <w:rsid w:val="006B68A4"/>
    <w:rsid w:val="006B68D4"/>
    <w:rsid w:val="006B6FA6"/>
    <w:rsid w:val="006C000D"/>
    <w:rsid w:val="006C09C1"/>
    <w:rsid w:val="006C1555"/>
    <w:rsid w:val="006C6101"/>
    <w:rsid w:val="006C6341"/>
    <w:rsid w:val="006C667D"/>
    <w:rsid w:val="006C6B9A"/>
    <w:rsid w:val="006C748B"/>
    <w:rsid w:val="006D04DA"/>
    <w:rsid w:val="006D0A57"/>
    <w:rsid w:val="006D101A"/>
    <w:rsid w:val="006D117B"/>
    <w:rsid w:val="006D26CE"/>
    <w:rsid w:val="006D4110"/>
    <w:rsid w:val="006D4645"/>
    <w:rsid w:val="006D55C7"/>
    <w:rsid w:val="006D77EA"/>
    <w:rsid w:val="006D7841"/>
    <w:rsid w:val="006D7B19"/>
    <w:rsid w:val="006D7B55"/>
    <w:rsid w:val="006E0244"/>
    <w:rsid w:val="006E07F1"/>
    <w:rsid w:val="006E19FD"/>
    <w:rsid w:val="006E28CB"/>
    <w:rsid w:val="006E29AD"/>
    <w:rsid w:val="006E5147"/>
    <w:rsid w:val="006E5687"/>
    <w:rsid w:val="006E5ED7"/>
    <w:rsid w:val="006E5FEC"/>
    <w:rsid w:val="006E65D3"/>
    <w:rsid w:val="006E6A25"/>
    <w:rsid w:val="006E6F35"/>
    <w:rsid w:val="006E71C7"/>
    <w:rsid w:val="006E79E2"/>
    <w:rsid w:val="006F019B"/>
    <w:rsid w:val="006F08A3"/>
    <w:rsid w:val="006F13FA"/>
    <w:rsid w:val="006F2ABD"/>
    <w:rsid w:val="006F3A28"/>
    <w:rsid w:val="006F40FF"/>
    <w:rsid w:val="006F4341"/>
    <w:rsid w:val="006F4549"/>
    <w:rsid w:val="006F46F9"/>
    <w:rsid w:val="006F48E5"/>
    <w:rsid w:val="006F5A5A"/>
    <w:rsid w:val="006F5D6A"/>
    <w:rsid w:val="006F7435"/>
    <w:rsid w:val="006F745E"/>
    <w:rsid w:val="00700ABD"/>
    <w:rsid w:val="00701734"/>
    <w:rsid w:val="007038D4"/>
    <w:rsid w:val="00704169"/>
    <w:rsid w:val="007046B7"/>
    <w:rsid w:val="007052F1"/>
    <w:rsid w:val="007055B7"/>
    <w:rsid w:val="00706618"/>
    <w:rsid w:val="0070762D"/>
    <w:rsid w:val="007114FD"/>
    <w:rsid w:val="00712687"/>
    <w:rsid w:val="00713464"/>
    <w:rsid w:val="00713E36"/>
    <w:rsid w:val="007147C1"/>
    <w:rsid w:val="00715356"/>
    <w:rsid w:val="007154DD"/>
    <w:rsid w:val="00715B14"/>
    <w:rsid w:val="00716802"/>
    <w:rsid w:val="00720152"/>
    <w:rsid w:val="0072076A"/>
    <w:rsid w:val="00721C0A"/>
    <w:rsid w:val="007241FB"/>
    <w:rsid w:val="0072426C"/>
    <w:rsid w:val="0072444C"/>
    <w:rsid w:val="00724E61"/>
    <w:rsid w:val="00725A5E"/>
    <w:rsid w:val="00725C0D"/>
    <w:rsid w:val="00725F8C"/>
    <w:rsid w:val="00726082"/>
    <w:rsid w:val="00726DBF"/>
    <w:rsid w:val="00727527"/>
    <w:rsid w:val="007302C4"/>
    <w:rsid w:val="00731683"/>
    <w:rsid w:val="0073180D"/>
    <w:rsid w:val="007328E8"/>
    <w:rsid w:val="00733462"/>
    <w:rsid w:val="007336D6"/>
    <w:rsid w:val="007341F4"/>
    <w:rsid w:val="0073447D"/>
    <w:rsid w:val="0073453B"/>
    <w:rsid w:val="00735DF7"/>
    <w:rsid w:val="00736455"/>
    <w:rsid w:val="00736551"/>
    <w:rsid w:val="007366B7"/>
    <w:rsid w:val="00740AF6"/>
    <w:rsid w:val="00740CE2"/>
    <w:rsid w:val="00740F5C"/>
    <w:rsid w:val="007411AB"/>
    <w:rsid w:val="00741691"/>
    <w:rsid w:val="00741FE0"/>
    <w:rsid w:val="00742AD1"/>
    <w:rsid w:val="00743F1A"/>
    <w:rsid w:val="0074423A"/>
    <w:rsid w:val="00744274"/>
    <w:rsid w:val="00746DA8"/>
    <w:rsid w:val="007502B5"/>
    <w:rsid w:val="00750379"/>
    <w:rsid w:val="007513A9"/>
    <w:rsid w:val="00753EAC"/>
    <w:rsid w:val="00754BC1"/>
    <w:rsid w:val="00755E00"/>
    <w:rsid w:val="00756BB1"/>
    <w:rsid w:val="00757653"/>
    <w:rsid w:val="00757E49"/>
    <w:rsid w:val="007619BF"/>
    <w:rsid w:val="007623EA"/>
    <w:rsid w:val="0076262B"/>
    <w:rsid w:val="00762B9B"/>
    <w:rsid w:val="007640AD"/>
    <w:rsid w:val="0076555D"/>
    <w:rsid w:val="0076562A"/>
    <w:rsid w:val="0076564B"/>
    <w:rsid w:val="00766374"/>
    <w:rsid w:val="007703C1"/>
    <w:rsid w:val="00772CA0"/>
    <w:rsid w:val="00772CD6"/>
    <w:rsid w:val="00773442"/>
    <w:rsid w:val="00773AF2"/>
    <w:rsid w:val="00773B0D"/>
    <w:rsid w:val="00774223"/>
    <w:rsid w:val="0077432B"/>
    <w:rsid w:val="007762C8"/>
    <w:rsid w:val="00776AF0"/>
    <w:rsid w:val="0077732B"/>
    <w:rsid w:val="00777A40"/>
    <w:rsid w:val="00780C83"/>
    <w:rsid w:val="007817F0"/>
    <w:rsid w:val="00783311"/>
    <w:rsid w:val="00783769"/>
    <w:rsid w:val="00783984"/>
    <w:rsid w:val="00783A3E"/>
    <w:rsid w:val="0078436C"/>
    <w:rsid w:val="00785E3D"/>
    <w:rsid w:val="00790270"/>
    <w:rsid w:val="00790B51"/>
    <w:rsid w:val="00791028"/>
    <w:rsid w:val="00791144"/>
    <w:rsid w:val="00792E01"/>
    <w:rsid w:val="00793D76"/>
    <w:rsid w:val="00793E08"/>
    <w:rsid w:val="00794494"/>
    <w:rsid w:val="00794D2D"/>
    <w:rsid w:val="007956B2"/>
    <w:rsid w:val="00795B79"/>
    <w:rsid w:val="007974A2"/>
    <w:rsid w:val="007A0108"/>
    <w:rsid w:val="007A2D7F"/>
    <w:rsid w:val="007A2D83"/>
    <w:rsid w:val="007A46F0"/>
    <w:rsid w:val="007A5619"/>
    <w:rsid w:val="007A77EC"/>
    <w:rsid w:val="007B125F"/>
    <w:rsid w:val="007B2B48"/>
    <w:rsid w:val="007B3805"/>
    <w:rsid w:val="007B3D21"/>
    <w:rsid w:val="007B3F09"/>
    <w:rsid w:val="007B44E9"/>
    <w:rsid w:val="007B457A"/>
    <w:rsid w:val="007B4BD6"/>
    <w:rsid w:val="007B4ED6"/>
    <w:rsid w:val="007B50AE"/>
    <w:rsid w:val="007B51DA"/>
    <w:rsid w:val="007B609B"/>
    <w:rsid w:val="007B74E5"/>
    <w:rsid w:val="007C1DCA"/>
    <w:rsid w:val="007C1DD5"/>
    <w:rsid w:val="007C3EBF"/>
    <w:rsid w:val="007C3FF8"/>
    <w:rsid w:val="007C4704"/>
    <w:rsid w:val="007C4DFC"/>
    <w:rsid w:val="007C4E39"/>
    <w:rsid w:val="007C5DE2"/>
    <w:rsid w:val="007C6E15"/>
    <w:rsid w:val="007C7F2E"/>
    <w:rsid w:val="007D074E"/>
    <w:rsid w:val="007D13D2"/>
    <w:rsid w:val="007D1D56"/>
    <w:rsid w:val="007D3218"/>
    <w:rsid w:val="007D3567"/>
    <w:rsid w:val="007D3954"/>
    <w:rsid w:val="007D3C5B"/>
    <w:rsid w:val="007D444F"/>
    <w:rsid w:val="007D5FF9"/>
    <w:rsid w:val="007D61F4"/>
    <w:rsid w:val="007D7043"/>
    <w:rsid w:val="007D7DE3"/>
    <w:rsid w:val="007D7E99"/>
    <w:rsid w:val="007E05B6"/>
    <w:rsid w:val="007E0A3B"/>
    <w:rsid w:val="007E2706"/>
    <w:rsid w:val="007E378F"/>
    <w:rsid w:val="007E6484"/>
    <w:rsid w:val="007E7773"/>
    <w:rsid w:val="007E7C2D"/>
    <w:rsid w:val="007F05F5"/>
    <w:rsid w:val="007F0700"/>
    <w:rsid w:val="007F1953"/>
    <w:rsid w:val="007F1BC1"/>
    <w:rsid w:val="007F2454"/>
    <w:rsid w:val="007F2765"/>
    <w:rsid w:val="007F2A66"/>
    <w:rsid w:val="007F4093"/>
    <w:rsid w:val="007F45FF"/>
    <w:rsid w:val="00801AFC"/>
    <w:rsid w:val="008025AA"/>
    <w:rsid w:val="00802C58"/>
    <w:rsid w:val="008037CC"/>
    <w:rsid w:val="00803915"/>
    <w:rsid w:val="00804866"/>
    <w:rsid w:val="008143DA"/>
    <w:rsid w:val="0081507C"/>
    <w:rsid w:val="00816FD3"/>
    <w:rsid w:val="00817D98"/>
    <w:rsid w:val="00817EF1"/>
    <w:rsid w:val="00821A89"/>
    <w:rsid w:val="00821C2F"/>
    <w:rsid w:val="00822EEB"/>
    <w:rsid w:val="00825023"/>
    <w:rsid w:val="008254C2"/>
    <w:rsid w:val="00826F77"/>
    <w:rsid w:val="008276AB"/>
    <w:rsid w:val="00827CB1"/>
    <w:rsid w:val="00830A6D"/>
    <w:rsid w:val="008328B7"/>
    <w:rsid w:val="00832D29"/>
    <w:rsid w:val="008330E5"/>
    <w:rsid w:val="008331FA"/>
    <w:rsid w:val="008338A7"/>
    <w:rsid w:val="00833A4F"/>
    <w:rsid w:val="00835EC3"/>
    <w:rsid w:val="00836A64"/>
    <w:rsid w:val="008372A6"/>
    <w:rsid w:val="00837331"/>
    <w:rsid w:val="00837C38"/>
    <w:rsid w:val="008415BA"/>
    <w:rsid w:val="00841E8C"/>
    <w:rsid w:val="008424C5"/>
    <w:rsid w:val="00842AEC"/>
    <w:rsid w:val="00842FF6"/>
    <w:rsid w:val="0084351B"/>
    <w:rsid w:val="00844F26"/>
    <w:rsid w:val="00845FC9"/>
    <w:rsid w:val="008460C4"/>
    <w:rsid w:val="00846EEF"/>
    <w:rsid w:val="00847199"/>
    <w:rsid w:val="008476CC"/>
    <w:rsid w:val="00850454"/>
    <w:rsid w:val="00850B53"/>
    <w:rsid w:val="00851D04"/>
    <w:rsid w:val="0085211D"/>
    <w:rsid w:val="0085235B"/>
    <w:rsid w:val="00852726"/>
    <w:rsid w:val="00852E5D"/>
    <w:rsid w:val="00854660"/>
    <w:rsid w:val="0085569D"/>
    <w:rsid w:val="00855D48"/>
    <w:rsid w:val="008574A9"/>
    <w:rsid w:val="008575F2"/>
    <w:rsid w:val="0085760F"/>
    <w:rsid w:val="008579C5"/>
    <w:rsid w:val="008616D9"/>
    <w:rsid w:val="0086217E"/>
    <w:rsid w:val="0086329A"/>
    <w:rsid w:val="00866263"/>
    <w:rsid w:val="008670CC"/>
    <w:rsid w:val="0086725A"/>
    <w:rsid w:val="008673D5"/>
    <w:rsid w:val="008675D4"/>
    <w:rsid w:val="008677F0"/>
    <w:rsid w:val="00867E73"/>
    <w:rsid w:val="00870592"/>
    <w:rsid w:val="00870C4F"/>
    <w:rsid w:val="00870D25"/>
    <w:rsid w:val="00870FC7"/>
    <w:rsid w:val="008715D6"/>
    <w:rsid w:val="00872779"/>
    <w:rsid w:val="008727F5"/>
    <w:rsid w:val="00873C12"/>
    <w:rsid w:val="0087451F"/>
    <w:rsid w:val="00875770"/>
    <w:rsid w:val="00880384"/>
    <w:rsid w:val="0088137A"/>
    <w:rsid w:val="00881737"/>
    <w:rsid w:val="00881AD1"/>
    <w:rsid w:val="00883484"/>
    <w:rsid w:val="00884BFE"/>
    <w:rsid w:val="00885349"/>
    <w:rsid w:val="00885422"/>
    <w:rsid w:val="008859CD"/>
    <w:rsid w:val="00886DBA"/>
    <w:rsid w:val="008879E5"/>
    <w:rsid w:val="0089009A"/>
    <w:rsid w:val="008900AE"/>
    <w:rsid w:val="00890347"/>
    <w:rsid w:val="00890888"/>
    <w:rsid w:val="008916DA"/>
    <w:rsid w:val="00893BB6"/>
    <w:rsid w:val="00893CBC"/>
    <w:rsid w:val="00894869"/>
    <w:rsid w:val="00895025"/>
    <w:rsid w:val="0089522C"/>
    <w:rsid w:val="00896DF5"/>
    <w:rsid w:val="00897227"/>
    <w:rsid w:val="00897A3E"/>
    <w:rsid w:val="008A03B3"/>
    <w:rsid w:val="008A1731"/>
    <w:rsid w:val="008A239A"/>
    <w:rsid w:val="008A320B"/>
    <w:rsid w:val="008A40DD"/>
    <w:rsid w:val="008A56F2"/>
    <w:rsid w:val="008A71B3"/>
    <w:rsid w:val="008A77BF"/>
    <w:rsid w:val="008A7C43"/>
    <w:rsid w:val="008B0290"/>
    <w:rsid w:val="008B0DDC"/>
    <w:rsid w:val="008B0FB6"/>
    <w:rsid w:val="008B2462"/>
    <w:rsid w:val="008B396E"/>
    <w:rsid w:val="008B4BC5"/>
    <w:rsid w:val="008B5717"/>
    <w:rsid w:val="008B609F"/>
    <w:rsid w:val="008B6674"/>
    <w:rsid w:val="008B7F61"/>
    <w:rsid w:val="008C0C3C"/>
    <w:rsid w:val="008C10BD"/>
    <w:rsid w:val="008C1C2A"/>
    <w:rsid w:val="008C2ADF"/>
    <w:rsid w:val="008C3276"/>
    <w:rsid w:val="008C3E8B"/>
    <w:rsid w:val="008C4A25"/>
    <w:rsid w:val="008C4A4E"/>
    <w:rsid w:val="008C5F77"/>
    <w:rsid w:val="008C7D9D"/>
    <w:rsid w:val="008D07DA"/>
    <w:rsid w:val="008D0B6F"/>
    <w:rsid w:val="008D10C5"/>
    <w:rsid w:val="008D1333"/>
    <w:rsid w:val="008D1FC9"/>
    <w:rsid w:val="008D2525"/>
    <w:rsid w:val="008D2914"/>
    <w:rsid w:val="008D31F8"/>
    <w:rsid w:val="008D356D"/>
    <w:rsid w:val="008D48A1"/>
    <w:rsid w:val="008D4E48"/>
    <w:rsid w:val="008D555F"/>
    <w:rsid w:val="008D5DD0"/>
    <w:rsid w:val="008D6792"/>
    <w:rsid w:val="008D7631"/>
    <w:rsid w:val="008E07B8"/>
    <w:rsid w:val="008E07DF"/>
    <w:rsid w:val="008E0912"/>
    <w:rsid w:val="008E2655"/>
    <w:rsid w:val="008E3900"/>
    <w:rsid w:val="008E3B7D"/>
    <w:rsid w:val="008F0453"/>
    <w:rsid w:val="008F17E7"/>
    <w:rsid w:val="008F19DA"/>
    <w:rsid w:val="008F2450"/>
    <w:rsid w:val="008F2805"/>
    <w:rsid w:val="008F2855"/>
    <w:rsid w:val="008F33B3"/>
    <w:rsid w:val="008F70CE"/>
    <w:rsid w:val="008F7F9E"/>
    <w:rsid w:val="00900316"/>
    <w:rsid w:val="00902634"/>
    <w:rsid w:val="00904857"/>
    <w:rsid w:val="0090777A"/>
    <w:rsid w:val="00907E56"/>
    <w:rsid w:val="009101FF"/>
    <w:rsid w:val="009114FE"/>
    <w:rsid w:val="00912361"/>
    <w:rsid w:val="00912769"/>
    <w:rsid w:val="00914099"/>
    <w:rsid w:val="00914436"/>
    <w:rsid w:val="009168F4"/>
    <w:rsid w:val="0092059E"/>
    <w:rsid w:val="009226A6"/>
    <w:rsid w:val="00922A61"/>
    <w:rsid w:val="00924A36"/>
    <w:rsid w:val="0092603E"/>
    <w:rsid w:val="009261EA"/>
    <w:rsid w:val="0092676F"/>
    <w:rsid w:val="00926931"/>
    <w:rsid w:val="00926DBA"/>
    <w:rsid w:val="00927287"/>
    <w:rsid w:val="00930300"/>
    <w:rsid w:val="009305B1"/>
    <w:rsid w:val="009307F4"/>
    <w:rsid w:val="0093134E"/>
    <w:rsid w:val="009329D4"/>
    <w:rsid w:val="009331B4"/>
    <w:rsid w:val="00933E2F"/>
    <w:rsid w:val="009354DB"/>
    <w:rsid w:val="00940833"/>
    <w:rsid w:val="0094182C"/>
    <w:rsid w:val="00941D22"/>
    <w:rsid w:val="00942980"/>
    <w:rsid w:val="009459F2"/>
    <w:rsid w:val="00950963"/>
    <w:rsid w:val="00951C5E"/>
    <w:rsid w:val="00951D84"/>
    <w:rsid w:val="00951E96"/>
    <w:rsid w:val="00951FF8"/>
    <w:rsid w:val="0095248A"/>
    <w:rsid w:val="009528F6"/>
    <w:rsid w:val="00952F60"/>
    <w:rsid w:val="0095534B"/>
    <w:rsid w:val="009554C4"/>
    <w:rsid w:val="0095665D"/>
    <w:rsid w:val="009577D5"/>
    <w:rsid w:val="009603B8"/>
    <w:rsid w:val="0096168C"/>
    <w:rsid w:val="0096175B"/>
    <w:rsid w:val="00963780"/>
    <w:rsid w:val="009637AA"/>
    <w:rsid w:val="00967299"/>
    <w:rsid w:val="00970C7A"/>
    <w:rsid w:val="00970CF6"/>
    <w:rsid w:val="00970DA2"/>
    <w:rsid w:val="00972918"/>
    <w:rsid w:val="0097295D"/>
    <w:rsid w:val="009731D8"/>
    <w:rsid w:val="00973775"/>
    <w:rsid w:val="00974A9F"/>
    <w:rsid w:val="009752C0"/>
    <w:rsid w:val="0097633D"/>
    <w:rsid w:val="00976CE7"/>
    <w:rsid w:val="00977C71"/>
    <w:rsid w:val="009810DE"/>
    <w:rsid w:val="009818AD"/>
    <w:rsid w:val="00982323"/>
    <w:rsid w:val="00982A0B"/>
    <w:rsid w:val="00982AF3"/>
    <w:rsid w:val="00982EA4"/>
    <w:rsid w:val="00983326"/>
    <w:rsid w:val="00983C69"/>
    <w:rsid w:val="00984493"/>
    <w:rsid w:val="00984BA1"/>
    <w:rsid w:val="00984F03"/>
    <w:rsid w:val="0098667A"/>
    <w:rsid w:val="009909F2"/>
    <w:rsid w:val="009917DD"/>
    <w:rsid w:val="009918B1"/>
    <w:rsid w:val="00991D28"/>
    <w:rsid w:val="009921B2"/>
    <w:rsid w:val="009921E7"/>
    <w:rsid w:val="00992B0F"/>
    <w:rsid w:val="00993255"/>
    <w:rsid w:val="00993795"/>
    <w:rsid w:val="009946A7"/>
    <w:rsid w:val="00994F12"/>
    <w:rsid w:val="00995126"/>
    <w:rsid w:val="00997984"/>
    <w:rsid w:val="009A050C"/>
    <w:rsid w:val="009A1798"/>
    <w:rsid w:val="009A22BC"/>
    <w:rsid w:val="009A6C7B"/>
    <w:rsid w:val="009A7553"/>
    <w:rsid w:val="009A787E"/>
    <w:rsid w:val="009A7941"/>
    <w:rsid w:val="009A7C54"/>
    <w:rsid w:val="009B08C2"/>
    <w:rsid w:val="009B0A81"/>
    <w:rsid w:val="009B1484"/>
    <w:rsid w:val="009B1DC0"/>
    <w:rsid w:val="009B258B"/>
    <w:rsid w:val="009B27EF"/>
    <w:rsid w:val="009B354C"/>
    <w:rsid w:val="009B477E"/>
    <w:rsid w:val="009B6E4D"/>
    <w:rsid w:val="009C03BD"/>
    <w:rsid w:val="009C0B5C"/>
    <w:rsid w:val="009C1436"/>
    <w:rsid w:val="009C2533"/>
    <w:rsid w:val="009C32DD"/>
    <w:rsid w:val="009C42C4"/>
    <w:rsid w:val="009C4A6B"/>
    <w:rsid w:val="009C5001"/>
    <w:rsid w:val="009C52BA"/>
    <w:rsid w:val="009C5558"/>
    <w:rsid w:val="009C61DD"/>
    <w:rsid w:val="009D1C6F"/>
    <w:rsid w:val="009D2CD4"/>
    <w:rsid w:val="009D3140"/>
    <w:rsid w:val="009D3261"/>
    <w:rsid w:val="009D3F58"/>
    <w:rsid w:val="009D61B0"/>
    <w:rsid w:val="009D67AC"/>
    <w:rsid w:val="009D718E"/>
    <w:rsid w:val="009D776B"/>
    <w:rsid w:val="009E03B8"/>
    <w:rsid w:val="009E1040"/>
    <w:rsid w:val="009E2216"/>
    <w:rsid w:val="009E286B"/>
    <w:rsid w:val="009E30C5"/>
    <w:rsid w:val="009E3990"/>
    <w:rsid w:val="009E3A82"/>
    <w:rsid w:val="009E4916"/>
    <w:rsid w:val="009E4A7F"/>
    <w:rsid w:val="009E60B3"/>
    <w:rsid w:val="009E7D92"/>
    <w:rsid w:val="009F145E"/>
    <w:rsid w:val="009F38AC"/>
    <w:rsid w:val="009F4F7D"/>
    <w:rsid w:val="009F5097"/>
    <w:rsid w:val="009F53EB"/>
    <w:rsid w:val="009F62C5"/>
    <w:rsid w:val="009F6393"/>
    <w:rsid w:val="009F6A61"/>
    <w:rsid w:val="00A01C98"/>
    <w:rsid w:val="00A0215D"/>
    <w:rsid w:val="00A024CF"/>
    <w:rsid w:val="00A05141"/>
    <w:rsid w:val="00A05A39"/>
    <w:rsid w:val="00A05CB0"/>
    <w:rsid w:val="00A05DDE"/>
    <w:rsid w:val="00A062AE"/>
    <w:rsid w:val="00A06BB3"/>
    <w:rsid w:val="00A06D14"/>
    <w:rsid w:val="00A1020B"/>
    <w:rsid w:val="00A10BB6"/>
    <w:rsid w:val="00A13662"/>
    <w:rsid w:val="00A149A2"/>
    <w:rsid w:val="00A14D65"/>
    <w:rsid w:val="00A154B3"/>
    <w:rsid w:val="00A15CC6"/>
    <w:rsid w:val="00A1723F"/>
    <w:rsid w:val="00A204F6"/>
    <w:rsid w:val="00A20614"/>
    <w:rsid w:val="00A21CA0"/>
    <w:rsid w:val="00A2346E"/>
    <w:rsid w:val="00A23752"/>
    <w:rsid w:val="00A23EAB"/>
    <w:rsid w:val="00A24593"/>
    <w:rsid w:val="00A24926"/>
    <w:rsid w:val="00A25BA8"/>
    <w:rsid w:val="00A26548"/>
    <w:rsid w:val="00A26A65"/>
    <w:rsid w:val="00A30B57"/>
    <w:rsid w:val="00A30FE8"/>
    <w:rsid w:val="00A319C3"/>
    <w:rsid w:val="00A33573"/>
    <w:rsid w:val="00A34375"/>
    <w:rsid w:val="00A34603"/>
    <w:rsid w:val="00A35482"/>
    <w:rsid w:val="00A35CCB"/>
    <w:rsid w:val="00A36BF2"/>
    <w:rsid w:val="00A37345"/>
    <w:rsid w:val="00A37ADF"/>
    <w:rsid w:val="00A4006B"/>
    <w:rsid w:val="00A402BE"/>
    <w:rsid w:val="00A41E14"/>
    <w:rsid w:val="00A433B9"/>
    <w:rsid w:val="00A43628"/>
    <w:rsid w:val="00A44537"/>
    <w:rsid w:val="00A44B10"/>
    <w:rsid w:val="00A457ED"/>
    <w:rsid w:val="00A45E9A"/>
    <w:rsid w:val="00A462DC"/>
    <w:rsid w:val="00A4685B"/>
    <w:rsid w:val="00A502A8"/>
    <w:rsid w:val="00A50372"/>
    <w:rsid w:val="00A51F9D"/>
    <w:rsid w:val="00A5299B"/>
    <w:rsid w:val="00A529B2"/>
    <w:rsid w:val="00A52A80"/>
    <w:rsid w:val="00A536AC"/>
    <w:rsid w:val="00A54B6C"/>
    <w:rsid w:val="00A54EA1"/>
    <w:rsid w:val="00A565D3"/>
    <w:rsid w:val="00A6103C"/>
    <w:rsid w:val="00A61583"/>
    <w:rsid w:val="00A63058"/>
    <w:rsid w:val="00A63166"/>
    <w:rsid w:val="00A63909"/>
    <w:rsid w:val="00A64CED"/>
    <w:rsid w:val="00A654AB"/>
    <w:rsid w:val="00A659E5"/>
    <w:rsid w:val="00A667F2"/>
    <w:rsid w:val="00A672A7"/>
    <w:rsid w:val="00A70EE5"/>
    <w:rsid w:val="00A71168"/>
    <w:rsid w:val="00A72C99"/>
    <w:rsid w:val="00A7381E"/>
    <w:rsid w:val="00A747E1"/>
    <w:rsid w:val="00A769DD"/>
    <w:rsid w:val="00A8078D"/>
    <w:rsid w:val="00A8095A"/>
    <w:rsid w:val="00A80F39"/>
    <w:rsid w:val="00A810AB"/>
    <w:rsid w:val="00A81D11"/>
    <w:rsid w:val="00A81D7F"/>
    <w:rsid w:val="00A833F9"/>
    <w:rsid w:val="00A84366"/>
    <w:rsid w:val="00A84FA9"/>
    <w:rsid w:val="00A85138"/>
    <w:rsid w:val="00A85F78"/>
    <w:rsid w:val="00A86773"/>
    <w:rsid w:val="00A8719C"/>
    <w:rsid w:val="00A90568"/>
    <w:rsid w:val="00A90EC5"/>
    <w:rsid w:val="00A91DD4"/>
    <w:rsid w:val="00A920C9"/>
    <w:rsid w:val="00A92FC3"/>
    <w:rsid w:val="00A937A8"/>
    <w:rsid w:val="00A94974"/>
    <w:rsid w:val="00A94A5B"/>
    <w:rsid w:val="00A94FB5"/>
    <w:rsid w:val="00A96DA9"/>
    <w:rsid w:val="00A96E09"/>
    <w:rsid w:val="00A974EE"/>
    <w:rsid w:val="00AA0C62"/>
    <w:rsid w:val="00AA1710"/>
    <w:rsid w:val="00AA22B1"/>
    <w:rsid w:val="00AA249C"/>
    <w:rsid w:val="00AA39D4"/>
    <w:rsid w:val="00AA3F02"/>
    <w:rsid w:val="00AA5E4E"/>
    <w:rsid w:val="00AA608D"/>
    <w:rsid w:val="00AA6496"/>
    <w:rsid w:val="00AA7320"/>
    <w:rsid w:val="00AA7CF6"/>
    <w:rsid w:val="00AB24C2"/>
    <w:rsid w:val="00AB34AC"/>
    <w:rsid w:val="00AB4D3B"/>
    <w:rsid w:val="00AB5559"/>
    <w:rsid w:val="00AB630F"/>
    <w:rsid w:val="00AB685A"/>
    <w:rsid w:val="00AB7971"/>
    <w:rsid w:val="00AC0261"/>
    <w:rsid w:val="00AC0B07"/>
    <w:rsid w:val="00AC2287"/>
    <w:rsid w:val="00AC4253"/>
    <w:rsid w:val="00AC49E5"/>
    <w:rsid w:val="00AC5C5B"/>
    <w:rsid w:val="00AC6D0B"/>
    <w:rsid w:val="00AC7CDB"/>
    <w:rsid w:val="00AD1452"/>
    <w:rsid w:val="00AD2A40"/>
    <w:rsid w:val="00AD3E97"/>
    <w:rsid w:val="00AD5328"/>
    <w:rsid w:val="00AD61E1"/>
    <w:rsid w:val="00AD6E89"/>
    <w:rsid w:val="00AD73A3"/>
    <w:rsid w:val="00AE0158"/>
    <w:rsid w:val="00AE118B"/>
    <w:rsid w:val="00AE1F0A"/>
    <w:rsid w:val="00AE2C80"/>
    <w:rsid w:val="00AE317E"/>
    <w:rsid w:val="00AE361F"/>
    <w:rsid w:val="00AE3EFA"/>
    <w:rsid w:val="00AE44A9"/>
    <w:rsid w:val="00AE4558"/>
    <w:rsid w:val="00AE4EED"/>
    <w:rsid w:val="00AE5499"/>
    <w:rsid w:val="00AE6C61"/>
    <w:rsid w:val="00AF020B"/>
    <w:rsid w:val="00AF05BE"/>
    <w:rsid w:val="00AF10D4"/>
    <w:rsid w:val="00AF1F69"/>
    <w:rsid w:val="00AF2302"/>
    <w:rsid w:val="00AF4035"/>
    <w:rsid w:val="00AF442E"/>
    <w:rsid w:val="00AF55B9"/>
    <w:rsid w:val="00AF5A18"/>
    <w:rsid w:val="00AF5BB1"/>
    <w:rsid w:val="00AF5D62"/>
    <w:rsid w:val="00AF6BE3"/>
    <w:rsid w:val="00AF7314"/>
    <w:rsid w:val="00AF73A3"/>
    <w:rsid w:val="00AF79BB"/>
    <w:rsid w:val="00B00EB9"/>
    <w:rsid w:val="00B027A7"/>
    <w:rsid w:val="00B051C8"/>
    <w:rsid w:val="00B0679A"/>
    <w:rsid w:val="00B075B5"/>
    <w:rsid w:val="00B07B98"/>
    <w:rsid w:val="00B10221"/>
    <w:rsid w:val="00B11176"/>
    <w:rsid w:val="00B11CFA"/>
    <w:rsid w:val="00B12240"/>
    <w:rsid w:val="00B1361E"/>
    <w:rsid w:val="00B13BD0"/>
    <w:rsid w:val="00B1410A"/>
    <w:rsid w:val="00B14604"/>
    <w:rsid w:val="00B15345"/>
    <w:rsid w:val="00B15761"/>
    <w:rsid w:val="00B15CC7"/>
    <w:rsid w:val="00B168ED"/>
    <w:rsid w:val="00B16B8F"/>
    <w:rsid w:val="00B172DE"/>
    <w:rsid w:val="00B17F94"/>
    <w:rsid w:val="00B2080A"/>
    <w:rsid w:val="00B21869"/>
    <w:rsid w:val="00B23427"/>
    <w:rsid w:val="00B24AA7"/>
    <w:rsid w:val="00B260DF"/>
    <w:rsid w:val="00B26F2F"/>
    <w:rsid w:val="00B270D7"/>
    <w:rsid w:val="00B3112B"/>
    <w:rsid w:val="00B31ECD"/>
    <w:rsid w:val="00B326BF"/>
    <w:rsid w:val="00B33FE1"/>
    <w:rsid w:val="00B34A58"/>
    <w:rsid w:val="00B34B43"/>
    <w:rsid w:val="00B359D9"/>
    <w:rsid w:val="00B36307"/>
    <w:rsid w:val="00B36577"/>
    <w:rsid w:val="00B37098"/>
    <w:rsid w:val="00B370C8"/>
    <w:rsid w:val="00B37A60"/>
    <w:rsid w:val="00B445CD"/>
    <w:rsid w:val="00B46633"/>
    <w:rsid w:val="00B479C5"/>
    <w:rsid w:val="00B508CA"/>
    <w:rsid w:val="00B51260"/>
    <w:rsid w:val="00B5297E"/>
    <w:rsid w:val="00B548CE"/>
    <w:rsid w:val="00B54B57"/>
    <w:rsid w:val="00B55BAA"/>
    <w:rsid w:val="00B56560"/>
    <w:rsid w:val="00B56A12"/>
    <w:rsid w:val="00B56F35"/>
    <w:rsid w:val="00B601BA"/>
    <w:rsid w:val="00B60C0E"/>
    <w:rsid w:val="00B60C47"/>
    <w:rsid w:val="00B61B26"/>
    <w:rsid w:val="00B62892"/>
    <w:rsid w:val="00B629C0"/>
    <w:rsid w:val="00B63D1A"/>
    <w:rsid w:val="00B64016"/>
    <w:rsid w:val="00B64D15"/>
    <w:rsid w:val="00B65054"/>
    <w:rsid w:val="00B6566A"/>
    <w:rsid w:val="00B6615A"/>
    <w:rsid w:val="00B66D16"/>
    <w:rsid w:val="00B71466"/>
    <w:rsid w:val="00B71890"/>
    <w:rsid w:val="00B72731"/>
    <w:rsid w:val="00B748AB"/>
    <w:rsid w:val="00B74918"/>
    <w:rsid w:val="00B76772"/>
    <w:rsid w:val="00B76CB3"/>
    <w:rsid w:val="00B77FEE"/>
    <w:rsid w:val="00B80328"/>
    <w:rsid w:val="00B81145"/>
    <w:rsid w:val="00B8170E"/>
    <w:rsid w:val="00B837C2"/>
    <w:rsid w:val="00B84B15"/>
    <w:rsid w:val="00B84F76"/>
    <w:rsid w:val="00B85B87"/>
    <w:rsid w:val="00B87B12"/>
    <w:rsid w:val="00B87F8C"/>
    <w:rsid w:val="00B909B6"/>
    <w:rsid w:val="00B92277"/>
    <w:rsid w:val="00B92567"/>
    <w:rsid w:val="00B92E60"/>
    <w:rsid w:val="00B9317B"/>
    <w:rsid w:val="00B936DD"/>
    <w:rsid w:val="00B95391"/>
    <w:rsid w:val="00B963B6"/>
    <w:rsid w:val="00B969E1"/>
    <w:rsid w:val="00B96BE8"/>
    <w:rsid w:val="00B973AA"/>
    <w:rsid w:val="00B974A6"/>
    <w:rsid w:val="00BA019B"/>
    <w:rsid w:val="00BA039A"/>
    <w:rsid w:val="00BA0CA4"/>
    <w:rsid w:val="00BA12DD"/>
    <w:rsid w:val="00BA1CA3"/>
    <w:rsid w:val="00BA3385"/>
    <w:rsid w:val="00BA369D"/>
    <w:rsid w:val="00BA3A37"/>
    <w:rsid w:val="00BA3B35"/>
    <w:rsid w:val="00BA4A30"/>
    <w:rsid w:val="00BA557F"/>
    <w:rsid w:val="00BB177D"/>
    <w:rsid w:val="00BB2104"/>
    <w:rsid w:val="00BB2CE0"/>
    <w:rsid w:val="00BB6CD4"/>
    <w:rsid w:val="00BB7770"/>
    <w:rsid w:val="00BB7CB1"/>
    <w:rsid w:val="00BC12D3"/>
    <w:rsid w:val="00BC17CF"/>
    <w:rsid w:val="00BC2344"/>
    <w:rsid w:val="00BC3DF5"/>
    <w:rsid w:val="00BC4B4C"/>
    <w:rsid w:val="00BC4BB4"/>
    <w:rsid w:val="00BC4CF5"/>
    <w:rsid w:val="00BC5902"/>
    <w:rsid w:val="00BC76FC"/>
    <w:rsid w:val="00BD1261"/>
    <w:rsid w:val="00BD5031"/>
    <w:rsid w:val="00BD607C"/>
    <w:rsid w:val="00BD6C46"/>
    <w:rsid w:val="00BD7A3F"/>
    <w:rsid w:val="00BE053D"/>
    <w:rsid w:val="00BE0E7F"/>
    <w:rsid w:val="00BE1E1E"/>
    <w:rsid w:val="00BE22A9"/>
    <w:rsid w:val="00BE4B36"/>
    <w:rsid w:val="00BE542A"/>
    <w:rsid w:val="00BE6EAD"/>
    <w:rsid w:val="00BF012E"/>
    <w:rsid w:val="00BF34D3"/>
    <w:rsid w:val="00BF3ACD"/>
    <w:rsid w:val="00BF4D06"/>
    <w:rsid w:val="00BF5560"/>
    <w:rsid w:val="00BF7C59"/>
    <w:rsid w:val="00C00F2F"/>
    <w:rsid w:val="00C01EF2"/>
    <w:rsid w:val="00C02568"/>
    <w:rsid w:val="00C033A8"/>
    <w:rsid w:val="00C03CD2"/>
    <w:rsid w:val="00C040AC"/>
    <w:rsid w:val="00C05365"/>
    <w:rsid w:val="00C06037"/>
    <w:rsid w:val="00C062F6"/>
    <w:rsid w:val="00C06397"/>
    <w:rsid w:val="00C06B35"/>
    <w:rsid w:val="00C06D23"/>
    <w:rsid w:val="00C07858"/>
    <w:rsid w:val="00C10573"/>
    <w:rsid w:val="00C11136"/>
    <w:rsid w:val="00C11240"/>
    <w:rsid w:val="00C119B8"/>
    <w:rsid w:val="00C12B95"/>
    <w:rsid w:val="00C12E49"/>
    <w:rsid w:val="00C159EA"/>
    <w:rsid w:val="00C1762A"/>
    <w:rsid w:val="00C17EE9"/>
    <w:rsid w:val="00C21390"/>
    <w:rsid w:val="00C21CF8"/>
    <w:rsid w:val="00C21EFE"/>
    <w:rsid w:val="00C233E2"/>
    <w:rsid w:val="00C242DD"/>
    <w:rsid w:val="00C244C5"/>
    <w:rsid w:val="00C25218"/>
    <w:rsid w:val="00C25CF4"/>
    <w:rsid w:val="00C26119"/>
    <w:rsid w:val="00C271D5"/>
    <w:rsid w:val="00C2722E"/>
    <w:rsid w:val="00C3000E"/>
    <w:rsid w:val="00C30D94"/>
    <w:rsid w:val="00C333F9"/>
    <w:rsid w:val="00C344FA"/>
    <w:rsid w:val="00C34894"/>
    <w:rsid w:val="00C34C02"/>
    <w:rsid w:val="00C34CDF"/>
    <w:rsid w:val="00C34FA0"/>
    <w:rsid w:val="00C3562E"/>
    <w:rsid w:val="00C35D9B"/>
    <w:rsid w:val="00C36EDE"/>
    <w:rsid w:val="00C37023"/>
    <w:rsid w:val="00C375E1"/>
    <w:rsid w:val="00C37CD7"/>
    <w:rsid w:val="00C4089C"/>
    <w:rsid w:val="00C41CBD"/>
    <w:rsid w:val="00C4272E"/>
    <w:rsid w:val="00C428EA"/>
    <w:rsid w:val="00C430FA"/>
    <w:rsid w:val="00C46EC7"/>
    <w:rsid w:val="00C5048D"/>
    <w:rsid w:val="00C50B7C"/>
    <w:rsid w:val="00C512B9"/>
    <w:rsid w:val="00C51A8D"/>
    <w:rsid w:val="00C534D2"/>
    <w:rsid w:val="00C539D1"/>
    <w:rsid w:val="00C53D81"/>
    <w:rsid w:val="00C54433"/>
    <w:rsid w:val="00C54822"/>
    <w:rsid w:val="00C5600A"/>
    <w:rsid w:val="00C56199"/>
    <w:rsid w:val="00C6041D"/>
    <w:rsid w:val="00C61604"/>
    <w:rsid w:val="00C64631"/>
    <w:rsid w:val="00C646F1"/>
    <w:rsid w:val="00C64E8B"/>
    <w:rsid w:val="00C66212"/>
    <w:rsid w:val="00C6726F"/>
    <w:rsid w:val="00C70DD2"/>
    <w:rsid w:val="00C71B81"/>
    <w:rsid w:val="00C71F79"/>
    <w:rsid w:val="00C72F5A"/>
    <w:rsid w:val="00C72F82"/>
    <w:rsid w:val="00C73BF1"/>
    <w:rsid w:val="00C73F25"/>
    <w:rsid w:val="00C73FFF"/>
    <w:rsid w:val="00C74531"/>
    <w:rsid w:val="00C759F0"/>
    <w:rsid w:val="00C7610C"/>
    <w:rsid w:val="00C777F1"/>
    <w:rsid w:val="00C77FDC"/>
    <w:rsid w:val="00C81238"/>
    <w:rsid w:val="00C81776"/>
    <w:rsid w:val="00C81A2D"/>
    <w:rsid w:val="00C82AB2"/>
    <w:rsid w:val="00C82C1D"/>
    <w:rsid w:val="00C82E28"/>
    <w:rsid w:val="00C8336A"/>
    <w:rsid w:val="00C83D38"/>
    <w:rsid w:val="00C83DAC"/>
    <w:rsid w:val="00C84519"/>
    <w:rsid w:val="00C84B6E"/>
    <w:rsid w:val="00C84CD7"/>
    <w:rsid w:val="00C8750E"/>
    <w:rsid w:val="00C90B08"/>
    <w:rsid w:val="00C92600"/>
    <w:rsid w:val="00C92C21"/>
    <w:rsid w:val="00C92FB3"/>
    <w:rsid w:val="00C9362A"/>
    <w:rsid w:val="00C941A3"/>
    <w:rsid w:val="00C943C1"/>
    <w:rsid w:val="00C94917"/>
    <w:rsid w:val="00C9502D"/>
    <w:rsid w:val="00C9765A"/>
    <w:rsid w:val="00C97918"/>
    <w:rsid w:val="00CA0A7A"/>
    <w:rsid w:val="00CA0E70"/>
    <w:rsid w:val="00CA1D8E"/>
    <w:rsid w:val="00CA2BBB"/>
    <w:rsid w:val="00CA33B7"/>
    <w:rsid w:val="00CA471B"/>
    <w:rsid w:val="00CA52FC"/>
    <w:rsid w:val="00CA56EE"/>
    <w:rsid w:val="00CA5A3E"/>
    <w:rsid w:val="00CA7565"/>
    <w:rsid w:val="00CA7D75"/>
    <w:rsid w:val="00CB28C5"/>
    <w:rsid w:val="00CB62FC"/>
    <w:rsid w:val="00CB73E9"/>
    <w:rsid w:val="00CB743B"/>
    <w:rsid w:val="00CC00E6"/>
    <w:rsid w:val="00CC080D"/>
    <w:rsid w:val="00CC0E4E"/>
    <w:rsid w:val="00CC40E0"/>
    <w:rsid w:val="00CC57C3"/>
    <w:rsid w:val="00CC5D00"/>
    <w:rsid w:val="00CC65ED"/>
    <w:rsid w:val="00CC7397"/>
    <w:rsid w:val="00CC7C91"/>
    <w:rsid w:val="00CD1643"/>
    <w:rsid w:val="00CD1C8D"/>
    <w:rsid w:val="00CD228A"/>
    <w:rsid w:val="00CD2EB9"/>
    <w:rsid w:val="00CD5029"/>
    <w:rsid w:val="00CD516B"/>
    <w:rsid w:val="00CD6022"/>
    <w:rsid w:val="00CD62D0"/>
    <w:rsid w:val="00CD725F"/>
    <w:rsid w:val="00CD7458"/>
    <w:rsid w:val="00CE00A8"/>
    <w:rsid w:val="00CE044D"/>
    <w:rsid w:val="00CE0742"/>
    <w:rsid w:val="00CE1122"/>
    <w:rsid w:val="00CE12B7"/>
    <w:rsid w:val="00CE198C"/>
    <w:rsid w:val="00CE1FB7"/>
    <w:rsid w:val="00CE236C"/>
    <w:rsid w:val="00CE3FBF"/>
    <w:rsid w:val="00CE4EAA"/>
    <w:rsid w:val="00CE5359"/>
    <w:rsid w:val="00CE60A6"/>
    <w:rsid w:val="00CE6A38"/>
    <w:rsid w:val="00CE7E42"/>
    <w:rsid w:val="00CF00B4"/>
    <w:rsid w:val="00CF1D76"/>
    <w:rsid w:val="00CF26F8"/>
    <w:rsid w:val="00CF44D9"/>
    <w:rsid w:val="00CF45D6"/>
    <w:rsid w:val="00CF47EB"/>
    <w:rsid w:val="00CF4BBD"/>
    <w:rsid w:val="00CF5827"/>
    <w:rsid w:val="00CF6727"/>
    <w:rsid w:val="00D00B1E"/>
    <w:rsid w:val="00D01EE2"/>
    <w:rsid w:val="00D02CAF"/>
    <w:rsid w:val="00D03419"/>
    <w:rsid w:val="00D03FAB"/>
    <w:rsid w:val="00D04552"/>
    <w:rsid w:val="00D04698"/>
    <w:rsid w:val="00D04FD3"/>
    <w:rsid w:val="00D053B8"/>
    <w:rsid w:val="00D05D7E"/>
    <w:rsid w:val="00D063F7"/>
    <w:rsid w:val="00D0739D"/>
    <w:rsid w:val="00D07C7C"/>
    <w:rsid w:val="00D07DA3"/>
    <w:rsid w:val="00D10CF2"/>
    <w:rsid w:val="00D10D48"/>
    <w:rsid w:val="00D11958"/>
    <w:rsid w:val="00D11C8C"/>
    <w:rsid w:val="00D138D5"/>
    <w:rsid w:val="00D14583"/>
    <w:rsid w:val="00D148C2"/>
    <w:rsid w:val="00D16999"/>
    <w:rsid w:val="00D16C53"/>
    <w:rsid w:val="00D176BE"/>
    <w:rsid w:val="00D20F77"/>
    <w:rsid w:val="00D22094"/>
    <w:rsid w:val="00D22F44"/>
    <w:rsid w:val="00D23905"/>
    <w:rsid w:val="00D23A1E"/>
    <w:rsid w:val="00D23D6A"/>
    <w:rsid w:val="00D24408"/>
    <w:rsid w:val="00D247C5"/>
    <w:rsid w:val="00D24CD9"/>
    <w:rsid w:val="00D262B8"/>
    <w:rsid w:val="00D26D31"/>
    <w:rsid w:val="00D273F7"/>
    <w:rsid w:val="00D27643"/>
    <w:rsid w:val="00D303B4"/>
    <w:rsid w:val="00D30A3C"/>
    <w:rsid w:val="00D32EBF"/>
    <w:rsid w:val="00D33C8F"/>
    <w:rsid w:val="00D34B9A"/>
    <w:rsid w:val="00D406B4"/>
    <w:rsid w:val="00D409F5"/>
    <w:rsid w:val="00D40F9F"/>
    <w:rsid w:val="00D415B6"/>
    <w:rsid w:val="00D41995"/>
    <w:rsid w:val="00D42613"/>
    <w:rsid w:val="00D4268B"/>
    <w:rsid w:val="00D42A55"/>
    <w:rsid w:val="00D43BC4"/>
    <w:rsid w:val="00D45FD2"/>
    <w:rsid w:val="00D46C9D"/>
    <w:rsid w:val="00D46DBE"/>
    <w:rsid w:val="00D50217"/>
    <w:rsid w:val="00D504C9"/>
    <w:rsid w:val="00D50A94"/>
    <w:rsid w:val="00D51F9C"/>
    <w:rsid w:val="00D536B0"/>
    <w:rsid w:val="00D54534"/>
    <w:rsid w:val="00D568DF"/>
    <w:rsid w:val="00D6069D"/>
    <w:rsid w:val="00D61E22"/>
    <w:rsid w:val="00D621D3"/>
    <w:rsid w:val="00D62ACE"/>
    <w:rsid w:val="00D64049"/>
    <w:rsid w:val="00D6408A"/>
    <w:rsid w:val="00D6444A"/>
    <w:rsid w:val="00D65122"/>
    <w:rsid w:val="00D651F6"/>
    <w:rsid w:val="00D65535"/>
    <w:rsid w:val="00D65DD6"/>
    <w:rsid w:val="00D668AD"/>
    <w:rsid w:val="00D7001C"/>
    <w:rsid w:val="00D70187"/>
    <w:rsid w:val="00D7029B"/>
    <w:rsid w:val="00D71BDA"/>
    <w:rsid w:val="00D71FAE"/>
    <w:rsid w:val="00D72BF6"/>
    <w:rsid w:val="00D74427"/>
    <w:rsid w:val="00D75634"/>
    <w:rsid w:val="00D777A1"/>
    <w:rsid w:val="00D808EC"/>
    <w:rsid w:val="00D8113F"/>
    <w:rsid w:val="00D826D6"/>
    <w:rsid w:val="00D83DBC"/>
    <w:rsid w:val="00D841BC"/>
    <w:rsid w:val="00D84F94"/>
    <w:rsid w:val="00D850C6"/>
    <w:rsid w:val="00D85460"/>
    <w:rsid w:val="00D87D5B"/>
    <w:rsid w:val="00D90342"/>
    <w:rsid w:val="00D90E7A"/>
    <w:rsid w:val="00D90F46"/>
    <w:rsid w:val="00D91175"/>
    <w:rsid w:val="00D9173D"/>
    <w:rsid w:val="00D92418"/>
    <w:rsid w:val="00D9270C"/>
    <w:rsid w:val="00DA1185"/>
    <w:rsid w:val="00DA1196"/>
    <w:rsid w:val="00DA14A1"/>
    <w:rsid w:val="00DA2256"/>
    <w:rsid w:val="00DA2B9A"/>
    <w:rsid w:val="00DA2C4C"/>
    <w:rsid w:val="00DA3346"/>
    <w:rsid w:val="00DA4758"/>
    <w:rsid w:val="00DA4C39"/>
    <w:rsid w:val="00DA4DD7"/>
    <w:rsid w:val="00DA4DDA"/>
    <w:rsid w:val="00DA5376"/>
    <w:rsid w:val="00DA610D"/>
    <w:rsid w:val="00DA7AB2"/>
    <w:rsid w:val="00DB0EFF"/>
    <w:rsid w:val="00DB2184"/>
    <w:rsid w:val="00DB2895"/>
    <w:rsid w:val="00DB42CF"/>
    <w:rsid w:val="00DB447F"/>
    <w:rsid w:val="00DB6228"/>
    <w:rsid w:val="00DB74F3"/>
    <w:rsid w:val="00DC08E8"/>
    <w:rsid w:val="00DC0E6B"/>
    <w:rsid w:val="00DC1090"/>
    <w:rsid w:val="00DC1A3C"/>
    <w:rsid w:val="00DC22AF"/>
    <w:rsid w:val="00DC3E5C"/>
    <w:rsid w:val="00DC523B"/>
    <w:rsid w:val="00DC554E"/>
    <w:rsid w:val="00DC772B"/>
    <w:rsid w:val="00DD016D"/>
    <w:rsid w:val="00DD06B5"/>
    <w:rsid w:val="00DD1A71"/>
    <w:rsid w:val="00DD20D9"/>
    <w:rsid w:val="00DD2C16"/>
    <w:rsid w:val="00DD32E5"/>
    <w:rsid w:val="00DD3F47"/>
    <w:rsid w:val="00DD4D37"/>
    <w:rsid w:val="00DD5391"/>
    <w:rsid w:val="00DD6096"/>
    <w:rsid w:val="00DE00EE"/>
    <w:rsid w:val="00DE00F7"/>
    <w:rsid w:val="00DE0805"/>
    <w:rsid w:val="00DE0C62"/>
    <w:rsid w:val="00DE118D"/>
    <w:rsid w:val="00DE15FD"/>
    <w:rsid w:val="00DE4416"/>
    <w:rsid w:val="00DE4A1B"/>
    <w:rsid w:val="00DE4BC7"/>
    <w:rsid w:val="00DE4FAC"/>
    <w:rsid w:val="00DE57A3"/>
    <w:rsid w:val="00DE630C"/>
    <w:rsid w:val="00DE788B"/>
    <w:rsid w:val="00DE7E41"/>
    <w:rsid w:val="00DF016B"/>
    <w:rsid w:val="00DF0E8F"/>
    <w:rsid w:val="00DF1107"/>
    <w:rsid w:val="00DF116F"/>
    <w:rsid w:val="00DF1BD0"/>
    <w:rsid w:val="00DF1FB2"/>
    <w:rsid w:val="00DF2DD4"/>
    <w:rsid w:val="00DF42E8"/>
    <w:rsid w:val="00DF4A1B"/>
    <w:rsid w:val="00DF540C"/>
    <w:rsid w:val="00DF63DC"/>
    <w:rsid w:val="00DF6BB8"/>
    <w:rsid w:val="00DF7EF4"/>
    <w:rsid w:val="00E003BE"/>
    <w:rsid w:val="00E00588"/>
    <w:rsid w:val="00E01368"/>
    <w:rsid w:val="00E02011"/>
    <w:rsid w:val="00E0289E"/>
    <w:rsid w:val="00E037F3"/>
    <w:rsid w:val="00E03F9F"/>
    <w:rsid w:val="00E0592A"/>
    <w:rsid w:val="00E073D4"/>
    <w:rsid w:val="00E07E85"/>
    <w:rsid w:val="00E108BE"/>
    <w:rsid w:val="00E130C7"/>
    <w:rsid w:val="00E13453"/>
    <w:rsid w:val="00E17E81"/>
    <w:rsid w:val="00E20808"/>
    <w:rsid w:val="00E20935"/>
    <w:rsid w:val="00E2202C"/>
    <w:rsid w:val="00E30B3A"/>
    <w:rsid w:val="00E32176"/>
    <w:rsid w:val="00E322E7"/>
    <w:rsid w:val="00E35C00"/>
    <w:rsid w:val="00E4012B"/>
    <w:rsid w:val="00E40F99"/>
    <w:rsid w:val="00E41142"/>
    <w:rsid w:val="00E41995"/>
    <w:rsid w:val="00E41C4A"/>
    <w:rsid w:val="00E41E60"/>
    <w:rsid w:val="00E42726"/>
    <w:rsid w:val="00E42FB5"/>
    <w:rsid w:val="00E435EC"/>
    <w:rsid w:val="00E45E17"/>
    <w:rsid w:val="00E462D9"/>
    <w:rsid w:val="00E52386"/>
    <w:rsid w:val="00E53DF5"/>
    <w:rsid w:val="00E543C4"/>
    <w:rsid w:val="00E54B36"/>
    <w:rsid w:val="00E55CCC"/>
    <w:rsid w:val="00E563B3"/>
    <w:rsid w:val="00E5730C"/>
    <w:rsid w:val="00E57512"/>
    <w:rsid w:val="00E575A7"/>
    <w:rsid w:val="00E57913"/>
    <w:rsid w:val="00E57A33"/>
    <w:rsid w:val="00E6090D"/>
    <w:rsid w:val="00E61D50"/>
    <w:rsid w:val="00E62D50"/>
    <w:rsid w:val="00E62E97"/>
    <w:rsid w:val="00E63114"/>
    <w:rsid w:val="00E6338F"/>
    <w:rsid w:val="00E64C08"/>
    <w:rsid w:val="00E673E2"/>
    <w:rsid w:val="00E67F9A"/>
    <w:rsid w:val="00E7030E"/>
    <w:rsid w:val="00E704A8"/>
    <w:rsid w:val="00E70AC5"/>
    <w:rsid w:val="00E714D9"/>
    <w:rsid w:val="00E73E2F"/>
    <w:rsid w:val="00E74255"/>
    <w:rsid w:val="00E74769"/>
    <w:rsid w:val="00E74EDF"/>
    <w:rsid w:val="00E76792"/>
    <w:rsid w:val="00E771D9"/>
    <w:rsid w:val="00E77636"/>
    <w:rsid w:val="00E779CC"/>
    <w:rsid w:val="00E77D2C"/>
    <w:rsid w:val="00E8088F"/>
    <w:rsid w:val="00E80955"/>
    <w:rsid w:val="00E81930"/>
    <w:rsid w:val="00E82522"/>
    <w:rsid w:val="00E838E6"/>
    <w:rsid w:val="00E844EC"/>
    <w:rsid w:val="00E851AB"/>
    <w:rsid w:val="00E857C4"/>
    <w:rsid w:val="00E86127"/>
    <w:rsid w:val="00E86346"/>
    <w:rsid w:val="00E86DD7"/>
    <w:rsid w:val="00E90F43"/>
    <w:rsid w:val="00E913B6"/>
    <w:rsid w:val="00E9259C"/>
    <w:rsid w:val="00E9279B"/>
    <w:rsid w:val="00E92B5E"/>
    <w:rsid w:val="00E93FF9"/>
    <w:rsid w:val="00E9589D"/>
    <w:rsid w:val="00E96072"/>
    <w:rsid w:val="00E9624C"/>
    <w:rsid w:val="00E96ED3"/>
    <w:rsid w:val="00E97FA8"/>
    <w:rsid w:val="00EA0383"/>
    <w:rsid w:val="00EA084F"/>
    <w:rsid w:val="00EA2B7C"/>
    <w:rsid w:val="00EA305A"/>
    <w:rsid w:val="00EA45A5"/>
    <w:rsid w:val="00EA579B"/>
    <w:rsid w:val="00EA7F7E"/>
    <w:rsid w:val="00EB0067"/>
    <w:rsid w:val="00EB0869"/>
    <w:rsid w:val="00EB11EA"/>
    <w:rsid w:val="00EB2BDC"/>
    <w:rsid w:val="00EB3D83"/>
    <w:rsid w:val="00EB478C"/>
    <w:rsid w:val="00EB4CF0"/>
    <w:rsid w:val="00EB52E0"/>
    <w:rsid w:val="00EB7080"/>
    <w:rsid w:val="00EC05FC"/>
    <w:rsid w:val="00EC0795"/>
    <w:rsid w:val="00EC2CF3"/>
    <w:rsid w:val="00EC3377"/>
    <w:rsid w:val="00EC3AC7"/>
    <w:rsid w:val="00EC448B"/>
    <w:rsid w:val="00EC5501"/>
    <w:rsid w:val="00EC5F4B"/>
    <w:rsid w:val="00EC78C3"/>
    <w:rsid w:val="00EC7D66"/>
    <w:rsid w:val="00ED03F7"/>
    <w:rsid w:val="00ED1A44"/>
    <w:rsid w:val="00ED26DA"/>
    <w:rsid w:val="00ED28D3"/>
    <w:rsid w:val="00ED3006"/>
    <w:rsid w:val="00ED3E06"/>
    <w:rsid w:val="00ED4227"/>
    <w:rsid w:val="00ED47E3"/>
    <w:rsid w:val="00ED4A08"/>
    <w:rsid w:val="00ED67FF"/>
    <w:rsid w:val="00ED7EF6"/>
    <w:rsid w:val="00EE0A85"/>
    <w:rsid w:val="00EE10B9"/>
    <w:rsid w:val="00EE2C65"/>
    <w:rsid w:val="00EE326F"/>
    <w:rsid w:val="00EE32BE"/>
    <w:rsid w:val="00EE4E16"/>
    <w:rsid w:val="00EE51C1"/>
    <w:rsid w:val="00EE69E3"/>
    <w:rsid w:val="00EE69ED"/>
    <w:rsid w:val="00EE7101"/>
    <w:rsid w:val="00EE74BD"/>
    <w:rsid w:val="00EF044F"/>
    <w:rsid w:val="00EF08AD"/>
    <w:rsid w:val="00EF0A14"/>
    <w:rsid w:val="00EF0BD8"/>
    <w:rsid w:val="00EF1477"/>
    <w:rsid w:val="00EF1FEB"/>
    <w:rsid w:val="00EF2698"/>
    <w:rsid w:val="00EF29E6"/>
    <w:rsid w:val="00EF49F9"/>
    <w:rsid w:val="00EF4D0F"/>
    <w:rsid w:val="00EF5B70"/>
    <w:rsid w:val="00EF5FA8"/>
    <w:rsid w:val="00EF71FD"/>
    <w:rsid w:val="00EF7901"/>
    <w:rsid w:val="00EF7A88"/>
    <w:rsid w:val="00F00690"/>
    <w:rsid w:val="00F008E4"/>
    <w:rsid w:val="00F01440"/>
    <w:rsid w:val="00F02020"/>
    <w:rsid w:val="00F056FC"/>
    <w:rsid w:val="00F05EFB"/>
    <w:rsid w:val="00F07118"/>
    <w:rsid w:val="00F076EA"/>
    <w:rsid w:val="00F1068F"/>
    <w:rsid w:val="00F118EC"/>
    <w:rsid w:val="00F11E78"/>
    <w:rsid w:val="00F12553"/>
    <w:rsid w:val="00F13251"/>
    <w:rsid w:val="00F13EFE"/>
    <w:rsid w:val="00F14750"/>
    <w:rsid w:val="00F14C36"/>
    <w:rsid w:val="00F14CA3"/>
    <w:rsid w:val="00F14F5C"/>
    <w:rsid w:val="00F160EB"/>
    <w:rsid w:val="00F163C1"/>
    <w:rsid w:val="00F167B9"/>
    <w:rsid w:val="00F169FE"/>
    <w:rsid w:val="00F17474"/>
    <w:rsid w:val="00F21C7F"/>
    <w:rsid w:val="00F21D0B"/>
    <w:rsid w:val="00F23AAE"/>
    <w:rsid w:val="00F23AE0"/>
    <w:rsid w:val="00F25018"/>
    <w:rsid w:val="00F255F9"/>
    <w:rsid w:val="00F25A70"/>
    <w:rsid w:val="00F26902"/>
    <w:rsid w:val="00F30741"/>
    <w:rsid w:val="00F30C8A"/>
    <w:rsid w:val="00F315D6"/>
    <w:rsid w:val="00F31DB1"/>
    <w:rsid w:val="00F32948"/>
    <w:rsid w:val="00F32A5D"/>
    <w:rsid w:val="00F331DC"/>
    <w:rsid w:val="00F33CF9"/>
    <w:rsid w:val="00F3466C"/>
    <w:rsid w:val="00F34D3A"/>
    <w:rsid w:val="00F35B3B"/>
    <w:rsid w:val="00F363C3"/>
    <w:rsid w:val="00F367E8"/>
    <w:rsid w:val="00F37F22"/>
    <w:rsid w:val="00F40C4E"/>
    <w:rsid w:val="00F415C1"/>
    <w:rsid w:val="00F41737"/>
    <w:rsid w:val="00F41781"/>
    <w:rsid w:val="00F41A89"/>
    <w:rsid w:val="00F4276D"/>
    <w:rsid w:val="00F452DA"/>
    <w:rsid w:val="00F457AD"/>
    <w:rsid w:val="00F4608D"/>
    <w:rsid w:val="00F473DB"/>
    <w:rsid w:val="00F476C2"/>
    <w:rsid w:val="00F4773A"/>
    <w:rsid w:val="00F47A90"/>
    <w:rsid w:val="00F50042"/>
    <w:rsid w:val="00F509A6"/>
    <w:rsid w:val="00F50E09"/>
    <w:rsid w:val="00F5117D"/>
    <w:rsid w:val="00F52780"/>
    <w:rsid w:val="00F5326B"/>
    <w:rsid w:val="00F53B1B"/>
    <w:rsid w:val="00F55036"/>
    <w:rsid w:val="00F557EE"/>
    <w:rsid w:val="00F56B9F"/>
    <w:rsid w:val="00F57227"/>
    <w:rsid w:val="00F60546"/>
    <w:rsid w:val="00F6161F"/>
    <w:rsid w:val="00F61E4E"/>
    <w:rsid w:val="00F62511"/>
    <w:rsid w:val="00F65153"/>
    <w:rsid w:val="00F658AA"/>
    <w:rsid w:val="00F65BA3"/>
    <w:rsid w:val="00F65FC4"/>
    <w:rsid w:val="00F66759"/>
    <w:rsid w:val="00F70E8C"/>
    <w:rsid w:val="00F72256"/>
    <w:rsid w:val="00F723A7"/>
    <w:rsid w:val="00F725A1"/>
    <w:rsid w:val="00F72667"/>
    <w:rsid w:val="00F727D8"/>
    <w:rsid w:val="00F72823"/>
    <w:rsid w:val="00F74D49"/>
    <w:rsid w:val="00F751D8"/>
    <w:rsid w:val="00F755AD"/>
    <w:rsid w:val="00F767D6"/>
    <w:rsid w:val="00F768FC"/>
    <w:rsid w:val="00F77150"/>
    <w:rsid w:val="00F80043"/>
    <w:rsid w:val="00F803A4"/>
    <w:rsid w:val="00F80642"/>
    <w:rsid w:val="00F80D21"/>
    <w:rsid w:val="00F80E95"/>
    <w:rsid w:val="00F8133A"/>
    <w:rsid w:val="00F81A4C"/>
    <w:rsid w:val="00F82F7E"/>
    <w:rsid w:val="00F8310D"/>
    <w:rsid w:val="00F8422E"/>
    <w:rsid w:val="00F8482C"/>
    <w:rsid w:val="00F84F02"/>
    <w:rsid w:val="00F85B2C"/>
    <w:rsid w:val="00F86643"/>
    <w:rsid w:val="00F86E98"/>
    <w:rsid w:val="00F9012B"/>
    <w:rsid w:val="00F9209A"/>
    <w:rsid w:val="00F93115"/>
    <w:rsid w:val="00F939AB"/>
    <w:rsid w:val="00F93DA9"/>
    <w:rsid w:val="00F9431C"/>
    <w:rsid w:val="00F957AF"/>
    <w:rsid w:val="00F95F6D"/>
    <w:rsid w:val="00F961EC"/>
    <w:rsid w:val="00F97BD2"/>
    <w:rsid w:val="00F97C09"/>
    <w:rsid w:val="00FA16EB"/>
    <w:rsid w:val="00FA1A36"/>
    <w:rsid w:val="00FA30A5"/>
    <w:rsid w:val="00FA3CF5"/>
    <w:rsid w:val="00FA5F08"/>
    <w:rsid w:val="00FA6F8C"/>
    <w:rsid w:val="00FB3886"/>
    <w:rsid w:val="00FB3B08"/>
    <w:rsid w:val="00FB5FAC"/>
    <w:rsid w:val="00FB6946"/>
    <w:rsid w:val="00FB7309"/>
    <w:rsid w:val="00FC1347"/>
    <w:rsid w:val="00FC2DCE"/>
    <w:rsid w:val="00FC3618"/>
    <w:rsid w:val="00FC3B8F"/>
    <w:rsid w:val="00FC715F"/>
    <w:rsid w:val="00FD1EDF"/>
    <w:rsid w:val="00FD4729"/>
    <w:rsid w:val="00FD6754"/>
    <w:rsid w:val="00FD7037"/>
    <w:rsid w:val="00FD79A3"/>
    <w:rsid w:val="00FD7EC3"/>
    <w:rsid w:val="00FE000A"/>
    <w:rsid w:val="00FE0C85"/>
    <w:rsid w:val="00FE2181"/>
    <w:rsid w:val="00FE4274"/>
    <w:rsid w:val="00FE470D"/>
    <w:rsid w:val="00FE4C6A"/>
    <w:rsid w:val="00FE530F"/>
    <w:rsid w:val="00FE6F7A"/>
    <w:rsid w:val="00FE7380"/>
    <w:rsid w:val="00FE77B7"/>
    <w:rsid w:val="00FE7CE2"/>
    <w:rsid w:val="00FF0013"/>
    <w:rsid w:val="00FF1050"/>
    <w:rsid w:val="00FF19B5"/>
    <w:rsid w:val="00FF2A23"/>
    <w:rsid w:val="00FF3612"/>
    <w:rsid w:val="00FF4238"/>
    <w:rsid w:val="00FF4880"/>
    <w:rsid w:val="00FF6544"/>
    <w:rsid w:val="00FF7191"/>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2A6C0"/>
  <w15:chartTrackingRefBased/>
  <w15:docId w15:val="{397EF340-EC5D-4AAB-B3EB-491074B70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7CB"/>
    <w:rPr>
      <w:lang w:val="en-GB"/>
    </w:rPr>
  </w:style>
  <w:style w:type="paragraph" w:styleId="Rubrik1">
    <w:name w:val="heading 1"/>
    <w:basedOn w:val="Normal"/>
    <w:next w:val="Normal"/>
    <w:link w:val="Rubrik1Char"/>
    <w:uiPriority w:val="9"/>
    <w:qFormat/>
    <w:rsid w:val="00201B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Rubrik2">
    <w:name w:val="heading 2"/>
    <w:basedOn w:val="Normal"/>
    <w:next w:val="Normal"/>
    <w:link w:val="Rubrik2Char"/>
    <w:uiPriority w:val="9"/>
    <w:semiHidden/>
    <w:unhideWhenUsed/>
    <w:qFormat/>
    <w:rsid w:val="00201B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Rubrik3">
    <w:name w:val="heading 3"/>
    <w:basedOn w:val="Normal"/>
    <w:next w:val="Normal"/>
    <w:link w:val="Rubrik3Char"/>
    <w:uiPriority w:val="9"/>
    <w:unhideWhenUsed/>
    <w:qFormat/>
    <w:rsid w:val="00201B96"/>
    <w:pPr>
      <w:keepNext/>
      <w:keepLines/>
      <w:spacing w:before="160" w:after="80"/>
      <w:outlineLvl w:val="2"/>
    </w:pPr>
    <w:rPr>
      <w:rFonts w:eastAsiaTheme="majorEastAsia" w:cstheme="majorBidi"/>
      <w:color w:val="2F5496" w:themeColor="accent1" w:themeShade="BF"/>
      <w:sz w:val="28"/>
      <w:szCs w:val="28"/>
    </w:rPr>
  </w:style>
  <w:style w:type="paragraph" w:styleId="Rubrik4">
    <w:name w:val="heading 4"/>
    <w:basedOn w:val="Normal"/>
    <w:next w:val="Normal"/>
    <w:link w:val="Rubrik4Char"/>
    <w:uiPriority w:val="9"/>
    <w:semiHidden/>
    <w:unhideWhenUsed/>
    <w:qFormat/>
    <w:rsid w:val="00201B96"/>
    <w:pPr>
      <w:keepNext/>
      <w:keepLines/>
      <w:spacing w:before="80" w:after="40"/>
      <w:outlineLvl w:val="3"/>
    </w:pPr>
    <w:rPr>
      <w:rFonts w:eastAsiaTheme="majorEastAsia" w:cstheme="majorBidi"/>
      <w:i/>
      <w:iCs/>
      <w:color w:val="2F5496" w:themeColor="accent1" w:themeShade="BF"/>
    </w:rPr>
  </w:style>
  <w:style w:type="paragraph" w:styleId="Rubrik5">
    <w:name w:val="heading 5"/>
    <w:basedOn w:val="Normal"/>
    <w:next w:val="Normal"/>
    <w:link w:val="Rubrik5Char"/>
    <w:uiPriority w:val="9"/>
    <w:semiHidden/>
    <w:unhideWhenUsed/>
    <w:qFormat/>
    <w:rsid w:val="00201B96"/>
    <w:pPr>
      <w:keepNext/>
      <w:keepLines/>
      <w:spacing w:before="80" w:after="40"/>
      <w:outlineLvl w:val="4"/>
    </w:pPr>
    <w:rPr>
      <w:rFonts w:eastAsiaTheme="majorEastAsia" w:cstheme="majorBidi"/>
      <w:color w:val="2F5496" w:themeColor="accent1" w:themeShade="BF"/>
    </w:rPr>
  </w:style>
  <w:style w:type="paragraph" w:styleId="Rubrik6">
    <w:name w:val="heading 6"/>
    <w:basedOn w:val="Normal"/>
    <w:next w:val="Normal"/>
    <w:link w:val="Rubrik6Char"/>
    <w:uiPriority w:val="9"/>
    <w:semiHidden/>
    <w:unhideWhenUsed/>
    <w:qFormat/>
    <w:rsid w:val="00201B96"/>
    <w:pPr>
      <w:keepNext/>
      <w:keepLines/>
      <w:spacing w:before="40" w:after="0"/>
      <w:outlineLvl w:val="5"/>
    </w:pPr>
    <w:rPr>
      <w:rFonts w:eastAsiaTheme="majorEastAsia" w:cstheme="majorBidi"/>
      <w:i/>
      <w:iCs/>
      <w:color w:val="595959" w:themeColor="text1" w:themeTint="A6"/>
    </w:rPr>
  </w:style>
  <w:style w:type="paragraph" w:styleId="Rubrik7">
    <w:name w:val="heading 7"/>
    <w:basedOn w:val="Normal"/>
    <w:next w:val="Normal"/>
    <w:link w:val="Rubrik7Char"/>
    <w:uiPriority w:val="9"/>
    <w:semiHidden/>
    <w:unhideWhenUsed/>
    <w:qFormat/>
    <w:rsid w:val="00201B96"/>
    <w:pPr>
      <w:keepNext/>
      <w:keepLines/>
      <w:spacing w:before="40" w:after="0"/>
      <w:outlineLvl w:val="6"/>
    </w:pPr>
    <w:rPr>
      <w:rFonts w:eastAsiaTheme="majorEastAsia" w:cstheme="majorBidi"/>
      <w:color w:val="595959" w:themeColor="text1" w:themeTint="A6"/>
    </w:rPr>
  </w:style>
  <w:style w:type="paragraph" w:styleId="Rubrik8">
    <w:name w:val="heading 8"/>
    <w:basedOn w:val="Normal"/>
    <w:next w:val="Normal"/>
    <w:link w:val="Rubrik8Char"/>
    <w:uiPriority w:val="9"/>
    <w:semiHidden/>
    <w:unhideWhenUsed/>
    <w:qFormat/>
    <w:rsid w:val="00201B96"/>
    <w:pPr>
      <w:keepNext/>
      <w:keepLines/>
      <w:spacing w:after="0"/>
      <w:outlineLvl w:val="7"/>
    </w:pPr>
    <w:rPr>
      <w:rFonts w:eastAsiaTheme="majorEastAsia" w:cstheme="majorBidi"/>
      <w:i/>
      <w:iCs/>
      <w:color w:val="272727" w:themeColor="text1" w:themeTint="D8"/>
    </w:rPr>
  </w:style>
  <w:style w:type="paragraph" w:styleId="Rubrik9">
    <w:name w:val="heading 9"/>
    <w:basedOn w:val="Normal"/>
    <w:next w:val="Normal"/>
    <w:link w:val="Rubrik9Char"/>
    <w:uiPriority w:val="9"/>
    <w:semiHidden/>
    <w:unhideWhenUsed/>
    <w:qFormat/>
    <w:rsid w:val="00201B96"/>
    <w:pPr>
      <w:keepNext/>
      <w:keepLines/>
      <w:spacing w:after="0"/>
      <w:outlineLvl w:val="8"/>
    </w:pPr>
    <w:rPr>
      <w:rFonts w:eastAsiaTheme="majorEastAsia" w:cstheme="majorBidi"/>
      <w:color w:val="272727" w:themeColor="text1" w:themeTint="D8"/>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
    <w:rsid w:val="00201B96"/>
    <w:rPr>
      <w:rFonts w:asciiTheme="majorHAnsi" w:eastAsiaTheme="majorEastAsia" w:hAnsiTheme="majorHAnsi" w:cstheme="majorBidi"/>
      <w:color w:val="2F5496" w:themeColor="accent1" w:themeShade="BF"/>
      <w:sz w:val="40"/>
      <w:szCs w:val="40"/>
    </w:rPr>
  </w:style>
  <w:style w:type="character" w:customStyle="1" w:styleId="Rubrik2Char">
    <w:name w:val="Rubrik 2 Char"/>
    <w:basedOn w:val="Standardstycketeckensnitt"/>
    <w:link w:val="Rubrik2"/>
    <w:uiPriority w:val="9"/>
    <w:semiHidden/>
    <w:rsid w:val="00201B96"/>
    <w:rPr>
      <w:rFonts w:asciiTheme="majorHAnsi" w:eastAsiaTheme="majorEastAsia" w:hAnsiTheme="majorHAnsi" w:cstheme="majorBidi"/>
      <w:color w:val="2F5496" w:themeColor="accent1" w:themeShade="BF"/>
      <w:sz w:val="32"/>
      <w:szCs w:val="32"/>
    </w:rPr>
  </w:style>
  <w:style w:type="character" w:customStyle="1" w:styleId="Rubrik3Char">
    <w:name w:val="Rubrik 3 Char"/>
    <w:basedOn w:val="Standardstycketeckensnitt"/>
    <w:link w:val="Rubrik3"/>
    <w:uiPriority w:val="9"/>
    <w:rsid w:val="00201B96"/>
    <w:rPr>
      <w:rFonts w:eastAsiaTheme="majorEastAsia" w:cstheme="majorBidi"/>
      <w:color w:val="2F5496" w:themeColor="accent1" w:themeShade="BF"/>
      <w:sz w:val="28"/>
      <w:szCs w:val="28"/>
    </w:rPr>
  </w:style>
  <w:style w:type="character" w:customStyle="1" w:styleId="Rubrik4Char">
    <w:name w:val="Rubrik 4 Char"/>
    <w:basedOn w:val="Standardstycketeckensnitt"/>
    <w:link w:val="Rubrik4"/>
    <w:uiPriority w:val="9"/>
    <w:semiHidden/>
    <w:rsid w:val="00201B96"/>
    <w:rPr>
      <w:rFonts w:eastAsiaTheme="majorEastAsia" w:cstheme="majorBidi"/>
      <w:i/>
      <w:iCs/>
      <w:color w:val="2F5496" w:themeColor="accent1" w:themeShade="BF"/>
    </w:rPr>
  </w:style>
  <w:style w:type="character" w:customStyle="1" w:styleId="Rubrik5Char">
    <w:name w:val="Rubrik 5 Char"/>
    <w:basedOn w:val="Standardstycketeckensnitt"/>
    <w:link w:val="Rubrik5"/>
    <w:uiPriority w:val="9"/>
    <w:semiHidden/>
    <w:rsid w:val="00201B96"/>
    <w:rPr>
      <w:rFonts w:eastAsiaTheme="majorEastAsia" w:cstheme="majorBidi"/>
      <w:color w:val="2F5496" w:themeColor="accent1" w:themeShade="BF"/>
    </w:rPr>
  </w:style>
  <w:style w:type="character" w:customStyle="1" w:styleId="Rubrik6Char">
    <w:name w:val="Rubrik 6 Char"/>
    <w:basedOn w:val="Standardstycketeckensnitt"/>
    <w:link w:val="Rubrik6"/>
    <w:uiPriority w:val="9"/>
    <w:semiHidden/>
    <w:rsid w:val="00201B96"/>
    <w:rPr>
      <w:rFonts w:eastAsiaTheme="majorEastAsia" w:cstheme="majorBidi"/>
      <w:i/>
      <w:iCs/>
      <w:color w:val="595959" w:themeColor="text1" w:themeTint="A6"/>
    </w:rPr>
  </w:style>
  <w:style w:type="character" w:customStyle="1" w:styleId="Rubrik7Char">
    <w:name w:val="Rubrik 7 Char"/>
    <w:basedOn w:val="Standardstycketeckensnitt"/>
    <w:link w:val="Rubrik7"/>
    <w:uiPriority w:val="9"/>
    <w:semiHidden/>
    <w:rsid w:val="00201B96"/>
    <w:rPr>
      <w:rFonts w:eastAsiaTheme="majorEastAsia" w:cstheme="majorBidi"/>
      <w:color w:val="595959" w:themeColor="text1" w:themeTint="A6"/>
    </w:rPr>
  </w:style>
  <w:style w:type="character" w:customStyle="1" w:styleId="Rubrik8Char">
    <w:name w:val="Rubrik 8 Char"/>
    <w:basedOn w:val="Standardstycketeckensnitt"/>
    <w:link w:val="Rubrik8"/>
    <w:uiPriority w:val="9"/>
    <w:semiHidden/>
    <w:rsid w:val="00201B96"/>
    <w:rPr>
      <w:rFonts w:eastAsiaTheme="majorEastAsia" w:cstheme="majorBidi"/>
      <w:i/>
      <w:iCs/>
      <w:color w:val="272727" w:themeColor="text1" w:themeTint="D8"/>
    </w:rPr>
  </w:style>
  <w:style w:type="character" w:customStyle="1" w:styleId="Rubrik9Char">
    <w:name w:val="Rubrik 9 Char"/>
    <w:basedOn w:val="Standardstycketeckensnitt"/>
    <w:link w:val="Rubrik9"/>
    <w:uiPriority w:val="9"/>
    <w:semiHidden/>
    <w:rsid w:val="00201B96"/>
    <w:rPr>
      <w:rFonts w:eastAsiaTheme="majorEastAsia" w:cstheme="majorBidi"/>
      <w:color w:val="272727" w:themeColor="text1" w:themeTint="D8"/>
    </w:rPr>
  </w:style>
  <w:style w:type="paragraph" w:styleId="Rubrik">
    <w:name w:val="Title"/>
    <w:basedOn w:val="Normal"/>
    <w:next w:val="Normal"/>
    <w:link w:val="RubrikChar"/>
    <w:uiPriority w:val="10"/>
    <w:qFormat/>
    <w:rsid w:val="00201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RubrikChar">
    <w:name w:val="Rubrik Char"/>
    <w:basedOn w:val="Standardstycketeckensnitt"/>
    <w:link w:val="Rubrik"/>
    <w:uiPriority w:val="10"/>
    <w:rsid w:val="00201B96"/>
    <w:rPr>
      <w:rFonts w:asciiTheme="majorHAnsi" w:eastAsiaTheme="majorEastAsia" w:hAnsiTheme="majorHAnsi" w:cstheme="majorBidi"/>
      <w:spacing w:val="-10"/>
      <w:kern w:val="28"/>
      <w:sz w:val="56"/>
      <w:szCs w:val="56"/>
    </w:rPr>
  </w:style>
  <w:style w:type="paragraph" w:styleId="Underrubrik">
    <w:name w:val="Subtitle"/>
    <w:basedOn w:val="Normal"/>
    <w:next w:val="Normal"/>
    <w:link w:val="UnderrubrikChar"/>
    <w:uiPriority w:val="11"/>
    <w:qFormat/>
    <w:rsid w:val="00201B96"/>
    <w:pPr>
      <w:numPr>
        <w:ilvl w:val="1"/>
      </w:numPr>
    </w:pPr>
    <w:rPr>
      <w:rFonts w:eastAsiaTheme="majorEastAsia" w:cstheme="majorBidi"/>
      <w:color w:val="595959" w:themeColor="text1" w:themeTint="A6"/>
      <w:spacing w:val="15"/>
      <w:sz w:val="28"/>
      <w:szCs w:val="28"/>
    </w:rPr>
  </w:style>
  <w:style w:type="character" w:customStyle="1" w:styleId="UnderrubrikChar">
    <w:name w:val="Underrubrik Char"/>
    <w:basedOn w:val="Standardstycketeckensnitt"/>
    <w:link w:val="Underrubrik"/>
    <w:uiPriority w:val="11"/>
    <w:rsid w:val="00201B96"/>
    <w:rPr>
      <w:rFonts w:eastAsiaTheme="majorEastAsia" w:cstheme="majorBidi"/>
      <w:color w:val="595959" w:themeColor="text1" w:themeTint="A6"/>
      <w:spacing w:val="15"/>
      <w:sz w:val="28"/>
      <w:szCs w:val="28"/>
    </w:rPr>
  </w:style>
  <w:style w:type="paragraph" w:styleId="Citat">
    <w:name w:val="Quote"/>
    <w:basedOn w:val="Normal"/>
    <w:next w:val="Normal"/>
    <w:link w:val="CitatChar"/>
    <w:uiPriority w:val="29"/>
    <w:qFormat/>
    <w:rsid w:val="00201B96"/>
    <w:pPr>
      <w:spacing w:before="160"/>
      <w:jc w:val="center"/>
    </w:pPr>
    <w:rPr>
      <w:i/>
      <w:iCs/>
      <w:color w:val="404040" w:themeColor="text1" w:themeTint="BF"/>
    </w:rPr>
  </w:style>
  <w:style w:type="character" w:customStyle="1" w:styleId="CitatChar">
    <w:name w:val="Citat Char"/>
    <w:basedOn w:val="Standardstycketeckensnitt"/>
    <w:link w:val="Citat"/>
    <w:uiPriority w:val="29"/>
    <w:rsid w:val="00201B96"/>
    <w:rPr>
      <w:i/>
      <w:iCs/>
      <w:color w:val="404040" w:themeColor="text1" w:themeTint="BF"/>
    </w:rPr>
  </w:style>
  <w:style w:type="paragraph" w:styleId="Liststycke">
    <w:name w:val="List Paragraph"/>
    <w:basedOn w:val="Normal"/>
    <w:uiPriority w:val="34"/>
    <w:qFormat/>
    <w:rsid w:val="00201B96"/>
    <w:pPr>
      <w:ind w:left="720"/>
      <w:contextualSpacing/>
    </w:pPr>
  </w:style>
  <w:style w:type="character" w:styleId="Starkbetoning">
    <w:name w:val="Intense Emphasis"/>
    <w:basedOn w:val="Standardstycketeckensnitt"/>
    <w:uiPriority w:val="21"/>
    <w:qFormat/>
    <w:rsid w:val="00201B96"/>
    <w:rPr>
      <w:i/>
      <w:iCs/>
      <w:color w:val="2F5496" w:themeColor="accent1" w:themeShade="BF"/>
    </w:rPr>
  </w:style>
  <w:style w:type="paragraph" w:styleId="Starktcitat">
    <w:name w:val="Intense Quote"/>
    <w:basedOn w:val="Normal"/>
    <w:next w:val="Normal"/>
    <w:link w:val="StarktcitatChar"/>
    <w:uiPriority w:val="30"/>
    <w:qFormat/>
    <w:rsid w:val="00201B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StarktcitatChar">
    <w:name w:val="Starkt citat Char"/>
    <w:basedOn w:val="Standardstycketeckensnitt"/>
    <w:link w:val="Starktcitat"/>
    <w:uiPriority w:val="30"/>
    <w:rsid w:val="00201B96"/>
    <w:rPr>
      <w:i/>
      <w:iCs/>
      <w:color w:val="2F5496" w:themeColor="accent1" w:themeShade="BF"/>
    </w:rPr>
  </w:style>
  <w:style w:type="character" w:styleId="Starkreferens">
    <w:name w:val="Intense Reference"/>
    <w:basedOn w:val="Standardstycketeckensnitt"/>
    <w:uiPriority w:val="32"/>
    <w:qFormat/>
    <w:rsid w:val="00201B96"/>
    <w:rPr>
      <w:b/>
      <w:bCs/>
      <w:smallCaps/>
      <w:color w:val="2F5496" w:themeColor="accent1" w:themeShade="BF"/>
      <w:spacing w:val="5"/>
    </w:rPr>
  </w:style>
  <w:style w:type="paragraph" w:styleId="Sidhuvud">
    <w:name w:val="header"/>
    <w:basedOn w:val="Normal"/>
    <w:link w:val="SidhuvudChar"/>
    <w:uiPriority w:val="99"/>
    <w:unhideWhenUsed/>
    <w:rsid w:val="007F2454"/>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7F2454"/>
    <w:rPr>
      <w:lang w:val="en-GB"/>
    </w:rPr>
  </w:style>
  <w:style w:type="paragraph" w:styleId="Sidfot">
    <w:name w:val="footer"/>
    <w:basedOn w:val="Normal"/>
    <w:link w:val="SidfotChar"/>
    <w:uiPriority w:val="99"/>
    <w:unhideWhenUsed/>
    <w:rsid w:val="007F2454"/>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7F2454"/>
    <w:rPr>
      <w:lang w:val="en-GB"/>
    </w:rPr>
  </w:style>
  <w:style w:type="character" w:styleId="Hyperlnk">
    <w:name w:val="Hyperlink"/>
    <w:basedOn w:val="Standardstycketeckensnitt"/>
    <w:uiPriority w:val="99"/>
    <w:unhideWhenUsed/>
    <w:rsid w:val="008A1731"/>
    <w:rPr>
      <w:color w:val="0563C1" w:themeColor="hyperlink"/>
      <w:u w:val="single"/>
    </w:rPr>
  </w:style>
  <w:style w:type="character" w:styleId="Olstomnmnande">
    <w:name w:val="Unresolved Mention"/>
    <w:basedOn w:val="Standardstycketeckensnitt"/>
    <w:uiPriority w:val="99"/>
    <w:semiHidden/>
    <w:unhideWhenUsed/>
    <w:rsid w:val="008A1731"/>
    <w:rPr>
      <w:color w:val="605E5C"/>
      <w:shd w:val="clear" w:color="auto" w:fill="E1DFDD"/>
    </w:rPr>
  </w:style>
  <w:style w:type="paragraph" w:styleId="Normalwebb">
    <w:name w:val="Normal (Web)"/>
    <w:basedOn w:val="Normal"/>
    <w:uiPriority w:val="99"/>
    <w:unhideWhenUsed/>
    <w:rsid w:val="003B43FD"/>
    <w:pPr>
      <w:spacing w:before="100" w:beforeAutospacing="1" w:after="100" w:afterAutospacing="1" w:line="240" w:lineRule="auto"/>
    </w:pPr>
    <w:rPr>
      <w:rFonts w:ascii="Times New Roman" w:eastAsia="Times New Roman" w:hAnsi="Times New Roman" w:cs="Times New Roman"/>
      <w:sz w:val="24"/>
      <w:szCs w:val="24"/>
      <w:lang w:val="sv-SE" w:eastAsia="sv-SE"/>
    </w:rPr>
  </w:style>
  <w:style w:type="character" w:styleId="Stark">
    <w:name w:val="Strong"/>
    <w:basedOn w:val="Standardstycketeckensnitt"/>
    <w:uiPriority w:val="22"/>
    <w:qFormat/>
    <w:rsid w:val="00252216"/>
    <w:rPr>
      <w:b/>
      <w:bCs/>
    </w:rPr>
  </w:style>
  <w:style w:type="paragraph" w:customStyle="1" w:styleId="pdq2pgselectionanchorcontainer">
    <w:name w:val="pdq2pg_selectionanchorcontainer"/>
    <w:basedOn w:val="Normal"/>
    <w:rsid w:val="00CC7C91"/>
    <w:pPr>
      <w:spacing w:before="100" w:beforeAutospacing="1" w:after="100" w:afterAutospacing="1" w:line="240" w:lineRule="auto"/>
    </w:pPr>
    <w:rPr>
      <w:rFonts w:ascii="Times New Roman" w:eastAsia="Times New Roman" w:hAnsi="Times New Roman" w:cs="Times New Roman"/>
      <w:sz w:val="24"/>
      <w:szCs w:val="24"/>
      <w:lang w:val="sv-SE" w:eastAsia="sv-SE"/>
    </w:rPr>
  </w:style>
  <w:style w:type="table" w:styleId="Tabellrutnt">
    <w:name w:val="Table Grid"/>
    <w:basedOn w:val="Normaltabell"/>
    <w:uiPriority w:val="39"/>
    <w:rsid w:val="008C2A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B11176"/>
    <w:pPr>
      <w:tabs>
        <w:tab w:val="decimal" w:pos="360"/>
      </w:tabs>
      <w:spacing w:after="200" w:line="276" w:lineRule="auto"/>
    </w:pPr>
    <w:rPr>
      <w:rFonts w:eastAsiaTheme="minorEastAsia" w:cs="Times New Roman"/>
      <w:lang w:val="sv-SE" w:eastAsia="sv-SE"/>
    </w:rPr>
  </w:style>
  <w:style w:type="paragraph" w:styleId="Fotnotstext">
    <w:name w:val="footnote text"/>
    <w:basedOn w:val="Normal"/>
    <w:link w:val="FotnotstextChar"/>
    <w:uiPriority w:val="99"/>
    <w:unhideWhenUsed/>
    <w:rsid w:val="00B11176"/>
    <w:pPr>
      <w:spacing w:after="0" w:line="240" w:lineRule="auto"/>
    </w:pPr>
    <w:rPr>
      <w:rFonts w:eastAsiaTheme="minorEastAsia" w:cs="Times New Roman"/>
      <w:sz w:val="20"/>
      <w:szCs w:val="20"/>
      <w:lang w:val="sv-SE" w:eastAsia="sv-SE"/>
    </w:rPr>
  </w:style>
  <w:style w:type="character" w:customStyle="1" w:styleId="FotnotstextChar">
    <w:name w:val="Fotnotstext Char"/>
    <w:basedOn w:val="Standardstycketeckensnitt"/>
    <w:link w:val="Fotnotstext"/>
    <w:uiPriority w:val="99"/>
    <w:rsid w:val="00B11176"/>
    <w:rPr>
      <w:rFonts w:eastAsiaTheme="minorEastAsia" w:cs="Times New Roman"/>
      <w:sz w:val="20"/>
      <w:szCs w:val="20"/>
      <w:lang w:eastAsia="sv-SE"/>
    </w:rPr>
  </w:style>
  <w:style w:type="character" w:styleId="Diskretbetoning">
    <w:name w:val="Subtle Emphasis"/>
    <w:basedOn w:val="Standardstycketeckensnitt"/>
    <w:uiPriority w:val="19"/>
    <w:qFormat/>
    <w:rsid w:val="00B11176"/>
    <w:rPr>
      <w:i/>
      <w:iCs/>
    </w:rPr>
  </w:style>
  <w:style w:type="table" w:styleId="Ljusskuggning-dekorfrg1">
    <w:name w:val="Light Shading Accent 1"/>
    <w:basedOn w:val="Normaltabell"/>
    <w:uiPriority w:val="60"/>
    <w:rsid w:val="00B11176"/>
    <w:pPr>
      <w:spacing w:after="0" w:line="240" w:lineRule="auto"/>
    </w:pPr>
    <w:rPr>
      <w:rFonts w:eastAsiaTheme="minorEastAsia"/>
      <w:color w:val="2F5496" w:themeColor="accent1" w:themeShade="BF"/>
      <w:lang w:eastAsia="sv-S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llanmrkskuggning2-dekorfrg5">
    <w:name w:val="Medium Shading 2 Accent 5"/>
    <w:basedOn w:val="Normaltabell"/>
    <w:uiPriority w:val="64"/>
    <w:rsid w:val="00D01EE2"/>
    <w:pPr>
      <w:spacing w:after="0" w:line="240" w:lineRule="auto"/>
    </w:pPr>
    <w:rPr>
      <w:rFonts w:eastAsiaTheme="minorEastAsia"/>
      <w:lang w:eastAsia="sv-S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Betoning">
    <w:name w:val="Emphasis"/>
    <w:basedOn w:val="Standardstycketeckensnitt"/>
    <w:uiPriority w:val="20"/>
    <w:qFormat/>
    <w:rsid w:val="005F56AF"/>
    <w:rPr>
      <w:i/>
      <w:iCs/>
    </w:rPr>
  </w:style>
  <w:style w:type="paragraph" w:customStyle="1" w:styleId="isselectedend">
    <w:name w:val="isselectedend"/>
    <w:basedOn w:val="Normal"/>
    <w:rsid w:val="00E01368"/>
    <w:pPr>
      <w:spacing w:before="100" w:beforeAutospacing="1" w:after="100" w:afterAutospacing="1" w:line="240" w:lineRule="auto"/>
    </w:pPr>
    <w:rPr>
      <w:rFonts w:ascii="Times New Roman" w:eastAsia="Times New Roman" w:hAnsi="Times New Roman" w:cs="Times New Roman"/>
      <w:sz w:val="24"/>
      <w:szCs w:val="24"/>
      <w:lang w:val="sv-SE" w:eastAsia="sv-S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614681221132944" TargetMode="External"/><Relationship Id="rId18" Type="http://schemas.openxmlformats.org/officeDocument/2006/relationships/hyperlink" Target="https://doi.org/10.1111/ejed.12284" TargetMode="External"/><Relationship Id="rId26" Type="http://schemas.openxmlformats.org/officeDocument/2006/relationships/hyperlink" Target="https://doi.org/10.1037/dhe0000045" TargetMode="External"/><Relationship Id="rId39" Type="http://schemas.openxmlformats.org/officeDocument/2006/relationships/hyperlink" Target="https://doi.org/10.1201/9781003088226" TargetMode="External"/><Relationship Id="rId21" Type="http://schemas.openxmlformats.org/officeDocument/2006/relationships/hyperlink" Target="https://doi.org/10.1016/j.soncn.2023.151398" TargetMode="External"/><Relationship Id="rId34" Type="http://schemas.openxmlformats.org/officeDocument/2006/relationships/hyperlink" Target="https://doi.org/10.15415/iie.2021.92009" TargetMode="External"/><Relationship Id="rId42" Type="http://schemas.openxmlformats.org/officeDocument/2006/relationships/hyperlink" Target="https://www.scb.se/en/finding-statistics/statistics-by-subject-area/population-and-living-conditions/living-conditions/children-and-their-families/pong/statistical-news/children-and-their-families2/" TargetMode="External"/><Relationship Id="rId47" Type="http://schemas.openxmlformats.org/officeDocument/2006/relationships/hyperlink" Target="https://doi.org/10.1016/j.trd.2024.104058" TargetMode="External"/><Relationship Id="rId50" Type="http://schemas.openxmlformats.org/officeDocument/2006/relationships/footer" Target="footer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doi.org/10.1080/13603116.2019.1579874" TargetMode="External"/><Relationship Id="rId29" Type="http://schemas.openxmlformats.org/officeDocument/2006/relationships/hyperlink" Target="https://doi.org/10.1080/19452829.2015.1101410" TargetMode="External"/><Relationship Id="rId11" Type="http://schemas.openxmlformats.org/officeDocument/2006/relationships/hyperlink" Target="https://doi.org/10.1590/s0102-8529.20254701e20230027" TargetMode="External"/><Relationship Id="rId24" Type="http://schemas.openxmlformats.org/officeDocument/2006/relationships/hyperlink" Target="https://doi.org/10.4324/9781003671077-5" TargetMode="External"/><Relationship Id="rId32" Type="http://schemas.openxmlformats.org/officeDocument/2006/relationships/hyperlink" Target="https://doi.org/10.1007/s43545-023-00775-8" TargetMode="External"/><Relationship Id="rId37" Type="http://schemas.openxmlformats.org/officeDocument/2006/relationships/hyperlink" Target="https://doi.org/10.1080/19452829.2023.2200239" TargetMode="External"/><Relationship Id="rId40" Type="http://schemas.openxmlformats.org/officeDocument/2006/relationships/hyperlink" Target="https://doi.org/10.1080/13562517.2023.2280266" TargetMode="External"/><Relationship Id="rId45" Type="http://schemas.openxmlformats.org/officeDocument/2006/relationships/hyperlink" Target="https://doi.org/10.1017/S0892679410000122" TargetMode="External"/><Relationship Id="rId5" Type="http://schemas.openxmlformats.org/officeDocument/2006/relationships/footnotes" Target="footnotes.xml"/><Relationship Id="rId15" Type="http://schemas.openxmlformats.org/officeDocument/2006/relationships/hyperlink" Target="https://doi.org/10.1177/0741713617739347" TargetMode="External"/><Relationship Id="rId23" Type="http://schemas.openxmlformats.org/officeDocument/2006/relationships/hyperlink" Target="https://doi.org/10.1111/j.1468-0149.2007.00453_8.x" TargetMode="External"/><Relationship Id="rId28" Type="http://schemas.openxmlformats.org/officeDocument/2006/relationships/hyperlink" Target="https://doi.org/10.1080/1034912x.2020.1749239" TargetMode="External"/><Relationship Id="rId36" Type="http://schemas.openxmlformats.org/officeDocument/2006/relationships/hyperlink" Target="https://doi.org/10.3390/su14159724" TargetMode="External"/><Relationship Id="rId49" Type="http://schemas.openxmlformats.org/officeDocument/2006/relationships/image" Target="media/image1.emf"/><Relationship Id="rId10" Type="http://schemas.openxmlformats.org/officeDocument/2006/relationships/hyperlink" Target="https://doi.org/10.1016/j.tranpol.2023.08.010" TargetMode="External"/><Relationship Id="rId19" Type="http://schemas.openxmlformats.org/officeDocument/2006/relationships/hyperlink" Target="https://doi.org/10.1590/2317-6172202123" TargetMode="External"/><Relationship Id="rId31" Type="http://schemas.openxmlformats.org/officeDocument/2006/relationships/hyperlink" Target="https://doi.org/10.29210/020243691" TargetMode="External"/><Relationship Id="rId44" Type="http://schemas.openxmlformats.org/officeDocument/2006/relationships/hyperlink" Target="https://www.scb.se/en/finding-statistics/statistics-by-subject-area/population-and-living-conditions/living-conditions/children-and-their-families/pong/statistical-news/children-and-their-families2/"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3603116.2019.1622800" TargetMode="External"/><Relationship Id="rId14" Type="http://schemas.openxmlformats.org/officeDocument/2006/relationships/hyperlink" Target="https://doi.org/10.1080/21568235.2026.2672468" TargetMode="External"/><Relationship Id="rId22" Type="http://schemas.openxmlformats.org/officeDocument/2006/relationships/hyperlink" Target="https://psycnet.apa.org/doi/10.1037/dhe0000088" TargetMode="External"/><Relationship Id="rId27" Type="http://schemas.openxmlformats.org/officeDocument/2006/relationships/hyperlink" Target="https://doi.org/10.1177/00222429231216910" TargetMode="External"/><Relationship Id="rId30" Type="http://schemas.openxmlformats.org/officeDocument/2006/relationships/hyperlink" Target="https://doi.org/10.14738/assrj.117.17018" TargetMode="External"/><Relationship Id="rId35" Type="http://schemas.openxmlformats.org/officeDocument/2006/relationships/hyperlink" Target="https://commission.europa.eu/strategy-and-policy/policies/justice-and-fundamental-rights/disability/persons-disabilities-eu_en" TargetMode="External"/><Relationship Id="rId43" Type="http://schemas.openxmlformats.org/officeDocument/2006/relationships/hyperlink" Target="https://doi.org/10.1080/15017419.2015.1114019" TargetMode="External"/><Relationship Id="rId48" Type="http://schemas.openxmlformats.org/officeDocument/2006/relationships/hyperlink" Target="https://doi.org/10.33050/atm.v2i2.789" TargetMode="External"/><Relationship Id="rId8" Type="http://schemas.openxmlformats.org/officeDocument/2006/relationships/chart" Target="charts/chart2.xm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80/19452829.2024.2369502" TargetMode="External"/><Relationship Id="rId17" Type="http://schemas.openxmlformats.org/officeDocument/2006/relationships/hyperlink" Target="https://doi.org/10.5334/irsp.198" TargetMode="External"/><Relationship Id="rId25" Type="http://schemas.openxmlformats.org/officeDocument/2006/relationships/hyperlink" Target="https://www.skolverket.se/undervisning/anpassade-grundskolan/laroplan-for-anpassade-grundskolan-lgra22/curriculums/lgra22?schooltype=gran&amp;typeofsyllabus=course_syllabus&amp;timespan=latest&amp;tosheading=kursplaner&amp;hassubjects=true" TargetMode="External"/><Relationship Id="rId33" Type="http://schemas.openxmlformats.org/officeDocument/2006/relationships/hyperlink" Target="https://doi.org/10.1080/09620214.2022.2118809" TargetMode="External"/><Relationship Id="rId38" Type="http://schemas.openxmlformats.org/officeDocument/2006/relationships/hyperlink" Target="https://doi.org/10.1093/oxfordhb/9780190622879.013.19" TargetMode="External"/><Relationship Id="rId46" Type="http://schemas.openxmlformats.org/officeDocument/2006/relationships/hyperlink" Target="https://doi.org/10.1007/s11162-025-09878-y" TargetMode="External"/><Relationship Id="rId20" Type="http://schemas.openxmlformats.org/officeDocument/2006/relationships/hyperlink" Target="https://doi.org/10.1007/s11162-019-09574-8" TargetMode="External"/><Relationship Id="rId41" Type="http://schemas.openxmlformats.org/officeDocument/2006/relationships/hyperlink" Target="https://doi.org/10.1080/03054985.2023.2274027"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sv-SE" b="0">
                <a:latin typeface="Times New Roman" panose="02020603050405020304" pitchFamily="18" charset="0"/>
                <a:cs typeface="Times New Roman" panose="02020603050405020304" pitchFamily="18" charset="0"/>
              </a:rPr>
              <a:t>Post-secondary education participation by disability status</a:t>
            </a:r>
            <a:r>
              <a:rPr lang="sv-SE" b="0" baseline="0">
                <a:latin typeface="Times New Roman" panose="02020603050405020304" pitchFamily="18" charset="0"/>
                <a:cs typeface="Times New Roman" panose="02020603050405020304" pitchFamily="18" charset="0"/>
              </a:rPr>
              <a:t> &amp; gender</a:t>
            </a:r>
          </a:p>
          <a:p>
            <a:pPr>
              <a:defRPr/>
            </a:pPr>
            <a:r>
              <a:rPr lang="sv-SE" sz="1200" b="0">
                <a:latin typeface="Times New Roman" panose="02020603050405020304" pitchFamily="18" charset="0"/>
                <a:cs typeface="Times New Roman" panose="02020603050405020304" pitchFamily="18" charset="0"/>
              </a:rPr>
              <a:t>Annual</a:t>
            </a:r>
            <a:r>
              <a:rPr lang="sv-SE" sz="1200" b="0" baseline="0">
                <a:latin typeface="Times New Roman" panose="02020603050405020304" pitchFamily="18" charset="0"/>
                <a:cs typeface="Times New Roman" panose="02020603050405020304" pitchFamily="18" charset="0"/>
              </a:rPr>
              <a:t> numbers in percentage of participating students from 2018 to 2020</a:t>
            </a:r>
            <a:endParaRPr lang="sv-SE" sz="1200" b="0">
              <a:latin typeface="Times New Roman" panose="02020603050405020304" pitchFamily="18" charset="0"/>
              <a:cs typeface="Times New Roman" panose="02020603050405020304" pitchFamily="18" charset="0"/>
            </a:endParaRPr>
          </a:p>
        </c:rich>
      </c:tx>
      <c:layout>
        <c:manualLayout>
          <c:xMode val="edge"/>
          <c:yMode val="edge"/>
          <c:x val="0.11654509541165532"/>
          <c:y val="1.58730158730158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sv-SE"/>
        </a:p>
      </c:txPr>
    </c:title>
    <c:autoTitleDeleted val="0"/>
    <c:plotArea>
      <c:layout/>
      <c:lineChart>
        <c:grouping val="standard"/>
        <c:varyColors val="0"/>
        <c:ser>
          <c:idx val="0"/>
          <c:order val="0"/>
          <c:tx>
            <c:strRef>
              <c:f>Blad1!$B$1</c:f>
              <c:strCache>
                <c:ptCount val="1"/>
                <c:pt idx="0">
                  <c:v>Female students with disabilities</c:v>
                </c:pt>
              </c:strCache>
            </c:strRef>
          </c:tx>
          <c:spPr>
            <a:ln w="28575" cap="rnd">
              <a:solidFill>
                <a:schemeClr val="accent1"/>
              </a:solidFill>
              <a:round/>
            </a:ln>
            <a:effectLst/>
          </c:spPr>
          <c:marker>
            <c:symbol val="none"/>
          </c:marker>
          <c:cat>
            <c:numRef>
              <c:f>Blad1!$A$2:$A$5</c:f>
              <c:numCache>
                <c:formatCode>General</c:formatCode>
                <c:ptCount val="4"/>
                <c:pt idx="0">
                  <c:v>2018</c:v>
                </c:pt>
                <c:pt idx="1">
                  <c:v>2019</c:v>
                </c:pt>
                <c:pt idx="2">
                  <c:v>2020</c:v>
                </c:pt>
              </c:numCache>
            </c:numRef>
          </c:cat>
          <c:val>
            <c:numRef>
              <c:f>Blad1!$B$2:$B$5</c:f>
              <c:numCache>
                <c:formatCode>General</c:formatCode>
                <c:ptCount val="4"/>
                <c:pt idx="0">
                  <c:v>53</c:v>
                </c:pt>
                <c:pt idx="1">
                  <c:v>63</c:v>
                </c:pt>
                <c:pt idx="2">
                  <c:v>68</c:v>
                </c:pt>
              </c:numCache>
            </c:numRef>
          </c:val>
          <c:smooth val="0"/>
          <c:extLst>
            <c:ext xmlns:c16="http://schemas.microsoft.com/office/drawing/2014/chart" uri="{C3380CC4-5D6E-409C-BE32-E72D297353CC}">
              <c16:uniqueId val="{00000000-DB3A-493D-A0B7-FC2670E4C0DF}"/>
            </c:ext>
          </c:extLst>
        </c:ser>
        <c:ser>
          <c:idx val="1"/>
          <c:order val="1"/>
          <c:tx>
            <c:strRef>
              <c:f>Blad1!$C$1</c:f>
              <c:strCache>
                <c:ptCount val="1"/>
                <c:pt idx="0">
                  <c:v>female students without disabilities </c:v>
                </c:pt>
              </c:strCache>
            </c:strRef>
          </c:tx>
          <c:spPr>
            <a:ln w="28575" cap="rnd">
              <a:solidFill>
                <a:schemeClr val="accent2"/>
              </a:solidFill>
              <a:round/>
            </a:ln>
            <a:effectLst/>
          </c:spPr>
          <c:marker>
            <c:symbol val="none"/>
          </c:marker>
          <c:cat>
            <c:numRef>
              <c:f>Blad1!$A$2:$A$5</c:f>
              <c:numCache>
                <c:formatCode>General</c:formatCode>
                <c:ptCount val="4"/>
                <c:pt idx="0">
                  <c:v>2018</c:v>
                </c:pt>
                <c:pt idx="1">
                  <c:v>2019</c:v>
                </c:pt>
                <c:pt idx="2">
                  <c:v>2020</c:v>
                </c:pt>
              </c:numCache>
            </c:numRef>
          </c:cat>
          <c:val>
            <c:numRef>
              <c:f>Blad1!$C$2:$C$5</c:f>
              <c:numCache>
                <c:formatCode>General</c:formatCode>
                <c:ptCount val="4"/>
                <c:pt idx="0">
                  <c:v>44</c:v>
                </c:pt>
                <c:pt idx="1">
                  <c:v>54</c:v>
                </c:pt>
                <c:pt idx="2">
                  <c:v>59</c:v>
                </c:pt>
              </c:numCache>
            </c:numRef>
          </c:val>
          <c:smooth val="0"/>
          <c:extLst>
            <c:ext xmlns:c16="http://schemas.microsoft.com/office/drawing/2014/chart" uri="{C3380CC4-5D6E-409C-BE32-E72D297353CC}">
              <c16:uniqueId val="{00000001-DB3A-493D-A0B7-FC2670E4C0DF}"/>
            </c:ext>
          </c:extLst>
        </c:ser>
        <c:ser>
          <c:idx val="2"/>
          <c:order val="2"/>
          <c:tx>
            <c:strRef>
              <c:f>Blad1!$D$1</c:f>
              <c:strCache>
                <c:ptCount val="1"/>
                <c:pt idx="0">
                  <c:v>Male students with disabilities</c:v>
                </c:pt>
              </c:strCache>
            </c:strRef>
          </c:tx>
          <c:spPr>
            <a:ln w="28575" cap="rnd">
              <a:solidFill>
                <a:schemeClr val="accent3"/>
              </a:solidFill>
              <a:round/>
            </a:ln>
            <a:effectLst/>
          </c:spPr>
          <c:marker>
            <c:symbol val="none"/>
          </c:marker>
          <c:cat>
            <c:numRef>
              <c:f>Blad1!$A$2:$A$5</c:f>
              <c:numCache>
                <c:formatCode>General</c:formatCode>
                <c:ptCount val="4"/>
                <c:pt idx="0">
                  <c:v>2018</c:v>
                </c:pt>
                <c:pt idx="1">
                  <c:v>2019</c:v>
                </c:pt>
                <c:pt idx="2">
                  <c:v>2020</c:v>
                </c:pt>
              </c:numCache>
            </c:numRef>
          </c:cat>
          <c:val>
            <c:numRef>
              <c:f>Blad1!$D$2:$D$5</c:f>
              <c:numCache>
                <c:formatCode>General</c:formatCode>
                <c:ptCount val="4"/>
                <c:pt idx="0">
                  <c:v>44</c:v>
                </c:pt>
                <c:pt idx="1">
                  <c:v>53</c:v>
                </c:pt>
                <c:pt idx="2">
                  <c:v>57</c:v>
                </c:pt>
              </c:numCache>
            </c:numRef>
          </c:val>
          <c:smooth val="0"/>
          <c:extLst>
            <c:ext xmlns:c16="http://schemas.microsoft.com/office/drawing/2014/chart" uri="{C3380CC4-5D6E-409C-BE32-E72D297353CC}">
              <c16:uniqueId val="{00000002-DB3A-493D-A0B7-FC2670E4C0DF}"/>
            </c:ext>
          </c:extLst>
        </c:ser>
        <c:ser>
          <c:idx val="3"/>
          <c:order val="3"/>
          <c:tx>
            <c:strRef>
              <c:f>Blad1!$E$1</c:f>
              <c:strCache>
                <c:ptCount val="1"/>
                <c:pt idx="0">
                  <c:v>Male students without disabilities</c:v>
                </c:pt>
              </c:strCache>
            </c:strRef>
          </c:tx>
          <c:spPr>
            <a:ln w="28575" cap="rnd">
              <a:solidFill>
                <a:schemeClr val="accent4"/>
              </a:solidFill>
              <a:round/>
            </a:ln>
            <a:effectLst/>
          </c:spPr>
          <c:marker>
            <c:symbol val="none"/>
          </c:marker>
          <c:cat>
            <c:numRef>
              <c:f>Blad1!$A$2:$A$5</c:f>
              <c:numCache>
                <c:formatCode>General</c:formatCode>
                <c:ptCount val="4"/>
                <c:pt idx="0">
                  <c:v>2018</c:v>
                </c:pt>
                <c:pt idx="1">
                  <c:v>2019</c:v>
                </c:pt>
                <c:pt idx="2">
                  <c:v>2020</c:v>
                </c:pt>
              </c:numCache>
            </c:numRef>
          </c:cat>
          <c:val>
            <c:numRef>
              <c:f>Blad1!$E$2:$E$5</c:f>
              <c:numCache>
                <c:formatCode>General</c:formatCode>
                <c:ptCount val="4"/>
                <c:pt idx="0">
                  <c:v>38</c:v>
                </c:pt>
                <c:pt idx="1">
                  <c:v>45</c:v>
                </c:pt>
                <c:pt idx="2">
                  <c:v>50</c:v>
                </c:pt>
              </c:numCache>
            </c:numRef>
          </c:val>
          <c:smooth val="0"/>
          <c:extLst>
            <c:ext xmlns:c16="http://schemas.microsoft.com/office/drawing/2014/chart" uri="{C3380CC4-5D6E-409C-BE32-E72D297353CC}">
              <c16:uniqueId val="{00000003-DB3A-493D-A0B7-FC2670E4C0DF}"/>
            </c:ext>
          </c:extLst>
        </c:ser>
        <c:dLbls>
          <c:showLegendKey val="0"/>
          <c:showVal val="0"/>
          <c:showCatName val="0"/>
          <c:showSerName val="0"/>
          <c:showPercent val="0"/>
          <c:showBubbleSize val="0"/>
        </c:dLbls>
        <c:smooth val="0"/>
        <c:axId val="775892415"/>
        <c:axId val="798556303"/>
      </c:lineChart>
      <c:catAx>
        <c:axId val="7758924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798556303"/>
        <c:crosses val="autoZero"/>
        <c:auto val="1"/>
        <c:lblAlgn val="ctr"/>
        <c:lblOffset val="100"/>
        <c:noMultiLvlLbl val="0"/>
      </c:catAx>
      <c:valAx>
        <c:axId val="798556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775892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sv-SE"/>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Blad1!$B$1</c:f>
              <c:strCache>
                <c:ptCount val="1"/>
                <c:pt idx="0">
                  <c:v>female students</c:v>
                </c:pt>
              </c:strCache>
            </c:strRef>
          </c:tx>
          <c:spPr>
            <a:solidFill>
              <a:schemeClr val="accent1"/>
            </a:solidFill>
            <a:ln>
              <a:noFill/>
            </a:ln>
            <a:effectLst/>
          </c:spPr>
          <c:invertIfNegative val="0"/>
          <c:cat>
            <c:strRef>
              <c:f>Blad1!$A$2:$A$5</c:f>
              <c:strCache>
                <c:ptCount val="4"/>
                <c:pt idx="0">
                  <c:v>Dyslexia</c:v>
                </c:pt>
                <c:pt idx="1">
                  <c:v>Deaf</c:v>
                </c:pt>
                <c:pt idx="2">
                  <c:v>Language impairment</c:v>
                </c:pt>
                <c:pt idx="3">
                  <c:v>Psychiatric disability</c:v>
                </c:pt>
              </c:strCache>
            </c:strRef>
          </c:cat>
          <c:val>
            <c:numRef>
              <c:f>Blad1!$B$2:$B$5</c:f>
              <c:numCache>
                <c:formatCode>0%</c:formatCode>
                <c:ptCount val="4"/>
                <c:pt idx="0">
                  <c:v>0.56000000000000005</c:v>
                </c:pt>
                <c:pt idx="1">
                  <c:v>0.68</c:v>
                </c:pt>
                <c:pt idx="2">
                  <c:v>0.38</c:v>
                </c:pt>
                <c:pt idx="3">
                  <c:v>0.56000000000000005</c:v>
                </c:pt>
              </c:numCache>
            </c:numRef>
          </c:val>
          <c:extLst>
            <c:ext xmlns:c16="http://schemas.microsoft.com/office/drawing/2014/chart" uri="{C3380CC4-5D6E-409C-BE32-E72D297353CC}">
              <c16:uniqueId val="{00000000-D98F-48F6-8A16-B105D836BF93}"/>
            </c:ext>
          </c:extLst>
        </c:ser>
        <c:ser>
          <c:idx val="1"/>
          <c:order val="1"/>
          <c:tx>
            <c:strRef>
              <c:f>Blad1!$C$1</c:f>
              <c:strCache>
                <c:ptCount val="1"/>
                <c:pt idx="0">
                  <c:v>Male students</c:v>
                </c:pt>
              </c:strCache>
            </c:strRef>
          </c:tx>
          <c:spPr>
            <a:solidFill>
              <a:schemeClr val="accent2"/>
            </a:solidFill>
            <a:ln>
              <a:noFill/>
            </a:ln>
            <a:effectLst/>
          </c:spPr>
          <c:invertIfNegative val="0"/>
          <c:cat>
            <c:strRef>
              <c:f>Blad1!$A$2:$A$5</c:f>
              <c:strCache>
                <c:ptCount val="4"/>
                <c:pt idx="0">
                  <c:v>Dyslexia</c:v>
                </c:pt>
                <c:pt idx="1">
                  <c:v>Deaf</c:v>
                </c:pt>
                <c:pt idx="2">
                  <c:v>Language impairment</c:v>
                </c:pt>
                <c:pt idx="3">
                  <c:v>Psychiatric disability</c:v>
                </c:pt>
              </c:strCache>
            </c:strRef>
          </c:cat>
          <c:val>
            <c:numRef>
              <c:f>Blad1!$C$2:$C$5</c:f>
              <c:numCache>
                <c:formatCode>0%</c:formatCode>
                <c:ptCount val="4"/>
                <c:pt idx="0">
                  <c:v>0.44</c:v>
                </c:pt>
                <c:pt idx="1">
                  <c:v>0.32</c:v>
                </c:pt>
                <c:pt idx="2">
                  <c:v>0.62</c:v>
                </c:pt>
                <c:pt idx="3">
                  <c:v>0.44</c:v>
                </c:pt>
              </c:numCache>
            </c:numRef>
          </c:val>
          <c:extLst>
            <c:ext xmlns:c16="http://schemas.microsoft.com/office/drawing/2014/chart" uri="{C3380CC4-5D6E-409C-BE32-E72D297353CC}">
              <c16:uniqueId val="{00000001-D98F-48F6-8A16-B105D836BF93}"/>
            </c:ext>
          </c:extLst>
        </c:ser>
        <c:ser>
          <c:idx val="2"/>
          <c:order val="2"/>
          <c:tx>
            <c:strRef>
              <c:f>Blad1!$D$1</c:f>
              <c:strCache>
                <c:ptCount val="1"/>
                <c:pt idx="0">
                  <c:v>Kolumn1</c:v>
                </c:pt>
              </c:strCache>
            </c:strRef>
          </c:tx>
          <c:spPr>
            <a:solidFill>
              <a:schemeClr val="accent3"/>
            </a:solidFill>
            <a:ln>
              <a:noFill/>
            </a:ln>
            <a:effectLst/>
          </c:spPr>
          <c:invertIfNegative val="0"/>
          <c:cat>
            <c:strRef>
              <c:f>Blad1!$A$2:$A$5</c:f>
              <c:strCache>
                <c:ptCount val="4"/>
                <c:pt idx="0">
                  <c:v>Dyslexia</c:v>
                </c:pt>
                <c:pt idx="1">
                  <c:v>Deaf</c:v>
                </c:pt>
                <c:pt idx="2">
                  <c:v>Language impairment</c:v>
                </c:pt>
                <c:pt idx="3">
                  <c:v>Psychiatric disability</c:v>
                </c:pt>
              </c:strCache>
            </c:strRef>
          </c:cat>
          <c:val>
            <c:numRef>
              <c:f>Blad1!$D$2:$D$5</c:f>
              <c:numCache>
                <c:formatCode>General</c:formatCode>
                <c:ptCount val="4"/>
              </c:numCache>
            </c:numRef>
          </c:val>
          <c:extLst>
            <c:ext xmlns:c16="http://schemas.microsoft.com/office/drawing/2014/chart" uri="{C3380CC4-5D6E-409C-BE32-E72D297353CC}">
              <c16:uniqueId val="{00000002-D98F-48F6-8A16-B105D836BF93}"/>
            </c:ext>
          </c:extLst>
        </c:ser>
        <c:dLbls>
          <c:showLegendKey val="0"/>
          <c:showVal val="0"/>
          <c:showCatName val="0"/>
          <c:showSerName val="0"/>
          <c:showPercent val="0"/>
          <c:showBubbleSize val="0"/>
        </c:dLbls>
        <c:gapWidth val="219"/>
        <c:overlap val="-27"/>
        <c:axId val="548336943"/>
        <c:axId val="798729103"/>
      </c:barChart>
      <c:catAx>
        <c:axId val="548336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798729103"/>
        <c:crosses val="autoZero"/>
        <c:auto val="1"/>
        <c:lblAlgn val="ctr"/>
        <c:lblOffset val="100"/>
        <c:noMultiLvlLbl val="0"/>
      </c:catAx>
      <c:valAx>
        <c:axId val="7987291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crossAx val="548336943"/>
        <c:crosses val="autoZero"/>
        <c:crossBetween val="between"/>
      </c:valAx>
      <c:spPr>
        <a:noFill/>
        <a:ln>
          <a:noFill/>
        </a:ln>
        <a:effectLst/>
      </c:spPr>
    </c:plotArea>
    <c:legend>
      <c:legendPos val="b"/>
      <c:layout>
        <c:manualLayout>
          <c:xMode val="edge"/>
          <c:yMode val="edge"/>
          <c:x val="0.25871518664333626"/>
          <c:y val="0.9092257217847769"/>
          <c:w val="0.38071777486147562"/>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sv-SE"/>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sv-SE"/>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51012</TotalTime>
  <Pages>37</Pages>
  <Words>13076</Words>
  <Characters>69305</Characters>
  <Application>Microsoft Office Word</Application>
  <DocSecurity>0</DocSecurity>
  <Lines>577</Lines>
  <Paragraphs>164</Paragraphs>
  <ScaleCrop>false</ScaleCrop>
  <HeadingPairs>
    <vt:vector size="2" baseType="variant">
      <vt:variant>
        <vt:lpstr>Rubrik</vt:lpstr>
      </vt:variant>
      <vt:variant>
        <vt:i4>1</vt:i4>
      </vt:variant>
    </vt:vector>
  </HeadingPairs>
  <TitlesOfParts>
    <vt:vector size="1" baseType="lpstr">
      <vt:lpstr/>
    </vt:vector>
  </TitlesOfParts>
  <Company>BUF</Company>
  <LinksUpToDate>false</LinksUpToDate>
  <CharactersWithSpaces>82217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Nkalubo</dc:creator>
  <cp:keywords/>
  <dc:description/>
  <cp:lastModifiedBy>Arthur Nkalubo</cp:lastModifiedBy>
  <cp:revision>2429</cp:revision>
  <dcterms:created xsi:type="dcterms:W3CDTF">2026-06-19T11:24:00Z</dcterms:created>
  <dcterms:modified xsi:type="dcterms:W3CDTF">2026-09-14T16:51:00Z</dcterms:modified>
</cp:coreProperties>
</file>