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71991751"/>
        <w:docPartObj>
          <w:docPartGallery w:val="Cover Pages"/>
          <w:docPartUnique/>
        </w:docPartObj>
      </w:sdtPr>
      <w:sdtContent>
        <w:p w14:paraId="63FCCD1C" w14:textId="7EF9977F" w:rsidR="00DB19EA" w:rsidRDefault="00DB19EA"/>
        <w:p w14:paraId="799C94F1" w14:textId="46DF7B72" w:rsidR="00DB19EA" w:rsidRDefault="00DB19EA">
          <w:r>
            <w:rPr>
              <w:noProof/>
            </w:rPr>
            <mc:AlternateContent>
              <mc:Choice Requires="wps">
                <w:drawing>
                  <wp:anchor distT="0" distB="0" distL="182880" distR="182880" simplePos="0" relativeHeight="251660288" behindDoc="0" locked="0" layoutInCell="1" allowOverlap="1" wp14:anchorId="141B24E1" wp14:editId="364B1383">
                    <wp:simplePos x="0" y="0"/>
                    <wp:positionH relativeFrom="margin">
                      <wp:posOffset>-635</wp:posOffset>
                    </wp:positionH>
                    <wp:positionV relativeFrom="page">
                      <wp:posOffset>1727835</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948EA6" w14:textId="1C36A243" w:rsidR="00DB19EA" w:rsidRPr="000852E1" w:rsidRDefault="00DB19EA">
                                <w:pPr>
                                  <w:pStyle w:val="NoSpacing"/>
                                  <w:spacing w:before="40" w:after="560" w:line="216" w:lineRule="auto"/>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80E28" w:rsidRPr="000852E1">
                                      <w:rPr>
                                        <w:sz w:val="72"/>
                                        <w:szCs w:val="72"/>
                                      </w:rPr>
                                      <w:t>Introduction to counselling skills</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DB4036A" w14:textId="4CDC122A" w:rsidR="00DB19EA" w:rsidRPr="000852E1" w:rsidRDefault="001F47AB" w:rsidP="00BC765F">
                                    <w:pPr>
                                      <w:pStyle w:val="NoSpacing"/>
                                      <w:spacing w:before="40" w:after="40"/>
                                      <w:rPr>
                                        <w:caps/>
                                        <w:sz w:val="28"/>
                                        <w:szCs w:val="28"/>
                                      </w:rPr>
                                    </w:pPr>
                                    <w:r w:rsidRPr="000852E1">
                                      <w:rPr>
                                        <w:caps/>
                                        <w:sz w:val="28"/>
                                        <w:szCs w:val="28"/>
                                      </w:rPr>
                                      <w:t>Module code: ECPS4015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41B24E1" id="_x0000_t202" coordsize="21600,21600" o:spt="202" path="m,l,21600r21600,l21600,xe">
                    <v:stroke joinstyle="miter"/>
                    <v:path gradientshapeok="t" o:connecttype="rect"/>
                  </v:shapetype>
                  <v:shape id="Text Box 131" o:spid="_x0000_s1026" type="#_x0000_t202" style="position:absolute;margin-left:-.05pt;margin-top:136.05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" filled="f" stroked="f" strokeweight=".5pt">
                    <v:textbox style="mso-fit-shape-to-text:t" inset="0,0,0,0">
                      <w:txbxContent>
                        <w:p w14:paraId="48948EA6" w14:textId="1C36A243" w:rsidR="00DB19EA" w:rsidRPr="000852E1" w:rsidRDefault="00DB19EA">
                          <w:pPr>
                            <w:pStyle w:val="NoSpacing"/>
                            <w:spacing w:before="40" w:after="560" w:line="216" w:lineRule="auto"/>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80E28" w:rsidRPr="000852E1">
                                <w:rPr>
                                  <w:sz w:val="72"/>
                                  <w:szCs w:val="72"/>
                                </w:rPr>
                                <w:t>Introduction to counselling skills</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DB4036A" w14:textId="4CDC122A" w:rsidR="00DB19EA" w:rsidRPr="000852E1" w:rsidRDefault="001F47AB" w:rsidP="00BC765F">
                              <w:pPr>
                                <w:pStyle w:val="NoSpacing"/>
                                <w:spacing w:before="40" w:after="40"/>
                                <w:rPr>
                                  <w:caps/>
                                  <w:sz w:val="28"/>
                                  <w:szCs w:val="28"/>
                                </w:rPr>
                              </w:pPr>
                              <w:r w:rsidRPr="000852E1">
                                <w:rPr>
                                  <w:caps/>
                                  <w:sz w:val="28"/>
                                  <w:szCs w:val="28"/>
                                </w:rPr>
                                <w:t>Module code: ECPS4015</w:t>
                              </w:r>
                            </w:p>
                          </w:sdtContent>
                        </w:sdt>
                      </w:txbxContent>
                    </v:textbox>
                    <w10:wrap type="square" anchorx="margin" anchory="page"/>
                  </v:shape>
                </w:pict>
              </mc:Fallback>
            </mc:AlternateContent>
          </w:r>
          <w:r>
            <w:br w:type="page"/>
          </w:r>
        </w:p>
      </w:sdtContent>
    </w:sdt>
    <w:p w14:paraId="3B1ACE80" w14:textId="4D3B5E46" w:rsidR="00772965" w:rsidRDefault="00115969" w:rsidP="00CD1F6B">
      <w:r w:rsidRPr="00115969">
        <w:lastRenderedPageBreak/>
        <w:t>“A wide range of people use counselling skills often to enhance a primary professional role, and they’re not exclusive to counsellors. Their use is dependent on who is using them and the setting in which they’re used”. BACP – Therapy Today (2020).</w:t>
      </w:r>
      <w:r w:rsidR="00196808">
        <w:t xml:space="preserve"> </w:t>
      </w:r>
      <w:r w:rsidR="00015ED9" w:rsidRPr="00015ED9">
        <w:t>Choose from ONE of the following vignettes of a primary professional role and describe and discuss the counselling skills areas of competence that will be required for the role based on the Counselling Skills areas of competence document.</w:t>
      </w:r>
    </w:p>
    <w:p w14:paraId="0F05CFDD" w14:textId="50209AC5" w:rsidR="00CD1F6B" w:rsidRPr="00CD1F6B" w:rsidRDefault="00CD1F6B" w:rsidP="00CD1F6B">
      <w:r w:rsidRPr="00CD1F6B">
        <w:t>Counselling skills are essential within the counselling profession; however, many other interventions require similar skills. For example, a support caseworker does not hold the professional title of a counsellor but is still required to demonstrate areas of competence. This includes showing empathy, using counselling skills in a professional context, listening and responding appropriately, engaging with other interventions and an individual’s relationships, and practicing self-reflection. Case support work often involves working with vulnerable individuals who face a wide range of challenges, including mental health issues, financial instability, and social isolation. Therefore, it is crucial for caseworkers to possess strong interpersonal skills, ethical awareness, and the ability to collaborate with other professionals. This essay will elaborate on these competencies and the role of a support worker, using a vignette to demonstrate understanding. The vignette discussed will focus on a support caseworker employed by a mental health charity, providing support to individuals living independently in their own homes while working to prevent tenancy risks. The support worker holds a BSc degree in Psychology and Counselling, with 80 credits awarded for counselling skills.</w:t>
      </w:r>
    </w:p>
    <w:p w14:paraId="795926D7" w14:textId="25ED80C5" w:rsidR="00242BEC" w:rsidRPr="00242BEC" w:rsidRDefault="00242BEC" w:rsidP="00242BEC">
      <w:r w:rsidRPr="00242BEC">
        <w:t xml:space="preserve">Empathy is essential in many professions, especially in support work. Caseworkers interact with individuals from diverse backgrounds and must prioritize their health and </w:t>
      </w:r>
      <w:r w:rsidRPr="00242BEC">
        <w:lastRenderedPageBreak/>
        <w:t>well-being. Empathy plays a crucial role in this process, as it fosters trust and builds relationships</w:t>
      </w:r>
      <w:r w:rsidR="00CD1F6B">
        <w:t xml:space="preserve"> </w:t>
      </w:r>
      <w:r w:rsidR="009D7FAF" w:rsidRPr="009D7FAF">
        <w:t>(Liu, 2022)</w:t>
      </w:r>
      <w:r w:rsidRPr="00242BEC">
        <w:t>. For instance, an individual facing stressful housing difficulties may experience severe anxiety, depression, or struggles in daily living. In such a situation, a caseworker can demonstrate empathy by actively listening and reflecting on what has been shared. This creates a safe space where the individual can express their feelings without fear of judgment, fostering a positive environment that supports mental well-being. However, while empathy is vital, resilience is equally important in handling difficult situations. Personal emotions can cloud judgment, leading to potential bias, frustration, or emotional burnout due to systemic barriers</w:t>
      </w:r>
      <w:r w:rsidR="00CA5704">
        <w:t xml:space="preserve"> </w:t>
      </w:r>
      <w:r w:rsidR="00CD1F6B">
        <w:t>(</w:t>
      </w:r>
      <w:r w:rsidR="000E4189" w:rsidRPr="000E4189">
        <w:t>Kinman &amp; Grant, 2011</w:t>
      </w:r>
      <w:r w:rsidR="00CD1F6B">
        <w:t>)</w:t>
      </w:r>
      <w:r w:rsidRPr="00242BEC">
        <w:t>. To maintain their well-being and effectiveness, support workers should engage in self-care strategies such as keeping a reflective journal, seeking supervision or peer support, and setting professional boundaries</w:t>
      </w:r>
      <w:r w:rsidR="002B713E">
        <w:t xml:space="preserve"> </w:t>
      </w:r>
      <w:r w:rsidR="00CD1F6B">
        <w:t>(</w:t>
      </w:r>
      <w:r w:rsidR="006B4A0D" w:rsidRPr="006B4A0D">
        <w:t>British Association for Counselling and Psychotherapy, 2023</w:t>
      </w:r>
      <w:r w:rsidR="00CD1F6B">
        <w:t>)</w:t>
      </w:r>
      <w:r w:rsidRPr="00242BEC">
        <w:t>.</w:t>
      </w:r>
    </w:p>
    <w:p w14:paraId="6C340F72" w14:textId="5DF0A701" w:rsidR="00242BEC" w:rsidRPr="00242BEC" w:rsidRDefault="00242BEC" w:rsidP="00242BEC">
      <w:r w:rsidRPr="00242BEC">
        <w:t>Setting professional boundaries is a fundamental area of competence outlined in the BACP (British Association for Counselling and Psychotherapy) ethical guidelines a</w:t>
      </w:r>
      <w:r w:rsidR="00BF4BE3">
        <w:t>re</w:t>
      </w:r>
      <w:r w:rsidRPr="00242BEC">
        <w:t xml:space="preserve"> recognized as a moral principle by the BASW (British Association of Social Workers). Boundaries help maintain professional relationships and ensure safety for both the support worker and the client by reducing the risk of harm</w:t>
      </w:r>
      <w:r w:rsidR="00721CE7">
        <w:t xml:space="preserve"> </w:t>
      </w:r>
      <w:r w:rsidR="00CD1F6B">
        <w:t>(</w:t>
      </w:r>
      <w:r w:rsidR="000656EA" w:rsidRPr="000656EA">
        <w:t>British Association of Social Workers, 2021</w:t>
      </w:r>
      <w:r w:rsidR="00CD1F6B">
        <w:t>)</w:t>
      </w:r>
      <w:r w:rsidRPr="00242BEC">
        <w:t>. A support worker can establish boundaries by setting clear communication limits and avoiding sharing personal information. Oversharing can lead to emotional over-involvement, shifting the focus away from the client</w:t>
      </w:r>
      <w:r w:rsidR="00F12023">
        <w:t xml:space="preserve"> </w:t>
      </w:r>
      <w:r w:rsidR="00D85330">
        <w:t>(</w:t>
      </w:r>
      <w:r w:rsidR="00A15361" w:rsidRPr="00A15361">
        <w:t>British Association for Counselling and Psychotherapy, 2023</w:t>
      </w:r>
      <w:r w:rsidR="00D85330">
        <w:t>)</w:t>
      </w:r>
      <w:r w:rsidRPr="00242BEC">
        <w:t xml:space="preserve">. For example, if a client shares a traumatic experience, a caseworker could respond with, “I understand and appreciate how difficult this must be for you.” This response acknowledges the client’s feelings </w:t>
      </w:r>
      <w:r w:rsidRPr="00242BEC">
        <w:lastRenderedPageBreak/>
        <w:t>without revealing personal experiences, thereby maintaining professionalism. Although setting boundaries is crucial, recognizing risks and offering appropriate support is also vital</w:t>
      </w:r>
      <w:r w:rsidR="00120822">
        <w:t xml:space="preserve"> </w:t>
      </w:r>
      <w:r w:rsidR="00E4332E">
        <w:t>(</w:t>
      </w:r>
      <w:r w:rsidR="00120822" w:rsidRPr="00120822">
        <w:t>Tennant, Long, &amp; Toney-Butler, 2023</w:t>
      </w:r>
      <w:r w:rsidR="00E4332E">
        <w:t>)</w:t>
      </w:r>
      <w:r w:rsidRPr="00242BEC">
        <w:t>.</w:t>
      </w:r>
    </w:p>
    <w:p w14:paraId="244186AC" w14:textId="301F1A28" w:rsidR="00242BEC" w:rsidRPr="00242BEC" w:rsidRDefault="00242BEC" w:rsidP="00242BEC">
      <w:r w:rsidRPr="00242BEC">
        <w:t>For instance, if an individual struggles with anxiety and depression, a caseworker may suggest interventions such as Anxiety UK, a charitable organization that provides telephone and text-based support</w:t>
      </w:r>
      <w:r w:rsidR="006F71E7">
        <w:t xml:space="preserve"> </w:t>
      </w:r>
      <w:r w:rsidR="00E4332E">
        <w:t>(</w:t>
      </w:r>
      <w:r w:rsidR="006F71E7" w:rsidRPr="006F71E7">
        <w:t>Anxiety UK, 2025</w:t>
      </w:r>
      <w:r w:rsidR="00E4332E">
        <w:t>)</w:t>
      </w:r>
      <w:r w:rsidRPr="00242BEC">
        <w:t>. However, if a client discloses a risk of harm to themselves or others, the caseworker must assess the situation and escalate it appropriately. Depending on the severity of the risk, this may involve contacting emergency services such as the police or mental health crisis teams</w:t>
      </w:r>
      <w:r w:rsidR="004830BA">
        <w:t xml:space="preserve"> </w:t>
      </w:r>
      <w:r w:rsidR="00AF3D4F">
        <w:t>(</w:t>
      </w:r>
      <w:r w:rsidR="004830BA" w:rsidRPr="004830BA">
        <w:t>National Quality Board, 2024</w:t>
      </w:r>
      <w:r w:rsidR="00AF3D4F">
        <w:t>)</w:t>
      </w:r>
      <w:r w:rsidRPr="00242BEC">
        <w:t>.</w:t>
      </w:r>
    </w:p>
    <w:p w14:paraId="00D82A83" w14:textId="4897E70E" w:rsidR="00242BEC" w:rsidRPr="00242BEC" w:rsidRDefault="00242BEC" w:rsidP="00242BEC">
      <w:r w:rsidRPr="00242BEC">
        <w:t>Active listening is another vital skill in casework, enabling professionals to focus attentively, identify key concerns, and respond appropriately. For example, if a client states, “I don’t want to attend social gatherings; I just don’t feel like it,” this could indicate underlying issues such as depression. A caseworker could respond with a clarifying question like, “Could you elaborate on why you feel this way?” This approach prevents misunderstandings and strengthens communication</w:t>
      </w:r>
      <w:r w:rsidR="00040112">
        <w:t xml:space="preserve"> </w:t>
      </w:r>
      <w:r w:rsidR="00AF3D4F">
        <w:t>(</w:t>
      </w:r>
      <w:proofErr w:type="spellStart"/>
      <w:r w:rsidR="00040112" w:rsidRPr="00040112">
        <w:t>Razzetti</w:t>
      </w:r>
      <w:proofErr w:type="spellEnd"/>
      <w:r w:rsidR="00040112" w:rsidRPr="00040112">
        <w:t>, 2023</w:t>
      </w:r>
      <w:r w:rsidR="00AF3D4F">
        <w:t>)</w:t>
      </w:r>
      <w:r w:rsidRPr="00242BEC">
        <w:t>. Ineffective communication, on the other hand, could put a client at risk. Therefore, strong listening skills are essential not only for building relationships with clients but also for collaborating with family members, colleagues, healthcare professionals, and legal teams. However, support workers must adhere to ethical guidelines to maintain confidentiality, except in situations where there is a risk of harm</w:t>
      </w:r>
      <w:r w:rsidR="00BA38C5">
        <w:t xml:space="preserve"> </w:t>
      </w:r>
      <w:r w:rsidR="00AF3D4F">
        <w:t>(</w:t>
      </w:r>
      <w:r w:rsidR="00BA38C5" w:rsidRPr="00BA38C5">
        <w:t>Casebook Editorial Team, 2024</w:t>
      </w:r>
      <w:r w:rsidR="00AF3D4F">
        <w:t>)</w:t>
      </w:r>
      <w:r w:rsidRPr="00242BEC">
        <w:t>.</w:t>
      </w:r>
    </w:p>
    <w:p w14:paraId="7FE395A3" w14:textId="6F069F1F" w:rsidR="00242BEC" w:rsidRPr="00242BEC" w:rsidRDefault="00242BEC" w:rsidP="00242BEC">
      <w:r w:rsidRPr="00242BEC">
        <w:lastRenderedPageBreak/>
        <w:t xml:space="preserve">Collaboration is an essential competency, particularly in support work, where individuals often have complex needs requiring coordinated assistance from multiple professionals. For example, an individual transitioning from managed accommodation to independent living may require guidance in understanding tenancy agreements, financial planning, and resolving disputes with landlords. A caseworker may also need to collaborate with social workers, healthcare providers, and employment coaches to ensure comprehensive </w:t>
      </w:r>
      <w:r w:rsidR="00B1357F" w:rsidRPr="00242BEC">
        <w:t>support</w:t>
      </w:r>
      <w:r w:rsidR="00B1357F">
        <w:t xml:space="preserve"> (</w:t>
      </w:r>
      <w:r w:rsidR="00B1357F" w:rsidRPr="00B1357F">
        <w:t>Clapson &amp; Matthew, 2023</w:t>
      </w:r>
      <w:r w:rsidR="00CA01EB">
        <w:t>)</w:t>
      </w:r>
      <w:r w:rsidRPr="00242BEC">
        <w:t>. Such transitions can be overwhelming, making it crucial for the caseworker to facilitate access to mental health services, including GP appointments or support groups.</w:t>
      </w:r>
    </w:p>
    <w:p w14:paraId="58F09B4E" w14:textId="2BEE3510" w:rsidR="00242BEC" w:rsidRPr="00242BEC" w:rsidRDefault="00242BEC" w:rsidP="00242BEC">
      <w:r w:rsidRPr="00242BEC">
        <w:t>Additionally, interdisciplinary collaboration plays a key role in ensuring comprehensive care. Caseworkers often engage with external agencies such as housing associations, addiction support services, and employment agencies to provide holistic support. By working with various professionals, caseworkers can ensure that individuals receive the necessary resources to improve their quality of life. Effective teamwork also fosters knowledge-sharing and allows caseworkers to develop new skills and strategies for intervention</w:t>
      </w:r>
      <w:r w:rsidR="00753F18">
        <w:t xml:space="preserve"> </w:t>
      </w:r>
      <w:r w:rsidR="00C75939">
        <w:t>(</w:t>
      </w:r>
      <w:r w:rsidR="00753F18" w:rsidRPr="00753F18">
        <w:t>McLaney et al., 2022</w:t>
      </w:r>
      <w:r w:rsidR="00C75939">
        <w:t>)</w:t>
      </w:r>
      <w:r w:rsidRPr="00242BEC">
        <w:t>.</w:t>
      </w:r>
    </w:p>
    <w:p w14:paraId="2182E5EA" w14:textId="72F273CF" w:rsidR="00242BEC" w:rsidRPr="00242BEC" w:rsidRDefault="00242BEC" w:rsidP="00242BEC">
      <w:r w:rsidRPr="00242BEC">
        <w:t>Moreover, digital communication and record-keeping are becoming increasingly important in case support work. Many support agencies now use digital platforms to track client progress, document case notes, and share relevant updates with multidisciplinary teams. A caseworker must be proficient in maintaining accurate records while ensuring client confidentiality and data security. The ability to navigate case management software and uphold ethical data practices is essential in modern support work</w:t>
      </w:r>
      <w:r w:rsidR="00E10EC5">
        <w:t xml:space="preserve"> </w:t>
      </w:r>
      <w:r w:rsidR="00E10EC5" w:rsidRPr="00E10EC5">
        <w:t>(Jenkins, 2017</w:t>
      </w:r>
      <w:r w:rsidR="00C75939">
        <w:t>)</w:t>
      </w:r>
      <w:r w:rsidRPr="00242BEC">
        <w:t>.</w:t>
      </w:r>
    </w:p>
    <w:p w14:paraId="35BB0F09" w14:textId="37A88640" w:rsidR="00242BEC" w:rsidRPr="00242BEC" w:rsidRDefault="00242BEC" w:rsidP="00242BEC">
      <w:r w:rsidRPr="00242BEC">
        <w:lastRenderedPageBreak/>
        <w:t>Furthermore, crisis intervention skills are crucial in support work. Caseworkers often deal with individuals experiencing severe distress, requiring them to assess risk levels quickly and take appropriate action. Crisis management involves staying calm under pressure, employing de-escalation techniques, and coordinating with emergency services when needed. Understanding trauma-informed care is also essential, as many clients have experienced adverse life events that impact their mental health and behaviour. A trauma-informed approach allows caseworkers to offer support in a sensitive, non-triggering manner</w:t>
      </w:r>
      <w:r w:rsidR="00300328">
        <w:t xml:space="preserve"> </w:t>
      </w:r>
      <w:r w:rsidR="008C6431">
        <w:t>(</w:t>
      </w:r>
      <w:r w:rsidR="00300328" w:rsidRPr="00300328">
        <w:t>Wang &amp; Gupta, 2023</w:t>
      </w:r>
      <w:r w:rsidR="008C6431">
        <w:t>)</w:t>
      </w:r>
      <w:r w:rsidRPr="00242BEC">
        <w:t>.</w:t>
      </w:r>
    </w:p>
    <w:p w14:paraId="643C9B9E" w14:textId="593EE215" w:rsidR="00242BEC" w:rsidRPr="00242BEC" w:rsidRDefault="00242BEC" w:rsidP="00242BEC">
      <w:r w:rsidRPr="00242BEC">
        <w:t>Another critical area of competence is advocacy. Caseworkers often serve as advocates for their clients, helping them access necessary services and ensuring their rights are upheld. Advocacy can involve liaising with government agencies to secure financial aid, assisting clients in legal matters, or negotiating with landlords on behalf of tenants. By advocating for their clients, caseworkers empower them to navigate complex systems and gain the resources needed for stability and independence</w:t>
      </w:r>
      <w:r w:rsidR="00D1527B">
        <w:t xml:space="preserve"> (</w:t>
      </w:r>
      <w:r w:rsidR="00D1527B" w:rsidRPr="00D1527B">
        <w:t>Casebook Editorial Team, 2024</w:t>
      </w:r>
      <w:r w:rsidR="00D1527B">
        <w:t>)</w:t>
      </w:r>
      <w:r w:rsidRPr="00242BEC">
        <w:t>.</w:t>
      </w:r>
    </w:p>
    <w:p w14:paraId="042AE3F4" w14:textId="64F87C13" w:rsidR="00242BEC" w:rsidRPr="00242BEC" w:rsidRDefault="00242BEC" w:rsidP="00242BEC">
      <w:r w:rsidRPr="00242BEC">
        <w:t xml:space="preserve">Personal attributes also play a significant role in case support work. Essential traits include empathy, honesty, resilience, problem-solving skills, flexibility, and adaptability. These qualities contribute to workplace performance, emotional intelligence, and overall well-being. Support workers assist vulnerable individuals facing challenges such as homelessness, addiction, and domestic violence. Demonstrating compassion and honesty helps build trust and rapport, encouraging clients to engage in support services. Many clients have experienced trauma, making it difficult for them to seek help. A caseworker’s empathy and understanding can provide a sense of security, </w:t>
      </w:r>
      <w:r w:rsidRPr="00242BEC">
        <w:lastRenderedPageBreak/>
        <w:t>increasing client engagement</w:t>
      </w:r>
      <w:r w:rsidR="0087151D">
        <w:t xml:space="preserve"> </w:t>
      </w:r>
      <w:r w:rsidR="00B9386D">
        <w:t>(</w:t>
      </w:r>
      <w:r w:rsidR="0087151D" w:rsidRPr="0087151D">
        <w:t>British Association for Counselling and Psychotherapy, 2025</w:t>
      </w:r>
      <w:r w:rsidR="00B9386D">
        <w:t>)</w:t>
      </w:r>
      <w:r w:rsidRPr="00242BEC">
        <w:t>.</w:t>
      </w:r>
    </w:p>
    <w:p w14:paraId="7C77BC29" w14:textId="49869114" w:rsidR="00242BEC" w:rsidRPr="00242BEC" w:rsidRDefault="00242BEC" w:rsidP="00242BEC">
      <w:r w:rsidRPr="00242BEC">
        <w:t>Additionally, resilience is crucial in managing workplace challenges. Caseworkers often deal with clients experiencing setbacks, such as relapses o</w:t>
      </w:r>
      <w:r w:rsidR="00FB3C2F">
        <w:t>r</w:t>
      </w:r>
      <w:r w:rsidRPr="00242BEC">
        <w:t xml:space="preserve"> disengagement. Resilience enables professionals to maintain motivation and well-being despite these difficulties. Problem-solving skills are also vital, as they allow support workers to navigate resource limitations and bureaucratic challenges while ensuring clients receive appropriate assistance. Effective problem-solving promotes self-sufficiency and empowers individuals to overcome obstacles</w:t>
      </w:r>
      <w:r w:rsidR="006151D9">
        <w:t xml:space="preserve"> </w:t>
      </w:r>
      <w:r w:rsidR="00B9386D">
        <w:t>(</w:t>
      </w:r>
      <w:proofErr w:type="spellStart"/>
      <w:r w:rsidR="006151D9" w:rsidRPr="006151D9">
        <w:t>Sheikhrabori</w:t>
      </w:r>
      <w:proofErr w:type="spellEnd"/>
      <w:r w:rsidR="006151D9" w:rsidRPr="006151D9">
        <w:t xml:space="preserve">, </w:t>
      </w:r>
      <w:proofErr w:type="spellStart"/>
      <w:r w:rsidR="006151D9" w:rsidRPr="006151D9">
        <w:t>Peyrovi</w:t>
      </w:r>
      <w:proofErr w:type="spellEnd"/>
      <w:r w:rsidR="006151D9" w:rsidRPr="006151D9">
        <w:t xml:space="preserve">, &amp; </w:t>
      </w:r>
      <w:proofErr w:type="spellStart"/>
      <w:r w:rsidR="006151D9" w:rsidRPr="006151D9">
        <w:t>Khankeh</w:t>
      </w:r>
      <w:proofErr w:type="spellEnd"/>
      <w:r w:rsidR="006151D9" w:rsidRPr="006151D9">
        <w:t>, 2022</w:t>
      </w:r>
      <w:r w:rsidR="00B9386D">
        <w:t>)</w:t>
      </w:r>
      <w:r w:rsidRPr="00242BEC">
        <w:t>.</w:t>
      </w:r>
    </w:p>
    <w:p w14:paraId="187A7DC3" w14:textId="77777777" w:rsidR="00242BEC" w:rsidRPr="00242BEC" w:rsidRDefault="00242BEC" w:rsidP="00242BEC">
      <w:r w:rsidRPr="00242BEC">
        <w:t xml:space="preserve">In summary, case support work requires a combination of technical skills, personal attributes, and professional knowledge to support vulnerable individuals effectively. Strong communication and active listening skills are essential for building trust, understanding client needs, and advocating on their behalf. Additionally, problem-solving and adaptability help caseworkers navigate complex situations, develop tailored solutions, and respond effectively to crises. Emotional resilience is another critical competency, as support workers often face challenging and emotionally demanding situations. Maintaining professional boundaries while offering compassionate support prevents burnout and ensures long-term effectiveness. Collaboration and teamwork are also vital, as caseworkers frequently work alongside social workers, healthcare providers, legal professionals, and housing officers to provide holistic support. A strong understanding of safeguarding policies, confidentiality, and ethical guidelines ensures that support workers act responsibly and in the best interests of their clients. Furthermore, knowledge of housing systems, benefits, mental health services, and </w:t>
      </w:r>
      <w:r w:rsidRPr="00242BEC">
        <w:lastRenderedPageBreak/>
        <w:t>community resources is crucial for guiding clients toward stability and independence. Ultimately, competence in case support work requires balancing empathy with professionalism, problem-solving with advocacy, and resilience with self-care. By developing these core competencies, caseworkers can provide meaningful, effective, and sustainable support to those in need.</w:t>
      </w:r>
    </w:p>
    <w:p w14:paraId="0A488EE2" w14:textId="77777777" w:rsidR="00242BEC" w:rsidRPr="00242BEC" w:rsidRDefault="00242BEC" w:rsidP="00242BEC"/>
    <w:p w14:paraId="106345E3" w14:textId="77777777" w:rsidR="00C91B8D" w:rsidRDefault="00C91B8D"/>
    <w:p w14:paraId="3A062E66" w14:textId="77777777" w:rsidR="00462131" w:rsidRDefault="00462131"/>
    <w:p w14:paraId="0FB1587B" w14:textId="77777777" w:rsidR="00462131" w:rsidRDefault="00462131"/>
    <w:p w14:paraId="0005A1A5" w14:textId="77777777" w:rsidR="00462131" w:rsidRDefault="00462131"/>
    <w:p w14:paraId="4F2F136F" w14:textId="77777777" w:rsidR="00462131" w:rsidRDefault="00462131"/>
    <w:p w14:paraId="7144BBDF" w14:textId="77777777" w:rsidR="00462131" w:rsidRDefault="00462131"/>
    <w:p w14:paraId="10E54137" w14:textId="77777777" w:rsidR="00462131" w:rsidRDefault="00462131"/>
    <w:p w14:paraId="10018140" w14:textId="77777777" w:rsidR="00462131" w:rsidRDefault="00462131"/>
    <w:p w14:paraId="2EA0111F" w14:textId="77777777" w:rsidR="00462131" w:rsidRDefault="00462131"/>
    <w:p w14:paraId="7F1043AB" w14:textId="77777777" w:rsidR="00462131" w:rsidRDefault="00462131"/>
    <w:p w14:paraId="749BCE3A" w14:textId="77777777" w:rsidR="00462131" w:rsidRDefault="00462131"/>
    <w:p w14:paraId="6F2856F0" w14:textId="77777777" w:rsidR="00462131" w:rsidRDefault="00462131"/>
    <w:p w14:paraId="7865B2E6" w14:textId="77777777" w:rsidR="00462131" w:rsidRDefault="00462131"/>
    <w:p w14:paraId="6E470466" w14:textId="77777777" w:rsidR="00462131" w:rsidRDefault="00462131"/>
    <w:p w14:paraId="23688713" w14:textId="57E39A07" w:rsidR="00462131" w:rsidRDefault="00462131">
      <w:r>
        <w:lastRenderedPageBreak/>
        <w:t>Reference list:</w:t>
      </w:r>
    </w:p>
    <w:p w14:paraId="3D37C18D" w14:textId="77777777" w:rsidR="007B0B90" w:rsidRDefault="007B0B90" w:rsidP="007C36DD">
      <w:pPr>
        <w:ind w:left="720" w:hanging="720"/>
      </w:pPr>
      <w:r w:rsidRPr="006036D0">
        <w:t xml:space="preserve">Anxiety UK. (2025). </w:t>
      </w:r>
      <w:r w:rsidRPr="006036D0">
        <w:rPr>
          <w:i/>
          <w:iCs/>
        </w:rPr>
        <w:t>Helping you to help yourself</w:t>
      </w:r>
      <w:r w:rsidRPr="006036D0">
        <w:t xml:space="preserve">. </w:t>
      </w:r>
      <w:hyperlink r:id="rId4" w:tgtFrame="_new" w:history="1">
        <w:r w:rsidRPr="006036D0">
          <w:rPr>
            <w:rStyle w:val="Hyperlink"/>
          </w:rPr>
          <w:t>https://www.anxietyuk.org.uk</w:t>
        </w:r>
      </w:hyperlink>
    </w:p>
    <w:p w14:paraId="6B113D8A" w14:textId="77777777" w:rsidR="00FE4937" w:rsidRDefault="00FE4937" w:rsidP="007C36DD">
      <w:pPr>
        <w:ind w:left="720" w:hanging="720"/>
      </w:pPr>
      <w:r w:rsidRPr="00E156C8">
        <w:t xml:space="preserve">British Association for Counselling and Psychotherapy. (2025). </w:t>
      </w:r>
      <w:r w:rsidRPr="00E156C8">
        <w:rPr>
          <w:i/>
          <w:iCs/>
        </w:rPr>
        <w:t>Ethical framework for the counselling professions</w:t>
      </w:r>
      <w:r w:rsidRPr="00E156C8">
        <w:t xml:space="preserve">. </w:t>
      </w:r>
      <w:hyperlink r:id="rId5" w:tgtFrame="_new" w:history="1">
        <w:r w:rsidRPr="00E156C8">
          <w:rPr>
            <w:rStyle w:val="Hyperlink"/>
          </w:rPr>
          <w:t>https://www.bacp.co.uk/events-and-resources/ethics-and-standards/ethical-framework-for-the-counselling-professions/</w:t>
        </w:r>
      </w:hyperlink>
    </w:p>
    <w:p w14:paraId="6BB372DC" w14:textId="77777777" w:rsidR="00E11262" w:rsidRDefault="00E11262" w:rsidP="007C36DD">
      <w:pPr>
        <w:ind w:left="720" w:hanging="720"/>
      </w:pPr>
      <w:r w:rsidRPr="006036D0">
        <w:t xml:space="preserve">British Association for Counselling and Psychotherapy. (2023). </w:t>
      </w:r>
      <w:r w:rsidRPr="006036D0">
        <w:rPr>
          <w:i/>
          <w:iCs/>
        </w:rPr>
        <w:t>Good practice in action 110: Fact sheet: Boundaries within the counselling professions</w:t>
      </w:r>
      <w:r w:rsidRPr="006036D0">
        <w:t xml:space="preserve">. </w:t>
      </w:r>
      <w:hyperlink r:id="rId6" w:tgtFrame="_new" w:history="1">
        <w:r w:rsidRPr="006036D0">
          <w:rPr>
            <w:rStyle w:val="Hyperlink"/>
          </w:rPr>
          <w:t>https://www.bacp.co.uk/media/18188/gpia-110-fs-boundaries-within-the-clg-profs-update-2023.pdf</w:t>
        </w:r>
      </w:hyperlink>
    </w:p>
    <w:p w14:paraId="53506500" w14:textId="77777777" w:rsidR="00E163CD" w:rsidRDefault="00E163CD" w:rsidP="007C36DD">
      <w:pPr>
        <w:ind w:left="720" w:hanging="720"/>
      </w:pPr>
      <w:r w:rsidRPr="001C77FD">
        <w:t xml:space="preserve">British Association for Counselling and Psychotherapy. (2023). </w:t>
      </w:r>
      <w:r w:rsidRPr="001C77FD">
        <w:rPr>
          <w:i/>
          <w:iCs/>
        </w:rPr>
        <w:t>Good practice in action 088: Fact sheet: Self-care for the counselling professions</w:t>
      </w:r>
      <w:r w:rsidRPr="001C77FD">
        <w:t xml:space="preserve">. </w:t>
      </w:r>
      <w:hyperlink r:id="rId7" w:tgtFrame="_new" w:history="1">
        <w:r w:rsidRPr="001C77FD">
          <w:rPr>
            <w:rStyle w:val="Hyperlink"/>
          </w:rPr>
          <w:t>https://www.bacp.co.uk</w:t>
        </w:r>
      </w:hyperlink>
    </w:p>
    <w:p w14:paraId="463774FE" w14:textId="77777777" w:rsidR="0010439A" w:rsidRDefault="0010439A" w:rsidP="007C36DD">
      <w:pPr>
        <w:ind w:left="720" w:hanging="720"/>
      </w:pPr>
      <w:r w:rsidRPr="006A3493">
        <w:t xml:space="preserve">British Association of Social Workers. </w:t>
      </w:r>
      <w:hyperlink r:id="rId8" w:tgtFrame="_new" w:history="1">
        <w:r w:rsidRPr="006A3493">
          <w:rPr>
            <w:rStyle w:val="Hyperlink"/>
          </w:rPr>
          <w:t>https://www.basw.co.uk/articles/collaboration-isnt-easy-essential-social-work</w:t>
        </w:r>
      </w:hyperlink>
    </w:p>
    <w:p w14:paraId="641B8997" w14:textId="77777777" w:rsidR="00F26759" w:rsidRDefault="00F26759" w:rsidP="007C36DD">
      <w:pPr>
        <w:ind w:left="720" w:hanging="720"/>
      </w:pPr>
      <w:r w:rsidRPr="001C77FD">
        <w:t xml:space="preserve">British Association of Social Workers. (2021). </w:t>
      </w:r>
      <w:r w:rsidRPr="001C77FD">
        <w:rPr>
          <w:i/>
          <w:iCs/>
        </w:rPr>
        <w:t>The code of ethics for social work</w:t>
      </w:r>
      <w:r w:rsidRPr="001C77FD">
        <w:t xml:space="preserve">. The Policy, Ethics and Human Rights Committee. </w:t>
      </w:r>
      <w:hyperlink r:id="rId9" w:tgtFrame="_new" w:history="1">
        <w:r w:rsidRPr="001C77FD">
          <w:rPr>
            <w:rStyle w:val="Hyperlink"/>
          </w:rPr>
          <w:t>https://www.basw.co.uk</w:t>
        </w:r>
      </w:hyperlink>
    </w:p>
    <w:p w14:paraId="1B0ACF62" w14:textId="77777777" w:rsidR="00821B79" w:rsidRDefault="00821B79" w:rsidP="007C36DD">
      <w:pPr>
        <w:ind w:left="720" w:hanging="720"/>
      </w:pPr>
      <w:r w:rsidRPr="001C0980">
        <w:t xml:space="preserve">Casebook Editorial Team. (2024). </w:t>
      </w:r>
      <w:r w:rsidRPr="001C0980">
        <w:rPr>
          <w:i/>
          <w:iCs/>
        </w:rPr>
        <w:t>Top 10 essential case management skills and how to master them</w:t>
      </w:r>
      <w:r w:rsidRPr="001C0980">
        <w:t xml:space="preserve">. Casebook. </w:t>
      </w:r>
      <w:hyperlink r:id="rId10" w:tgtFrame="_new" w:history="1">
        <w:r w:rsidRPr="001C0980">
          <w:rPr>
            <w:rStyle w:val="Hyperlink"/>
          </w:rPr>
          <w:t>https://www.casebook.net/blog/top-10-essential-case-management-skills-and-how-to-master-them/</w:t>
        </w:r>
      </w:hyperlink>
    </w:p>
    <w:p w14:paraId="1A41C17F" w14:textId="1D8C648E" w:rsidR="00527A02" w:rsidRDefault="00527A02" w:rsidP="007C36DD">
      <w:pPr>
        <w:ind w:left="720" w:hanging="720"/>
      </w:pPr>
      <w:r w:rsidRPr="006A3493">
        <w:t xml:space="preserve">Clapson, A., &amp; Matthew, J. (2023). </w:t>
      </w:r>
      <w:r w:rsidRPr="006A3493">
        <w:rPr>
          <w:i/>
          <w:iCs/>
        </w:rPr>
        <w:t>Collaboration isn't easy, but essential in social work</w:t>
      </w:r>
      <w:r w:rsidRPr="006A3493">
        <w:t xml:space="preserve">. </w:t>
      </w:r>
      <w:hyperlink r:id="rId11" w:tgtFrame="_new" w:history="1">
        <w:r w:rsidR="006E7505" w:rsidRPr="006E7505">
          <w:rPr>
            <w:rStyle w:val="Hyperlink"/>
          </w:rPr>
          <w:t>https://www.basw.co.uk/articles/collaboration-isnt-easy-essential-social-work</w:t>
        </w:r>
      </w:hyperlink>
    </w:p>
    <w:p w14:paraId="13F1631E" w14:textId="77777777" w:rsidR="00940C50" w:rsidRDefault="00940C50" w:rsidP="007C36DD">
      <w:pPr>
        <w:ind w:left="720" w:hanging="720"/>
      </w:pPr>
      <w:r w:rsidRPr="00CA2955">
        <w:lastRenderedPageBreak/>
        <w:t xml:space="preserve">Jenkins, P. (2017). </w:t>
      </w:r>
      <w:r w:rsidRPr="00CA2955">
        <w:rPr>
          <w:i/>
          <w:iCs/>
        </w:rPr>
        <w:t>Record keeping and the law</w:t>
      </w:r>
      <w:r w:rsidRPr="00CA2955">
        <w:t xml:space="preserve">. British Association for Counselling and Psychotherapy, </w:t>
      </w:r>
      <w:r w:rsidRPr="00CA2955">
        <w:rPr>
          <w:i/>
          <w:iCs/>
        </w:rPr>
        <w:t>Private Practice (Summer 2017)</w:t>
      </w:r>
      <w:r w:rsidRPr="00CA2955">
        <w:t xml:space="preserve">. </w:t>
      </w:r>
      <w:hyperlink r:id="rId12" w:tgtFrame="_new" w:history="1">
        <w:r w:rsidRPr="00CA2955">
          <w:rPr>
            <w:rStyle w:val="Hyperlink"/>
          </w:rPr>
          <w:t>https://www.bacp.co.uk/bacp-journals/private-practice/2017/summer/record-keeping-and-the-law/</w:t>
        </w:r>
      </w:hyperlink>
    </w:p>
    <w:p w14:paraId="5F3D643E" w14:textId="77777777" w:rsidR="004B3A7C" w:rsidRDefault="004B3A7C" w:rsidP="007C36DD">
      <w:pPr>
        <w:ind w:left="720" w:hanging="720"/>
      </w:pPr>
      <w:r w:rsidRPr="00D47C0B">
        <w:t xml:space="preserve">Kinman, G., &amp; Grant, L. (2011). Exploring stress resilience in trainee social workers: The role of emotional and social competencies. </w:t>
      </w:r>
      <w:r w:rsidRPr="00D47C0B">
        <w:rPr>
          <w:i/>
          <w:iCs/>
        </w:rPr>
        <w:t>The British Journal of Social Work, 41</w:t>
      </w:r>
      <w:r w:rsidRPr="00D47C0B">
        <w:t xml:space="preserve">(2), 261–275. </w:t>
      </w:r>
      <w:hyperlink r:id="rId13" w:tgtFrame="_new" w:history="1">
        <w:r w:rsidRPr="00D47C0B">
          <w:rPr>
            <w:rStyle w:val="Hyperlink"/>
          </w:rPr>
          <w:t>https://doi.org/10.1093/bjsw/bcq088</w:t>
        </w:r>
      </w:hyperlink>
    </w:p>
    <w:p w14:paraId="5F19F857" w14:textId="6E7C9120" w:rsidR="00056CD7" w:rsidRDefault="00056CD7" w:rsidP="007C36DD">
      <w:pPr>
        <w:ind w:left="720" w:hanging="720"/>
      </w:pPr>
      <w:r w:rsidRPr="00D47C0B">
        <w:t xml:space="preserve">Liu, B. (2022). </w:t>
      </w:r>
      <w:r w:rsidRPr="00D47C0B">
        <w:rPr>
          <w:i/>
          <w:iCs/>
        </w:rPr>
        <w:t>Empathy theory and casework problem solving based upon social network analysis</w:t>
      </w:r>
      <w:r w:rsidRPr="00D47C0B">
        <w:t xml:space="preserve">. </w:t>
      </w:r>
      <w:r w:rsidRPr="00D47C0B">
        <w:rPr>
          <w:i/>
          <w:iCs/>
        </w:rPr>
        <w:t>Wireless Communications and Mobile Computing, 2022</w:t>
      </w:r>
      <w:r w:rsidRPr="00D47C0B">
        <w:t>. https://</w:t>
      </w:r>
      <w:r w:rsidR="00F5786D" w:rsidRPr="00F5786D">
        <w:t xml:space="preserve"> </w:t>
      </w:r>
      <w:hyperlink r:id="rId14" w:history="1">
        <w:r w:rsidR="00F5786D" w:rsidRPr="00F5786D">
          <w:rPr>
            <w:rStyle w:val="Hyperlink"/>
          </w:rPr>
          <w:t>[Retracted] Empathy Theory and Casework Problem Solving Based upon Social Network Analysis - Liu - 2022 - Wireless Communications and Mobile Computing - Wiley Online Library</w:t>
        </w:r>
      </w:hyperlink>
    </w:p>
    <w:p w14:paraId="6E168534" w14:textId="77777777" w:rsidR="00450476" w:rsidRDefault="00450476" w:rsidP="007C36DD">
      <w:pPr>
        <w:ind w:left="720" w:hanging="720"/>
      </w:pPr>
      <w:r w:rsidRPr="00CA2955">
        <w:t xml:space="preserve">McLaney, E., </w:t>
      </w:r>
      <w:proofErr w:type="spellStart"/>
      <w:r w:rsidRPr="00CA2955">
        <w:t>Morassaei</w:t>
      </w:r>
      <w:proofErr w:type="spellEnd"/>
      <w:r w:rsidRPr="00CA2955">
        <w:t xml:space="preserve">, S., Hughes, L., Davies, R., Campbell, M., &amp; Di Prospero, L. (2022). A framework for interprofessional team collaboration in a hospital setting: Advancing team competencies and behaviours. </w:t>
      </w:r>
      <w:r w:rsidRPr="00CA2955">
        <w:rPr>
          <w:i/>
          <w:iCs/>
        </w:rPr>
        <w:t>Healthcare Management Forum, 35</w:t>
      </w:r>
      <w:r w:rsidRPr="00CA2955">
        <w:t xml:space="preserve">(2). </w:t>
      </w:r>
      <w:hyperlink r:id="rId15" w:tgtFrame="_new" w:history="1">
        <w:r w:rsidRPr="00CA2955">
          <w:rPr>
            <w:rStyle w:val="Hyperlink"/>
          </w:rPr>
          <w:t>https://journals.sagepub.com/doi/full/10.1177/08404</w:t>
        </w:r>
      </w:hyperlink>
    </w:p>
    <w:p w14:paraId="0235494D" w14:textId="77777777" w:rsidR="007F0402" w:rsidRDefault="007F0402" w:rsidP="007C36DD">
      <w:pPr>
        <w:ind w:left="720" w:hanging="720"/>
      </w:pPr>
      <w:r w:rsidRPr="006A3493">
        <w:t xml:space="preserve">National Quality Board. (2024, December 4). </w:t>
      </w:r>
      <w:r w:rsidRPr="006A3493">
        <w:rPr>
          <w:i/>
          <w:iCs/>
        </w:rPr>
        <w:t>Principles for assessing and managing risks across integrated care systems</w:t>
      </w:r>
      <w:r w:rsidRPr="006A3493">
        <w:t xml:space="preserve">. NHS England. </w:t>
      </w:r>
      <w:hyperlink r:id="rId16" w:tgtFrame="_new" w:history="1">
        <w:r w:rsidRPr="006A3493">
          <w:rPr>
            <w:rStyle w:val="Hyperlink"/>
          </w:rPr>
          <w:t>https://www.england.nhs.uk/long-read/principles-for-assessing-and-managing-risks-across-integrated-care-systems/</w:t>
        </w:r>
      </w:hyperlink>
    </w:p>
    <w:p w14:paraId="658DCA70" w14:textId="63BE007E" w:rsidR="00090F0E" w:rsidRDefault="00090F0E" w:rsidP="007C36DD">
      <w:pPr>
        <w:ind w:left="720" w:hanging="720"/>
      </w:pPr>
      <w:proofErr w:type="spellStart"/>
      <w:r w:rsidRPr="00090F0E">
        <w:lastRenderedPageBreak/>
        <w:t>Razzetti</w:t>
      </w:r>
      <w:proofErr w:type="spellEnd"/>
      <w:r w:rsidRPr="00090F0E">
        <w:t xml:space="preserve">, G. (2023, March 17). Clarifying questions will help you be a better listener. </w:t>
      </w:r>
      <w:r w:rsidRPr="00090F0E">
        <w:rPr>
          <w:i/>
          <w:iCs/>
        </w:rPr>
        <w:t>Psychology Today</w:t>
      </w:r>
      <w:r w:rsidRPr="00090F0E">
        <w:t xml:space="preserve">. </w:t>
      </w:r>
      <w:hyperlink r:id="rId17" w:tgtFrame="_new" w:history="1">
        <w:r w:rsidRPr="00090F0E">
          <w:rPr>
            <w:rStyle w:val="Hyperlink"/>
          </w:rPr>
          <w:t>https://www.psychologytoday.com/us/blog/the-adaptive-mind/202303/clarifying-questions-will-help-you-be-a-better-listener</w:t>
        </w:r>
      </w:hyperlink>
    </w:p>
    <w:p w14:paraId="56829AE0" w14:textId="77777777" w:rsidR="00B70301" w:rsidRDefault="00B70301" w:rsidP="007C36DD">
      <w:pPr>
        <w:ind w:left="720" w:hanging="720"/>
      </w:pPr>
      <w:proofErr w:type="spellStart"/>
      <w:r w:rsidRPr="00E156C8">
        <w:t>Sheikhrabori</w:t>
      </w:r>
      <w:proofErr w:type="spellEnd"/>
      <w:r w:rsidRPr="00E156C8">
        <w:t xml:space="preserve">, A., </w:t>
      </w:r>
      <w:proofErr w:type="spellStart"/>
      <w:r w:rsidRPr="00E156C8">
        <w:t>Peyrovi</w:t>
      </w:r>
      <w:proofErr w:type="spellEnd"/>
      <w:r w:rsidRPr="00E156C8">
        <w:t xml:space="preserve">, H., &amp; </w:t>
      </w:r>
      <w:proofErr w:type="spellStart"/>
      <w:r w:rsidRPr="00E156C8">
        <w:t>Khankeh</w:t>
      </w:r>
      <w:proofErr w:type="spellEnd"/>
      <w:r w:rsidRPr="00E156C8">
        <w:t xml:space="preserve">, H. (2022). The main features of resilience in healthcare providers: A scoping review. </w:t>
      </w:r>
      <w:r w:rsidRPr="00E156C8">
        <w:rPr>
          <w:i/>
          <w:iCs/>
        </w:rPr>
        <w:t>Medical Journal of the Islamic Republic of Iran, 36</w:t>
      </w:r>
      <w:r w:rsidRPr="00E156C8">
        <w:t xml:space="preserve">(3). </w:t>
      </w:r>
      <w:hyperlink r:id="rId18" w:history="1">
        <w:r w:rsidRPr="00346A8E">
          <w:rPr>
            <w:rStyle w:val="Hyperlink"/>
          </w:rPr>
          <w:t>https://doi.org/10.47176/mjiri.36.3</w:t>
        </w:r>
      </w:hyperlink>
    </w:p>
    <w:p w14:paraId="380EA84B" w14:textId="3C34E282" w:rsidR="00B70301" w:rsidRDefault="00937C01" w:rsidP="007C36DD">
      <w:pPr>
        <w:ind w:left="720" w:hanging="720"/>
      </w:pPr>
      <w:r w:rsidRPr="00937C01">
        <w:t xml:space="preserve">Tennant, K., Long, A., &amp; Toney-Butler, T. J. (2023). </w:t>
      </w:r>
      <w:r w:rsidRPr="00937C01">
        <w:rPr>
          <w:i/>
          <w:iCs/>
        </w:rPr>
        <w:t>Active listening</w:t>
      </w:r>
      <w:r w:rsidRPr="00937C01">
        <w:t xml:space="preserve">. In </w:t>
      </w:r>
      <w:proofErr w:type="spellStart"/>
      <w:r w:rsidRPr="00937C01">
        <w:rPr>
          <w:i/>
          <w:iCs/>
        </w:rPr>
        <w:t>StatPearls</w:t>
      </w:r>
      <w:proofErr w:type="spellEnd"/>
      <w:r w:rsidRPr="00937C01">
        <w:t xml:space="preserve">. </w:t>
      </w:r>
      <w:proofErr w:type="spellStart"/>
      <w:r w:rsidRPr="00937C01">
        <w:t>StatPearls</w:t>
      </w:r>
      <w:proofErr w:type="spellEnd"/>
      <w:r w:rsidRPr="00937C01">
        <w:t xml:space="preserve"> Publishing. </w:t>
      </w:r>
      <w:hyperlink r:id="rId19" w:tgtFrame="_new" w:history="1">
        <w:r w:rsidRPr="00937C01">
          <w:rPr>
            <w:rStyle w:val="Hyperlink"/>
          </w:rPr>
          <w:t>https://www.ncbi.nlm.nih.gov/books/NBK442015/</w:t>
        </w:r>
      </w:hyperlink>
    </w:p>
    <w:p w14:paraId="4970D950" w14:textId="77777777" w:rsidR="00BF753E" w:rsidRDefault="00BF753E" w:rsidP="007C36DD">
      <w:pPr>
        <w:ind w:left="720" w:hanging="720"/>
      </w:pPr>
      <w:r w:rsidRPr="00CA2955">
        <w:t xml:space="preserve">Wang, D., &amp; Gupta, V. (2023). </w:t>
      </w:r>
      <w:r w:rsidRPr="00CA2955">
        <w:rPr>
          <w:i/>
          <w:iCs/>
        </w:rPr>
        <w:t>Crisis intervention</w:t>
      </w:r>
      <w:r w:rsidRPr="00CA2955">
        <w:t xml:space="preserve">. In </w:t>
      </w:r>
      <w:proofErr w:type="spellStart"/>
      <w:r w:rsidRPr="00CA2955">
        <w:rPr>
          <w:i/>
          <w:iCs/>
        </w:rPr>
        <w:t>StatPearls</w:t>
      </w:r>
      <w:proofErr w:type="spellEnd"/>
      <w:r w:rsidRPr="00CA2955">
        <w:t xml:space="preserve">. </w:t>
      </w:r>
      <w:proofErr w:type="spellStart"/>
      <w:r w:rsidRPr="00CA2955">
        <w:t>StatPearls</w:t>
      </w:r>
      <w:proofErr w:type="spellEnd"/>
      <w:r w:rsidRPr="00CA2955">
        <w:t xml:space="preserve"> Publishing. </w:t>
      </w:r>
      <w:hyperlink r:id="rId20" w:tgtFrame="_new" w:history="1">
        <w:r w:rsidRPr="00CA2955">
          <w:rPr>
            <w:rStyle w:val="Hyperlink"/>
          </w:rPr>
          <w:t>https://www.ncbi.nlm.nih.gov/books/NBK559081/</w:t>
        </w:r>
      </w:hyperlink>
    </w:p>
    <w:p w14:paraId="57F8CC13" w14:textId="77777777" w:rsidR="00937C01" w:rsidRPr="00937C01" w:rsidRDefault="00937C01" w:rsidP="00056CD7"/>
    <w:p w14:paraId="5706E89F" w14:textId="77777777" w:rsidR="00B8440E" w:rsidRDefault="00B8440E" w:rsidP="00F26759"/>
    <w:p w14:paraId="719D8328" w14:textId="77777777" w:rsidR="00462131" w:rsidRDefault="00462131"/>
    <w:sectPr w:rsidR="00462131" w:rsidSect="00DB19E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BEC"/>
    <w:rsid w:val="00015ED9"/>
    <w:rsid w:val="00040112"/>
    <w:rsid w:val="00056CD7"/>
    <w:rsid w:val="000656EA"/>
    <w:rsid w:val="000852E1"/>
    <w:rsid w:val="00090F0E"/>
    <w:rsid w:val="000E4189"/>
    <w:rsid w:val="00102DFD"/>
    <w:rsid w:val="0010439A"/>
    <w:rsid w:val="00115969"/>
    <w:rsid w:val="00120822"/>
    <w:rsid w:val="00147BB6"/>
    <w:rsid w:val="00180E28"/>
    <w:rsid w:val="00196808"/>
    <w:rsid w:val="001F4172"/>
    <w:rsid w:val="001F47AB"/>
    <w:rsid w:val="001F4FDB"/>
    <w:rsid w:val="00242BEC"/>
    <w:rsid w:val="00257B65"/>
    <w:rsid w:val="002B713E"/>
    <w:rsid w:val="00300328"/>
    <w:rsid w:val="0035745F"/>
    <w:rsid w:val="00450476"/>
    <w:rsid w:val="00462131"/>
    <w:rsid w:val="004830BA"/>
    <w:rsid w:val="004A7D7B"/>
    <w:rsid w:val="004B3A7C"/>
    <w:rsid w:val="00527A02"/>
    <w:rsid w:val="006151D9"/>
    <w:rsid w:val="006B4A0D"/>
    <w:rsid w:val="006E2446"/>
    <w:rsid w:val="006E7505"/>
    <w:rsid w:val="006F71E7"/>
    <w:rsid w:val="007074D8"/>
    <w:rsid w:val="00721CE7"/>
    <w:rsid w:val="00733990"/>
    <w:rsid w:val="00753F18"/>
    <w:rsid w:val="00765794"/>
    <w:rsid w:val="00772965"/>
    <w:rsid w:val="007B0B90"/>
    <w:rsid w:val="007C36DD"/>
    <w:rsid w:val="007F0402"/>
    <w:rsid w:val="00821B79"/>
    <w:rsid w:val="0087151D"/>
    <w:rsid w:val="008C6431"/>
    <w:rsid w:val="00937C01"/>
    <w:rsid w:val="00940C50"/>
    <w:rsid w:val="009D7FAF"/>
    <w:rsid w:val="00A15361"/>
    <w:rsid w:val="00A232DB"/>
    <w:rsid w:val="00AF3D4F"/>
    <w:rsid w:val="00B1357F"/>
    <w:rsid w:val="00B70301"/>
    <w:rsid w:val="00B8440E"/>
    <w:rsid w:val="00B9386D"/>
    <w:rsid w:val="00BA38C5"/>
    <w:rsid w:val="00BC765F"/>
    <w:rsid w:val="00BF4BE3"/>
    <w:rsid w:val="00BF753E"/>
    <w:rsid w:val="00C75939"/>
    <w:rsid w:val="00C91B8D"/>
    <w:rsid w:val="00C95404"/>
    <w:rsid w:val="00CA01EB"/>
    <w:rsid w:val="00CA5704"/>
    <w:rsid w:val="00CD1F6B"/>
    <w:rsid w:val="00CE784D"/>
    <w:rsid w:val="00D1527B"/>
    <w:rsid w:val="00D72248"/>
    <w:rsid w:val="00D85330"/>
    <w:rsid w:val="00D909ED"/>
    <w:rsid w:val="00DB19EA"/>
    <w:rsid w:val="00E10EC5"/>
    <w:rsid w:val="00E11262"/>
    <w:rsid w:val="00E163CD"/>
    <w:rsid w:val="00E4332E"/>
    <w:rsid w:val="00F12023"/>
    <w:rsid w:val="00F26759"/>
    <w:rsid w:val="00F5786D"/>
    <w:rsid w:val="00F80102"/>
    <w:rsid w:val="00FB3C2F"/>
    <w:rsid w:val="00FE4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4C3467"/>
  <w15:chartTrackingRefBased/>
  <w15:docId w15:val="{D47F7A10-FD55-40BC-8B1F-B3B81C108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BEC"/>
  </w:style>
  <w:style w:type="paragraph" w:styleId="Heading1">
    <w:name w:val="heading 1"/>
    <w:basedOn w:val="Normal"/>
    <w:next w:val="Normal"/>
    <w:link w:val="Heading1Char"/>
    <w:uiPriority w:val="9"/>
    <w:qFormat/>
    <w:rsid w:val="00C91B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1B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1B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1B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B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B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B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B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B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B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1B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B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B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B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B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B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B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B8D"/>
    <w:rPr>
      <w:rFonts w:eastAsiaTheme="majorEastAsia" w:cstheme="majorBidi"/>
      <w:color w:val="272727" w:themeColor="text1" w:themeTint="D8"/>
    </w:rPr>
  </w:style>
  <w:style w:type="paragraph" w:styleId="Title">
    <w:name w:val="Title"/>
    <w:basedOn w:val="Normal"/>
    <w:next w:val="Normal"/>
    <w:link w:val="TitleChar"/>
    <w:uiPriority w:val="10"/>
    <w:qFormat/>
    <w:rsid w:val="00C91B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B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B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B8D"/>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C91B8D"/>
    <w:pPr>
      <w:ind w:left="720"/>
      <w:contextualSpacing/>
    </w:pPr>
  </w:style>
  <w:style w:type="paragraph" w:styleId="Quote">
    <w:name w:val="Quote"/>
    <w:basedOn w:val="Normal"/>
    <w:next w:val="Normal"/>
    <w:link w:val="QuoteChar"/>
    <w:uiPriority w:val="29"/>
    <w:qFormat/>
    <w:rsid w:val="00C91B8D"/>
    <w:pPr>
      <w:spacing w:before="160"/>
      <w:jc w:val="center"/>
    </w:pPr>
    <w:rPr>
      <w:i/>
      <w:iCs/>
      <w:color w:val="404040" w:themeColor="text1" w:themeTint="BF"/>
    </w:rPr>
  </w:style>
  <w:style w:type="character" w:customStyle="1" w:styleId="QuoteChar">
    <w:name w:val="Quote Char"/>
    <w:basedOn w:val="DefaultParagraphFont"/>
    <w:link w:val="Quote"/>
    <w:uiPriority w:val="29"/>
    <w:rsid w:val="00C91B8D"/>
    <w:rPr>
      <w:i/>
      <w:iCs/>
      <w:color w:val="404040" w:themeColor="text1" w:themeTint="BF"/>
    </w:rPr>
  </w:style>
  <w:style w:type="paragraph" w:styleId="IntenseQuote">
    <w:name w:val="Intense Quote"/>
    <w:basedOn w:val="Normal"/>
    <w:next w:val="Normal"/>
    <w:link w:val="IntenseQuoteChar"/>
    <w:uiPriority w:val="30"/>
    <w:qFormat/>
    <w:rsid w:val="00C91B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B8D"/>
    <w:rPr>
      <w:i/>
      <w:iCs/>
      <w:color w:val="0F4761" w:themeColor="accent1" w:themeShade="BF"/>
    </w:rPr>
  </w:style>
  <w:style w:type="character" w:styleId="IntenseEmphasis">
    <w:name w:val="Intense Emphasis"/>
    <w:basedOn w:val="DefaultParagraphFont"/>
    <w:uiPriority w:val="21"/>
    <w:qFormat/>
    <w:rsid w:val="00C91B8D"/>
    <w:rPr>
      <w:i/>
      <w:iCs/>
      <w:color w:val="0F4761" w:themeColor="accent1" w:themeShade="BF"/>
    </w:rPr>
  </w:style>
  <w:style w:type="character" w:styleId="IntenseReference">
    <w:name w:val="Intense Reference"/>
    <w:basedOn w:val="DefaultParagraphFont"/>
    <w:uiPriority w:val="32"/>
    <w:qFormat/>
    <w:rsid w:val="00C91B8D"/>
    <w:rPr>
      <w:b/>
      <w:bCs/>
      <w:smallCaps/>
      <w:color w:val="0F4761" w:themeColor="accent1" w:themeShade="BF"/>
      <w:spacing w:val="5"/>
    </w:rPr>
  </w:style>
  <w:style w:type="character" w:styleId="Hyperlink">
    <w:name w:val="Hyperlink"/>
    <w:basedOn w:val="DefaultParagraphFont"/>
    <w:uiPriority w:val="99"/>
    <w:unhideWhenUsed/>
    <w:rsid w:val="007B0B90"/>
    <w:rPr>
      <w:color w:val="467886" w:themeColor="hyperlink"/>
      <w:u w:val="single"/>
    </w:rPr>
  </w:style>
  <w:style w:type="character" w:styleId="UnresolvedMention">
    <w:name w:val="Unresolved Mention"/>
    <w:basedOn w:val="DefaultParagraphFont"/>
    <w:uiPriority w:val="99"/>
    <w:semiHidden/>
    <w:unhideWhenUsed/>
    <w:rsid w:val="00F5786D"/>
    <w:rPr>
      <w:color w:val="605E5C"/>
      <w:shd w:val="clear" w:color="auto" w:fill="E1DFDD"/>
    </w:rPr>
  </w:style>
  <w:style w:type="paragraph" w:styleId="NoSpacing">
    <w:name w:val="No Spacing"/>
    <w:link w:val="NoSpacingChar"/>
    <w:uiPriority w:val="1"/>
    <w:qFormat/>
    <w:rsid w:val="00DB19E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B19EA"/>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611032">
      <w:bodyDiv w:val="1"/>
      <w:marLeft w:val="0"/>
      <w:marRight w:val="0"/>
      <w:marTop w:val="0"/>
      <w:marBottom w:val="0"/>
      <w:divBdr>
        <w:top w:val="none" w:sz="0" w:space="0" w:color="auto"/>
        <w:left w:val="none" w:sz="0" w:space="0" w:color="auto"/>
        <w:bottom w:val="none" w:sz="0" w:space="0" w:color="auto"/>
        <w:right w:val="none" w:sz="0" w:space="0" w:color="auto"/>
      </w:divBdr>
    </w:div>
    <w:div w:id="514419207">
      <w:bodyDiv w:val="1"/>
      <w:marLeft w:val="0"/>
      <w:marRight w:val="0"/>
      <w:marTop w:val="0"/>
      <w:marBottom w:val="0"/>
      <w:divBdr>
        <w:top w:val="none" w:sz="0" w:space="0" w:color="auto"/>
        <w:left w:val="none" w:sz="0" w:space="0" w:color="auto"/>
        <w:bottom w:val="none" w:sz="0" w:space="0" w:color="auto"/>
        <w:right w:val="none" w:sz="0" w:space="0" w:color="auto"/>
      </w:divBdr>
    </w:div>
    <w:div w:id="729157638">
      <w:bodyDiv w:val="1"/>
      <w:marLeft w:val="0"/>
      <w:marRight w:val="0"/>
      <w:marTop w:val="0"/>
      <w:marBottom w:val="0"/>
      <w:divBdr>
        <w:top w:val="none" w:sz="0" w:space="0" w:color="auto"/>
        <w:left w:val="none" w:sz="0" w:space="0" w:color="auto"/>
        <w:bottom w:val="none" w:sz="0" w:space="0" w:color="auto"/>
        <w:right w:val="none" w:sz="0" w:space="0" w:color="auto"/>
      </w:divBdr>
    </w:div>
    <w:div w:id="958101457">
      <w:bodyDiv w:val="1"/>
      <w:marLeft w:val="0"/>
      <w:marRight w:val="0"/>
      <w:marTop w:val="0"/>
      <w:marBottom w:val="0"/>
      <w:divBdr>
        <w:top w:val="none" w:sz="0" w:space="0" w:color="auto"/>
        <w:left w:val="none" w:sz="0" w:space="0" w:color="auto"/>
        <w:bottom w:val="none" w:sz="0" w:space="0" w:color="auto"/>
        <w:right w:val="none" w:sz="0" w:space="0" w:color="auto"/>
      </w:divBdr>
    </w:div>
    <w:div w:id="978268211">
      <w:bodyDiv w:val="1"/>
      <w:marLeft w:val="0"/>
      <w:marRight w:val="0"/>
      <w:marTop w:val="0"/>
      <w:marBottom w:val="0"/>
      <w:divBdr>
        <w:top w:val="none" w:sz="0" w:space="0" w:color="auto"/>
        <w:left w:val="none" w:sz="0" w:space="0" w:color="auto"/>
        <w:bottom w:val="none" w:sz="0" w:space="0" w:color="auto"/>
        <w:right w:val="none" w:sz="0" w:space="0" w:color="auto"/>
      </w:divBdr>
    </w:div>
    <w:div w:id="1429932565">
      <w:bodyDiv w:val="1"/>
      <w:marLeft w:val="0"/>
      <w:marRight w:val="0"/>
      <w:marTop w:val="0"/>
      <w:marBottom w:val="0"/>
      <w:divBdr>
        <w:top w:val="none" w:sz="0" w:space="0" w:color="auto"/>
        <w:left w:val="none" w:sz="0" w:space="0" w:color="auto"/>
        <w:bottom w:val="none" w:sz="0" w:space="0" w:color="auto"/>
        <w:right w:val="none" w:sz="0" w:space="0" w:color="auto"/>
      </w:divBdr>
    </w:div>
    <w:div w:id="1725829262">
      <w:bodyDiv w:val="1"/>
      <w:marLeft w:val="0"/>
      <w:marRight w:val="0"/>
      <w:marTop w:val="0"/>
      <w:marBottom w:val="0"/>
      <w:divBdr>
        <w:top w:val="none" w:sz="0" w:space="0" w:color="auto"/>
        <w:left w:val="none" w:sz="0" w:space="0" w:color="auto"/>
        <w:bottom w:val="none" w:sz="0" w:space="0" w:color="auto"/>
        <w:right w:val="none" w:sz="0" w:space="0" w:color="auto"/>
      </w:divBdr>
    </w:div>
    <w:div w:id="184123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sw.co.uk/articles/collaboration-isnt-easy-essential-social-work" TargetMode="External"/><Relationship Id="rId13" Type="http://schemas.openxmlformats.org/officeDocument/2006/relationships/hyperlink" Target="https://doi.org/10.1093/bjsw/bcq088" TargetMode="External"/><Relationship Id="rId18" Type="http://schemas.openxmlformats.org/officeDocument/2006/relationships/hyperlink" Target="https://doi.org/10.47176/mjiri.36.3"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bacp.co.uk" TargetMode="External"/><Relationship Id="rId12" Type="http://schemas.openxmlformats.org/officeDocument/2006/relationships/hyperlink" Target="https://www.bacp.co.uk/bacp-journals/private-practice/2017/summer/record-keeping-and-the-law/" TargetMode="External"/><Relationship Id="rId17" Type="http://schemas.openxmlformats.org/officeDocument/2006/relationships/hyperlink" Target="https://www.psychologytoday.com/us/blog/the-adaptive-mind/202303/clarifying-questions-will-help-you-be-a-better-listener" TargetMode="External"/><Relationship Id="rId2" Type="http://schemas.openxmlformats.org/officeDocument/2006/relationships/settings" Target="settings.xml"/><Relationship Id="rId16" Type="http://schemas.openxmlformats.org/officeDocument/2006/relationships/hyperlink" Target="https://www.england.nhs.uk/long-read/principles-for-assessing-and-managing-risks-across-integrated-care-systems/" TargetMode="External"/><Relationship Id="rId20" Type="http://schemas.openxmlformats.org/officeDocument/2006/relationships/hyperlink" Target="https://www.ncbi.nlm.nih.gov/books/NBK559081/" TargetMode="External"/><Relationship Id="rId1" Type="http://schemas.openxmlformats.org/officeDocument/2006/relationships/styles" Target="styles.xml"/><Relationship Id="rId6" Type="http://schemas.openxmlformats.org/officeDocument/2006/relationships/hyperlink" Target="https://www.bacp.co.uk/media/18188/gpia-110-fs-boundaries-within-the-clg-profs-update-2023.pdf" TargetMode="External"/><Relationship Id="rId11" Type="http://schemas.openxmlformats.org/officeDocument/2006/relationships/hyperlink" Target="https://www.basw.co.uk/articles/collaboration-isnt-easy-essential-social-work" TargetMode="External"/><Relationship Id="rId5" Type="http://schemas.openxmlformats.org/officeDocument/2006/relationships/hyperlink" Target="https://www.bacp.co.uk/events-and-resources/ethics-and-standards/ethical-framework-for-the-counselling-professions/" TargetMode="External"/><Relationship Id="rId15" Type="http://schemas.openxmlformats.org/officeDocument/2006/relationships/hyperlink" Target="https://journals.sagepub.com/doi/full/10.1177/08404" TargetMode="External"/><Relationship Id="rId10" Type="http://schemas.openxmlformats.org/officeDocument/2006/relationships/hyperlink" Target="https://www.casebook.net/blog/top-10-essential-case-management-skills-and-how-to-master-them/" TargetMode="External"/><Relationship Id="rId19" Type="http://schemas.openxmlformats.org/officeDocument/2006/relationships/hyperlink" Target="https://www.ncbi.nlm.nih.gov/books/NBK442015/" TargetMode="External"/><Relationship Id="rId4" Type="http://schemas.openxmlformats.org/officeDocument/2006/relationships/hyperlink" Target="https://www.anxietyuk.org.uk" TargetMode="External"/><Relationship Id="rId9" Type="http://schemas.openxmlformats.org/officeDocument/2006/relationships/hyperlink" Target="https://www.basw.co.uk" TargetMode="External"/><Relationship Id="rId14" Type="http://schemas.openxmlformats.org/officeDocument/2006/relationships/hyperlink" Target="https://onlinelibrary.wiley.com/doi/10.1155/2022/739440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1923</TotalTime>
  <Pages>11</Pages>
  <Words>2097</Words>
  <Characters>14414</Characters>
  <Application>Microsoft Office Word</Application>
  <DocSecurity>0</DocSecurity>
  <Lines>236</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counselling skills</dc:title>
  <dc:subject>Module code: ECPS4015</dc:subject>
  <dc:creator>kristina haris</dc:creator>
  <cp:keywords/>
  <dc:description/>
  <cp:lastModifiedBy>kristina haris</cp:lastModifiedBy>
  <cp:revision>75</cp:revision>
  <dcterms:created xsi:type="dcterms:W3CDTF">2025-03-14T08:45:00Z</dcterms:created>
  <dcterms:modified xsi:type="dcterms:W3CDTF">2025-03-15T17:15:00Z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2e006e24-633c-44ae-a9a9-7fe7b5108fb2</vt:lpwstr>
  </property>
</Properties>
</file>