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32AEE2F" w:rsidR="00986B43" w:rsidRPr="008E1506" w:rsidRDefault="00986B43" w:rsidP="005D3F07">
            <w:pPr>
              <w:overflowPunct/>
              <w:autoSpaceDE/>
              <w:autoSpaceDN/>
              <w:adjustRightInd/>
              <w:ind w:right="-957"/>
              <w:textAlignment w:val="auto"/>
              <w:rPr>
                <w:rFonts w:ascii="Times New Roman" w:hAnsi="Times New Roman" w:cs="Times New Roman"/>
                <w:color w:val="auto"/>
                <w:sz w:val="40"/>
                <w:szCs w:val="40"/>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53DD9" w:rsidRPr="008E1506">
              <w:rPr>
                <w:rFonts w:ascii="Times New Roman" w:hAnsi="Times New Roman" w:cs="Times New Roman"/>
                <w:color w:val="auto"/>
                <w:sz w:val="40"/>
                <w:szCs w:val="40"/>
              </w:rPr>
              <w:t>Elizabeth Lloyd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18D6C15" w:rsidR="009C337F" w:rsidRPr="00B53DD9" w:rsidRDefault="009C337F" w:rsidP="005D3F07">
            <w:pPr>
              <w:overflowPunct/>
              <w:autoSpaceDE/>
              <w:autoSpaceDN/>
              <w:adjustRightInd/>
              <w:ind w:right="-957"/>
              <w:textAlignment w:val="auto"/>
              <w:rPr>
                <w:rFonts w:ascii="Times New Roman" w:hAnsi="Times New Roman" w:cs="Times New Roman"/>
                <w:b/>
                <w:color w:val="auto"/>
                <w:sz w:val="28"/>
                <w:szCs w:val="28"/>
              </w:rPr>
            </w:pPr>
            <w:r>
              <w:rPr>
                <w:rFonts w:ascii="Times New Roman" w:hAnsi="Times New Roman" w:cs="Times New Roman"/>
                <w:b/>
                <w:color w:val="auto"/>
                <w:sz w:val="48"/>
              </w:rPr>
              <w:t>Email address:</w:t>
            </w:r>
            <w:r w:rsidR="00B53DD9">
              <w:rPr>
                <w:rFonts w:ascii="Times New Roman" w:hAnsi="Times New Roman" w:cs="Times New Roman"/>
                <w:b/>
                <w:color w:val="auto"/>
                <w:sz w:val="48"/>
              </w:rPr>
              <w:t xml:space="preserve"> </w:t>
            </w:r>
            <w:hyperlink r:id="rId11" w:history="1">
              <w:r w:rsidR="003E6928" w:rsidRPr="00B23C86">
                <w:rPr>
                  <w:rStyle w:val="Hyperlink"/>
                  <w:rFonts w:ascii="Times New Roman" w:hAnsi="Times New Roman" w:cs="Times New Roman"/>
                  <w:b/>
                  <w:sz w:val="28"/>
                  <w:szCs w:val="28"/>
                </w:rPr>
                <w:t>kakporll@yahoo.co.uk</w:t>
              </w:r>
            </w:hyperlink>
            <w:r w:rsidR="00B53DD9" w:rsidRPr="00B53DD9">
              <w:rPr>
                <w:rFonts w:ascii="Times New Roman" w:hAnsi="Times New Roman" w:cs="Times New Roman"/>
                <w:b/>
                <w:color w:val="auto"/>
                <w:sz w:val="28"/>
                <w:szCs w:val="28"/>
              </w:rPr>
              <w:t xml:space="preserve"> or</w:t>
            </w:r>
          </w:p>
          <w:p w14:paraId="0CE3BB6F" w14:textId="5869FF00" w:rsidR="00B53DD9" w:rsidRPr="00B53DD9" w:rsidRDefault="00B53DD9" w:rsidP="005D3F07">
            <w:pPr>
              <w:overflowPunct/>
              <w:autoSpaceDE/>
              <w:autoSpaceDN/>
              <w:adjustRightInd/>
              <w:ind w:right="-957"/>
              <w:textAlignment w:val="auto"/>
              <w:rPr>
                <w:rFonts w:ascii="Times New Roman" w:hAnsi="Times New Roman" w:cs="Times New Roman"/>
                <w:b/>
                <w:color w:val="auto"/>
                <w:sz w:val="28"/>
                <w:szCs w:val="28"/>
              </w:rPr>
            </w:pPr>
            <w:r w:rsidRPr="00B53DD9">
              <w:rPr>
                <w:rFonts w:ascii="Times New Roman" w:hAnsi="Times New Roman" w:cs="Times New Roman"/>
                <w:b/>
                <w:color w:val="auto"/>
                <w:sz w:val="28"/>
                <w:szCs w:val="28"/>
              </w:rPr>
              <w:t>lizzy.lloyd@wrexham.gov.uk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9C9DBEE" w:rsidR="00F927A1" w:rsidRPr="00A55FE4" w:rsidRDefault="0085230E" w:rsidP="005D3F07">
            <w:pPr>
              <w:overflowPunct/>
              <w:autoSpaceDE/>
              <w:autoSpaceDN/>
              <w:adjustRightInd/>
              <w:ind w:right="-957"/>
              <w:textAlignment w:val="auto"/>
              <w:rPr>
                <w:rFonts w:ascii="Times New Roman" w:hAnsi="Times New Roman" w:cs="Times New Roman"/>
                <w:b/>
                <w:color w:val="auto"/>
                <w:sz w:val="36"/>
                <w:szCs w:val="36"/>
              </w:rPr>
            </w:pPr>
            <w:r w:rsidRPr="00A55FE4">
              <w:rPr>
                <w:rFonts w:ascii="Times New Roman" w:hAnsi="Times New Roman" w:cs="Times New Roman"/>
                <w:b/>
                <w:color w:val="auto"/>
                <w:sz w:val="36"/>
                <w:szCs w:val="36"/>
              </w:rPr>
              <w:t>Learner’s University Registration</w:t>
            </w:r>
            <w:r w:rsidR="00F927A1" w:rsidRPr="00A55FE4">
              <w:rPr>
                <w:rFonts w:ascii="Times New Roman" w:hAnsi="Times New Roman" w:cs="Times New Roman"/>
                <w:b/>
                <w:color w:val="auto"/>
                <w:sz w:val="36"/>
                <w:szCs w:val="36"/>
              </w:rPr>
              <w:t xml:space="preserve"> Number:</w:t>
            </w:r>
            <w:r w:rsidR="00A55FE4">
              <w:rPr>
                <w:rFonts w:ascii="Times New Roman" w:hAnsi="Times New Roman" w:cs="Times New Roman"/>
                <w:b/>
                <w:color w:val="auto"/>
                <w:sz w:val="36"/>
                <w:szCs w:val="36"/>
              </w:rPr>
              <w:t xml:space="preserve"> 2329229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Pr="008E1506" w:rsidRDefault="00BB7FD2" w:rsidP="00FF7EBB">
            <w:pPr>
              <w:jc w:val="both"/>
              <w:rPr>
                <w:b/>
                <w:sz w:val="24"/>
                <w:szCs w:val="24"/>
              </w:rPr>
            </w:pPr>
            <w:r w:rsidRPr="008E1506">
              <w:rPr>
                <w:b/>
                <w:sz w:val="24"/>
                <w:szCs w:val="24"/>
              </w:rPr>
              <w:t xml:space="preserve">In an area that is not your main focus of work (see guidance above), </w:t>
            </w:r>
            <w:r w:rsidR="0002440E" w:rsidRPr="008E1506">
              <w:rPr>
                <w:b/>
                <w:sz w:val="24"/>
                <w:szCs w:val="24"/>
              </w:rPr>
              <w:t>explain</w:t>
            </w:r>
            <w:r w:rsidR="008340BA" w:rsidRPr="008E1506">
              <w:rPr>
                <w:b/>
                <w:sz w:val="24"/>
                <w:szCs w:val="24"/>
              </w:rPr>
              <w:t xml:space="preserve"> </w:t>
            </w:r>
            <w:r w:rsidR="00DA22EC" w:rsidRPr="008E1506">
              <w:rPr>
                <w:b/>
                <w:sz w:val="24"/>
                <w:szCs w:val="24"/>
              </w:rPr>
              <w:t>the</w:t>
            </w:r>
            <w:r w:rsidR="005A545C" w:rsidRPr="008E1506">
              <w:rPr>
                <w:b/>
                <w:sz w:val="24"/>
                <w:szCs w:val="24"/>
              </w:rPr>
              <w:t xml:space="preserve"> relevant </w:t>
            </w:r>
            <w:r w:rsidRPr="008E1506">
              <w:rPr>
                <w:b/>
                <w:sz w:val="24"/>
                <w:szCs w:val="24"/>
              </w:rPr>
              <w:t xml:space="preserve">legislation, </w:t>
            </w:r>
            <w:r w:rsidR="0002440E" w:rsidRPr="008E1506">
              <w:rPr>
                <w:b/>
                <w:sz w:val="24"/>
                <w:szCs w:val="24"/>
              </w:rPr>
              <w:t>and</w:t>
            </w:r>
            <w:r w:rsidR="008340BA" w:rsidRPr="008E1506">
              <w:rPr>
                <w:b/>
                <w:sz w:val="24"/>
                <w:szCs w:val="24"/>
              </w:rPr>
              <w:t xml:space="preserve"> the </w:t>
            </w:r>
            <w:r w:rsidR="005A545C" w:rsidRPr="008E1506">
              <w:rPr>
                <w:b/>
                <w:sz w:val="24"/>
                <w:szCs w:val="24"/>
              </w:rPr>
              <w:t>national, local and organisational policies and procedures</w:t>
            </w:r>
            <w:r w:rsidRPr="008E1506">
              <w:rPr>
                <w:b/>
                <w:sz w:val="24"/>
                <w:szCs w:val="24"/>
              </w:rPr>
              <w:t xml:space="preserve"> for safeguarding. </w:t>
            </w:r>
          </w:p>
          <w:p w14:paraId="1FBBCFA0" w14:textId="77777777" w:rsidR="006108C9" w:rsidRDefault="006108C9" w:rsidP="00FF7EBB">
            <w:pPr>
              <w:jc w:val="both"/>
              <w:rPr>
                <w:sz w:val="24"/>
                <w:szCs w:val="24"/>
              </w:rPr>
            </w:pPr>
          </w:p>
          <w:p w14:paraId="51265CF9" w14:textId="77777777" w:rsidR="008E1506" w:rsidRDefault="008E1506" w:rsidP="008E1506">
            <w:pPr>
              <w:spacing w:line="480" w:lineRule="auto"/>
              <w:jc w:val="both"/>
              <w:rPr>
                <w:color w:val="auto"/>
                <w:sz w:val="28"/>
                <w:szCs w:val="28"/>
              </w:rPr>
            </w:pPr>
          </w:p>
          <w:p w14:paraId="08DACA8A" w14:textId="5EB8D2F5" w:rsidR="008E1506" w:rsidRDefault="008E1506" w:rsidP="008E1506">
            <w:pPr>
              <w:spacing w:line="480" w:lineRule="auto"/>
              <w:jc w:val="both"/>
              <w:rPr>
                <w:sz w:val="28"/>
                <w:szCs w:val="28"/>
              </w:rPr>
            </w:pPr>
            <w:r w:rsidRPr="009D6737">
              <w:rPr>
                <w:color w:val="auto"/>
                <w:sz w:val="28"/>
                <w:szCs w:val="28"/>
              </w:rPr>
              <w:t xml:space="preserve">The Social Services and Wellbeing (Wales) Act 2014 (SSWBA) is the foundation </w:t>
            </w:r>
            <w:r>
              <w:rPr>
                <w:sz w:val="28"/>
                <w:szCs w:val="28"/>
              </w:rPr>
              <w:t>for safeguarding adults</w:t>
            </w:r>
            <w:r w:rsidR="00AB786E">
              <w:rPr>
                <w:sz w:val="28"/>
                <w:szCs w:val="28"/>
              </w:rPr>
              <w:t xml:space="preserve"> and children in Wales.  The Act’s</w:t>
            </w:r>
            <w:r>
              <w:rPr>
                <w:sz w:val="28"/>
                <w:szCs w:val="28"/>
              </w:rPr>
              <w:t xml:space="preserve"> principles indicate that individuals are allowed to have voice and control over services and what matters to them, and practitioners are to promote early intervention and preventative work.  A child is defined as an individual under 18 years </w:t>
            </w:r>
            <w:r w:rsidRPr="009D6737">
              <w:rPr>
                <w:color w:val="auto"/>
                <w:sz w:val="28"/>
                <w:szCs w:val="28"/>
              </w:rPr>
              <w:t xml:space="preserve">old (The United Nations Convention on the Rights of the Child (UNCRC). Wales Safeguarding </w:t>
            </w:r>
            <w:r w:rsidR="00740948">
              <w:rPr>
                <w:sz w:val="28"/>
                <w:szCs w:val="28"/>
              </w:rPr>
              <w:t>Procedures (2019) (WSP2019)</w:t>
            </w:r>
            <w:r>
              <w:rPr>
                <w:sz w:val="28"/>
                <w:szCs w:val="28"/>
              </w:rPr>
              <w:t xml:space="preserve"> outlines</w:t>
            </w:r>
            <w:r w:rsidRPr="009E5792">
              <w:rPr>
                <w:sz w:val="28"/>
                <w:szCs w:val="28"/>
              </w:rPr>
              <w:t xml:space="preserve"> essential principles for safeguarding adults and children in Wales and replaces the All Wales Child Protection Procedure. </w:t>
            </w:r>
            <w:r w:rsidR="00AB786E">
              <w:rPr>
                <w:sz w:val="28"/>
                <w:szCs w:val="28"/>
              </w:rPr>
              <w:t xml:space="preserve">Safeguarding entails the prevention and protection of children and adults at risk from abuse, harm, and neglect. Additionally, it includes the education of individuals to enhance their ability to recognize the signs and </w:t>
            </w:r>
            <w:r w:rsidR="00740948">
              <w:rPr>
                <w:sz w:val="28"/>
                <w:szCs w:val="28"/>
              </w:rPr>
              <w:lastRenderedPageBreak/>
              <w:t>potential dangers</w:t>
            </w:r>
            <w:r w:rsidR="00AB786E">
              <w:rPr>
                <w:sz w:val="28"/>
                <w:szCs w:val="28"/>
              </w:rPr>
              <w:t>.</w:t>
            </w:r>
            <w:r>
              <w:rPr>
                <w:sz w:val="28"/>
                <w:szCs w:val="28"/>
              </w:rPr>
              <w:t xml:space="preserve"> Part 7, Section 131 of the SSWBA emphasizes the critical role of safeguarding and the necessity of fostering an environment that promotes the well-being of children who are at risk (Welsh Government, 2017).  </w:t>
            </w:r>
            <w:r w:rsidR="00AB786E">
              <w:rPr>
                <w:sz w:val="28"/>
                <w:szCs w:val="28"/>
              </w:rPr>
              <w:t>A child who is at imminent risk of abuse, neglect, or maltreatment is considered to be in danger.</w:t>
            </w:r>
            <w:r>
              <w:rPr>
                <w:sz w:val="28"/>
                <w:szCs w:val="28"/>
              </w:rPr>
              <w:t xml:space="preserve"> This encompasses various forms of harm, including physical and sexual abuse and emotional abuse, including humiliation and threats (NSPCC, 2022</w:t>
            </w:r>
            <w:r w:rsidRPr="00597B01">
              <w:rPr>
                <w:sz w:val="28"/>
                <w:szCs w:val="28"/>
              </w:rPr>
              <w:t xml:space="preserve">). </w:t>
            </w:r>
            <w:r>
              <w:rPr>
                <w:sz w:val="28"/>
                <w:szCs w:val="28"/>
              </w:rPr>
              <w:t xml:space="preserve">   It is essential to recognize and address these issues to ensure the safety and well-being of the child</w:t>
            </w:r>
            <w:r>
              <w:rPr>
                <w:color w:val="FF0000"/>
                <w:sz w:val="28"/>
                <w:szCs w:val="28"/>
              </w:rPr>
              <w:t xml:space="preserve"> </w:t>
            </w:r>
            <w:r w:rsidRPr="008740D3">
              <w:rPr>
                <w:sz w:val="28"/>
                <w:szCs w:val="28"/>
              </w:rPr>
              <w:t xml:space="preserve">(Hansen </w:t>
            </w:r>
            <w:r>
              <w:rPr>
                <w:sz w:val="28"/>
                <w:szCs w:val="28"/>
              </w:rPr>
              <w:t xml:space="preserve">et al., 2018). </w:t>
            </w:r>
          </w:p>
          <w:p w14:paraId="4C98D045" w14:textId="77777777" w:rsidR="008E1506" w:rsidRDefault="008E1506" w:rsidP="008E1506">
            <w:pPr>
              <w:spacing w:line="480" w:lineRule="auto"/>
              <w:jc w:val="both"/>
              <w:rPr>
                <w:sz w:val="28"/>
                <w:szCs w:val="28"/>
              </w:rPr>
            </w:pPr>
            <w:r w:rsidRPr="00134F94">
              <w:rPr>
                <w:color w:val="auto"/>
                <w:sz w:val="28"/>
                <w:szCs w:val="28"/>
              </w:rPr>
              <w:t xml:space="preserve">The Children Act 1989 is the main legislation in England that protects children from significant harm, abuse, or the potential risk of harm. While many other acts also apply in Wales, it is </w:t>
            </w:r>
            <w:r>
              <w:rPr>
                <w:sz w:val="28"/>
                <w:szCs w:val="28"/>
              </w:rPr>
              <w:t>essential to note that Part 6 SSWBA</w:t>
            </w:r>
            <w:r w:rsidRPr="00134F94">
              <w:rPr>
                <w:color w:val="auto"/>
                <w:sz w:val="28"/>
                <w:szCs w:val="28"/>
              </w:rPr>
              <w:t xml:space="preserve"> has replaced Part 3 of the Children Act 1989 (Welsh Government, 2024).</w:t>
            </w:r>
            <w:r>
              <w:rPr>
                <w:sz w:val="28"/>
                <w:szCs w:val="28"/>
              </w:rPr>
              <w:t xml:space="preserve"> </w:t>
            </w:r>
          </w:p>
          <w:p w14:paraId="5536EC04" w14:textId="0AFAA60E" w:rsidR="008E1506" w:rsidRDefault="008E1506" w:rsidP="008E1506">
            <w:pPr>
              <w:spacing w:line="480" w:lineRule="auto"/>
              <w:jc w:val="both"/>
              <w:rPr>
                <w:sz w:val="28"/>
                <w:szCs w:val="28"/>
              </w:rPr>
            </w:pPr>
            <w:r>
              <w:rPr>
                <w:sz w:val="28"/>
                <w:szCs w:val="28"/>
              </w:rPr>
              <w:t>The SSWBA obligates local authorities to deliver support and services to children and families, focusing on early intervention and prevention and encouraging collaborative efforts among various agencies.  The United Kingdo</w:t>
            </w:r>
            <w:r w:rsidR="00740948">
              <w:rPr>
                <w:sz w:val="28"/>
                <w:szCs w:val="28"/>
              </w:rPr>
              <w:t xml:space="preserve">m has integrated UNCRC </w:t>
            </w:r>
            <w:r>
              <w:rPr>
                <w:sz w:val="28"/>
                <w:szCs w:val="28"/>
              </w:rPr>
              <w:t xml:space="preserve">legal framework, outlining crucial rights for children, including protection from violence and exploitation, and ensuring that children's views and wishes are taken into account. Practitioners in the United Kingdom apply </w:t>
            </w:r>
            <w:proofErr w:type="spellStart"/>
            <w:r>
              <w:rPr>
                <w:sz w:val="28"/>
                <w:szCs w:val="28"/>
              </w:rPr>
              <w:t>Gillick's</w:t>
            </w:r>
            <w:proofErr w:type="spellEnd"/>
            <w:r>
              <w:rPr>
                <w:sz w:val="28"/>
                <w:szCs w:val="28"/>
              </w:rPr>
              <w:t xml:space="preserve"> competence principle to reconcile children's preferences with their safety. This principle permits children under age 16 to make informed decisions without </w:t>
            </w:r>
            <w:r>
              <w:rPr>
                <w:sz w:val="28"/>
                <w:szCs w:val="28"/>
              </w:rPr>
              <w:lastRenderedPageBreak/>
              <w:t>parental consent (</w:t>
            </w:r>
            <w:proofErr w:type="spellStart"/>
            <w:r>
              <w:rPr>
                <w:sz w:val="28"/>
                <w:szCs w:val="28"/>
              </w:rPr>
              <w:t>Gillick</w:t>
            </w:r>
            <w:proofErr w:type="spellEnd"/>
            <w:r>
              <w:rPr>
                <w:sz w:val="28"/>
                <w:szCs w:val="28"/>
              </w:rPr>
              <w:t xml:space="preserve">, 1986). Professionals must consider several factors when applying this principle, especially the child's ability to make informed decisions and explore previous safeguarding concerns. </w:t>
            </w:r>
            <w:r w:rsidRPr="001E6EC1">
              <w:rPr>
                <w:sz w:val="28"/>
                <w:szCs w:val="28"/>
              </w:rPr>
              <w:t>Safeguarding</w:t>
            </w:r>
            <w:r w:rsidRPr="001E6EC1">
              <w:rPr>
                <w:rFonts w:asciiTheme="minorHAnsi" w:hAnsiTheme="minorHAnsi" w:cstheme="minorBidi"/>
                <w:sz w:val="28"/>
                <w:szCs w:val="28"/>
              </w:rPr>
              <w:t xml:space="preserve"> efforts should prioritize </w:t>
            </w:r>
            <w:r>
              <w:rPr>
                <w:sz w:val="28"/>
                <w:szCs w:val="28"/>
              </w:rPr>
              <w:t>well-being and best interests,</w:t>
            </w:r>
            <w:r w:rsidRPr="001E6EC1">
              <w:rPr>
                <w:rFonts w:asciiTheme="minorHAnsi" w:hAnsiTheme="minorHAnsi" w:cstheme="minorBidi"/>
                <w:sz w:val="28"/>
                <w:szCs w:val="28"/>
              </w:rPr>
              <w:t xml:space="preserve"> ensuring minors </w:t>
            </w:r>
            <w:r>
              <w:rPr>
                <w:sz w:val="28"/>
                <w:szCs w:val="28"/>
              </w:rPr>
              <w:t>are competent to make informed decisions (</w:t>
            </w:r>
            <w:r w:rsidRPr="008E1506">
              <w:rPr>
                <w:sz w:val="28"/>
                <w:szCs w:val="28"/>
              </w:rPr>
              <w:t>Romanis and</w:t>
            </w:r>
            <w:r w:rsidRPr="001E6EC1">
              <w:rPr>
                <w:rFonts w:asciiTheme="minorHAnsi" w:hAnsiTheme="minorHAnsi" w:cstheme="minorBidi"/>
                <w:sz w:val="28"/>
                <w:szCs w:val="28"/>
              </w:rPr>
              <w:t xml:space="preserve"> </w:t>
            </w:r>
            <w:r>
              <w:rPr>
                <w:sz w:val="28"/>
                <w:szCs w:val="28"/>
              </w:rPr>
              <w:t xml:space="preserve">Parsons, 2023).  Part 7, section 130 of SSWBA states that professionals must report any safeguarding concerns.  </w:t>
            </w:r>
            <w:r w:rsidRPr="002F40A2">
              <w:rPr>
                <w:sz w:val="28"/>
                <w:szCs w:val="28"/>
              </w:rPr>
              <w:t>Welsh Government Guidance on Safeguarding Children guides best practices</w:t>
            </w:r>
            <w:r>
              <w:rPr>
                <w:sz w:val="28"/>
                <w:szCs w:val="28"/>
              </w:rPr>
              <w:t xml:space="preserve"> and states that safeguarding is everyone's responsibility.  Local authorities are vital in implementing these policies through their local safeguarding boards, ensuring safeguarding procedures are followed effectively </w:t>
            </w:r>
            <w:r w:rsidRPr="00134F94">
              <w:rPr>
                <w:color w:val="auto"/>
                <w:sz w:val="28"/>
                <w:szCs w:val="28"/>
              </w:rPr>
              <w:t>(NSPCC, 2022).</w:t>
            </w:r>
            <w:r>
              <w:rPr>
                <w:sz w:val="28"/>
                <w:szCs w:val="28"/>
              </w:rPr>
              <w:t xml:space="preserve">  The Children Act 2004 was enacted with the Children Commission’s duties to improve the existing legislation, focusing on enhancing accountability and fostering collaborative partnerships, as well as the Wellbeing and Future Generation (Wales) Act 2015.  Additionally, policies like the Rights of Children and Young Persons (Wales Measure 2011) were adopted from UNCRC as an important framework for evaluating and reviewing policies (Welsh Government, 2023). </w:t>
            </w:r>
          </w:p>
          <w:p w14:paraId="28D010C0" w14:textId="77777777" w:rsidR="008E1506" w:rsidRDefault="008E1506" w:rsidP="008E1506">
            <w:pPr>
              <w:spacing w:line="480" w:lineRule="auto"/>
              <w:jc w:val="both"/>
              <w:rPr>
                <w:sz w:val="28"/>
                <w:szCs w:val="28"/>
              </w:rPr>
            </w:pPr>
          </w:p>
          <w:p w14:paraId="40490C69" w14:textId="77777777" w:rsidR="008E1506" w:rsidRDefault="008E1506" w:rsidP="008E1506">
            <w:pPr>
              <w:spacing w:line="480" w:lineRule="auto"/>
              <w:jc w:val="both"/>
              <w:rPr>
                <w:sz w:val="28"/>
                <w:szCs w:val="28"/>
              </w:rPr>
            </w:pPr>
          </w:p>
          <w:p w14:paraId="1D7AD37D" w14:textId="3AE6B8B7" w:rsidR="008E1506" w:rsidRPr="00BC69E6" w:rsidRDefault="008E1506" w:rsidP="008E1506">
            <w:pPr>
              <w:spacing w:line="480" w:lineRule="auto"/>
              <w:jc w:val="both"/>
              <w:rPr>
                <w:sz w:val="28"/>
                <w:szCs w:val="28"/>
              </w:rPr>
            </w:pPr>
            <w:r>
              <w:rPr>
                <w:sz w:val="28"/>
                <w:szCs w:val="28"/>
              </w:rPr>
              <w:lastRenderedPageBreak/>
              <w:t>The XXXX local authority operates its own Safeguarding Board, which adopts a multi-agency approach and "Working Together to Safeguard Children" outlines the roles and responsibilities of various agencies.</w:t>
            </w:r>
          </w:p>
          <w:p w14:paraId="0C1035E2" w14:textId="77777777" w:rsidR="008E1506" w:rsidRDefault="008E1506" w:rsidP="008E1506">
            <w:pPr>
              <w:spacing w:line="480" w:lineRule="auto"/>
              <w:rPr>
                <w:sz w:val="24"/>
                <w:szCs w:val="24"/>
              </w:rPr>
            </w:pPr>
          </w:p>
          <w:p w14:paraId="0318E819" w14:textId="77777777" w:rsidR="00FC0334" w:rsidRDefault="00FC0334" w:rsidP="00FF7EBB">
            <w:pPr>
              <w:jc w:val="both"/>
              <w:rPr>
                <w:sz w:val="24"/>
                <w:szCs w:val="24"/>
              </w:rPr>
            </w:pPr>
          </w:p>
          <w:p w14:paraId="6D8CB8AF" w14:textId="08AF47B0" w:rsidR="00FC0334" w:rsidRPr="008E1506" w:rsidRDefault="00740948" w:rsidP="00FF7EBB">
            <w:pPr>
              <w:jc w:val="both"/>
              <w:rPr>
                <w:b/>
                <w:sz w:val="24"/>
                <w:szCs w:val="24"/>
              </w:rPr>
            </w:pPr>
            <w:r>
              <w:rPr>
                <w:b/>
                <w:sz w:val="24"/>
                <w:szCs w:val="24"/>
              </w:rPr>
              <w:t>(Word count 548</w:t>
            </w:r>
            <w:r w:rsidR="008E1506" w:rsidRPr="008E1506">
              <w:rPr>
                <w:b/>
                <w:sz w:val="24"/>
                <w:szCs w:val="24"/>
              </w:rPr>
              <w:t>)</w:t>
            </w: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2B50403D"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6A23FEF4" w:rsidR="00AA666E" w:rsidRDefault="00AA666E" w:rsidP="00FF7EBB">
      <w:pPr>
        <w:jc w:val="both"/>
        <w:rPr>
          <w:sz w:val="24"/>
          <w:szCs w:val="24"/>
        </w:rPr>
      </w:pPr>
    </w:p>
    <w:p w14:paraId="01F8C730" w14:textId="3016EE89" w:rsidR="00652BF5" w:rsidRDefault="00652BF5" w:rsidP="00FF7EBB">
      <w:pPr>
        <w:jc w:val="both"/>
        <w:rPr>
          <w:sz w:val="24"/>
          <w:szCs w:val="24"/>
        </w:rPr>
      </w:pPr>
    </w:p>
    <w:p w14:paraId="7AC9CBB1" w14:textId="23375313" w:rsidR="00652BF5" w:rsidRDefault="00652BF5" w:rsidP="00FF7EBB">
      <w:pPr>
        <w:jc w:val="both"/>
        <w:rPr>
          <w:sz w:val="24"/>
          <w:szCs w:val="24"/>
        </w:rPr>
      </w:pPr>
    </w:p>
    <w:p w14:paraId="1C7ABBD9" w14:textId="2CCC1F89" w:rsidR="00652BF5" w:rsidRDefault="00652BF5" w:rsidP="00FF7EBB">
      <w:pPr>
        <w:jc w:val="both"/>
        <w:rPr>
          <w:sz w:val="24"/>
          <w:szCs w:val="24"/>
        </w:rPr>
      </w:pPr>
    </w:p>
    <w:p w14:paraId="2DE2A044" w14:textId="4B6D0146" w:rsidR="00652BF5" w:rsidRDefault="00652BF5" w:rsidP="00FF7EBB">
      <w:pPr>
        <w:jc w:val="both"/>
        <w:rPr>
          <w:sz w:val="24"/>
          <w:szCs w:val="24"/>
        </w:rPr>
      </w:pPr>
    </w:p>
    <w:p w14:paraId="2FD6B877" w14:textId="2CC90CFE" w:rsidR="00652BF5" w:rsidRDefault="00652BF5" w:rsidP="00FF7EBB">
      <w:pPr>
        <w:jc w:val="both"/>
        <w:rPr>
          <w:sz w:val="24"/>
          <w:szCs w:val="24"/>
        </w:rPr>
      </w:pPr>
    </w:p>
    <w:p w14:paraId="3804327B" w14:textId="1092F2F3" w:rsidR="00652BF5" w:rsidRDefault="00652BF5" w:rsidP="00FF7EBB">
      <w:pPr>
        <w:jc w:val="both"/>
        <w:rPr>
          <w:sz w:val="24"/>
          <w:szCs w:val="24"/>
        </w:rPr>
      </w:pPr>
    </w:p>
    <w:p w14:paraId="707EFB77" w14:textId="1E7DC245" w:rsidR="00652BF5" w:rsidRDefault="00652BF5" w:rsidP="00FF7EBB">
      <w:pPr>
        <w:jc w:val="both"/>
        <w:rPr>
          <w:sz w:val="24"/>
          <w:szCs w:val="24"/>
        </w:rPr>
      </w:pPr>
    </w:p>
    <w:p w14:paraId="59928511" w14:textId="73950248" w:rsidR="00652BF5" w:rsidRDefault="00652BF5" w:rsidP="00FF7EBB">
      <w:pPr>
        <w:jc w:val="both"/>
        <w:rPr>
          <w:sz w:val="24"/>
          <w:szCs w:val="24"/>
        </w:rPr>
      </w:pPr>
    </w:p>
    <w:p w14:paraId="36856A96" w14:textId="4A6C6B82" w:rsidR="00652BF5" w:rsidRDefault="00652BF5" w:rsidP="00FF7EBB">
      <w:pPr>
        <w:jc w:val="both"/>
        <w:rPr>
          <w:sz w:val="24"/>
          <w:szCs w:val="24"/>
        </w:rPr>
      </w:pPr>
    </w:p>
    <w:p w14:paraId="3C65253B" w14:textId="18EDB2D9" w:rsidR="00652BF5" w:rsidRDefault="00652BF5" w:rsidP="00FF7EBB">
      <w:pPr>
        <w:jc w:val="both"/>
        <w:rPr>
          <w:sz w:val="24"/>
          <w:szCs w:val="24"/>
        </w:rPr>
      </w:pPr>
    </w:p>
    <w:p w14:paraId="71F2F197" w14:textId="3D010815" w:rsidR="00652BF5" w:rsidRDefault="00652BF5" w:rsidP="00FF7EBB">
      <w:pPr>
        <w:jc w:val="both"/>
        <w:rPr>
          <w:sz w:val="24"/>
          <w:szCs w:val="24"/>
        </w:rPr>
      </w:pPr>
    </w:p>
    <w:p w14:paraId="6B9FD316" w14:textId="687472F5" w:rsidR="00652BF5" w:rsidRDefault="00652BF5" w:rsidP="00FF7EBB">
      <w:pPr>
        <w:jc w:val="both"/>
        <w:rPr>
          <w:sz w:val="24"/>
          <w:szCs w:val="24"/>
        </w:rPr>
      </w:pPr>
    </w:p>
    <w:p w14:paraId="566B09E7" w14:textId="3C7888A0" w:rsidR="00652BF5" w:rsidRDefault="00652BF5" w:rsidP="00FF7EBB">
      <w:pPr>
        <w:jc w:val="both"/>
        <w:rPr>
          <w:sz w:val="24"/>
          <w:szCs w:val="24"/>
        </w:rPr>
      </w:pPr>
    </w:p>
    <w:p w14:paraId="771E26AE" w14:textId="46838D05" w:rsidR="008E1506" w:rsidRDefault="008E1506" w:rsidP="00FF7EBB">
      <w:pPr>
        <w:jc w:val="both"/>
        <w:rPr>
          <w:sz w:val="24"/>
          <w:szCs w:val="24"/>
        </w:rPr>
      </w:pPr>
    </w:p>
    <w:p w14:paraId="3FC5D50E" w14:textId="19704B76" w:rsidR="008E1506" w:rsidRDefault="008E1506" w:rsidP="00FF7EBB">
      <w:pPr>
        <w:jc w:val="both"/>
        <w:rPr>
          <w:sz w:val="24"/>
          <w:szCs w:val="24"/>
        </w:rPr>
      </w:pPr>
    </w:p>
    <w:p w14:paraId="040BA1CC" w14:textId="6F87277F" w:rsidR="008E1506" w:rsidRDefault="008E1506" w:rsidP="00FF7EBB">
      <w:pPr>
        <w:jc w:val="both"/>
        <w:rPr>
          <w:sz w:val="24"/>
          <w:szCs w:val="24"/>
        </w:rPr>
      </w:pPr>
    </w:p>
    <w:p w14:paraId="2F0315F8" w14:textId="4DF2D998" w:rsidR="008E1506" w:rsidRDefault="008E1506" w:rsidP="00FF7EBB">
      <w:pPr>
        <w:jc w:val="both"/>
        <w:rPr>
          <w:sz w:val="24"/>
          <w:szCs w:val="24"/>
        </w:rPr>
      </w:pPr>
    </w:p>
    <w:p w14:paraId="78927096" w14:textId="54E08EA3" w:rsidR="008E1506" w:rsidRDefault="008E1506" w:rsidP="00FF7EBB">
      <w:pPr>
        <w:jc w:val="both"/>
        <w:rPr>
          <w:sz w:val="24"/>
          <w:szCs w:val="24"/>
        </w:rPr>
      </w:pPr>
    </w:p>
    <w:p w14:paraId="45CCEAB1" w14:textId="525D9EF6" w:rsidR="008E1506" w:rsidRDefault="008E1506" w:rsidP="00FF7EBB">
      <w:pPr>
        <w:jc w:val="both"/>
        <w:rPr>
          <w:sz w:val="24"/>
          <w:szCs w:val="24"/>
        </w:rPr>
      </w:pPr>
    </w:p>
    <w:p w14:paraId="6CA8181C" w14:textId="77777777" w:rsidR="008E1506" w:rsidRDefault="008E1506" w:rsidP="00FF7EBB">
      <w:pPr>
        <w:jc w:val="both"/>
        <w:rPr>
          <w:sz w:val="24"/>
          <w:szCs w:val="24"/>
        </w:rPr>
      </w:pPr>
    </w:p>
    <w:p w14:paraId="68505171" w14:textId="1E281295" w:rsidR="00652BF5" w:rsidRDefault="00652BF5" w:rsidP="00FF7EBB">
      <w:pPr>
        <w:jc w:val="both"/>
        <w:rPr>
          <w:sz w:val="24"/>
          <w:szCs w:val="24"/>
        </w:rPr>
      </w:pPr>
    </w:p>
    <w:p w14:paraId="025D9F3F" w14:textId="092A16EC" w:rsidR="00652BF5" w:rsidRDefault="00652BF5" w:rsidP="00FF7EBB">
      <w:pPr>
        <w:jc w:val="both"/>
        <w:rPr>
          <w:sz w:val="24"/>
          <w:szCs w:val="24"/>
        </w:rPr>
      </w:pPr>
    </w:p>
    <w:p w14:paraId="2EBE0579" w14:textId="77777777" w:rsidR="00652BF5" w:rsidRPr="008B28E7" w:rsidRDefault="00652BF5"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Pr="00EB0A47" w:rsidRDefault="00FC0334" w:rsidP="00FC0334">
            <w:pPr>
              <w:jc w:val="both"/>
              <w:rPr>
                <w:b/>
                <w:sz w:val="24"/>
                <w:szCs w:val="24"/>
              </w:rPr>
            </w:pPr>
            <w:r w:rsidRPr="00EB0A47">
              <w:rPr>
                <w:b/>
                <w:sz w:val="24"/>
                <w:szCs w:val="24"/>
              </w:rPr>
              <w:t>Reflect on the difference between safeguarding in adult</w:t>
            </w:r>
            <w:r w:rsidR="00C63CAB" w:rsidRPr="00EB0A47">
              <w:rPr>
                <w:b/>
                <w:sz w:val="24"/>
                <w:szCs w:val="24"/>
              </w:rPr>
              <w:t>s’</w:t>
            </w:r>
            <w:r w:rsidRPr="00EB0A47">
              <w:rPr>
                <w:b/>
                <w:sz w:val="24"/>
                <w:szCs w:val="24"/>
              </w:rPr>
              <w:t xml:space="preserve"> and children</w:t>
            </w:r>
            <w:r w:rsidR="007A628F" w:rsidRPr="00EB0A47">
              <w:rPr>
                <w:b/>
                <w:sz w:val="24"/>
                <w:szCs w:val="24"/>
              </w:rPr>
              <w:t>’s</w:t>
            </w:r>
            <w:r w:rsidRPr="00EB0A47">
              <w:rPr>
                <w:b/>
                <w:sz w:val="24"/>
                <w:szCs w:val="24"/>
              </w:rPr>
              <w:t xml:space="preserve"> work</w:t>
            </w:r>
          </w:p>
          <w:p w14:paraId="4CABE426" w14:textId="77777777" w:rsidR="00FC0334" w:rsidRDefault="00FC0334" w:rsidP="00FC0334">
            <w:pPr>
              <w:jc w:val="both"/>
              <w:rPr>
                <w:sz w:val="24"/>
                <w:szCs w:val="24"/>
              </w:rPr>
            </w:pPr>
          </w:p>
          <w:p w14:paraId="5E8355DF" w14:textId="77777777" w:rsidR="00740948" w:rsidRDefault="00740948" w:rsidP="00652BF5">
            <w:pPr>
              <w:spacing w:line="480" w:lineRule="auto"/>
              <w:jc w:val="both"/>
              <w:rPr>
                <w:sz w:val="28"/>
                <w:szCs w:val="28"/>
              </w:rPr>
            </w:pPr>
          </w:p>
          <w:p w14:paraId="6A0ED74D" w14:textId="55209866" w:rsidR="00652BF5" w:rsidRDefault="00652BF5" w:rsidP="00652BF5">
            <w:pPr>
              <w:spacing w:line="480" w:lineRule="auto"/>
              <w:jc w:val="both"/>
              <w:rPr>
                <w:sz w:val="28"/>
                <w:szCs w:val="28"/>
              </w:rPr>
            </w:pPr>
            <w:r>
              <w:rPr>
                <w:sz w:val="28"/>
                <w:szCs w:val="28"/>
              </w:rPr>
              <w:t xml:space="preserve">Although there are differences in the methods used to safeguard and protect adults and children at risk of harm, neglect, or abuse, </w:t>
            </w:r>
            <w:r w:rsidR="00715A4F">
              <w:rPr>
                <w:sz w:val="28"/>
                <w:szCs w:val="28"/>
              </w:rPr>
              <w:t>everyone needs to report</w:t>
            </w:r>
            <w:r>
              <w:rPr>
                <w:sz w:val="28"/>
                <w:szCs w:val="28"/>
              </w:rPr>
              <w:t xml:space="preserve"> any safety concerns. The Social Services and Wellbeing (W</w:t>
            </w:r>
            <w:r w:rsidR="0013530D">
              <w:rPr>
                <w:sz w:val="28"/>
                <w:szCs w:val="28"/>
              </w:rPr>
              <w:t>ales) Act 2014 (SSWBA) are the basis</w:t>
            </w:r>
            <w:r>
              <w:rPr>
                <w:sz w:val="28"/>
                <w:szCs w:val="28"/>
              </w:rPr>
              <w:t xml:space="preserve"> for protecting adults and children in Wales. This legislation led to </w:t>
            </w:r>
            <w:r w:rsidR="0013530D">
              <w:rPr>
                <w:sz w:val="28"/>
                <w:szCs w:val="28"/>
              </w:rPr>
              <w:t xml:space="preserve">the establishment of </w:t>
            </w:r>
            <w:r>
              <w:rPr>
                <w:sz w:val="28"/>
                <w:szCs w:val="28"/>
              </w:rPr>
              <w:t>the Wales Safeguarding Procedures in 2019 (WSP19)</w:t>
            </w:r>
            <w:r w:rsidR="0013530D">
              <w:rPr>
                <w:sz w:val="28"/>
                <w:szCs w:val="28"/>
              </w:rPr>
              <w:t>; this document delineates the roles and responsibilities of practitioners to follow in safeguarding adults and children within Wales.</w:t>
            </w:r>
            <w:r>
              <w:rPr>
                <w:sz w:val="28"/>
                <w:szCs w:val="28"/>
              </w:rPr>
              <w:t xml:space="preserve"> The Care Act 2014 also addresses adult safeguarding in England, while the Children Act 1989 is significant for children's pro</w:t>
            </w:r>
            <w:r w:rsidR="00A55FE4">
              <w:rPr>
                <w:sz w:val="28"/>
                <w:szCs w:val="28"/>
              </w:rPr>
              <w:t>tection (Social Care Wales, 2024</w:t>
            </w:r>
            <w:r>
              <w:rPr>
                <w:sz w:val="28"/>
                <w:szCs w:val="28"/>
              </w:rPr>
              <w:t xml:space="preserve">). </w:t>
            </w:r>
          </w:p>
          <w:p w14:paraId="3B1ABE2D" w14:textId="7E106259" w:rsidR="00652BF5" w:rsidRDefault="00652BF5" w:rsidP="00652BF5">
            <w:pPr>
              <w:spacing w:line="480" w:lineRule="auto"/>
              <w:jc w:val="both"/>
              <w:rPr>
                <w:sz w:val="28"/>
                <w:szCs w:val="28"/>
              </w:rPr>
            </w:pPr>
            <w:r>
              <w:rPr>
                <w:sz w:val="28"/>
                <w:szCs w:val="28"/>
              </w:rPr>
              <w:t xml:space="preserve">The World Health Organization (2020) reports that approximately one in four adults has experienced some form of child abuse during their childhood. Child safeguarding practices are designed to protect children from abuse, neglect, and exploitation, ensuring their well-being and prioritizing their best interests. In contrast, adult safeguarding focuses on preventing harm and abuse against individuals who may be unable to protect themselves (Hourglass, 2021). The "Working Together to Safeguard Children" framework promotes multi-agency </w:t>
            </w:r>
            <w:r>
              <w:rPr>
                <w:sz w:val="28"/>
                <w:szCs w:val="28"/>
              </w:rPr>
              <w:lastRenderedPageBreak/>
              <w:t>collaboration (De</w:t>
            </w:r>
            <w:r w:rsidR="00715A4F">
              <w:rPr>
                <w:sz w:val="28"/>
                <w:szCs w:val="28"/>
              </w:rPr>
              <w:t xml:space="preserve">partment for Education, 2018) while </w:t>
            </w:r>
            <w:r w:rsidR="00715A4F" w:rsidRPr="00715A4F">
              <w:rPr>
                <w:sz w:val="28"/>
                <w:szCs w:val="28"/>
              </w:rPr>
              <w:t>Safeguarding Boards to coordinate agencies involved</w:t>
            </w:r>
            <w:r w:rsidR="00715A4F">
              <w:rPr>
                <w:sz w:val="28"/>
                <w:szCs w:val="28"/>
              </w:rPr>
              <w:t>.</w:t>
            </w:r>
          </w:p>
          <w:p w14:paraId="0BFE8FCE" w14:textId="77777777" w:rsidR="00652BF5" w:rsidRDefault="00652BF5" w:rsidP="00652BF5">
            <w:pPr>
              <w:spacing w:line="480" w:lineRule="auto"/>
              <w:jc w:val="both"/>
              <w:rPr>
                <w:sz w:val="28"/>
                <w:szCs w:val="28"/>
              </w:rPr>
            </w:pPr>
          </w:p>
          <w:p w14:paraId="3FDF81F1" w14:textId="37BC0849" w:rsidR="00652BF5" w:rsidRDefault="00652BF5" w:rsidP="00652BF5">
            <w:pPr>
              <w:spacing w:line="480" w:lineRule="auto"/>
              <w:jc w:val="both"/>
              <w:rPr>
                <w:sz w:val="28"/>
                <w:szCs w:val="28"/>
              </w:rPr>
            </w:pPr>
            <w:r>
              <w:rPr>
                <w:sz w:val="28"/>
                <w:szCs w:val="28"/>
              </w:rPr>
              <w:t>Adults have the fundamental right to make decisions regarding their own lives; therefore, interventions typically require their consent unless they are assessed as lacking the capacity to make such decisions (WSP19). This principle aligns with the ethos of the SSWBA, which emphasizes the importance of adult autonomy. The</w:t>
            </w:r>
            <w:r w:rsidR="00A55FE4">
              <w:rPr>
                <w:sz w:val="28"/>
                <w:szCs w:val="28"/>
              </w:rPr>
              <w:t xml:space="preserve"> Mental Capacity Act 2015 (MCA) </w:t>
            </w:r>
            <w:r>
              <w:rPr>
                <w:sz w:val="28"/>
                <w:szCs w:val="28"/>
              </w:rPr>
              <w:t xml:space="preserve">does not apply to children under 16. Instead, </w:t>
            </w:r>
            <w:proofErr w:type="spellStart"/>
            <w:r w:rsidR="00A55FE4">
              <w:rPr>
                <w:sz w:val="28"/>
                <w:szCs w:val="28"/>
              </w:rPr>
              <w:t>Gillick's</w:t>
            </w:r>
            <w:proofErr w:type="spellEnd"/>
            <w:r w:rsidR="00A55FE4">
              <w:rPr>
                <w:sz w:val="28"/>
                <w:szCs w:val="28"/>
              </w:rPr>
              <w:t xml:space="preserve"> c</w:t>
            </w:r>
            <w:r>
              <w:rPr>
                <w:sz w:val="28"/>
                <w:szCs w:val="28"/>
              </w:rPr>
              <w:t xml:space="preserve">ompetence allows children to demonstrate their ability to make informed decisions if they </w:t>
            </w:r>
            <w:r w:rsidR="00A55FE4">
              <w:rPr>
                <w:sz w:val="28"/>
                <w:szCs w:val="28"/>
              </w:rPr>
              <w:t>understand</w:t>
            </w:r>
            <w:r>
              <w:rPr>
                <w:sz w:val="28"/>
                <w:szCs w:val="28"/>
              </w:rPr>
              <w:t xml:space="preserve"> the associated risks, implications, and consequences. Professionals must check for previous child protection issues and assess any factors that may increase a child's vulnerability to abuse (Munroe, 2019). </w:t>
            </w:r>
          </w:p>
          <w:p w14:paraId="7C88C58D" w14:textId="1FA15C15" w:rsidR="00652BF5" w:rsidRDefault="0013530D" w:rsidP="00652BF5">
            <w:pPr>
              <w:spacing w:line="480" w:lineRule="auto"/>
              <w:jc w:val="both"/>
              <w:rPr>
                <w:sz w:val="28"/>
                <w:szCs w:val="28"/>
              </w:rPr>
            </w:pPr>
            <w:r>
              <w:rPr>
                <w:sz w:val="28"/>
                <w:szCs w:val="28"/>
              </w:rPr>
              <w:t>The MCA states that adults are presumed capable of making their own decisions and have the right to make choices, even if they seem unwise unless there is substantial evidence to suggest otherwise.</w:t>
            </w:r>
            <w:r w:rsidR="00652BF5">
              <w:rPr>
                <w:sz w:val="28"/>
                <w:szCs w:val="28"/>
              </w:rPr>
              <w:t xml:space="preserve"> If an adult declines to provide consent, an investigation may not proceed unless there is evidence of criminal conduct (Rees et al., 2021). However, consent is not required for interventions in cases of child abuse or neglect, as safety is the top priority (Children Act 1989).</w:t>
            </w:r>
          </w:p>
          <w:p w14:paraId="3D72A86B" w14:textId="77777777" w:rsidR="00652BF5" w:rsidRDefault="00652BF5" w:rsidP="00652BF5">
            <w:pPr>
              <w:spacing w:line="480" w:lineRule="auto"/>
              <w:jc w:val="both"/>
              <w:rPr>
                <w:sz w:val="28"/>
                <w:szCs w:val="28"/>
              </w:rPr>
            </w:pPr>
          </w:p>
          <w:p w14:paraId="5C2D7967" w14:textId="77777777" w:rsidR="00652BF5" w:rsidRPr="00B1139C" w:rsidRDefault="00652BF5" w:rsidP="00652BF5">
            <w:pPr>
              <w:spacing w:line="480" w:lineRule="auto"/>
              <w:jc w:val="both"/>
              <w:rPr>
                <w:sz w:val="28"/>
                <w:szCs w:val="28"/>
              </w:rPr>
            </w:pPr>
            <w:r>
              <w:rPr>
                <w:sz w:val="28"/>
                <w:szCs w:val="28"/>
              </w:rPr>
              <w:lastRenderedPageBreak/>
              <w:t>Adults and children have the right to apply to the court for a Deprivation of Liberty to ensure their protection. This process includes assessing the capacity of adults to make decisions, investigating any claims of abuse, and clarifying their rights. For children, the emphasis is on safeguarding their well-being and respecting their rights to freedom and family life (Human Rights Act 1998).</w:t>
            </w: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45365E04" w:rsidR="00FC0334" w:rsidRPr="00EB0A47" w:rsidRDefault="00EB0A47" w:rsidP="00FC0334">
            <w:pPr>
              <w:jc w:val="both"/>
              <w:rPr>
                <w:b/>
                <w:sz w:val="24"/>
                <w:szCs w:val="24"/>
              </w:rPr>
            </w:pPr>
            <w:r>
              <w:rPr>
                <w:b/>
                <w:sz w:val="24"/>
                <w:szCs w:val="24"/>
              </w:rPr>
              <w:t>(</w:t>
            </w:r>
            <w:r w:rsidR="00740948">
              <w:rPr>
                <w:b/>
                <w:sz w:val="24"/>
                <w:szCs w:val="24"/>
              </w:rPr>
              <w:t>43</w:t>
            </w:r>
            <w:r w:rsidR="003108A1">
              <w:rPr>
                <w:b/>
                <w:sz w:val="24"/>
                <w:szCs w:val="24"/>
              </w:rPr>
              <w:t>4</w:t>
            </w:r>
            <w:bookmarkStart w:id="0" w:name="_GoBack"/>
            <w:bookmarkEnd w:id="0"/>
            <w:r w:rsidR="00652BF5" w:rsidRPr="00EB0A47">
              <w:rPr>
                <w:b/>
                <w:sz w:val="24"/>
                <w:szCs w:val="24"/>
              </w:rPr>
              <w:t xml:space="preserve"> wor</w:t>
            </w:r>
            <w:r w:rsidRPr="00EB0A47">
              <w:rPr>
                <w:b/>
                <w:sz w:val="24"/>
                <w:szCs w:val="24"/>
              </w:rPr>
              <w:t>ds</w:t>
            </w:r>
            <w:r>
              <w:rPr>
                <w:b/>
                <w:sz w:val="24"/>
                <w:szCs w:val="24"/>
              </w:rPr>
              <w:t>)</w:t>
            </w: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0B39BE" w14:textId="77777777" w:rsidR="00CB4D16" w:rsidRDefault="00CB4D16">
      <w:r>
        <w:separator/>
      </w:r>
    </w:p>
  </w:endnote>
  <w:endnote w:type="continuationSeparator" w:id="0">
    <w:p w14:paraId="45A104BB" w14:textId="77777777" w:rsidR="00CB4D16" w:rsidRDefault="00CB4D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400AE78" w:rsidR="00A5656A" w:rsidRDefault="00A5656A">
    <w:pPr>
      <w:pStyle w:val="Footer"/>
      <w:jc w:val="right"/>
    </w:pPr>
    <w:r>
      <w:fldChar w:fldCharType="begin"/>
    </w:r>
    <w:r>
      <w:instrText xml:space="preserve"> PAGE   \* MERGEFORMAT </w:instrText>
    </w:r>
    <w:r>
      <w:fldChar w:fldCharType="separate"/>
    </w:r>
    <w:r w:rsidR="003108A1">
      <w:rPr>
        <w:noProof/>
      </w:rPr>
      <w:t>8</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12A249" w14:textId="77777777" w:rsidR="00CB4D16" w:rsidRDefault="00CB4D16">
      <w:r>
        <w:separator/>
      </w:r>
    </w:p>
  </w:footnote>
  <w:footnote w:type="continuationSeparator" w:id="0">
    <w:p w14:paraId="3F6B8756" w14:textId="77777777" w:rsidR="00CB4D16" w:rsidRDefault="00CB4D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30D"/>
    <w:rsid w:val="001359EE"/>
    <w:rsid w:val="00137BB5"/>
    <w:rsid w:val="00137E05"/>
    <w:rsid w:val="001447F6"/>
    <w:rsid w:val="00147DE3"/>
    <w:rsid w:val="00150794"/>
    <w:rsid w:val="00151DA6"/>
    <w:rsid w:val="001576F1"/>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3FA9"/>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08A1"/>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0AC"/>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6928"/>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2BF5"/>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5A4F"/>
    <w:rsid w:val="00723C04"/>
    <w:rsid w:val="0072678F"/>
    <w:rsid w:val="007276E5"/>
    <w:rsid w:val="00727C4C"/>
    <w:rsid w:val="00734809"/>
    <w:rsid w:val="0073714E"/>
    <w:rsid w:val="007374EF"/>
    <w:rsid w:val="007406E1"/>
    <w:rsid w:val="00740948"/>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5CD1"/>
    <w:rsid w:val="008D634E"/>
    <w:rsid w:val="008D778A"/>
    <w:rsid w:val="008D78C9"/>
    <w:rsid w:val="008E1506"/>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5FE4"/>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B786E"/>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3DD9"/>
    <w:rsid w:val="00B558EB"/>
    <w:rsid w:val="00B577D3"/>
    <w:rsid w:val="00B60466"/>
    <w:rsid w:val="00B6548F"/>
    <w:rsid w:val="00B67192"/>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4D16"/>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0A47"/>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975A9"/>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kakporll@yahoo.co.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68099F-B007-4CA9-B5C9-8AAE126FCC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1</Pages>
  <Words>1212</Words>
  <Characters>6985</Characters>
  <Application>Microsoft Office Word</Application>
  <DocSecurity>0</DocSecurity>
  <Lines>194</Lines>
  <Paragraphs>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Lizzy Lloyd</cp:lastModifiedBy>
  <cp:revision>13</cp:revision>
  <cp:lastPrinted>2020-02-11T19:20:00Z</cp:lastPrinted>
  <dcterms:created xsi:type="dcterms:W3CDTF">2022-09-29T11:35:00Z</dcterms:created>
  <dcterms:modified xsi:type="dcterms:W3CDTF">2025-02-05T12:21:00Z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e637f3dda7e63097a931b8265feecbcb876db91b562588acae175da5339f65d6</vt:lpwstr>
  </property>
</Properties>
</file>