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733FE" w14:textId="77777777" w:rsidR="003F77DD" w:rsidRPr="0082042E" w:rsidRDefault="003F77DD" w:rsidP="003F77DD">
      <w:pPr>
        <w:pStyle w:val="Title"/>
      </w:pPr>
      <w:bookmarkStart w:id="0" w:name="_Hlk131341612"/>
      <w:r w:rsidRPr="00ED615A">
        <w:t>Strategies Used to Measure, Monitor, and Control the incidence of Shingles</w:t>
      </w:r>
      <w:r>
        <w:t xml:space="preserve"> </w:t>
      </w:r>
      <w:r w:rsidRPr="00ED615A">
        <w:t>(</w:t>
      </w:r>
      <w:r>
        <w:t>H</w:t>
      </w:r>
      <w:r w:rsidRPr="00ED615A">
        <w:t xml:space="preserve">erpes </w:t>
      </w:r>
      <w:r>
        <w:t>Z</w:t>
      </w:r>
      <w:r w:rsidRPr="00ED615A">
        <w:t>oster) Disease in the UK</w:t>
      </w:r>
    </w:p>
    <w:p w14:paraId="64B24654" w14:textId="77777777" w:rsidR="003F77DD" w:rsidRPr="00606EC3" w:rsidRDefault="003F77DD" w:rsidP="003F77DD"/>
    <w:p w14:paraId="2640E10E" w14:textId="77777777" w:rsidR="003F77DD" w:rsidRPr="00606EC3" w:rsidRDefault="003F77DD" w:rsidP="003F77DD"/>
    <w:p w14:paraId="6766F011" w14:textId="3A5340B7" w:rsidR="00B97A23" w:rsidRPr="00B97A23" w:rsidRDefault="00B97A23" w:rsidP="00B97A23">
      <w:pPr>
        <w:spacing w:before="200" w:after="0"/>
        <w:jc w:val="center"/>
      </w:pPr>
      <w:r w:rsidRPr="00B97A23">
        <w:t>Student name: Lyly Okita</w:t>
      </w:r>
    </w:p>
    <w:p w14:paraId="7ABFE71C" w14:textId="09904364" w:rsidR="00B97A23" w:rsidRPr="00B97A23" w:rsidRDefault="00B97A23" w:rsidP="00B97A23">
      <w:pPr>
        <w:spacing w:before="200" w:after="0"/>
        <w:jc w:val="center"/>
      </w:pPr>
      <w:r w:rsidRPr="00B97A23">
        <w:t>Student ID number: 2211984</w:t>
      </w:r>
    </w:p>
    <w:p w14:paraId="637C8EF3" w14:textId="26E674CA" w:rsidR="00B97A23" w:rsidRPr="00B97A23" w:rsidRDefault="00B97A23" w:rsidP="00B97A23">
      <w:pPr>
        <w:spacing w:before="200" w:after="0"/>
        <w:jc w:val="center"/>
      </w:pPr>
      <w:r w:rsidRPr="00B97A23">
        <w:t>Module: Introduction to public health</w:t>
      </w:r>
    </w:p>
    <w:p w14:paraId="3C84EFC5" w14:textId="77777777" w:rsidR="00B97A23" w:rsidRPr="00B97A23" w:rsidRDefault="00B97A23" w:rsidP="00B97A23">
      <w:pPr>
        <w:spacing w:before="200" w:after="0"/>
        <w:jc w:val="center"/>
      </w:pPr>
      <w:r w:rsidRPr="00B97A23">
        <w:t>Module code: LCHS4004</w:t>
      </w:r>
    </w:p>
    <w:p w14:paraId="370D78C9" w14:textId="721B27B8" w:rsidR="00B97A23" w:rsidRPr="00B97A23" w:rsidRDefault="00B97A23" w:rsidP="00B97A23">
      <w:pPr>
        <w:spacing w:before="200" w:after="0"/>
        <w:jc w:val="center"/>
      </w:pPr>
      <w:r w:rsidRPr="00B97A23">
        <w:t>Lecture: Gillian Weaver</w:t>
      </w:r>
    </w:p>
    <w:p w14:paraId="22069614" w14:textId="1ADF94D5" w:rsidR="003F77DD" w:rsidRPr="00B97A23" w:rsidRDefault="00B97A23" w:rsidP="00B97A23">
      <w:pPr>
        <w:spacing w:before="200" w:after="0"/>
        <w:jc w:val="center"/>
      </w:pPr>
      <w:r w:rsidRPr="00B97A23">
        <w:t>Assignment title: task 2 Supporting Paper</w:t>
      </w:r>
    </w:p>
    <w:p w14:paraId="71B83562" w14:textId="77777777" w:rsidR="003F77DD" w:rsidRPr="00606EC3" w:rsidRDefault="003F77DD" w:rsidP="003F77DD">
      <w:pPr>
        <w:spacing w:before="200"/>
        <w:rPr>
          <w:sz w:val="20"/>
          <w:szCs w:val="20"/>
        </w:rPr>
      </w:pPr>
    </w:p>
    <w:p w14:paraId="42E4F2AD" w14:textId="77777777" w:rsidR="003F77DD" w:rsidRPr="00606EC3" w:rsidRDefault="003F77DD" w:rsidP="003F77DD">
      <w:pPr>
        <w:spacing w:before="200"/>
        <w:rPr>
          <w:sz w:val="20"/>
          <w:szCs w:val="20"/>
        </w:rPr>
      </w:pPr>
    </w:p>
    <w:p w14:paraId="643EBD46" w14:textId="77777777" w:rsidR="003F77DD" w:rsidRPr="00606EC3" w:rsidRDefault="003F77DD" w:rsidP="003F77DD">
      <w:pPr>
        <w:spacing w:before="200"/>
        <w:rPr>
          <w:sz w:val="20"/>
          <w:szCs w:val="20"/>
        </w:rPr>
      </w:pPr>
    </w:p>
    <w:p w14:paraId="55F00BE2" w14:textId="77777777" w:rsidR="003F77DD" w:rsidRPr="00606EC3" w:rsidRDefault="003F77DD" w:rsidP="003F77DD">
      <w:pPr>
        <w:spacing w:before="200"/>
        <w:rPr>
          <w:sz w:val="20"/>
          <w:szCs w:val="20"/>
        </w:rPr>
      </w:pPr>
    </w:p>
    <w:p w14:paraId="7504B4B1" w14:textId="77777777" w:rsidR="003F77DD" w:rsidRPr="00606EC3" w:rsidRDefault="003F77DD" w:rsidP="003F77DD">
      <w:pPr>
        <w:spacing w:before="200"/>
        <w:rPr>
          <w:sz w:val="20"/>
          <w:szCs w:val="20"/>
        </w:rPr>
      </w:pPr>
    </w:p>
    <w:p w14:paraId="5094D11A" w14:textId="77777777" w:rsidR="003F77DD" w:rsidRPr="00606EC3" w:rsidRDefault="003F77DD" w:rsidP="003F77DD">
      <w:pPr>
        <w:spacing w:before="200"/>
        <w:rPr>
          <w:sz w:val="20"/>
          <w:szCs w:val="20"/>
        </w:rPr>
      </w:pPr>
    </w:p>
    <w:p w14:paraId="7826B460" w14:textId="77777777" w:rsidR="003F77DD" w:rsidRPr="00606EC3" w:rsidRDefault="003F77DD" w:rsidP="003F77DD">
      <w:pPr>
        <w:spacing w:before="200"/>
        <w:rPr>
          <w:sz w:val="20"/>
          <w:szCs w:val="20"/>
        </w:rPr>
      </w:pPr>
    </w:p>
    <w:p w14:paraId="7FE2B038" w14:textId="77777777" w:rsidR="003F77DD" w:rsidRPr="00606EC3" w:rsidRDefault="003F77DD" w:rsidP="003F77DD">
      <w:pPr>
        <w:spacing w:before="200"/>
        <w:rPr>
          <w:sz w:val="20"/>
          <w:szCs w:val="20"/>
        </w:rPr>
      </w:pPr>
    </w:p>
    <w:p w14:paraId="368F6388" w14:textId="77777777" w:rsidR="003F77DD" w:rsidRPr="00606EC3" w:rsidRDefault="003F77DD" w:rsidP="003F77DD">
      <w:pPr>
        <w:spacing w:before="200"/>
        <w:rPr>
          <w:sz w:val="20"/>
          <w:szCs w:val="20"/>
        </w:rPr>
      </w:pPr>
    </w:p>
    <w:p w14:paraId="35EA36BE" w14:textId="77777777" w:rsidR="003F77DD" w:rsidRPr="00606EC3" w:rsidRDefault="003F77DD" w:rsidP="003F77DD">
      <w:pPr>
        <w:spacing w:before="200"/>
        <w:rPr>
          <w:sz w:val="20"/>
          <w:szCs w:val="20"/>
        </w:rPr>
      </w:pPr>
    </w:p>
    <w:p w14:paraId="7542E4CC" w14:textId="77777777" w:rsidR="003F77DD" w:rsidRPr="00606EC3" w:rsidRDefault="003F77DD" w:rsidP="003F77DD">
      <w:pPr>
        <w:spacing w:before="200"/>
        <w:rPr>
          <w:sz w:val="20"/>
          <w:szCs w:val="20"/>
        </w:rPr>
      </w:pPr>
    </w:p>
    <w:p w14:paraId="225054C8" w14:textId="77777777" w:rsidR="003F77DD" w:rsidRPr="00606EC3" w:rsidRDefault="003F77DD" w:rsidP="003F77DD">
      <w:pPr>
        <w:spacing w:before="200"/>
        <w:rPr>
          <w:sz w:val="20"/>
          <w:szCs w:val="20"/>
        </w:rPr>
      </w:pPr>
    </w:p>
    <w:p w14:paraId="07CCA4D3" w14:textId="3F78ED2B" w:rsidR="003F77DD" w:rsidRPr="00606EC3" w:rsidRDefault="003F77DD" w:rsidP="003F77DD">
      <w:pPr>
        <w:spacing w:before="200"/>
        <w:rPr>
          <w:sz w:val="20"/>
          <w:szCs w:val="20"/>
        </w:rPr>
      </w:pPr>
      <w:r w:rsidRPr="00606EC3">
        <w:br w:type="page"/>
      </w:r>
    </w:p>
    <w:p w14:paraId="50DBF21E" w14:textId="77777777" w:rsidR="003F77DD" w:rsidRPr="00606EC3" w:rsidRDefault="003F77DD" w:rsidP="003F77DD">
      <w:pPr>
        <w:spacing w:before="200"/>
        <w:rPr>
          <w:sz w:val="32"/>
          <w:szCs w:val="32"/>
        </w:rPr>
      </w:pPr>
      <w:r w:rsidRPr="00606EC3">
        <w:rPr>
          <w:sz w:val="32"/>
          <w:szCs w:val="32"/>
        </w:rPr>
        <w:t>Table of Contents</w:t>
      </w:r>
    </w:p>
    <w:sdt>
      <w:sdtPr>
        <w:id w:val="-524710385"/>
        <w:docPartObj>
          <w:docPartGallery w:val="Table of Contents"/>
          <w:docPartUnique/>
        </w:docPartObj>
      </w:sdtPr>
      <w:sdtEndPr/>
      <w:sdtContent>
        <w:p w14:paraId="3E5520B5" w14:textId="2105698B" w:rsidR="0046641F" w:rsidRDefault="003F77DD">
          <w:pPr>
            <w:pStyle w:val="TOC1"/>
            <w:rPr>
              <w:rFonts w:asciiTheme="minorHAnsi" w:eastAsiaTheme="minorEastAsia" w:hAnsiTheme="minorHAnsi" w:cstheme="minorBidi"/>
              <w:noProof/>
              <w:sz w:val="22"/>
              <w:szCs w:val="22"/>
              <w:lang w:val="en-US" w:eastAsia="en-US"/>
            </w:rPr>
          </w:pPr>
          <w:r w:rsidRPr="00606EC3">
            <w:fldChar w:fldCharType="begin"/>
          </w:r>
          <w:r w:rsidRPr="00606EC3">
            <w:instrText xml:space="preserve"> TOC \h \u \z </w:instrText>
          </w:r>
          <w:r w:rsidRPr="00606EC3">
            <w:fldChar w:fldCharType="separate"/>
          </w:r>
          <w:hyperlink w:anchor="_Toc140785652" w:history="1">
            <w:r w:rsidR="0046641F" w:rsidRPr="00406AD9">
              <w:rPr>
                <w:rStyle w:val="Hyperlink"/>
                <w:noProof/>
              </w:rPr>
              <w:t>1. Introduction</w:t>
            </w:r>
            <w:r w:rsidR="0046641F">
              <w:rPr>
                <w:noProof/>
                <w:webHidden/>
              </w:rPr>
              <w:tab/>
            </w:r>
            <w:r w:rsidR="0046641F">
              <w:rPr>
                <w:noProof/>
                <w:webHidden/>
              </w:rPr>
              <w:fldChar w:fldCharType="begin"/>
            </w:r>
            <w:r w:rsidR="0046641F">
              <w:rPr>
                <w:noProof/>
                <w:webHidden/>
              </w:rPr>
              <w:instrText xml:space="preserve"> PAGEREF _Toc140785652 \h </w:instrText>
            </w:r>
            <w:r w:rsidR="0046641F">
              <w:rPr>
                <w:noProof/>
                <w:webHidden/>
              </w:rPr>
            </w:r>
            <w:r w:rsidR="0046641F">
              <w:rPr>
                <w:noProof/>
                <w:webHidden/>
              </w:rPr>
              <w:fldChar w:fldCharType="separate"/>
            </w:r>
            <w:r w:rsidR="0046641F">
              <w:rPr>
                <w:noProof/>
                <w:webHidden/>
              </w:rPr>
              <w:t>3</w:t>
            </w:r>
            <w:r w:rsidR="0046641F">
              <w:rPr>
                <w:noProof/>
                <w:webHidden/>
              </w:rPr>
              <w:fldChar w:fldCharType="end"/>
            </w:r>
          </w:hyperlink>
        </w:p>
        <w:p w14:paraId="62D491CC" w14:textId="6B591FE7" w:rsidR="0046641F" w:rsidRDefault="00205EC6">
          <w:pPr>
            <w:pStyle w:val="TOC1"/>
            <w:rPr>
              <w:rFonts w:asciiTheme="minorHAnsi" w:eastAsiaTheme="minorEastAsia" w:hAnsiTheme="minorHAnsi" w:cstheme="minorBidi"/>
              <w:noProof/>
              <w:sz w:val="22"/>
              <w:szCs w:val="22"/>
              <w:lang w:val="en-US" w:eastAsia="en-US"/>
            </w:rPr>
          </w:pPr>
          <w:hyperlink w:anchor="_Toc140785653" w:history="1">
            <w:r w:rsidR="0046641F" w:rsidRPr="00406AD9">
              <w:rPr>
                <w:rStyle w:val="Hyperlink"/>
                <w:noProof/>
              </w:rPr>
              <w:t>2. Strategies for Measurement</w:t>
            </w:r>
            <w:r w:rsidR="0046641F">
              <w:rPr>
                <w:noProof/>
                <w:webHidden/>
              </w:rPr>
              <w:tab/>
            </w:r>
            <w:r w:rsidR="0046641F">
              <w:rPr>
                <w:noProof/>
                <w:webHidden/>
              </w:rPr>
              <w:fldChar w:fldCharType="begin"/>
            </w:r>
            <w:r w:rsidR="0046641F">
              <w:rPr>
                <w:noProof/>
                <w:webHidden/>
              </w:rPr>
              <w:instrText xml:space="preserve"> PAGEREF _Toc140785653 \h </w:instrText>
            </w:r>
            <w:r w:rsidR="0046641F">
              <w:rPr>
                <w:noProof/>
                <w:webHidden/>
              </w:rPr>
            </w:r>
            <w:r w:rsidR="0046641F">
              <w:rPr>
                <w:noProof/>
                <w:webHidden/>
              </w:rPr>
              <w:fldChar w:fldCharType="separate"/>
            </w:r>
            <w:r w:rsidR="0046641F">
              <w:rPr>
                <w:noProof/>
                <w:webHidden/>
              </w:rPr>
              <w:t>4</w:t>
            </w:r>
            <w:r w:rsidR="0046641F">
              <w:rPr>
                <w:noProof/>
                <w:webHidden/>
              </w:rPr>
              <w:fldChar w:fldCharType="end"/>
            </w:r>
          </w:hyperlink>
        </w:p>
        <w:p w14:paraId="0FEA3B58" w14:textId="28E6890C" w:rsidR="0046641F" w:rsidRDefault="00205EC6">
          <w:pPr>
            <w:pStyle w:val="TOC1"/>
            <w:rPr>
              <w:rFonts w:asciiTheme="minorHAnsi" w:eastAsiaTheme="minorEastAsia" w:hAnsiTheme="minorHAnsi" w:cstheme="minorBidi"/>
              <w:noProof/>
              <w:sz w:val="22"/>
              <w:szCs w:val="22"/>
              <w:lang w:val="en-US" w:eastAsia="en-US"/>
            </w:rPr>
          </w:pPr>
          <w:hyperlink w:anchor="_Toc140785654" w:history="1">
            <w:r w:rsidR="0046641F" w:rsidRPr="00406AD9">
              <w:rPr>
                <w:rStyle w:val="Hyperlink"/>
                <w:noProof/>
              </w:rPr>
              <w:t>3. Strategies of Monitoring</w:t>
            </w:r>
            <w:r w:rsidR="0046641F">
              <w:rPr>
                <w:noProof/>
                <w:webHidden/>
              </w:rPr>
              <w:tab/>
            </w:r>
            <w:r w:rsidR="0046641F">
              <w:rPr>
                <w:noProof/>
                <w:webHidden/>
              </w:rPr>
              <w:fldChar w:fldCharType="begin"/>
            </w:r>
            <w:r w:rsidR="0046641F">
              <w:rPr>
                <w:noProof/>
                <w:webHidden/>
              </w:rPr>
              <w:instrText xml:space="preserve"> PAGEREF _Toc140785654 \h </w:instrText>
            </w:r>
            <w:r w:rsidR="0046641F">
              <w:rPr>
                <w:noProof/>
                <w:webHidden/>
              </w:rPr>
            </w:r>
            <w:r w:rsidR="0046641F">
              <w:rPr>
                <w:noProof/>
                <w:webHidden/>
              </w:rPr>
              <w:fldChar w:fldCharType="separate"/>
            </w:r>
            <w:r w:rsidR="0046641F">
              <w:rPr>
                <w:noProof/>
                <w:webHidden/>
              </w:rPr>
              <w:t>5</w:t>
            </w:r>
            <w:r w:rsidR="0046641F">
              <w:rPr>
                <w:noProof/>
                <w:webHidden/>
              </w:rPr>
              <w:fldChar w:fldCharType="end"/>
            </w:r>
          </w:hyperlink>
        </w:p>
        <w:p w14:paraId="27F35897" w14:textId="06EBC48A" w:rsidR="0046641F" w:rsidRDefault="00205EC6">
          <w:pPr>
            <w:pStyle w:val="TOC1"/>
            <w:rPr>
              <w:rFonts w:asciiTheme="minorHAnsi" w:eastAsiaTheme="minorEastAsia" w:hAnsiTheme="minorHAnsi" w:cstheme="minorBidi"/>
              <w:noProof/>
              <w:sz w:val="22"/>
              <w:szCs w:val="22"/>
              <w:lang w:val="en-US" w:eastAsia="en-US"/>
            </w:rPr>
          </w:pPr>
          <w:hyperlink w:anchor="_Toc140785655" w:history="1">
            <w:r w:rsidR="0046641F" w:rsidRPr="00406AD9">
              <w:rPr>
                <w:rStyle w:val="Hyperlink"/>
                <w:noProof/>
              </w:rPr>
              <w:t>4. Strategies for Control</w:t>
            </w:r>
            <w:r w:rsidR="0046641F">
              <w:rPr>
                <w:noProof/>
                <w:webHidden/>
              </w:rPr>
              <w:tab/>
            </w:r>
            <w:r w:rsidR="0046641F">
              <w:rPr>
                <w:noProof/>
                <w:webHidden/>
              </w:rPr>
              <w:fldChar w:fldCharType="begin"/>
            </w:r>
            <w:r w:rsidR="0046641F">
              <w:rPr>
                <w:noProof/>
                <w:webHidden/>
              </w:rPr>
              <w:instrText xml:space="preserve"> PAGEREF _Toc140785655 \h </w:instrText>
            </w:r>
            <w:r w:rsidR="0046641F">
              <w:rPr>
                <w:noProof/>
                <w:webHidden/>
              </w:rPr>
            </w:r>
            <w:r w:rsidR="0046641F">
              <w:rPr>
                <w:noProof/>
                <w:webHidden/>
              </w:rPr>
              <w:fldChar w:fldCharType="separate"/>
            </w:r>
            <w:r w:rsidR="0046641F">
              <w:rPr>
                <w:noProof/>
                <w:webHidden/>
              </w:rPr>
              <w:t>6</w:t>
            </w:r>
            <w:r w:rsidR="0046641F">
              <w:rPr>
                <w:noProof/>
                <w:webHidden/>
              </w:rPr>
              <w:fldChar w:fldCharType="end"/>
            </w:r>
          </w:hyperlink>
        </w:p>
        <w:p w14:paraId="3D9A667B" w14:textId="733AF63E" w:rsidR="0046641F" w:rsidRDefault="00205EC6">
          <w:pPr>
            <w:pStyle w:val="TOC1"/>
            <w:rPr>
              <w:rFonts w:asciiTheme="minorHAnsi" w:eastAsiaTheme="minorEastAsia" w:hAnsiTheme="minorHAnsi" w:cstheme="minorBidi"/>
              <w:noProof/>
              <w:sz w:val="22"/>
              <w:szCs w:val="22"/>
              <w:lang w:val="en-US" w:eastAsia="en-US"/>
            </w:rPr>
          </w:pPr>
          <w:hyperlink w:anchor="_Toc140785656" w:history="1">
            <w:r w:rsidR="0046641F" w:rsidRPr="00406AD9">
              <w:rPr>
                <w:rStyle w:val="Hyperlink"/>
                <w:noProof/>
              </w:rPr>
              <w:t>5. Conclusion</w:t>
            </w:r>
            <w:r w:rsidR="0046641F">
              <w:rPr>
                <w:noProof/>
                <w:webHidden/>
              </w:rPr>
              <w:tab/>
            </w:r>
            <w:r w:rsidR="0046641F">
              <w:rPr>
                <w:noProof/>
                <w:webHidden/>
              </w:rPr>
              <w:fldChar w:fldCharType="begin"/>
            </w:r>
            <w:r w:rsidR="0046641F">
              <w:rPr>
                <w:noProof/>
                <w:webHidden/>
              </w:rPr>
              <w:instrText xml:space="preserve"> PAGEREF _Toc140785656 \h </w:instrText>
            </w:r>
            <w:r w:rsidR="0046641F">
              <w:rPr>
                <w:noProof/>
                <w:webHidden/>
              </w:rPr>
            </w:r>
            <w:r w:rsidR="0046641F">
              <w:rPr>
                <w:noProof/>
                <w:webHidden/>
              </w:rPr>
              <w:fldChar w:fldCharType="separate"/>
            </w:r>
            <w:r w:rsidR="0046641F">
              <w:rPr>
                <w:noProof/>
                <w:webHidden/>
              </w:rPr>
              <w:t>8</w:t>
            </w:r>
            <w:r w:rsidR="0046641F">
              <w:rPr>
                <w:noProof/>
                <w:webHidden/>
              </w:rPr>
              <w:fldChar w:fldCharType="end"/>
            </w:r>
          </w:hyperlink>
        </w:p>
        <w:p w14:paraId="675A5D6A" w14:textId="33112AFA" w:rsidR="0046641F" w:rsidRDefault="00205EC6">
          <w:pPr>
            <w:pStyle w:val="TOC1"/>
            <w:rPr>
              <w:rFonts w:asciiTheme="minorHAnsi" w:eastAsiaTheme="minorEastAsia" w:hAnsiTheme="minorHAnsi" w:cstheme="minorBidi"/>
              <w:noProof/>
              <w:sz w:val="22"/>
              <w:szCs w:val="22"/>
              <w:lang w:val="en-US" w:eastAsia="en-US"/>
            </w:rPr>
          </w:pPr>
          <w:hyperlink w:anchor="_Toc140785657" w:history="1">
            <w:r w:rsidR="0046641F" w:rsidRPr="00406AD9">
              <w:rPr>
                <w:rStyle w:val="Hyperlink"/>
                <w:noProof/>
              </w:rPr>
              <w:t>References</w:t>
            </w:r>
            <w:r w:rsidR="0046641F">
              <w:rPr>
                <w:noProof/>
                <w:webHidden/>
              </w:rPr>
              <w:tab/>
            </w:r>
            <w:r w:rsidR="0046641F">
              <w:rPr>
                <w:noProof/>
                <w:webHidden/>
              </w:rPr>
              <w:fldChar w:fldCharType="begin"/>
            </w:r>
            <w:r w:rsidR="0046641F">
              <w:rPr>
                <w:noProof/>
                <w:webHidden/>
              </w:rPr>
              <w:instrText xml:space="preserve"> PAGEREF _Toc140785657 \h </w:instrText>
            </w:r>
            <w:r w:rsidR="0046641F">
              <w:rPr>
                <w:noProof/>
                <w:webHidden/>
              </w:rPr>
            </w:r>
            <w:r w:rsidR="0046641F">
              <w:rPr>
                <w:noProof/>
                <w:webHidden/>
              </w:rPr>
              <w:fldChar w:fldCharType="separate"/>
            </w:r>
            <w:r w:rsidR="0046641F">
              <w:rPr>
                <w:noProof/>
                <w:webHidden/>
              </w:rPr>
              <w:t>9</w:t>
            </w:r>
            <w:r w:rsidR="0046641F">
              <w:rPr>
                <w:noProof/>
                <w:webHidden/>
              </w:rPr>
              <w:fldChar w:fldCharType="end"/>
            </w:r>
          </w:hyperlink>
        </w:p>
        <w:p w14:paraId="0990BAB4" w14:textId="10BE9875" w:rsidR="003F77DD" w:rsidRDefault="003F77DD" w:rsidP="003F77DD">
          <w:pPr>
            <w:tabs>
              <w:tab w:val="right" w:pos="9360"/>
            </w:tabs>
            <w:spacing w:before="60" w:after="80"/>
            <w:ind w:left="360"/>
          </w:pPr>
          <w:r w:rsidRPr="00606EC3">
            <w:fldChar w:fldCharType="end"/>
          </w:r>
        </w:p>
      </w:sdtContent>
    </w:sdt>
    <w:p w14:paraId="10574709" w14:textId="77777777" w:rsidR="003F77DD" w:rsidRDefault="003F77DD" w:rsidP="003F77DD">
      <w:r>
        <w:br w:type="page"/>
      </w:r>
    </w:p>
    <w:p w14:paraId="7F4CEE38" w14:textId="77777777" w:rsidR="003F77DD" w:rsidRDefault="003F77DD" w:rsidP="003F77DD">
      <w:pPr>
        <w:pStyle w:val="Heading1"/>
        <w:numPr>
          <w:ilvl w:val="0"/>
          <w:numId w:val="1"/>
        </w:numPr>
        <w:ind w:left="0" w:firstLine="0"/>
      </w:pPr>
      <w:bookmarkStart w:id="1" w:name="_Toc140785652"/>
      <w:r w:rsidRPr="00606EC3">
        <w:t>Introduction</w:t>
      </w:r>
      <w:bookmarkEnd w:id="1"/>
    </w:p>
    <w:p w14:paraId="455BE543" w14:textId="77777777" w:rsidR="003F77DD" w:rsidRDefault="003F77DD" w:rsidP="003F77DD">
      <w:r w:rsidRPr="00D51D82">
        <w:t xml:space="preserve">With this </w:t>
      </w:r>
      <w:r>
        <w:t>report</w:t>
      </w:r>
      <w:r w:rsidRPr="00D51D82">
        <w:t xml:space="preserve">, </w:t>
      </w:r>
      <w:r>
        <w:t>we</w:t>
      </w:r>
      <w:r w:rsidRPr="00D51D82">
        <w:t xml:space="preserve"> hope</w:t>
      </w:r>
      <w:r>
        <w:t xml:space="preserve"> </w:t>
      </w:r>
      <w:r w:rsidRPr="00D51D82">
        <w:t xml:space="preserve">to shed light on the methods </w:t>
      </w:r>
      <w:r>
        <w:t>used in the UK</w:t>
      </w:r>
      <w:r w:rsidRPr="00D51D82">
        <w:t xml:space="preserve"> to track and reduce the spread of Shingles (Herpes Zoster). The reactivation of the varicella-zoster virus, which causes shingles, is a major public health concern</w:t>
      </w:r>
      <w:r>
        <w:t xml:space="preserve"> (</w:t>
      </w:r>
      <w:r w:rsidRPr="00F21074">
        <w:rPr>
          <w:lang w:val="en-US"/>
        </w:rPr>
        <w:t>Schmader</w:t>
      </w:r>
      <w:r>
        <w:rPr>
          <w:lang w:val="en-US"/>
        </w:rPr>
        <w:t xml:space="preserve"> </w:t>
      </w:r>
      <w:r w:rsidRPr="00F21074">
        <w:rPr>
          <w:lang w:val="en-US"/>
        </w:rPr>
        <w:t>&amp; Dworkin, 2008</w:t>
      </w:r>
      <w:r>
        <w:t>)</w:t>
      </w:r>
      <w:r w:rsidRPr="00D51D82">
        <w:t xml:space="preserve">. </w:t>
      </w:r>
      <w:r w:rsidRPr="007330B4">
        <w:t>Strong</w:t>
      </w:r>
      <w:r>
        <w:t xml:space="preserve"> health care</w:t>
      </w:r>
      <w:r w:rsidRPr="007330B4">
        <w:t xml:space="preserve"> surveillance, efficient monitoring systems, and comprehensive prevention and control measures are all necessary for effective</w:t>
      </w:r>
      <w:r>
        <w:t xml:space="preserve"> management of </w:t>
      </w:r>
      <w:r w:rsidRPr="007330B4">
        <w:t xml:space="preserve">the disease. Here, we assess these </w:t>
      </w:r>
      <w:r>
        <w:t>strategies</w:t>
      </w:r>
      <w:r w:rsidRPr="007330B4">
        <w:t xml:space="preserve"> critically in order to offer insights into the existing strategy and identify prospective areas for development</w:t>
      </w:r>
      <w:r w:rsidRPr="00D51D82">
        <w:t>.</w:t>
      </w:r>
    </w:p>
    <w:p w14:paraId="71770C2F" w14:textId="77777777" w:rsidR="003F77DD" w:rsidRDefault="003F77DD" w:rsidP="003F77DD">
      <w:pPr>
        <w:spacing w:line="259" w:lineRule="auto"/>
        <w:jc w:val="left"/>
      </w:pPr>
      <w:r>
        <w:br w:type="page"/>
      </w:r>
    </w:p>
    <w:p w14:paraId="7F1B66E6" w14:textId="77777777" w:rsidR="003F77DD" w:rsidRDefault="003F77DD" w:rsidP="003F77DD">
      <w:pPr>
        <w:pStyle w:val="Heading1"/>
        <w:numPr>
          <w:ilvl w:val="0"/>
          <w:numId w:val="1"/>
        </w:numPr>
        <w:ind w:left="0" w:firstLine="0"/>
      </w:pPr>
      <w:bookmarkStart w:id="2" w:name="_Toc140785653"/>
      <w:r>
        <w:t>Strategies for Measurement</w:t>
      </w:r>
      <w:bookmarkEnd w:id="2"/>
    </w:p>
    <w:p w14:paraId="59478143" w14:textId="77777777" w:rsidR="003F77DD" w:rsidRDefault="003F77DD" w:rsidP="003F77DD">
      <w:pPr>
        <w:rPr>
          <w:lang w:val="en-US"/>
        </w:rPr>
      </w:pPr>
      <w:r w:rsidRPr="00A72789">
        <w:rPr>
          <w:lang w:val="en-US"/>
        </w:rPr>
        <w:t xml:space="preserve">The United Kingdom utilizes a comprehensive methodology to assess the prevalence of Shingles (Herpes Zoster) infection. One crucial approach </w:t>
      </w:r>
      <w:r>
        <w:rPr>
          <w:lang w:val="en-US"/>
        </w:rPr>
        <w:t>is</w:t>
      </w:r>
      <w:r w:rsidRPr="00A72789">
        <w:rPr>
          <w:lang w:val="en-US"/>
        </w:rPr>
        <w:t xml:space="preserve"> the utilization of routine public health surveillance data, predominantly sourced from the National Health Service (NHS)</w:t>
      </w:r>
      <w:r w:rsidRPr="0077373E">
        <w:rPr>
          <w:lang w:val="en-US"/>
        </w:rPr>
        <w:t>. Standardized reporting from healthcare professionals across the country allows for this data collection</w:t>
      </w:r>
      <w:r>
        <w:rPr>
          <w:lang w:val="en-US"/>
        </w:rPr>
        <w:t xml:space="preserve"> (</w:t>
      </w:r>
      <w:r w:rsidRPr="00706A01">
        <w:rPr>
          <w:i/>
          <w:iCs/>
          <w:lang w:val="en-US"/>
        </w:rPr>
        <w:t>NHS,</w:t>
      </w:r>
      <w:r>
        <w:rPr>
          <w:lang w:val="en-US"/>
        </w:rPr>
        <w:t xml:space="preserve"> 2022)</w:t>
      </w:r>
      <w:r w:rsidRPr="0077373E">
        <w:rPr>
          <w:lang w:val="en-US"/>
        </w:rPr>
        <w:t>. It provides an indirect yet real-time evaluation of illness prevalence.</w:t>
      </w:r>
    </w:p>
    <w:p w14:paraId="2736BCFC" w14:textId="77777777" w:rsidR="003F77DD" w:rsidRDefault="003F77DD" w:rsidP="003F77DD">
      <w:pPr>
        <w:keepNext/>
        <w:jc w:val="center"/>
      </w:pPr>
      <w:r>
        <w:rPr>
          <w:noProof/>
        </w:rPr>
        <w:drawing>
          <wp:inline distT="0" distB="0" distL="0" distR="0" wp14:anchorId="157132B5" wp14:editId="32B2FD02">
            <wp:extent cx="3450419" cy="2552700"/>
            <wp:effectExtent l="0" t="0" r="0" b="0"/>
            <wp:docPr id="1" name="Picture 1" descr="Nerve Paths That Shingles Follow: Dermatomes and Herpes Zoster – Dermel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rve Paths That Shingles Follow: Dermatomes and Herpes Zoster – Dermeleve®"/>
                    <pic:cNvPicPr>
                      <a:picLocks noChangeAspect="1" noChangeArrowheads="1"/>
                    </pic:cNvPicPr>
                  </pic:nvPicPr>
                  <pic:blipFill rotWithShape="1">
                    <a:blip r:embed="rId7">
                      <a:extLst>
                        <a:ext uri="{28A0092B-C50C-407E-A947-70E740481C1C}">
                          <a14:useLocalDpi xmlns:a14="http://schemas.microsoft.com/office/drawing/2010/main" val="0"/>
                        </a:ext>
                      </a:extLst>
                    </a:blip>
                    <a:srcRect t="4687" b="6534"/>
                    <a:stretch/>
                  </pic:blipFill>
                  <pic:spPr bwMode="auto">
                    <a:xfrm>
                      <a:off x="0" y="0"/>
                      <a:ext cx="3458948" cy="2559010"/>
                    </a:xfrm>
                    <a:prstGeom prst="rect">
                      <a:avLst/>
                    </a:prstGeom>
                    <a:noFill/>
                    <a:ln>
                      <a:noFill/>
                    </a:ln>
                    <a:extLst>
                      <a:ext uri="{53640926-AAD7-44D8-BBD7-CCE9431645EC}">
                        <a14:shadowObscured xmlns:a14="http://schemas.microsoft.com/office/drawing/2010/main"/>
                      </a:ext>
                    </a:extLst>
                  </pic:spPr>
                </pic:pic>
              </a:graphicData>
            </a:graphic>
          </wp:inline>
        </w:drawing>
      </w:r>
    </w:p>
    <w:p w14:paraId="79FCDA9F" w14:textId="77777777" w:rsidR="003F77DD" w:rsidRPr="0077373E" w:rsidRDefault="003F77DD" w:rsidP="003F77DD">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t xml:space="preserve">: Basic Information about the Disease, Source: </w:t>
      </w:r>
      <w:r w:rsidRPr="00530C1C">
        <w:t>dermeleve.com</w:t>
      </w:r>
    </w:p>
    <w:p w14:paraId="745C061C" w14:textId="77777777" w:rsidR="003F77DD" w:rsidRPr="0077373E" w:rsidRDefault="003F77DD" w:rsidP="003F77DD">
      <w:pPr>
        <w:rPr>
          <w:lang w:val="en-US"/>
        </w:rPr>
      </w:pPr>
      <w:r w:rsidRPr="0077373E">
        <w:rPr>
          <w:lang w:val="en-US"/>
        </w:rPr>
        <w:t>Population-based health surveys supplement surveillance data. These are often carried out at regular intervals and serve to provide a snapshot of the disease</w:t>
      </w:r>
      <w:r>
        <w:rPr>
          <w:lang w:val="en-US"/>
        </w:rPr>
        <w:t>’</w:t>
      </w:r>
      <w:r w:rsidRPr="0077373E">
        <w:rPr>
          <w:lang w:val="en-US"/>
        </w:rPr>
        <w:t>s prevalence in the area. While they require more time and money to implement, comprehensive disease surveillance systems provide a more accurate picture of the disease</w:t>
      </w:r>
      <w:r>
        <w:rPr>
          <w:lang w:val="en-US"/>
        </w:rPr>
        <w:t>’</w:t>
      </w:r>
      <w:r w:rsidRPr="0077373E">
        <w:rPr>
          <w:lang w:val="en-US"/>
        </w:rPr>
        <w:t>s prevalence by capturing even instances that do not seek medical attention</w:t>
      </w:r>
      <w:r>
        <w:rPr>
          <w:lang w:val="en-US"/>
        </w:rPr>
        <w:t xml:space="preserve"> (</w:t>
      </w:r>
      <w:r w:rsidRPr="0096717F">
        <w:rPr>
          <w:lang w:val="en-US"/>
        </w:rPr>
        <w:t>Dworkin</w:t>
      </w:r>
      <w:r>
        <w:rPr>
          <w:lang w:val="en-US"/>
        </w:rPr>
        <w:t xml:space="preserve"> et al., 2007)</w:t>
      </w:r>
      <w:r w:rsidRPr="0077373E">
        <w:rPr>
          <w:lang w:val="en-US"/>
        </w:rPr>
        <w:t>.</w:t>
      </w:r>
    </w:p>
    <w:p w14:paraId="09636639" w14:textId="77777777" w:rsidR="003F77DD" w:rsidRPr="0077373E" w:rsidRDefault="003F77DD" w:rsidP="003F77DD">
      <w:pPr>
        <w:rPr>
          <w:lang w:val="en-US"/>
        </w:rPr>
      </w:pPr>
      <w:r w:rsidRPr="0077373E">
        <w:rPr>
          <w:lang w:val="en-US"/>
        </w:rPr>
        <w:t>The use of laboratory-based surveillance is also very important. Shingles cases that are confirmed by laboratories in the UK are reported centrally, allowing for easier tracking of trends, outbreaks, and potential clusters. This method is useful for adding laboratory validation to clinical diagnoses, making the data more solid overall.</w:t>
      </w:r>
    </w:p>
    <w:p w14:paraId="45554A89" w14:textId="77777777" w:rsidR="003F77DD" w:rsidRPr="0077373E" w:rsidRDefault="003F77DD" w:rsidP="003F77DD">
      <w:pPr>
        <w:rPr>
          <w:lang w:val="en-US"/>
        </w:rPr>
      </w:pPr>
      <w:r w:rsidRPr="0077373E">
        <w:rPr>
          <w:lang w:val="en-US"/>
        </w:rPr>
        <w:t>However, these measurement methodologies can only be relied upon to yield reliable results if disease data is consistently reported and collected. It is possible that the true incidence is underreported or misdiagnosed. Due to the reliance on patients actively seeking treatment, asymptomatic or moderate instances may also go undetected.</w:t>
      </w:r>
    </w:p>
    <w:p w14:paraId="74193B97" w14:textId="77777777" w:rsidR="003F77DD" w:rsidRDefault="003F77DD" w:rsidP="003F77DD">
      <w:pPr>
        <w:rPr>
          <w:lang w:val="en-US"/>
        </w:rPr>
      </w:pPr>
      <w:r w:rsidRPr="0077373E">
        <w:rPr>
          <w:lang w:val="en-US"/>
        </w:rPr>
        <w:t>While each of these methods may have its drawbacks, when used together they provide a robust measurement system that accounts for both confirmed cases and suspected ones in the community. This collation of information is essential for the foundation of surveillance and control measures for shingles in the United Kingdom</w:t>
      </w:r>
      <w:r w:rsidRPr="008524E0">
        <w:rPr>
          <w:lang w:val="en-US"/>
        </w:rPr>
        <w:t>.</w:t>
      </w:r>
    </w:p>
    <w:p w14:paraId="070FF72F" w14:textId="77777777" w:rsidR="003F77DD" w:rsidRDefault="003F77DD" w:rsidP="003F77DD">
      <w:pPr>
        <w:pStyle w:val="Heading1"/>
        <w:numPr>
          <w:ilvl w:val="0"/>
          <w:numId w:val="1"/>
        </w:numPr>
        <w:ind w:left="0" w:firstLine="0"/>
      </w:pPr>
      <w:bookmarkStart w:id="3" w:name="_Toc140785654"/>
      <w:r>
        <w:t>Strategies of Monitoring</w:t>
      </w:r>
      <w:bookmarkEnd w:id="3"/>
    </w:p>
    <w:p w14:paraId="0A8A8C23" w14:textId="77777777" w:rsidR="003F77DD" w:rsidRPr="00297EBF" w:rsidRDefault="003F77DD" w:rsidP="003F77DD">
      <w:pPr>
        <w:rPr>
          <w:lang w:val="en-US"/>
        </w:rPr>
      </w:pPr>
      <w:r w:rsidRPr="004C1281">
        <w:rPr>
          <w:lang w:val="en-US"/>
        </w:rPr>
        <w:t xml:space="preserve">The surveillance of Shingles (Herpes Zoster) disease in the United Kingdom necessitates continuous data gathering, examination, and interpretation in order to detect patterns and predict potential outbreaks. </w:t>
      </w:r>
      <w:r>
        <w:rPr>
          <w:lang w:val="en-US"/>
        </w:rPr>
        <w:t>An effective tactic is to keep seamless track of health surveillance data</w:t>
      </w:r>
      <w:r w:rsidRPr="004C1281">
        <w:rPr>
          <w:lang w:val="en-US"/>
        </w:rPr>
        <w:t xml:space="preserve">. </w:t>
      </w:r>
      <w:r w:rsidRPr="00297EBF">
        <w:rPr>
          <w:lang w:val="en-US"/>
        </w:rPr>
        <w:t>The NHS and</w:t>
      </w:r>
      <w:r>
        <w:rPr>
          <w:lang w:val="en-US"/>
        </w:rPr>
        <w:t xml:space="preserve"> PHE (</w:t>
      </w:r>
      <w:r w:rsidRPr="00297EBF">
        <w:rPr>
          <w:lang w:val="en-US"/>
        </w:rPr>
        <w:t>Public Health England</w:t>
      </w:r>
      <w:r>
        <w:rPr>
          <w:lang w:val="en-US"/>
        </w:rPr>
        <w:t>)</w:t>
      </w:r>
      <w:r w:rsidRPr="00297EBF">
        <w:rPr>
          <w:lang w:val="en-US"/>
        </w:rPr>
        <w:t xml:space="preserve"> </w:t>
      </w:r>
      <w:r>
        <w:rPr>
          <w:lang w:val="en-US"/>
        </w:rPr>
        <w:t xml:space="preserve">collaborates </w:t>
      </w:r>
      <w:r w:rsidRPr="00297EBF">
        <w:rPr>
          <w:lang w:val="en-US"/>
        </w:rPr>
        <w:t>to track health data</w:t>
      </w:r>
      <w:r>
        <w:rPr>
          <w:lang w:val="en-US"/>
        </w:rPr>
        <w:t xml:space="preserve"> which include not just number of doctor visits but also hospital stays and test results</w:t>
      </w:r>
      <w:r w:rsidRPr="00297EBF">
        <w:rPr>
          <w:lang w:val="en-US"/>
        </w:rPr>
        <w:t>. To improve this process, they use digital health records. These records hold a lot of information, like patient details, illnesses, and vaccination history, which are crucial for keeping an eye on diseases.</w:t>
      </w:r>
    </w:p>
    <w:p w14:paraId="002EC7D3" w14:textId="77777777" w:rsidR="003F77DD" w:rsidRPr="00297EBF" w:rsidRDefault="003F77DD" w:rsidP="003F77DD">
      <w:pPr>
        <w:rPr>
          <w:lang w:val="en-US"/>
        </w:rPr>
      </w:pPr>
      <w:r w:rsidRPr="00297EBF">
        <w:rPr>
          <w:lang w:val="en-US"/>
        </w:rPr>
        <w:t>In addition, the UK uses health data from before a diagnosis is made to act as an early alarm for possible disease outbreaks.</w:t>
      </w:r>
      <w:r>
        <w:rPr>
          <w:lang w:val="en-US"/>
        </w:rPr>
        <w:t xml:space="preserve"> It</w:t>
      </w:r>
      <w:r w:rsidRPr="007C65F0">
        <w:rPr>
          <w:lang w:val="en-US"/>
        </w:rPr>
        <w:t xml:space="preserve"> also employs a system in which certain health agencies coordinate the dissemination of data on all cases of a given </w:t>
      </w:r>
      <w:r>
        <w:rPr>
          <w:lang w:val="en-US"/>
        </w:rPr>
        <w:t>disease  (</w:t>
      </w:r>
      <w:r w:rsidRPr="00FB480D">
        <w:rPr>
          <w:lang w:val="en-US"/>
        </w:rPr>
        <w:t>Yawn</w:t>
      </w:r>
      <w:r>
        <w:rPr>
          <w:lang w:val="en-US"/>
        </w:rPr>
        <w:t xml:space="preserve"> </w:t>
      </w:r>
      <w:r w:rsidRPr="00FB480D">
        <w:rPr>
          <w:lang w:val="en-US"/>
        </w:rPr>
        <w:t>&amp; Gilden, 2013</w:t>
      </w:r>
      <w:r>
        <w:rPr>
          <w:lang w:val="en-US"/>
        </w:rPr>
        <w:t>)</w:t>
      </w:r>
      <w:r w:rsidRPr="007C65F0">
        <w:rPr>
          <w:lang w:val="en-US"/>
        </w:rPr>
        <w:t xml:space="preserve">. This </w:t>
      </w:r>
      <w:r>
        <w:rPr>
          <w:lang w:val="en-US"/>
        </w:rPr>
        <w:t xml:space="preserve">is effective in </w:t>
      </w:r>
      <w:r w:rsidRPr="007C65F0">
        <w:rPr>
          <w:lang w:val="en-US"/>
        </w:rPr>
        <w:t>pattern</w:t>
      </w:r>
      <w:r>
        <w:rPr>
          <w:lang w:val="en-US"/>
        </w:rPr>
        <w:t xml:space="preserve"> identification in the data and taking immediate actions where necessary</w:t>
      </w:r>
      <w:r w:rsidRPr="00297EBF">
        <w:rPr>
          <w:lang w:val="en-US"/>
        </w:rPr>
        <w:t>.</w:t>
      </w:r>
    </w:p>
    <w:p w14:paraId="1DB4AA78" w14:textId="77777777" w:rsidR="003F77DD" w:rsidRPr="002B7131" w:rsidRDefault="003F77DD" w:rsidP="003F77DD">
      <w:pPr>
        <w:rPr>
          <w:lang w:val="en-US"/>
        </w:rPr>
      </w:pPr>
      <w:r w:rsidRPr="00297EBF">
        <w:rPr>
          <w:lang w:val="en-US"/>
        </w:rPr>
        <w:t>However, the success of these methods relies on the correct collection and logging of data. Issues like wrong diagnoses, not reporting enough, and differences in the use of digital health records can make the tracking system less reliable</w:t>
      </w:r>
      <w:r>
        <w:rPr>
          <w:lang w:val="en-US"/>
        </w:rPr>
        <w:t xml:space="preserve"> (</w:t>
      </w:r>
      <w:r w:rsidRPr="00F21074">
        <w:rPr>
          <w:lang w:val="en-US"/>
        </w:rPr>
        <w:t>Schmader</w:t>
      </w:r>
      <w:r>
        <w:rPr>
          <w:lang w:val="en-US"/>
        </w:rPr>
        <w:t xml:space="preserve"> </w:t>
      </w:r>
      <w:r w:rsidRPr="00F21074">
        <w:rPr>
          <w:lang w:val="en-US"/>
        </w:rPr>
        <w:t>&amp; Dworkin, 2008</w:t>
      </w:r>
      <w:r>
        <w:rPr>
          <w:lang w:val="en-US"/>
        </w:rPr>
        <w:t>)</w:t>
      </w:r>
      <w:r w:rsidRPr="00297EBF">
        <w:rPr>
          <w:lang w:val="en-US"/>
        </w:rPr>
        <w:t>. Also, while digital health records and the selective sharing of disease information can provide useful knowledge, they may not give a complete picture of disease cases in all people due to biased sampling</w:t>
      </w:r>
      <w:r w:rsidRPr="002B7131">
        <w:rPr>
          <w:lang w:val="en-US"/>
        </w:rPr>
        <w:t>.</w:t>
      </w:r>
    </w:p>
    <w:p w14:paraId="36FC75A4" w14:textId="77777777" w:rsidR="003F77DD" w:rsidRDefault="003F77DD" w:rsidP="003F77DD">
      <w:pPr>
        <w:rPr>
          <w:lang w:val="en-US"/>
        </w:rPr>
      </w:pPr>
      <w:r w:rsidRPr="002B7131">
        <w:rPr>
          <w:lang w:val="en-US"/>
        </w:rPr>
        <w:t>While there is no foolproof method for tracking the spread of Shingles, a combination of routine surveillance, EHR analysis, and sentinel surveillance provides the most comprehensive and accurate picture possible. These methods, which are being continuously improved, yield vital information for guiding public health reaction and preparation</w:t>
      </w:r>
      <w:r w:rsidRPr="008524E0">
        <w:rPr>
          <w:lang w:val="en-US"/>
        </w:rPr>
        <w:t>.</w:t>
      </w:r>
    </w:p>
    <w:p w14:paraId="0E39F7B6" w14:textId="77777777" w:rsidR="003F77DD" w:rsidRDefault="003F77DD" w:rsidP="003F77DD">
      <w:pPr>
        <w:spacing w:line="259" w:lineRule="auto"/>
        <w:jc w:val="left"/>
        <w:rPr>
          <w:lang w:val="en-US"/>
        </w:rPr>
      </w:pPr>
      <w:r>
        <w:rPr>
          <w:lang w:val="en-US"/>
        </w:rPr>
        <w:br w:type="page"/>
      </w:r>
    </w:p>
    <w:p w14:paraId="60E0C081" w14:textId="77777777" w:rsidR="003F77DD" w:rsidRPr="008B4715" w:rsidRDefault="003F77DD" w:rsidP="003F77DD">
      <w:pPr>
        <w:pStyle w:val="Heading1"/>
        <w:numPr>
          <w:ilvl w:val="0"/>
          <w:numId w:val="1"/>
        </w:numPr>
        <w:ind w:left="0" w:firstLine="0"/>
      </w:pPr>
      <w:bookmarkStart w:id="4" w:name="_Toc140785655"/>
      <w:r>
        <w:t>Strategies for Control</w:t>
      </w:r>
      <w:bookmarkEnd w:id="4"/>
    </w:p>
    <w:p w14:paraId="29460854" w14:textId="77777777" w:rsidR="003F77DD" w:rsidRPr="00187E2C" w:rsidRDefault="003F77DD" w:rsidP="003F77DD">
      <w:pPr>
        <w:rPr>
          <w:lang w:val="en-US"/>
        </w:rPr>
      </w:pPr>
      <w:r w:rsidRPr="00187E2C">
        <w:rPr>
          <w:lang w:val="en-US"/>
        </w:rPr>
        <w:t>Prevention, early diagnosis, and established treatment protocols all contribute to reducing the prevalence of shingles (herpes zoster) in the United Kingdom.</w:t>
      </w:r>
    </w:p>
    <w:p w14:paraId="7EBA54D4" w14:textId="77777777" w:rsidR="003F77DD" w:rsidRDefault="003F77DD" w:rsidP="003F77DD">
      <w:pPr>
        <w:rPr>
          <w:lang w:val="en-US"/>
        </w:rPr>
      </w:pPr>
      <w:r w:rsidRPr="00187E2C">
        <w:rPr>
          <w:lang w:val="en-US"/>
        </w:rPr>
        <w:t>The use of the Zostavax vaccine to prevent Shingles is also important. The National Health Service (NHS) in the United Kingdom offers free immunizations to persons in their 70s</w:t>
      </w:r>
      <w:r>
        <w:rPr>
          <w:lang w:val="en-US"/>
        </w:rPr>
        <w:t xml:space="preserve"> (Now over 65) (</w:t>
      </w:r>
      <w:r w:rsidRPr="00503FC8">
        <w:rPr>
          <w:i/>
          <w:iCs/>
          <w:lang w:val="en-US"/>
        </w:rPr>
        <w:t>NHS,</w:t>
      </w:r>
      <w:r>
        <w:rPr>
          <w:lang w:val="en-US"/>
        </w:rPr>
        <w:t xml:space="preserve"> 2022a)</w:t>
      </w:r>
      <w:r w:rsidRPr="00187E2C">
        <w:rPr>
          <w:lang w:val="en-US"/>
        </w:rPr>
        <w:t>. Zostavax is a vaccine that greatly lessens the likelihood that you</w:t>
      </w:r>
      <w:r>
        <w:rPr>
          <w:lang w:val="en-US"/>
        </w:rPr>
        <w:t>’</w:t>
      </w:r>
      <w:r w:rsidRPr="00187E2C">
        <w:rPr>
          <w:lang w:val="en-US"/>
        </w:rPr>
        <w:t>ll get Shingles and the painful complication known as post-herpetic neuralgia. The prevalence and severity of Shingles have been significantly decreased because to this population-based vaccination campaign.</w:t>
      </w:r>
    </w:p>
    <w:p w14:paraId="4D5552CF" w14:textId="77777777" w:rsidR="003F77DD" w:rsidRDefault="003F77DD" w:rsidP="003F77DD">
      <w:pPr>
        <w:keepNext/>
        <w:jc w:val="center"/>
      </w:pPr>
      <w:r>
        <w:rPr>
          <w:noProof/>
        </w:rPr>
        <w:drawing>
          <wp:inline distT="0" distB="0" distL="0" distR="0" wp14:anchorId="17A0F27F" wp14:editId="1483B187">
            <wp:extent cx="2292350" cy="2224176"/>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296307" cy="2228016"/>
                    </a:xfrm>
                    <a:prstGeom prst="rect">
                      <a:avLst/>
                    </a:prstGeom>
                    <a:noFill/>
                    <a:ln>
                      <a:noFill/>
                    </a:ln>
                    <a:extLst>
                      <a:ext uri="{53640926-AAD7-44D8-BBD7-CCE9431645EC}">
                        <a14:shadowObscured xmlns:a14="http://schemas.microsoft.com/office/drawing/2010/main"/>
                      </a:ext>
                    </a:extLst>
                  </pic:spPr>
                </pic:pic>
              </a:graphicData>
            </a:graphic>
          </wp:inline>
        </w:drawing>
      </w:r>
    </w:p>
    <w:p w14:paraId="5D56AA89" w14:textId="77777777" w:rsidR="003F77DD" w:rsidRPr="00187E2C" w:rsidRDefault="003F77DD" w:rsidP="003F77DD">
      <w:pPr>
        <w:pStyle w:val="Caption"/>
        <w:rPr>
          <w:lang w:val="en-US"/>
        </w:rPr>
      </w:pPr>
      <w:r>
        <w:t xml:space="preserve">Figure </w:t>
      </w:r>
      <w:r>
        <w:fldChar w:fldCharType="begin"/>
      </w:r>
      <w:r>
        <w:instrText xml:space="preserve"> SEQ Figure \* ARABIC </w:instrText>
      </w:r>
      <w:r>
        <w:fldChar w:fldCharType="separate"/>
      </w:r>
      <w:r>
        <w:rPr>
          <w:noProof/>
        </w:rPr>
        <w:t>2</w:t>
      </w:r>
      <w:r>
        <w:fldChar w:fldCharType="end"/>
      </w:r>
      <w:r>
        <w:t xml:space="preserve">: Shingles Vaccine Information, Source: Source: </w:t>
      </w:r>
      <w:r w:rsidRPr="005C3967">
        <w:t>media.healthdirect.org</w:t>
      </w:r>
    </w:p>
    <w:p w14:paraId="60D933B7" w14:textId="77777777" w:rsidR="003F77DD" w:rsidRPr="00187E2C" w:rsidRDefault="003F77DD" w:rsidP="003F77DD">
      <w:pPr>
        <w:rPr>
          <w:lang w:val="en-US"/>
        </w:rPr>
      </w:pPr>
      <w:r w:rsidRPr="00187E2C">
        <w:rPr>
          <w:lang w:val="en-US"/>
        </w:rPr>
        <w:t>In addition, early diagnosis and therapy are essential. The severity and length of the disease can be lessened if antiviral treatment is started quickly after diagnosis. Essential to this plan are primary healthcare services, which serve as patients</w:t>
      </w:r>
      <w:r>
        <w:rPr>
          <w:lang w:val="en-US"/>
        </w:rPr>
        <w:t>’</w:t>
      </w:r>
      <w:r w:rsidRPr="00187E2C">
        <w:rPr>
          <w:lang w:val="en-US"/>
        </w:rPr>
        <w:t xml:space="preserve"> initial point of contact for diagnosis and treatment. It is essential for the success of this strategy to educate healthcare personnel to recognize Shingles and to prescribe proper therapy.</w:t>
      </w:r>
    </w:p>
    <w:p w14:paraId="07A1ED8B" w14:textId="77777777" w:rsidR="003F77DD" w:rsidRPr="00187E2C" w:rsidRDefault="003F77DD" w:rsidP="003F77DD">
      <w:pPr>
        <w:rPr>
          <w:lang w:val="en-US"/>
        </w:rPr>
      </w:pPr>
      <w:r w:rsidRPr="00187E2C">
        <w:rPr>
          <w:lang w:val="en-US"/>
        </w:rPr>
        <w:t>Campaigns to raise public awareness and educate the public are also useful means of regulation. Health organizations in the United Kingdom promote Shingles awareness programs to inform the public about the disease, its symptoms, and the value of seeing a doctor quickly if they have any of them. The importance of immunization among the potentially susceptible population is also emphasized in these programs.</w:t>
      </w:r>
    </w:p>
    <w:p w14:paraId="6A229CD9" w14:textId="77777777" w:rsidR="003F77DD" w:rsidRPr="00187E2C" w:rsidRDefault="003F77DD" w:rsidP="003F77DD">
      <w:pPr>
        <w:rPr>
          <w:lang w:val="en-US"/>
        </w:rPr>
      </w:pPr>
      <w:r w:rsidRPr="00187E2C">
        <w:rPr>
          <w:lang w:val="en-US"/>
        </w:rPr>
        <w:t>There are still issues to be resolved, notwithstanding the usefulness of these approaches. Vaccine uptake can be inconsistent, and a vaccine</w:t>
      </w:r>
      <w:r>
        <w:rPr>
          <w:lang w:val="en-US"/>
        </w:rPr>
        <w:t>’</w:t>
      </w:r>
      <w:r w:rsidRPr="00187E2C">
        <w:rPr>
          <w:lang w:val="en-US"/>
        </w:rPr>
        <w:t>s efficacy naturally wanes over time. Getting everyone who should have health insurance covered is still difficult</w:t>
      </w:r>
      <w:r>
        <w:rPr>
          <w:lang w:val="en-US"/>
        </w:rPr>
        <w:t xml:space="preserve"> (</w:t>
      </w:r>
      <w:r w:rsidRPr="00454DD1">
        <w:rPr>
          <w:lang w:val="en-US"/>
        </w:rPr>
        <w:t>Bricout</w:t>
      </w:r>
      <w:r>
        <w:rPr>
          <w:lang w:val="en-US"/>
        </w:rPr>
        <w:t xml:space="preserve"> et al., 2019)</w:t>
      </w:r>
      <w:r w:rsidRPr="00187E2C">
        <w:rPr>
          <w:lang w:val="en-US"/>
        </w:rPr>
        <w:t>. Furthermore, there is a lack of homogeneity in the general public</w:t>
      </w:r>
      <w:r>
        <w:rPr>
          <w:lang w:val="en-US"/>
        </w:rPr>
        <w:t>’</w:t>
      </w:r>
      <w:r w:rsidRPr="00187E2C">
        <w:rPr>
          <w:lang w:val="en-US"/>
        </w:rPr>
        <w:t>s knowledge about the disease and its vaccine. This may lead to differences in the prevalence and severity of diseases.</w:t>
      </w:r>
    </w:p>
    <w:p w14:paraId="4CE8293E" w14:textId="77777777" w:rsidR="003F77DD" w:rsidRPr="008524E0" w:rsidRDefault="003F77DD" w:rsidP="003F77DD">
      <w:pPr>
        <w:rPr>
          <w:lang w:val="en-US"/>
        </w:rPr>
      </w:pPr>
      <w:r>
        <w:rPr>
          <w:lang w:val="en-US"/>
        </w:rPr>
        <w:t>T</w:t>
      </w:r>
      <w:r w:rsidRPr="00187E2C">
        <w:rPr>
          <w:lang w:val="en-US"/>
        </w:rPr>
        <w:t>he United Kingdom uses a multifaceted strategy to reduce the prevalence of shingles. While there are obstacles, good surveillance and monitoring, along with continually improved tactics, can lead to a persistent decrease in the burden of Shingles</w:t>
      </w:r>
      <w:r w:rsidRPr="008524E0">
        <w:rPr>
          <w:lang w:val="en-US"/>
        </w:rPr>
        <w:t>.</w:t>
      </w:r>
    </w:p>
    <w:p w14:paraId="01830565" w14:textId="77777777" w:rsidR="003F77DD" w:rsidRDefault="003F77DD" w:rsidP="003F77DD">
      <w:pPr>
        <w:spacing w:line="259" w:lineRule="auto"/>
        <w:jc w:val="left"/>
      </w:pPr>
      <w:r>
        <w:br w:type="page"/>
      </w:r>
    </w:p>
    <w:p w14:paraId="1A72AD50" w14:textId="77777777" w:rsidR="003F77DD" w:rsidRDefault="003F77DD" w:rsidP="003F77DD">
      <w:pPr>
        <w:pStyle w:val="Heading1"/>
        <w:numPr>
          <w:ilvl w:val="0"/>
          <w:numId w:val="1"/>
        </w:numPr>
        <w:ind w:left="0" w:firstLine="0"/>
      </w:pPr>
      <w:bookmarkStart w:id="5" w:name="_Toc140785656"/>
      <w:r w:rsidRPr="00606EC3">
        <w:t>Conclusion</w:t>
      </w:r>
      <w:bookmarkEnd w:id="5"/>
    </w:p>
    <w:p w14:paraId="3C6FA3B1" w14:textId="77777777" w:rsidR="003F77DD" w:rsidRPr="00EC25C6" w:rsidRDefault="003F77DD" w:rsidP="003F77DD">
      <w:r w:rsidRPr="00EF0804">
        <w:t>In conclusion, the United Kingdom has a holistic strategy to track and reduce the spread of Shingles. Significant advancements have been made through the implementation of rigorous surveillance, effective monitoring systems, and comprehensive control measures. Despite obstacles including low vaccination rates, underreporting, and inequalities in public knowledge, these methods lay the groundwork for better control of Shingles in the future. The effectiveness of these measures in combating Shingles must be monitored and adjusted on a regular basis in light of new information about the disease</w:t>
      </w:r>
      <w:r w:rsidRPr="00EC25C6">
        <w:t>.</w:t>
      </w:r>
    </w:p>
    <w:p w14:paraId="21E7832C" w14:textId="77777777" w:rsidR="003F77DD" w:rsidRDefault="003F77DD" w:rsidP="003F77DD">
      <w:r>
        <w:br w:type="page"/>
      </w:r>
    </w:p>
    <w:p w14:paraId="49A00441" w14:textId="77777777" w:rsidR="003F77DD" w:rsidRDefault="003F77DD" w:rsidP="003F77DD">
      <w:pPr>
        <w:pStyle w:val="Heading1"/>
        <w:ind w:left="284" w:hanging="284"/>
      </w:pPr>
      <w:bookmarkStart w:id="6" w:name="_y7tu2cmptes9" w:colFirst="0" w:colLast="0"/>
      <w:bookmarkStart w:id="7" w:name="_Toc140785657"/>
      <w:bookmarkEnd w:id="6"/>
      <w:r w:rsidRPr="00606EC3">
        <w:t>Reference</w:t>
      </w:r>
      <w:r>
        <w:t>s</w:t>
      </w:r>
      <w:bookmarkEnd w:id="7"/>
    </w:p>
    <w:bookmarkEnd w:id="0"/>
    <w:p w14:paraId="1AD00037" w14:textId="77777777" w:rsidR="003F77DD" w:rsidRPr="00454DD1" w:rsidRDefault="003F77DD" w:rsidP="003F77DD">
      <w:pPr>
        <w:ind w:left="567" w:hanging="567"/>
        <w:rPr>
          <w:lang w:val="en-US"/>
        </w:rPr>
      </w:pPr>
      <w:r w:rsidRPr="00454DD1">
        <w:rPr>
          <w:lang w:val="en-US"/>
        </w:rPr>
        <w:t xml:space="preserve">Bricout, H., Torcel-Pagnon, L., Lecomte, C., Almas, M. F., Matthews, I., Lu, X., ... &amp; Sevdalis, N. (2019). Determinants of shingles vaccine acceptance in the United Kingdom. </w:t>
      </w:r>
      <w:r w:rsidRPr="00454DD1">
        <w:rPr>
          <w:i/>
          <w:iCs/>
          <w:lang w:val="en-US"/>
        </w:rPr>
        <w:t>PLoS One</w:t>
      </w:r>
      <w:r w:rsidRPr="00454DD1">
        <w:rPr>
          <w:lang w:val="en-US"/>
        </w:rPr>
        <w:t xml:space="preserve">, </w:t>
      </w:r>
      <w:r w:rsidRPr="00454DD1">
        <w:rPr>
          <w:i/>
          <w:iCs/>
          <w:lang w:val="en-US"/>
        </w:rPr>
        <w:t>14</w:t>
      </w:r>
      <w:r w:rsidRPr="00454DD1">
        <w:rPr>
          <w:lang w:val="en-US"/>
        </w:rPr>
        <w:t>(8), e0220230.</w:t>
      </w:r>
    </w:p>
    <w:p w14:paraId="38A50636" w14:textId="77777777" w:rsidR="003F77DD" w:rsidRPr="0096717F" w:rsidRDefault="003F77DD" w:rsidP="003F77DD">
      <w:pPr>
        <w:ind w:left="567" w:hanging="567"/>
        <w:rPr>
          <w:lang w:val="en-US"/>
        </w:rPr>
      </w:pPr>
      <w:r w:rsidRPr="0096717F">
        <w:rPr>
          <w:lang w:val="en-US"/>
        </w:rPr>
        <w:t xml:space="preserve">Dworkin, R. H., Johnson, R. W., Breuer, J., Gnann, J. W., Levin, M. J., Backonja, M., ... &amp; Whitley, R. J. (2007). Recommendations for the management of herpes zoster. </w:t>
      </w:r>
      <w:r w:rsidRPr="0096717F">
        <w:rPr>
          <w:i/>
          <w:iCs/>
          <w:lang w:val="en-US"/>
        </w:rPr>
        <w:t>Clinical infectious diseases</w:t>
      </w:r>
      <w:r w:rsidRPr="0096717F">
        <w:rPr>
          <w:lang w:val="en-US"/>
        </w:rPr>
        <w:t xml:space="preserve">, </w:t>
      </w:r>
      <w:r w:rsidRPr="0096717F">
        <w:rPr>
          <w:i/>
          <w:iCs/>
          <w:lang w:val="en-US"/>
        </w:rPr>
        <w:t>44</w:t>
      </w:r>
      <w:r w:rsidRPr="0096717F">
        <w:rPr>
          <w:lang w:val="en-US"/>
        </w:rPr>
        <w:t>(Supplement_1), S1-S26.</w:t>
      </w:r>
    </w:p>
    <w:p w14:paraId="2DEC235B" w14:textId="77777777" w:rsidR="003F77DD" w:rsidRPr="007F4421" w:rsidRDefault="003F77DD" w:rsidP="003F77DD">
      <w:pPr>
        <w:ind w:left="567" w:hanging="567"/>
        <w:rPr>
          <w:lang w:val="en-US"/>
        </w:rPr>
      </w:pPr>
      <w:r w:rsidRPr="007F4421">
        <w:rPr>
          <w:lang w:val="en-US"/>
        </w:rPr>
        <w:t xml:space="preserve">Johnson, O. A., Fraser, H. S., Wyatt, J. C., &amp; Walley, J. D. (2014). Electronic health records in the UK and USA. </w:t>
      </w:r>
      <w:r w:rsidRPr="007F4421">
        <w:rPr>
          <w:i/>
          <w:iCs/>
          <w:lang w:val="en-US"/>
        </w:rPr>
        <w:t>The Lancet</w:t>
      </w:r>
      <w:r w:rsidRPr="007F4421">
        <w:rPr>
          <w:lang w:val="en-US"/>
        </w:rPr>
        <w:t xml:space="preserve">, </w:t>
      </w:r>
      <w:r w:rsidRPr="007F4421">
        <w:rPr>
          <w:i/>
          <w:iCs/>
          <w:lang w:val="en-US"/>
        </w:rPr>
        <w:t>384</w:t>
      </w:r>
      <w:r w:rsidRPr="007F4421">
        <w:rPr>
          <w:lang w:val="en-US"/>
        </w:rPr>
        <w:t>(9947), 954.</w:t>
      </w:r>
    </w:p>
    <w:p w14:paraId="57151673" w14:textId="77777777" w:rsidR="003F77DD" w:rsidRPr="00977B3C" w:rsidRDefault="003F77DD" w:rsidP="003F77DD">
      <w:pPr>
        <w:ind w:left="567" w:hanging="567"/>
        <w:rPr>
          <w:lang w:val="en-US"/>
        </w:rPr>
      </w:pPr>
      <w:r>
        <w:rPr>
          <w:lang w:val="en-US"/>
        </w:rPr>
        <w:t xml:space="preserve">NHS </w:t>
      </w:r>
      <w:r w:rsidRPr="00977B3C">
        <w:rPr>
          <w:lang w:val="en-US"/>
        </w:rPr>
        <w:t>(</w:t>
      </w:r>
      <w:r>
        <w:rPr>
          <w:lang w:val="en-US"/>
        </w:rPr>
        <w:t>2022</w:t>
      </w:r>
      <w:r w:rsidRPr="00977B3C">
        <w:rPr>
          <w:lang w:val="en-US"/>
        </w:rPr>
        <w:t>)</w:t>
      </w:r>
      <w:r>
        <w:rPr>
          <w:lang w:val="en-US"/>
        </w:rPr>
        <w:t xml:space="preserve"> Shingles -</w:t>
      </w:r>
      <w:r w:rsidRPr="00977B3C">
        <w:rPr>
          <w:lang w:val="en-US"/>
        </w:rPr>
        <w:t xml:space="preserve"> </w:t>
      </w:r>
      <w:r w:rsidRPr="00977B3C">
        <w:rPr>
          <w:i/>
          <w:iCs/>
          <w:lang w:val="en-US"/>
        </w:rPr>
        <w:t>NHS choices</w:t>
      </w:r>
      <w:r w:rsidRPr="00977B3C">
        <w:rPr>
          <w:lang w:val="en-US"/>
        </w:rPr>
        <w:t xml:space="preserve">. Available at: https://www.nhs.uk/conditions/shingles/ (Accessed: 20 July 2023). </w:t>
      </w:r>
    </w:p>
    <w:p w14:paraId="5F0B230D" w14:textId="77777777" w:rsidR="003F77DD" w:rsidRPr="00D846FC" w:rsidRDefault="003F77DD" w:rsidP="003F77DD">
      <w:pPr>
        <w:ind w:left="567" w:hanging="567"/>
        <w:rPr>
          <w:lang w:val="en-US"/>
        </w:rPr>
      </w:pPr>
      <w:r>
        <w:rPr>
          <w:lang w:val="en-US"/>
        </w:rPr>
        <w:t>NHS (2022a</w:t>
      </w:r>
      <w:r w:rsidRPr="00D846FC">
        <w:rPr>
          <w:lang w:val="en-US"/>
        </w:rPr>
        <w:t>)</w:t>
      </w:r>
      <w:r>
        <w:rPr>
          <w:lang w:val="en-US"/>
        </w:rPr>
        <w:t xml:space="preserve"> </w:t>
      </w:r>
      <w:r w:rsidRPr="00AD0D8D">
        <w:rPr>
          <w:lang w:val="en-US"/>
        </w:rPr>
        <w:t>Who can have the shingles vaccine?</w:t>
      </w:r>
      <w:r>
        <w:rPr>
          <w:lang w:val="en-US"/>
        </w:rPr>
        <w:t xml:space="preserve"> -</w:t>
      </w:r>
      <w:r w:rsidRPr="00D846FC">
        <w:rPr>
          <w:lang w:val="en-US"/>
        </w:rPr>
        <w:t xml:space="preserve"> </w:t>
      </w:r>
      <w:r w:rsidRPr="00D846FC">
        <w:rPr>
          <w:i/>
          <w:iCs/>
          <w:lang w:val="en-US"/>
        </w:rPr>
        <w:t>NHS choices</w:t>
      </w:r>
      <w:r w:rsidRPr="00D846FC">
        <w:rPr>
          <w:lang w:val="en-US"/>
        </w:rPr>
        <w:t xml:space="preserve">. Available at: https://www.nhs.uk/conditions/shingles/ (Accessed: 20 July 2023). </w:t>
      </w:r>
    </w:p>
    <w:p w14:paraId="494C8B6E" w14:textId="77777777" w:rsidR="003F77DD" w:rsidRDefault="003F77DD" w:rsidP="003F77DD">
      <w:pPr>
        <w:ind w:left="567" w:hanging="567"/>
        <w:rPr>
          <w:lang w:val="en-US"/>
        </w:rPr>
      </w:pPr>
      <w:r w:rsidRPr="00F21074">
        <w:rPr>
          <w:lang w:val="en-US"/>
        </w:rPr>
        <w:t xml:space="preserve">Schmader, K. E., &amp; Dworkin, R. H. (2008). Natural history and treatment of herpes zoster. </w:t>
      </w:r>
      <w:r w:rsidRPr="00F21074">
        <w:rPr>
          <w:i/>
          <w:iCs/>
          <w:lang w:val="en-US"/>
        </w:rPr>
        <w:t>The journal of pain</w:t>
      </w:r>
      <w:r w:rsidRPr="00F21074">
        <w:rPr>
          <w:lang w:val="en-US"/>
        </w:rPr>
        <w:t xml:space="preserve">, </w:t>
      </w:r>
      <w:r w:rsidRPr="00F21074">
        <w:rPr>
          <w:i/>
          <w:iCs/>
          <w:lang w:val="en-US"/>
        </w:rPr>
        <w:t>9</w:t>
      </w:r>
      <w:r w:rsidRPr="00F21074">
        <w:rPr>
          <w:lang w:val="en-US"/>
        </w:rPr>
        <w:t>(1), 3-9.</w:t>
      </w:r>
    </w:p>
    <w:p w14:paraId="188DCF68" w14:textId="77777777" w:rsidR="003F77DD" w:rsidRPr="00FB480D" w:rsidRDefault="003F77DD" w:rsidP="003F77DD">
      <w:pPr>
        <w:ind w:left="567" w:hanging="567"/>
        <w:rPr>
          <w:lang w:val="en-US"/>
        </w:rPr>
      </w:pPr>
      <w:r w:rsidRPr="00FB480D">
        <w:rPr>
          <w:lang w:val="en-US"/>
        </w:rPr>
        <w:t xml:space="preserve">Yawn, B. P., &amp; Gilden, D. (2013). The global epidemiology of herpes zoster. </w:t>
      </w:r>
      <w:r w:rsidRPr="00FB480D">
        <w:rPr>
          <w:i/>
          <w:iCs/>
          <w:lang w:val="en-US"/>
        </w:rPr>
        <w:t>Neurology</w:t>
      </w:r>
      <w:r w:rsidRPr="00FB480D">
        <w:rPr>
          <w:lang w:val="en-US"/>
        </w:rPr>
        <w:t xml:space="preserve">, </w:t>
      </w:r>
      <w:r w:rsidRPr="00FB480D">
        <w:rPr>
          <w:i/>
          <w:iCs/>
          <w:lang w:val="en-US"/>
        </w:rPr>
        <w:t>81</w:t>
      </w:r>
      <w:r w:rsidRPr="00FB480D">
        <w:rPr>
          <w:lang w:val="en-US"/>
        </w:rPr>
        <w:t>(10), 928-930.</w:t>
      </w:r>
    </w:p>
    <w:p w14:paraId="135A9776" w14:textId="77777777" w:rsidR="003F77DD" w:rsidRPr="007F4421" w:rsidRDefault="003F77DD" w:rsidP="003F77DD">
      <w:pPr>
        <w:ind w:left="567" w:hanging="567"/>
        <w:rPr>
          <w:lang w:val="en-US"/>
        </w:rPr>
      </w:pPr>
    </w:p>
    <w:p w14:paraId="554E2C27" w14:textId="77777777" w:rsidR="00004B62" w:rsidRPr="003F77DD" w:rsidRDefault="00004B62" w:rsidP="003F77DD"/>
    <w:sectPr w:rsidR="00004B62" w:rsidRPr="003F77DD" w:rsidSect="00611FE2">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926A4" w14:textId="77777777" w:rsidR="00FC5491" w:rsidRDefault="00FC5491">
      <w:pPr>
        <w:spacing w:after="0" w:line="240" w:lineRule="auto"/>
      </w:pPr>
      <w:r>
        <w:separator/>
      </w:r>
    </w:p>
  </w:endnote>
  <w:endnote w:type="continuationSeparator" w:id="0">
    <w:p w14:paraId="61BB01ED" w14:textId="77777777" w:rsidR="00FC5491" w:rsidRDefault="00FC5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031604"/>
      <w:docPartObj>
        <w:docPartGallery w:val="Page Numbers (Bottom of Page)"/>
        <w:docPartUnique/>
      </w:docPartObj>
    </w:sdtPr>
    <w:sdtEndPr>
      <w:rPr>
        <w:noProof/>
      </w:rPr>
    </w:sdtEndPr>
    <w:sdtContent>
      <w:p w14:paraId="1B3E5526" w14:textId="005A5599" w:rsidR="00343250" w:rsidRDefault="0046641F">
        <w:pPr>
          <w:pStyle w:val="Footer"/>
          <w:jc w:val="right"/>
        </w:pPr>
        <w:r>
          <w:fldChar w:fldCharType="begin"/>
        </w:r>
        <w:r>
          <w:instrText xml:space="preserve"> PAGE   \* MERGEFORMAT </w:instrText>
        </w:r>
        <w:r>
          <w:fldChar w:fldCharType="separate"/>
        </w:r>
        <w:r w:rsidR="00B97A23">
          <w:rPr>
            <w:noProof/>
          </w:rPr>
          <w:t>3</w:t>
        </w:r>
        <w:r>
          <w:rPr>
            <w:noProof/>
          </w:rPr>
          <w:fldChar w:fldCharType="end"/>
        </w:r>
      </w:p>
    </w:sdtContent>
  </w:sdt>
  <w:p w14:paraId="415542C2" w14:textId="77777777" w:rsidR="00343250" w:rsidRDefault="00343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0E85E" w14:textId="77777777" w:rsidR="00FC5491" w:rsidRDefault="00FC5491">
      <w:pPr>
        <w:spacing w:after="0" w:line="240" w:lineRule="auto"/>
      </w:pPr>
      <w:r>
        <w:separator/>
      </w:r>
    </w:p>
  </w:footnote>
  <w:footnote w:type="continuationSeparator" w:id="0">
    <w:p w14:paraId="1BBF16DC" w14:textId="77777777" w:rsidR="00FC5491" w:rsidRDefault="00FC54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3C3"/>
    <w:multiLevelType w:val="hybridMultilevel"/>
    <w:tmpl w:val="DF3CB024"/>
    <w:lvl w:ilvl="0" w:tplc="EF424E2E">
      <w:start w:val="1"/>
      <w:numFmt w:val="decimal"/>
      <w:suff w:val="space"/>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1513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2MTUyMjS3NDMxNDJR0lEKTi0uzszPAykwrAUAa5YVsSwAAAA="/>
  </w:docVars>
  <w:rsids>
    <w:rsidRoot w:val="00003C33"/>
    <w:rsid w:val="00003C33"/>
    <w:rsid w:val="00004B62"/>
    <w:rsid w:val="00205EC6"/>
    <w:rsid w:val="00307CC5"/>
    <w:rsid w:val="00343250"/>
    <w:rsid w:val="003F77DD"/>
    <w:rsid w:val="0046641F"/>
    <w:rsid w:val="005B29C3"/>
    <w:rsid w:val="00891213"/>
    <w:rsid w:val="00B97A23"/>
    <w:rsid w:val="00D344C6"/>
    <w:rsid w:val="00E70669"/>
    <w:rsid w:val="00FC5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2E15"/>
  <w15:chartTrackingRefBased/>
  <w15:docId w15:val="{3FC0BE52-C47B-4FDE-AA39-4F4AD6B9B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7DD"/>
    <w:rPr>
      <w:rFonts w:eastAsia="Times New Roman" w:cs="Times New Roman"/>
      <w:lang w:val="en-GB" w:eastAsia="en-GB"/>
    </w:rPr>
  </w:style>
  <w:style w:type="paragraph" w:styleId="Heading1">
    <w:name w:val="heading 1"/>
    <w:basedOn w:val="Normal"/>
    <w:next w:val="Normal"/>
    <w:link w:val="Heading1Char"/>
    <w:uiPriority w:val="9"/>
    <w:qFormat/>
    <w:rsid w:val="00D344C6"/>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344C6"/>
    <w:pPr>
      <w:keepNext/>
      <w:keepLines/>
      <w:spacing w:before="40" w:after="0"/>
      <w:outlineLvl w:val="1"/>
    </w:pPr>
    <w:rPr>
      <w:rFonts w:eastAsiaTheme="majorEastAsia"/>
      <w:sz w:val="28"/>
      <w:szCs w:val="28"/>
    </w:rPr>
  </w:style>
  <w:style w:type="paragraph" w:styleId="Heading3">
    <w:name w:val="heading 3"/>
    <w:basedOn w:val="Normal"/>
    <w:next w:val="Normal"/>
    <w:link w:val="Heading3Char"/>
    <w:uiPriority w:val="9"/>
    <w:unhideWhenUsed/>
    <w:qFormat/>
    <w:rsid w:val="00D344C6"/>
    <w:pPr>
      <w:keepNext/>
      <w:keepLines/>
      <w:spacing w:before="40" w:after="0"/>
      <w:outlineLvl w:val="2"/>
    </w:pPr>
    <w:rPr>
      <w:rFonts w:eastAsiaTheme="majorEastAsia"/>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4C6"/>
    <w:rPr>
      <w:rFonts w:eastAsiaTheme="majorEastAsia"/>
      <w:sz w:val="32"/>
      <w:szCs w:val="32"/>
    </w:rPr>
  </w:style>
  <w:style w:type="character" w:customStyle="1" w:styleId="Heading2Char">
    <w:name w:val="Heading 2 Char"/>
    <w:basedOn w:val="DefaultParagraphFont"/>
    <w:link w:val="Heading2"/>
    <w:uiPriority w:val="9"/>
    <w:rsid w:val="00D344C6"/>
    <w:rPr>
      <w:rFonts w:eastAsiaTheme="majorEastAsia"/>
      <w:sz w:val="28"/>
      <w:szCs w:val="28"/>
    </w:rPr>
  </w:style>
  <w:style w:type="character" w:customStyle="1" w:styleId="Heading3Char">
    <w:name w:val="Heading 3 Char"/>
    <w:basedOn w:val="DefaultParagraphFont"/>
    <w:link w:val="Heading3"/>
    <w:uiPriority w:val="9"/>
    <w:rsid w:val="00D344C6"/>
    <w:rPr>
      <w:rFonts w:eastAsiaTheme="majorEastAsia"/>
      <w:sz w:val="26"/>
      <w:szCs w:val="26"/>
    </w:rPr>
  </w:style>
  <w:style w:type="paragraph" w:styleId="Title">
    <w:name w:val="Title"/>
    <w:basedOn w:val="Normal"/>
    <w:next w:val="Normal"/>
    <w:link w:val="TitleChar"/>
    <w:uiPriority w:val="10"/>
    <w:qFormat/>
    <w:rsid w:val="00D344C6"/>
    <w:pPr>
      <w:spacing w:after="0"/>
      <w:contextualSpacing/>
      <w:jc w:val="center"/>
    </w:pPr>
    <w:rPr>
      <w:rFonts w:eastAsiaTheme="majorEastAsia"/>
      <w:spacing w:val="-10"/>
      <w:kern w:val="28"/>
      <w:sz w:val="36"/>
    </w:rPr>
  </w:style>
  <w:style w:type="character" w:customStyle="1" w:styleId="TitleChar">
    <w:name w:val="Title Char"/>
    <w:basedOn w:val="DefaultParagraphFont"/>
    <w:link w:val="Title"/>
    <w:uiPriority w:val="10"/>
    <w:rsid w:val="00D344C6"/>
    <w:rPr>
      <w:rFonts w:eastAsiaTheme="majorEastAsia"/>
      <w:spacing w:val="-10"/>
      <w:kern w:val="28"/>
      <w:sz w:val="36"/>
    </w:rPr>
  </w:style>
  <w:style w:type="paragraph" w:styleId="TOC1">
    <w:name w:val="toc 1"/>
    <w:basedOn w:val="Normal"/>
    <w:next w:val="Normal"/>
    <w:autoRedefine/>
    <w:uiPriority w:val="39"/>
    <w:unhideWhenUsed/>
    <w:rsid w:val="003F77DD"/>
    <w:pPr>
      <w:tabs>
        <w:tab w:val="right" w:pos="9350"/>
      </w:tabs>
      <w:spacing w:after="100"/>
    </w:pPr>
  </w:style>
  <w:style w:type="character" w:styleId="Hyperlink">
    <w:name w:val="Hyperlink"/>
    <w:basedOn w:val="DefaultParagraphFont"/>
    <w:uiPriority w:val="99"/>
    <w:unhideWhenUsed/>
    <w:rsid w:val="003F77DD"/>
    <w:rPr>
      <w:color w:val="0563C1" w:themeColor="hyperlink"/>
      <w:u w:val="single"/>
    </w:rPr>
  </w:style>
  <w:style w:type="paragraph" w:styleId="Footer">
    <w:name w:val="footer"/>
    <w:basedOn w:val="Normal"/>
    <w:link w:val="FooterChar"/>
    <w:uiPriority w:val="99"/>
    <w:unhideWhenUsed/>
    <w:rsid w:val="003F77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7DD"/>
    <w:rPr>
      <w:rFonts w:eastAsia="Times New Roman" w:cs="Times New Roman"/>
      <w:lang w:val="en-GB" w:eastAsia="en-GB"/>
    </w:rPr>
  </w:style>
  <w:style w:type="paragraph" w:styleId="Caption">
    <w:name w:val="caption"/>
    <w:basedOn w:val="Normal"/>
    <w:next w:val="Normal"/>
    <w:uiPriority w:val="35"/>
    <w:unhideWhenUsed/>
    <w:qFormat/>
    <w:rsid w:val="003F77DD"/>
    <w:pPr>
      <w:spacing w:before="240" w:after="200" w:line="240" w:lineRule="auto"/>
      <w:jc w:val="center"/>
    </w:pPr>
    <w:rPr>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1394</Words>
  <Characters>7948</Characters>
  <Application>Microsoft Office Word</Application>
  <DocSecurity>0</DocSecurity>
  <Lines>66</Lines>
  <Paragraphs>18</Paragraphs>
  <ScaleCrop>false</ScaleCrop>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Lyly Okita (2211984)</cp:lastModifiedBy>
  <cp:revision>2</cp:revision>
  <dcterms:created xsi:type="dcterms:W3CDTF">2023-07-27T20:58:00Z</dcterms:created>
  <dcterms:modified xsi:type="dcterms:W3CDTF">2023-07-27T20:58:00Z</dcterms:modified>
</cp:coreProperties>
</file>