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96CF46" w14:textId="015CB716" w:rsidR="5622602C" w:rsidRDefault="5622602C" w:rsidP="425FD9A6">
      <w:pPr>
        <w:rPr>
          <w:rFonts w:ascii="Aptos Display" w:eastAsia="Aptos Display" w:hAnsi="Aptos Display" w:cs="Aptos Display"/>
          <w:color w:val="000000" w:themeColor="text1"/>
        </w:rPr>
      </w:pPr>
      <w:r w:rsidRPr="425FD9A6">
        <w:rPr>
          <w:rFonts w:ascii="Aptos Display" w:eastAsia="Aptos Display" w:hAnsi="Aptos Display" w:cs="Aptos Display"/>
          <w:color w:val="000000" w:themeColor="text1"/>
        </w:rPr>
        <w:t>I acknowledge the use of Grammarly and Copilot to assist me with my work in the following areas Spelling and grammar alongside proofreading, making sure that my plan flows correctly, and making sure I use the correct data analyse method.</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4470"/>
        <w:gridCol w:w="4540"/>
      </w:tblGrid>
      <w:tr w:rsidR="425FD9A6" w14:paraId="2E39B476" w14:textId="77777777" w:rsidTr="425FD9A6">
        <w:trPr>
          <w:trHeight w:val="285"/>
        </w:trPr>
        <w:tc>
          <w:tcPr>
            <w:tcW w:w="4680" w:type="dxa"/>
            <w:tcMar>
              <w:left w:w="105" w:type="dxa"/>
              <w:right w:w="105" w:type="dxa"/>
            </w:tcMar>
          </w:tcPr>
          <w:p w14:paraId="7ABA6C05" w14:textId="3C83F6E3" w:rsidR="425FD9A6" w:rsidRDefault="425FD9A6" w:rsidP="425FD9A6">
            <w:pPr>
              <w:rPr>
                <w:rFonts w:ascii="Aptos Display" w:eastAsia="Aptos Display" w:hAnsi="Aptos Display" w:cs="Aptos Display"/>
              </w:rPr>
            </w:pPr>
            <w:r w:rsidRPr="425FD9A6">
              <w:rPr>
                <w:rFonts w:ascii="Aptos Display" w:eastAsia="Aptos Display" w:hAnsi="Aptos Display" w:cs="Aptos Display"/>
              </w:rPr>
              <w:t>Grammarly</w:t>
            </w:r>
          </w:p>
        </w:tc>
        <w:tc>
          <w:tcPr>
            <w:tcW w:w="4755" w:type="dxa"/>
            <w:tcMar>
              <w:left w:w="105" w:type="dxa"/>
              <w:right w:w="105" w:type="dxa"/>
            </w:tcMar>
          </w:tcPr>
          <w:p w14:paraId="3644B694" w14:textId="259B9E5E" w:rsidR="425FD9A6" w:rsidRDefault="425FD9A6" w:rsidP="425FD9A6">
            <w:pPr>
              <w:rPr>
                <w:rFonts w:ascii="Aptos Display" w:eastAsia="Aptos Display" w:hAnsi="Aptos Display" w:cs="Aptos Display"/>
              </w:rPr>
            </w:pPr>
            <w:r w:rsidRPr="425FD9A6">
              <w:rPr>
                <w:rFonts w:ascii="Aptos Display" w:eastAsia="Aptos Display" w:hAnsi="Aptos Display" w:cs="Aptos Display"/>
              </w:rPr>
              <w:t>Can you spell check this</w:t>
            </w:r>
          </w:p>
        </w:tc>
      </w:tr>
      <w:tr w:rsidR="425FD9A6" w14:paraId="564CF1C4" w14:textId="77777777" w:rsidTr="425FD9A6">
        <w:trPr>
          <w:trHeight w:val="285"/>
        </w:trPr>
        <w:tc>
          <w:tcPr>
            <w:tcW w:w="4680" w:type="dxa"/>
            <w:tcMar>
              <w:left w:w="105" w:type="dxa"/>
              <w:right w:w="105" w:type="dxa"/>
            </w:tcMar>
          </w:tcPr>
          <w:p w14:paraId="7F5A15FE" w14:textId="22AED027" w:rsidR="425FD9A6" w:rsidRDefault="425FD9A6" w:rsidP="425FD9A6">
            <w:pPr>
              <w:rPr>
                <w:rFonts w:ascii="Aptos Display" w:eastAsia="Aptos Display" w:hAnsi="Aptos Display" w:cs="Aptos Display"/>
              </w:rPr>
            </w:pPr>
            <w:r w:rsidRPr="425FD9A6">
              <w:rPr>
                <w:rFonts w:ascii="Aptos Display" w:eastAsia="Aptos Display" w:hAnsi="Aptos Display" w:cs="Aptos Display"/>
              </w:rPr>
              <w:t>Copilot</w:t>
            </w:r>
          </w:p>
        </w:tc>
        <w:tc>
          <w:tcPr>
            <w:tcW w:w="4755" w:type="dxa"/>
            <w:tcMar>
              <w:left w:w="105" w:type="dxa"/>
              <w:right w:w="105" w:type="dxa"/>
            </w:tcMar>
          </w:tcPr>
          <w:p w14:paraId="5792DB9F" w14:textId="4A548D52" w:rsidR="425FD9A6" w:rsidRDefault="425FD9A6" w:rsidP="425FD9A6">
            <w:pPr>
              <w:rPr>
                <w:rFonts w:ascii="Aptos Display" w:eastAsia="Aptos Display" w:hAnsi="Aptos Display" w:cs="Aptos Display"/>
              </w:rPr>
            </w:pPr>
            <w:r w:rsidRPr="425FD9A6">
              <w:rPr>
                <w:rFonts w:ascii="Aptos Display" w:eastAsia="Aptos Display" w:hAnsi="Aptos Display" w:cs="Aptos Display"/>
              </w:rPr>
              <w:t xml:space="preserve">Does this plan </w:t>
            </w:r>
            <w:r w:rsidR="02963A44" w:rsidRPr="425FD9A6">
              <w:rPr>
                <w:rFonts w:ascii="Aptos Display" w:eastAsia="Aptos Display" w:hAnsi="Aptos Display" w:cs="Aptos Display"/>
              </w:rPr>
              <w:t>make sense</w:t>
            </w:r>
          </w:p>
        </w:tc>
      </w:tr>
      <w:tr w:rsidR="425FD9A6" w14:paraId="04F8CAE0" w14:textId="77777777" w:rsidTr="425FD9A6">
        <w:trPr>
          <w:trHeight w:val="300"/>
        </w:trPr>
        <w:tc>
          <w:tcPr>
            <w:tcW w:w="4680" w:type="dxa"/>
            <w:tcMar>
              <w:left w:w="105" w:type="dxa"/>
              <w:right w:w="105" w:type="dxa"/>
            </w:tcMar>
          </w:tcPr>
          <w:p w14:paraId="395AC494" w14:textId="5ECB9B08" w:rsidR="02963A44" w:rsidRDefault="02963A44" w:rsidP="425FD9A6">
            <w:r w:rsidRPr="425FD9A6">
              <w:rPr>
                <w:rFonts w:ascii="Aptos Display" w:eastAsia="Aptos Display" w:hAnsi="Aptos Display" w:cs="Aptos Display"/>
              </w:rPr>
              <w:t>Copilot</w:t>
            </w:r>
          </w:p>
        </w:tc>
        <w:tc>
          <w:tcPr>
            <w:tcW w:w="4755" w:type="dxa"/>
            <w:tcMar>
              <w:left w:w="105" w:type="dxa"/>
              <w:right w:w="105" w:type="dxa"/>
            </w:tcMar>
          </w:tcPr>
          <w:p w14:paraId="7B971506" w14:textId="5DF9EFA9" w:rsidR="014D8CA2" w:rsidRDefault="014D8CA2" w:rsidP="425FD9A6">
            <w:r w:rsidRPr="425FD9A6">
              <w:rPr>
                <w:rFonts w:ascii="Aptos Display" w:eastAsia="Aptos Display" w:hAnsi="Aptos Display" w:cs="Aptos Display"/>
              </w:rPr>
              <w:t>Can you summarise this document</w:t>
            </w:r>
          </w:p>
        </w:tc>
      </w:tr>
    </w:tbl>
    <w:p w14:paraId="715A84DF" w14:textId="4AE642A9" w:rsidR="425FD9A6" w:rsidRDefault="425FD9A6"/>
    <w:p w14:paraId="1C7C36B8" w14:textId="2FCECA17" w:rsidR="425FD9A6" w:rsidRDefault="425FD9A6" w:rsidP="425FD9A6">
      <w:pPr>
        <w:rPr>
          <w:rFonts w:ascii="Aptos Display" w:eastAsia="Aptos Display" w:hAnsi="Aptos Display" w:cs="Aptos Display"/>
          <w:color w:val="000000" w:themeColor="text1"/>
        </w:rPr>
      </w:pPr>
    </w:p>
    <w:p w14:paraId="32FA839D" w14:textId="610DA042" w:rsidR="5622602C" w:rsidRDefault="5622602C" w:rsidP="425FD9A6">
      <w:r w:rsidRPr="425FD9A6">
        <w:rPr>
          <w:rFonts w:ascii="Aptos Display" w:eastAsia="Aptos Display" w:hAnsi="Aptos Display" w:cs="Aptos Display"/>
          <w:color w:val="000000" w:themeColor="text1"/>
        </w:rPr>
        <w:t>I confirm that I have not presented any AI generated text as my own. I confirm that I have copies of my notes, and other resources I used before and after the use of AI tools.</w:t>
      </w:r>
    </w:p>
    <w:p w14:paraId="6DC2CF35" w14:textId="38AE2585" w:rsidR="425FD9A6" w:rsidRDefault="425FD9A6" w:rsidP="425FD9A6">
      <w:pPr>
        <w:rPr>
          <w:rFonts w:ascii="Aptos" w:eastAsia="Aptos" w:hAnsi="Aptos" w:cs="Aptos"/>
          <w:sz w:val="36"/>
          <w:szCs w:val="36"/>
        </w:rPr>
      </w:pPr>
    </w:p>
    <w:p w14:paraId="4767483C" w14:textId="63C77176" w:rsidR="425FD9A6" w:rsidRDefault="425FD9A6" w:rsidP="425FD9A6">
      <w:pPr>
        <w:rPr>
          <w:rFonts w:ascii="Aptos" w:eastAsia="Aptos" w:hAnsi="Aptos" w:cs="Aptos"/>
          <w:sz w:val="36"/>
          <w:szCs w:val="36"/>
        </w:rPr>
      </w:pPr>
    </w:p>
    <w:p w14:paraId="21777E47" w14:textId="62534AAE" w:rsidR="425FD9A6" w:rsidRDefault="425FD9A6" w:rsidP="425FD9A6">
      <w:pPr>
        <w:rPr>
          <w:rFonts w:ascii="Aptos" w:eastAsia="Aptos" w:hAnsi="Aptos" w:cs="Aptos"/>
          <w:sz w:val="36"/>
          <w:szCs w:val="36"/>
        </w:rPr>
      </w:pPr>
    </w:p>
    <w:p w14:paraId="7EF473EC" w14:textId="59BA168A" w:rsidR="425FD9A6" w:rsidRDefault="425FD9A6" w:rsidP="425FD9A6">
      <w:pPr>
        <w:rPr>
          <w:rFonts w:ascii="Aptos" w:eastAsia="Aptos" w:hAnsi="Aptos" w:cs="Aptos"/>
          <w:sz w:val="36"/>
          <w:szCs w:val="36"/>
        </w:rPr>
      </w:pPr>
    </w:p>
    <w:p w14:paraId="7C3FA186" w14:textId="728339C5" w:rsidR="425FD9A6" w:rsidRDefault="425FD9A6" w:rsidP="425FD9A6">
      <w:pPr>
        <w:rPr>
          <w:rFonts w:ascii="Aptos" w:eastAsia="Aptos" w:hAnsi="Aptos" w:cs="Aptos"/>
          <w:sz w:val="36"/>
          <w:szCs w:val="36"/>
        </w:rPr>
      </w:pPr>
    </w:p>
    <w:p w14:paraId="272632B1" w14:textId="6E7620E2" w:rsidR="425FD9A6" w:rsidRDefault="425FD9A6" w:rsidP="425FD9A6">
      <w:pPr>
        <w:rPr>
          <w:rFonts w:ascii="Aptos" w:eastAsia="Aptos" w:hAnsi="Aptos" w:cs="Aptos"/>
          <w:sz w:val="36"/>
          <w:szCs w:val="36"/>
        </w:rPr>
      </w:pPr>
    </w:p>
    <w:p w14:paraId="2C273E40" w14:textId="79CAFAE4" w:rsidR="425FD9A6" w:rsidRDefault="425FD9A6" w:rsidP="425FD9A6">
      <w:pPr>
        <w:rPr>
          <w:rFonts w:ascii="Aptos" w:eastAsia="Aptos" w:hAnsi="Aptos" w:cs="Aptos"/>
          <w:sz w:val="36"/>
          <w:szCs w:val="36"/>
        </w:rPr>
      </w:pPr>
    </w:p>
    <w:p w14:paraId="6BA63227" w14:textId="0DD289FF" w:rsidR="425FD9A6" w:rsidRDefault="425FD9A6" w:rsidP="425FD9A6">
      <w:pPr>
        <w:rPr>
          <w:rFonts w:ascii="Aptos" w:eastAsia="Aptos" w:hAnsi="Aptos" w:cs="Aptos"/>
          <w:sz w:val="36"/>
          <w:szCs w:val="36"/>
        </w:rPr>
      </w:pPr>
    </w:p>
    <w:p w14:paraId="3E025964" w14:textId="4D486F41" w:rsidR="425FD9A6" w:rsidRDefault="425FD9A6" w:rsidP="425FD9A6">
      <w:pPr>
        <w:rPr>
          <w:rFonts w:ascii="Aptos" w:eastAsia="Aptos" w:hAnsi="Aptos" w:cs="Aptos"/>
          <w:sz w:val="36"/>
          <w:szCs w:val="36"/>
        </w:rPr>
      </w:pPr>
    </w:p>
    <w:p w14:paraId="2DFE5396" w14:textId="639D60EA" w:rsidR="425FD9A6" w:rsidRDefault="425FD9A6" w:rsidP="425FD9A6">
      <w:pPr>
        <w:rPr>
          <w:rFonts w:ascii="Aptos" w:eastAsia="Aptos" w:hAnsi="Aptos" w:cs="Aptos"/>
          <w:sz w:val="36"/>
          <w:szCs w:val="36"/>
        </w:rPr>
      </w:pPr>
    </w:p>
    <w:p w14:paraId="541DC5DC" w14:textId="460931CC" w:rsidR="425FD9A6" w:rsidRDefault="425FD9A6" w:rsidP="425FD9A6">
      <w:pPr>
        <w:rPr>
          <w:rFonts w:ascii="Aptos" w:eastAsia="Aptos" w:hAnsi="Aptos" w:cs="Aptos"/>
          <w:sz w:val="36"/>
          <w:szCs w:val="36"/>
        </w:rPr>
      </w:pPr>
    </w:p>
    <w:p w14:paraId="1531BF99" w14:textId="7A8E8FC7" w:rsidR="425FD9A6" w:rsidRDefault="425FD9A6" w:rsidP="425FD9A6">
      <w:pPr>
        <w:rPr>
          <w:rFonts w:ascii="Aptos" w:eastAsia="Aptos" w:hAnsi="Aptos" w:cs="Aptos"/>
          <w:sz w:val="36"/>
          <w:szCs w:val="36"/>
        </w:rPr>
      </w:pPr>
    </w:p>
    <w:p w14:paraId="1CD4DCA7" w14:textId="7A3AB4AB" w:rsidR="425FD9A6" w:rsidRDefault="425FD9A6" w:rsidP="425FD9A6">
      <w:pPr>
        <w:rPr>
          <w:rFonts w:ascii="Aptos" w:eastAsia="Aptos" w:hAnsi="Aptos" w:cs="Aptos"/>
          <w:sz w:val="36"/>
          <w:szCs w:val="36"/>
        </w:rPr>
      </w:pPr>
    </w:p>
    <w:p w14:paraId="102FF39A" w14:textId="64B381AE" w:rsidR="425FD9A6" w:rsidRDefault="425FD9A6" w:rsidP="425FD9A6">
      <w:pPr>
        <w:rPr>
          <w:rFonts w:ascii="Aptos" w:eastAsia="Aptos" w:hAnsi="Aptos" w:cs="Aptos"/>
          <w:sz w:val="36"/>
          <w:szCs w:val="36"/>
        </w:rPr>
      </w:pPr>
    </w:p>
    <w:p w14:paraId="1F9EBA62" w14:textId="769C3318" w:rsidR="425FD9A6" w:rsidRDefault="425FD9A6" w:rsidP="425FD9A6">
      <w:pPr>
        <w:rPr>
          <w:rFonts w:ascii="Aptos" w:eastAsia="Aptos" w:hAnsi="Aptos" w:cs="Aptos"/>
          <w:sz w:val="36"/>
          <w:szCs w:val="36"/>
        </w:rPr>
      </w:pPr>
    </w:p>
    <w:p w14:paraId="6CFBE851" w14:textId="58239124" w:rsidR="70F96869" w:rsidRDefault="70F96869" w:rsidP="425FD9A6">
      <w:r w:rsidRPr="425FD9A6">
        <w:rPr>
          <w:rFonts w:ascii="Aptos" w:eastAsia="Aptos" w:hAnsi="Aptos" w:cs="Aptos"/>
          <w:sz w:val="36"/>
          <w:szCs w:val="36"/>
        </w:rPr>
        <w:lastRenderedPageBreak/>
        <w:t>Dissertation Research Proposal</w:t>
      </w:r>
    </w:p>
    <w:p w14:paraId="437D835A" w14:textId="00D9D3BE" w:rsidR="70F96869" w:rsidRDefault="70F96869" w:rsidP="425FD9A6">
      <w:pPr>
        <w:pStyle w:val="Heading1"/>
        <w:spacing w:before="322" w:after="322"/>
        <w:rPr>
          <w:rFonts w:ascii="Aptos" w:eastAsia="Aptos" w:hAnsi="Aptos" w:cs="Aptos"/>
          <w:color w:val="auto"/>
          <w:sz w:val="24"/>
          <w:szCs w:val="24"/>
        </w:rPr>
      </w:pPr>
      <w:r w:rsidRPr="425FD9A6">
        <w:rPr>
          <w:rFonts w:ascii="Aptos" w:eastAsia="Aptos" w:hAnsi="Aptos" w:cs="Aptos"/>
          <w:color w:val="auto"/>
          <w:sz w:val="24"/>
          <w:szCs w:val="24"/>
        </w:rPr>
        <w:t>Authority Bias in the Digital Age: Exploring the Influence of Social Media on Credibility and Trust Among Outdoor Adventure Education Students and the Public</w:t>
      </w:r>
    </w:p>
    <w:p w14:paraId="2A08D5F1" w14:textId="627A2292" w:rsidR="70F96869" w:rsidRDefault="70F96869" w:rsidP="425FD9A6">
      <w:pPr>
        <w:pStyle w:val="Heading2"/>
        <w:spacing w:before="299" w:after="299"/>
      </w:pPr>
      <w:r w:rsidRPr="425FD9A6">
        <w:rPr>
          <w:rFonts w:ascii="Aptos" w:eastAsia="Aptos" w:hAnsi="Aptos" w:cs="Aptos"/>
          <w:color w:val="auto"/>
          <w:sz w:val="28"/>
          <w:szCs w:val="28"/>
        </w:rPr>
        <w:t>1. Statement of Research Question</w:t>
      </w:r>
    </w:p>
    <w:p w14:paraId="48B21C42" w14:textId="5AE4DE78" w:rsidR="70F96869" w:rsidRDefault="70F96869" w:rsidP="425FD9A6">
      <w:pPr>
        <w:pStyle w:val="Heading2"/>
        <w:spacing w:before="299" w:after="299"/>
        <w:rPr>
          <w:rFonts w:ascii="Aptos" w:eastAsia="Aptos" w:hAnsi="Aptos" w:cs="Aptos"/>
          <w:color w:val="auto"/>
          <w:sz w:val="24"/>
          <w:szCs w:val="24"/>
        </w:rPr>
      </w:pPr>
      <w:r w:rsidRPr="425FD9A6">
        <w:rPr>
          <w:rFonts w:ascii="Aptos" w:eastAsia="Aptos" w:hAnsi="Aptos" w:cs="Aptos"/>
          <w:color w:val="auto"/>
          <w:sz w:val="24"/>
          <w:szCs w:val="24"/>
        </w:rPr>
        <w:t xml:space="preserve">How is social media associated with authority bias, and how do perceptions of authority and credibility differ between Outdoor Adventure Education (OAE) students and the </w:t>
      </w:r>
      <w:r w:rsidR="0C061DC8" w:rsidRPr="425FD9A6">
        <w:rPr>
          <w:rFonts w:ascii="Aptos" w:eastAsia="Aptos" w:hAnsi="Aptos" w:cs="Aptos"/>
          <w:color w:val="auto"/>
          <w:sz w:val="24"/>
          <w:szCs w:val="24"/>
        </w:rPr>
        <w:t>public</w:t>
      </w:r>
      <w:r w:rsidRPr="425FD9A6">
        <w:rPr>
          <w:rFonts w:ascii="Aptos" w:eastAsia="Aptos" w:hAnsi="Aptos" w:cs="Aptos"/>
          <w:color w:val="auto"/>
          <w:sz w:val="24"/>
          <w:szCs w:val="24"/>
        </w:rPr>
        <w:t>?</w:t>
      </w:r>
    </w:p>
    <w:p w14:paraId="335EC313" w14:textId="18435362" w:rsidR="70F96869" w:rsidRDefault="70F96869" w:rsidP="425FD9A6">
      <w:pPr>
        <w:pStyle w:val="Heading2"/>
        <w:spacing w:before="299" w:after="299"/>
      </w:pPr>
      <w:r w:rsidRPr="425FD9A6">
        <w:rPr>
          <w:rFonts w:ascii="Aptos" w:eastAsia="Aptos" w:hAnsi="Aptos" w:cs="Aptos"/>
          <w:color w:val="auto"/>
          <w:sz w:val="28"/>
          <w:szCs w:val="28"/>
        </w:rPr>
        <w:t>Introduction and Rationale</w:t>
      </w:r>
    </w:p>
    <w:p w14:paraId="4008F42C" w14:textId="77777777" w:rsidR="00A7193D" w:rsidRDefault="70F96869" w:rsidP="425FD9A6">
      <w:pPr>
        <w:pStyle w:val="Heading2"/>
        <w:spacing w:before="299" w:after="299"/>
      </w:pPr>
      <w:r w:rsidRPr="425FD9A6">
        <w:rPr>
          <w:rFonts w:ascii="Aptos" w:eastAsia="Aptos" w:hAnsi="Aptos" w:cs="Aptos"/>
          <w:color w:val="auto"/>
          <w:sz w:val="24"/>
          <w:szCs w:val="24"/>
        </w:rPr>
        <w:t xml:space="preserve">Social media has become a common way for people to find information, learn new skills and listen to advice. However, it can sometimes be difficult to know whether the information being shared is reliable. People may trust someone because they appear knowledgeable, have professional qualifications or have a large following, rather than checking whether the information they provide is accurate. This links to authority bias, which is the tendency to give greater importance or trust to information because it comes from someone who is seen as an </w:t>
      </w:r>
      <w:r w:rsidR="00D62693">
        <w:rPr>
          <w:rFonts w:ascii="Aptos" w:eastAsia="Aptos" w:hAnsi="Aptos" w:cs="Aptos"/>
          <w:color w:val="auto"/>
          <w:sz w:val="24"/>
          <w:szCs w:val="24"/>
        </w:rPr>
        <w:t>authority.</w:t>
      </w:r>
      <w:r w:rsidRPr="425FD9A6">
        <w:rPr>
          <w:rFonts w:ascii="Aptos" w:eastAsia="Aptos" w:hAnsi="Aptos" w:cs="Aptos"/>
          <w:color w:val="auto"/>
          <w:sz w:val="24"/>
          <w:szCs w:val="24"/>
        </w:rPr>
        <w:t xml:space="preserve"> </w:t>
      </w:r>
      <w:r w:rsidR="3B6B1F02" w:rsidRPr="425FD9A6">
        <w:rPr>
          <w:rFonts w:ascii="Aptos" w:eastAsia="Aptos" w:hAnsi="Aptos" w:cs="Aptos"/>
          <w:color w:val="auto"/>
          <w:sz w:val="24"/>
          <w:szCs w:val="24"/>
        </w:rPr>
        <w:t>(</w:t>
      </w:r>
      <w:r w:rsidRPr="425FD9A6">
        <w:rPr>
          <w:rFonts w:ascii="Aptos" w:eastAsia="Aptos" w:hAnsi="Aptos" w:cs="Aptos"/>
          <w:color w:val="auto"/>
          <w:sz w:val="24"/>
          <w:szCs w:val="24"/>
        </w:rPr>
        <w:t>Cialdini, 2009).</w:t>
      </w:r>
    </w:p>
    <w:p w14:paraId="1AE41DE9" w14:textId="2DB2D102" w:rsidR="70F96869" w:rsidRDefault="70F96869" w:rsidP="425FD9A6">
      <w:pPr>
        <w:pStyle w:val="Heading2"/>
        <w:spacing w:before="299" w:after="299"/>
      </w:pPr>
      <w:r w:rsidRPr="425FD9A6">
        <w:rPr>
          <w:rFonts w:ascii="Aptos" w:eastAsia="Aptos" w:hAnsi="Aptos" w:cs="Aptos"/>
          <w:color w:val="auto"/>
          <w:sz w:val="24"/>
          <w:szCs w:val="24"/>
        </w:rPr>
        <w:t>Authority can be useful because people often rely on experts when making decisions. However, problems can occur when someone is treated as an expert without their knowledge or experience being properly considered. On social media, people can present themselves as knowledgeable through their appearance, confidence, professional titles and the content they share. This raises questions about how users decide who they should trust and whether online popularity can be mistaken for genuine expertise.</w:t>
      </w:r>
    </w:p>
    <w:p w14:paraId="6A13B3B9" w14:textId="2A787CEE" w:rsidR="70F96869" w:rsidRDefault="70F96869" w:rsidP="425FD9A6">
      <w:pPr>
        <w:pStyle w:val="Heading2"/>
        <w:spacing w:before="299" w:after="299"/>
        <w:rPr>
          <w:rFonts w:ascii="Aptos" w:eastAsia="Aptos" w:hAnsi="Aptos" w:cs="Aptos"/>
          <w:color w:val="auto"/>
          <w:sz w:val="24"/>
          <w:szCs w:val="24"/>
        </w:rPr>
      </w:pPr>
      <w:r w:rsidRPr="425FD9A6">
        <w:rPr>
          <w:rFonts w:ascii="Aptos" w:eastAsia="Aptos" w:hAnsi="Aptos" w:cs="Aptos"/>
          <w:color w:val="auto"/>
          <w:sz w:val="24"/>
          <w:szCs w:val="24"/>
        </w:rPr>
        <w:t>Research has shown that people use different cues when deciding whether online information is credible. Sundar (2008), through the MAIN model, explains how features of digital media can influence how people judge information. These features can include the way information is presented and the signals that suggest popularity or authority. Similarly, Metzger, Flanagin and Medders (2010) discuss how people use social and mental shortcuts when judging online information, rather than always checking every source in detail. This suggests that people may rely on information such as a person's reputation or the number of people engaging with their content when deciding whether to trust it.</w:t>
      </w:r>
    </w:p>
    <w:p w14:paraId="365F76D5" w14:textId="04BC0250" w:rsidR="70F96869" w:rsidRDefault="70F96869" w:rsidP="425FD9A6">
      <w:pPr>
        <w:spacing w:before="240" w:after="240"/>
        <w:rPr>
          <w:rFonts w:ascii="Aptos" w:eastAsia="Aptos" w:hAnsi="Aptos" w:cs="Aptos"/>
        </w:rPr>
      </w:pPr>
      <w:r w:rsidRPr="425FD9A6">
        <w:rPr>
          <w:rFonts w:ascii="Aptos" w:eastAsia="Aptos" w:hAnsi="Aptos" w:cs="Aptos"/>
        </w:rPr>
        <w:t xml:space="preserve">Further research by Flanagin and Metzger (2013) found that the </w:t>
      </w:r>
      <w:bookmarkStart w:id="0" w:name="_Int_x1UzCtvf"/>
      <w:r w:rsidRPr="425FD9A6">
        <w:rPr>
          <w:rFonts w:ascii="Aptos" w:eastAsia="Aptos" w:hAnsi="Aptos" w:cs="Aptos"/>
        </w:rPr>
        <w:t>amount</w:t>
      </w:r>
      <w:bookmarkEnd w:id="0"/>
      <w:r w:rsidRPr="425FD9A6">
        <w:rPr>
          <w:rFonts w:ascii="Aptos" w:eastAsia="Aptos" w:hAnsi="Aptos" w:cs="Aptos"/>
        </w:rPr>
        <w:t xml:space="preserve"> of online ratings and the source of those ratings can influence how people judge credibility. This is </w:t>
      </w:r>
      <w:r w:rsidRPr="425FD9A6">
        <w:rPr>
          <w:rFonts w:ascii="Aptos" w:eastAsia="Aptos" w:hAnsi="Aptos" w:cs="Aptos"/>
        </w:rPr>
        <w:lastRenderedPageBreak/>
        <w:t>relevant to social media because likes, comments and follower numbers may affect how trustworthy a person appears. However, popularity does not necessarily mean that someone has the right qualifications or experience to give reliable advice. Social media can also provide access to genuine experts and different viewpoints, so its influence should not automatically be viewed as negative.</w:t>
      </w:r>
    </w:p>
    <w:p w14:paraId="3B3F5DF0" w14:textId="0AE51564" w:rsidR="70F96869" w:rsidRDefault="70F96869" w:rsidP="425FD9A6">
      <w:pPr>
        <w:spacing w:before="240" w:after="240"/>
        <w:rPr>
          <w:rFonts w:ascii="Aptos" w:eastAsia="Aptos" w:hAnsi="Aptos" w:cs="Aptos"/>
        </w:rPr>
      </w:pPr>
      <w:r w:rsidRPr="425FD9A6">
        <w:rPr>
          <w:rFonts w:ascii="Aptos" w:eastAsia="Aptos" w:hAnsi="Aptos" w:cs="Aptos"/>
        </w:rPr>
        <w:t>This topic is particularly relevant to Outdoor Adventure Education. OAE students learn about leadership, risk management, decision-making and the importance of competence within outdoor activities. They may encounter advice online about climbing, mountain walking, equipment or other adventurous activities. If someone accepts advice because an influencer appears experienced or popular, without checking their knowledge or qualifications, this could potentially affect how they understand risk and make decisions. However, it is not known whether studying OAE necessarily changes how people judge online authority.</w:t>
      </w:r>
    </w:p>
    <w:p w14:paraId="5191047E" w14:textId="627470F5" w:rsidR="70F96869" w:rsidRDefault="70F96869" w:rsidP="425FD9A6">
      <w:pPr>
        <w:spacing w:before="240" w:after="240"/>
        <w:rPr>
          <w:rFonts w:ascii="Aptos" w:eastAsia="Aptos" w:hAnsi="Aptos" w:cs="Aptos"/>
        </w:rPr>
      </w:pPr>
      <w:r w:rsidRPr="425FD9A6">
        <w:rPr>
          <w:rFonts w:ascii="Aptos" w:eastAsia="Aptos" w:hAnsi="Aptos" w:cs="Aptos"/>
        </w:rPr>
        <w:t xml:space="preserve">Comparing OAE students with the </w:t>
      </w:r>
      <w:r w:rsidR="2BB04A24" w:rsidRPr="425FD9A6">
        <w:rPr>
          <w:rFonts w:ascii="Aptos" w:eastAsia="Aptos" w:hAnsi="Aptos" w:cs="Aptos"/>
        </w:rPr>
        <w:t>public</w:t>
      </w:r>
      <w:r w:rsidRPr="425FD9A6">
        <w:rPr>
          <w:rFonts w:ascii="Aptos" w:eastAsia="Aptos" w:hAnsi="Aptos" w:cs="Aptos"/>
        </w:rPr>
        <w:t xml:space="preserve"> could help explore whether the two groups report different attitudes towards authority and online credibility. It could also show whether social media use is associated with how people evaluate information. The study will not assume that OAE students are better at identifying reliable information instead, it will investigate whether differences exist.</w:t>
      </w:r>
    </w:p>
    <w:p w14:paraId="374DD5D6" w14:textId="466B75BF" w:rsidR="70F96869" w:rsidRDefault="70F96869" w:rsidP="425FD9A6">
      <w:pPr>
        <w:pStyle w:val="Heading2"/>
        <w:spacing w:before="299" w:after="299"/>
        <w:rPr>
          <w:rFonts w:ascii="Aptos" w:eastAsia="Aptos" w:hAnsi="Aptos" w:cs="Aptos"/>
          <w:color w:val="auto"/>
          <w:sz w:val="28"/>
          <w:szCs w:val="28"/>
        </w:rPr>
      </w:pPr>
      <w:r w:rsidRPr="425FD9A6">
        <w:rPr>
          <w:rFonts w:ascii="Aptos" w:eastAsia="Aptos" w:hAnsi="Aptos" w:cs="Aptos"/>
          <w:color w:val="auto"/>
          <w:sz w:val="28"/>
          <w:szCs w:val="28"/>
        </w:rPr>
        <w:t>Aims and Objectives</w:t>
      </w:r>
    </w:p>
    <w:p w14:paraId="747B4D3A" w14:textId="7E36636F" w:rsidR="70F96869" w:rsidRDefault="70F96869" w:rsidP="425FD9A6">
      <w:pPr>
        <w:spacing w:before="240" w:after="240"/>
        <w:rPr>
          <w:rFonts w:ascii="Aptos" w:eastAsia="Aptos" w:hAnsi="Aptos" w:cs="Aptos"/>
        </w:rPr>
      </w:pPr>
      <w:r w:rsidRPr="425FD9A6">
        <w:rPr>
          <w:rFonts w:ascii="Aptos" w:eastAsia="Aptos" w:hAnsi="Aptos" w:cs="Aptos"/>
        </w:rPr>
        <w:t xml:space="preserve">The main aim of this research is to investigate how social media may be associated with authority bias and to compare perceptions of authority and credibility between OAE students and the </w:t>
      </w:r>
      <w:r w:rsidR="6E188C10" w:rsidRPr="425FD9A6">
        <w:rPr>
          <w:rFonts w:ascii="Aptos" w:eastAsia="Aptos" w:hAnsi="Aptos" w:cs="Aptos"/>
        </w:rPr>
        <w:t>public</w:t>
      </w:r>
      <w:r w:rsidRPr="425FD9A6">
        <w:rPr>
          <w:rFonts w:ascii="Aptos" w:eastAsia="Aptos" w:hAnsi="Aptos" w:cs="Aptos"/>
        </w:rPr>
        <w:t>.</w:t>
      </w:r>
    </w:p>
    <w:p w14:paraId="371D0301" w14:textId="731E11B0" w:rsidR="70F96869" w:rsidRDefault="70F96869" w:rsidP="425FD9A6">
      <w:pPr>
        <w:spacing w:before="240" w:after="240"/>
        <w:rPr>
          <w:rFonts w:ascii="Aptos" w:eastAsia="Aptos" w:hAnsi="Aptos" w:cs="Aptos"/>
        </w:rPr>
      </w:pPr>
      <w:r w:rsidRPr="425FD9A6">
        <w:rPr>
          <w:rFonts w:ascii="Aptos" w:eastAsia="Aptos" w:hAnsi="Aptos" w:cs="Aptos"/>
        </w:rPr>
        <w:t>The objectives are:</w:t>
      </w:r>
    </w:p>
    <w:p w14:paraId="2942A1C8" w14:textId="6358AE03" w:rsidR="70F96869" w:rsidRDefault="70F96869" w:rsidP="425FD9A6">
      <w:pPr>
        <w:pStyle w:val="ListParagraph"/>
        <w:numPr>
          <w:ilvl w:val="0"/>
          <w:numId w:val="1"/>
        </w:numPr>
        <w:spacing w:before="240" w:after="240"/>
        <w:rPr>
          <w:rFonts w:ascii="Aptos" w:eastAsia="Aptos" w:hAnsi="Aptos" w:cs="Aptos"/>
        </w:rPr>
      </w:pPr>
      <w:r w:rsidRPr="425FD9A6">
        <w:rPr>
          <w:rFonts w:ascii="Aptos" w:eastAsia="Aptos" w:hAnsi="Aptos" w:cs="Aptos"/>
        </w:rPr>
        <w:t>To investigate how people judge the credibility of information and individuals on social media.</w:t>
      </w:r>
    </w:p>
    <w:p w14:paraId="2027DAD3" w14:textId="7FEFBDA7" w:rsidR="70F96869" w:rsidRDefault="70F96869" w:rsidP="425FD9A6">
      <w:pPr>
        <w:pStyle w:val="ListParagraph"/>
        <w:numPr>
          <w:ilvl w:val="0"/>
          <w:numId w:val="1"/>
        </w:numPr>
        <w:spacing w:before="240" w:after="240"/>
        <w:rPr>
          <w:rFonts w:ascii="Aptos" w:eastAsia="Aptos" w:hAnsi="Aptos" w:cs="Aptos"/>
        </w:rPr>
      </w:pPr>
      <w:r w:rsidRPr="425FD9A6">
        <w:rPr>
          <w:rFonts w:ascii="Aptos" w:eastAsia="Aptos" w:hAnsi="Aptos" w:cs="Aptos"/>
        </w:rPr>
        <w:t>To explore whether factors such as professional qualifications, follower counts and verification badges influence perceived credibility.</w:t>
      </w:r>
    </w:p>
    <w:p w14:paraId="20F48388" w14:textId="72D8927E" w:rsidR="70F96869" w:rsidRDefault="70F96869" w:rsidP="425FD9A6">
      <w:pPr>
        <w:pStyle w:val="ListParagraph"/>
        <w:numPr>
          <w:ilvl w:val="0"/>
          <w:numId w:val="1"/>
        </w:numPr>
        <w:spacing w:before="240" w:after="240"/>
        <w:rPr>
          <w:rFonts w:ascii="Aptos" w:eastAsia="Aptos" w:hAnsi="Aptos" w:cs="Aptos"/>
        </w:rPr>
      </w:pPr>
      <w:r w:rsidRPr="425FD9A6">
        <w:rPr>
          <w:rFonts w:ascii="Aptos" w:eastAsia="Aptos" w:hAnsi="Aptos" w:cs="Aptos"/>
        </w:rPr>
        <w:t xml:space="preserve">To compare questionnaire responses from OAE students across different years of study with responses from the </w:t>
      </w:r>
      <w:r w:rsidR="195A7A5B" w:rsidRPr="425FD9A6">
        <w:rPr>
          <w:rFonts w:ascii="Aptos" w:eastAsia="Aptos" w:hAnsi="Aptos" w:cs="Aptos"/>
        </w:rPr>
        <w:t>public</w:t>
      </w:r>
      <w:r w:rsidRPr="425FD9A6">
        <w:rPr>
          <w:rFonts w:ascii="Aptos" w:eastAsia="Aptos" w:hAnsi="Aptos" w:cs="Aptos"/>
        </w:rPr>
        <w:t>.</w:t>
      </w:r>
    </w:p>
    <w:p w14:paraId="4F6E23CE" w14:textId="7ED4C40E" w:rsidR="70F96869" w:rsidRDefault="70F96869" w:rsidP="425FD9A6">
      <w:pPr>
        <w:pStyle w:val="ListParagraph"/>
        <w:numPr>
          <w:ilvl w:val="0"/>
          <w:numId w:val="1"/>
        </w:numPr>
        <w:spacing w:before="240" w:after="240"/>
        <w:rPr>
          <w:rFonts w:ascii="Aptos" w:eastAsia="Aptos" w:hAnsi="Aptos" w:cs="Aptos"/>
        </w:rPr>
      </w:pPr>
      <w:r w:rsidRPr="425FD9A6">
        <w:rPr>
          <w:rFonts w:ascii="Aptos" w:eastAsia="Aptos" w:hAnsi="Aptos" w:cs="Aptos"/>
        </w:rPr>
        <w:t>To compare the findings with existing research on authority bias, social influence and online credibility.</w:t>
      </w:r>
    </w:p>
    <w:p w14:paraId="263B1D21" w14:textId="486E1254" w:rsidR="70F96869" w:rsidRDefault="70F96869" w:rsidP="425FD9A6">
      <w:pPr>
        <w:spacing w:before="240" w:after="240"/>
        <w:rPr>
          <w:rFonts w:ascii="Aptos" w:eastAsia="Aptos" w:hAnsi="Aptos" w:cs="Aptos"/>
        </w:rPr>
      </w:pPr>
      <w:r w:rsidRPr="425FD9A6">
        <w:rPr>
          <w:rFonts w:ascii="Aptos" w:eastAsia="Aptos" w:hAnsi="Aptos" w:cs="Aptos"/>
        </w:rPr>
        <w:t>The study expects that participants may place different levels of trust in information depending on</w:t>
      </w:r>
      <w:r w:rsidR="655DB32E" w:rsidRPr="425FD9A6">
        <w:rPr>
          <w:rFonts w:ascii="Aptos" w:eastAsia="Aptos" w:hAnsi="Aptos" w:cs="Aptos"/>
        </w:rPr>
        <w:t xml:space="preserve"> where the </w:t>
      </w:r>
      <w:r w:rsidRPr="425FD9A6">
        <w:rPr>
          <w:rFonts w:ascii="Aptos" w:eastAsia="Aptos" w:hAnsi="Aptos" w:cs="Aptos"/>
        </w:rPr>
        <w:t>source</w:t>
      </w:r>
      <w:r w:rsidR="6D828EC0" w:rsidRPr="425FD9A6">
        <w:rPr>
          <w:rFonts w:ascii="Aptos" w:eastAsia="Aptos" w:hAnsi="Aptos" w:cs="Aptos"/>
        </w:rPr>
        <w:t xml:space="preserve"> is from</w:t>
      </w:r>
      <w:r w:rsidRPr="425FD9A6">
        <w:rPr>
          <w:rFonts w:ascii="Aptos" w:eastAsia="Aptos" w:hAnsi="Aptos" w:cs="Aptos"/>
        </w:rPr>
        <w:t>. However, no prediction will be made about which participant group will show greater trust in online authority.</w:t>
      </w:r>
    </w:p>
    <w:p w14:paraId="254CB516" w14:textId="12CC5468" w:rsidR="70F96869" w:rsidRDefault="70F96869" w:rsidP="425FD9A6">
      <w:pPr>
        <w:pStyle w:val="Heading2"/>
        <w:spacing w:before="299" w:after="299"/>
        <w:rPr>
          <w:rFonts w:ascii="Aptos" w:eastAsia="Aptos" w:hAnsi="Aptos" w:cs="Aptos"/>
          <w:color w:val="auto"/>
          <w:sz w:val="28"/>
          <w:szCs w:val="28"/>
        </w:rPr>
      </w:pPr>
      <w:r w:rsidRPr="425FD9A6">
        <w:rPr>
          <w:rFonts w:ascii="Aptos" w:eastAsia="Aptos" w:hAnsi="Aptos" w:cs="Aptos"/>
          <w:color w:val="auto"/>
          <w:sz w:val="28"/>
          <w:szCs w:val="28"/>
        </w:rPr>
        <w:lastRenderedPageBreak/>
        <w:t>Method</w:t>
      </w:r>
    </w:p>
    <w:p w14:paraId="366B9697" w14:textId="0B7F95D6" w:rsidR="70F96869" w:rsidRDefault="70F96869" w:rsidP="425FD9A6">
      <w:pPr>
        <w:pStyle w:val="Heading3"/>
        <w:spacing w:before="281" w:after="281"/>
        <w:rPr>
          <w:rFonts w:ascii="Aptos" w:eastAsia="Aptos" w:hAnsi="Aptos" w:cs="Aptos"/>
          <w:color w:val="auto"/>
        </w:rPr>
      </w:pPr>
      <w:r w:rsidRPr="425FD9A6">
        <w:rPr>
          <w:rFonts w:ascii="Aptos" w:eastAsia="Aptos" w:hAnsi="Aptos" w:cs="Aptos"/>
          <w:color w:val="auto"/>
        </w:rPr>
        <w:t>Research design</w:t>
      </w:r>
    </w:p>
    <w:p w14:paraId="70E27B53" w14:textId="43F5856B" w:rsidR="70F96869" w:rsidRDefault="70F96869" w:rsidP="425FD9A6">
      <w:pPr>
        <w:pStyle w:val="Heading3"/>
        <w:spacing w:before="281" w:after="281"/>
        <w:rPr>
          <w:rFonts w:ascii="Aptos" w:eastAsia="Aptos" w:hAnsi="Aptos" w:cs="Aptos"/>
          <w:color w:val="auto"/>
          <w:sz w:val="24"/>
          <w:szCs w:val="24"/>
        </w:rPr>
      </w:pPr>
      <w:r w:rsidRPr="425FD9A6">
        <w:rPr>
          <w:rFonts w:ascii="Aptos" w:eastAsia="Aptos" w:hAnsi="Aptos" w:cs="Aptos"/>
          <w:color w:val="auto"/>
          <w:sz w:val="24"/>
          <w:szCs w:val="24"/>
        </w:rPr>
        <w:t xml:space="preserve">The study will use a quantitative, cross-sectional questionnaire to collect information from two groups: OAE students and members of the </w:t>
      </w:r>
      <w:r w:rsidR="084F4227" w:rsidRPr="425FD9A6">
        <w:rPr>
          <w:rFonts w:ascii="Aptos" w:eastAsia="Aptos" w:hAnsi="Aptos" w:cs="Aptos"/>
          <w:color w:val="auto"/>
          <w:sz w:val="24"/>
          <w:szCs w:val="24"/>
        </w:rPr>
        <w:t>public</w:t>
      </w:r>
      <w:r w:rsidRPr="425FD9A6">
        <w:rPr>
          <w:rFonts w:ascii="Aptos" w:eastAsia="Aptos" w:hAnsi="Aptos" w:cs="Aptos"/>
          <w:color w:val="auto"/>
          <w:sz w:val="24"/>
          <w:szCs w:val="24"/>
        </w:rPr>
        <w:t>. This approach is suitable because it allows responses to be collected within a limited period and makes it possible to compare patterns between groups. The questionnaire will mainly use closed questions and rating scales, with the option of including a small number of open-ended questions to explore participants' reasoning.</w:t>
      </w:r>
    </w:p>
    <w:p w14:paraId="6A438106" w14:textId="0F8B5AB8" w:rsidR="70F96869" w:rsidRDefault="70F96869" w:rsidP="425FD9A6">
      <w:pPr>
        <w:pStyle w:val="Heading3"/>
        <w:spacing w:before="281" w:after="281"/>
        <w:rPr>
          <w:rFonts w:ascii="Aptos" w:eastAsia="Aptos" w:hAnsi="Aptos" w:cs="Aptos"/>
          <w:color w:val="auto"/>
        </w:rPr>
      </w:pPr>
      <w:r w:rsidRPr="425FD9A6">
        <w:rPr>
          <w:rFonts w:ascii="Aptos" w:eastAsia="Aptos" w:hAnsi="Aptos" w:cs="Aptos"/>
          <w:color w:val="auto"/>
        </w:rPr>
        <w:t>Participants and sampling</w:t>
      </w:r>
    </w:p>
    <w:p w14:paraId="5EE3BA93" w14:textId="00E7FB79" w:rsidR="70F96869" w:rsidRDefault="70F96869" w:rsidP="425FD9A6">
      <w:pPr>
        <w:pStyle w:val="Heading3"/>
        <w:spacing w:before="281" w:after="281"/>
        <w:rPr>
          <w:rFonts w:ascii="Aptos" w:eastAsia="Aptos" w:hAnsi="Aptos" w:cs="Aptos"/>
          <w:color w:val="auto"/>
          <w:sz w:val="24"/>
          <w:szCs w:val="24"/>
        </w:rPr>
      </w:pPr>
      <w:r w:rsidRPr="425FD9A6">
        <w:rPr>
          <w:rFonts w:ascii="Aptos" w:eastAsia="Aptos" w:hAnsi="Aptos" w:cs="Aptos"/>
          <w:color w:val="auto"/>
          <w:sz w:val="24"/>
          <w:szCs w:val="24"/>
        </w:rPr>
        <w:t xml:space="preserve">Participants will be recruited from OAE students across different years of study at university and from the </w:t>
      </w:r>
      <w:r w:rsidR="7F74ECF4" w:rsidRPr="425FD9A6">
        <w:rPr>
          <w:rFonts w:ascii="Aptos" w:eastAsia="Aptos" w:hAnsi="Aptos" w:cs="Aptos"/>
          <w:color w:val="auto"/>
          <w:sz w:val="24"/>
          <w:szCs w:val="24"/>
        </w:rPr>
        <w:t>public</w:t>
      </w:r>
      <w:r w:rsidRPr="425FD9A6">
        <w:rPr>
          <w:rFonts w:ascii="Aptos" w:eastAsia="Aptos" w:hAnsi="Aptos" w:cs="Aptos"/>
          <w:color w:val="auto"/>
          <w:sz w:val="24"/>
          <w:szCs w:val="24"/>
        </w:rPr>
        <w:t>. Convenience sampling will be used because participants will be recruited through accessible university networks and appropriate public channels. Participation will be voluntary.</w:t>
      </w:r>
    </w:p>
    <w:p w14:paraId="5D8CF9CD" w14:textId="0A75F89D" w:rsidR="70F96869" w:rsidRDefault="70F96869" w:rsidP="425FD9A6">
      <w:pPr>
        <w:pStyle w:val="Heading3"/>
        <w:spacing w:before="281" w:after="281"/>
        <w:rPr>
          <w:rFonts w:ascii="Aptos" w:eastAsia="Aptos" w:hAnsi="Aptos" w:cs="Aptos"/>
          <w:color w:val="auto"/>
          <w:sz w:val="24"/>
          <w:szCs w:val="24"/>
        </w:rPr>
      </w:pPr>
      <w:r w:rsidRPr="425FD9A6">
        <w:rPr>
          <w:rFonts w:ascii="Aptos" w:eastAsia="Aptos" w:hAnsi="Aptos" w:cs="Aptos"/>
          <w:color w:val="auto"/>
          <w:sz w:val="24"/>
          <w:szCs w:val="24"/>
        </w:rPr>
        <w:t xml:space="preserve">A provisional target of </w:t>
      </w:r>
      <w:r w:rsidR="5BCAC440" w:rsidRPr="425FD9A6">
        <w:rPr>
          <w:rFonts w:ascii="Aptos" w:eastAsia="Aptos" w:hAnsi="Aptos" w:cs="Aptos"/>
          <w:color w:val="auto"/>
          <w:sz w:val="24"/>
          <w:szCs w:val="24"/>
        </w:rPr>
        <w:t>15-20</w:t>
      </w:r>
      <w:r w:rsidRPr="425FD9A6">
        <w:rPr>
          <w:rFonts w:ascii="Aptos" w:eastAsia="Aptos" w:hAnsi="Aptos" w:cs="Aptos"/>
          <w:color w:val="auto"/>
          <w:sz w:val="24"/>
          <w:szCs w:val="24"/>
        </w:rPr>
        <w:t xml:space="preserve"> participants from </w:t>
      </w:r>
      <w:r w:rsidR="2D089F54" w:rsidRPr="425FD9A6">
        <w:rPr>
          <w:rFonts w:ascii="Aptos" w:eastAsia="Aptos" w:hAnsi="Aptos" w:cs="Aptos"/>
          <w:color w:val="auto"/>
          <w:sz w:val="24"/>
          <w:szCs w:val="24"/>
        </w:rPr>
        <w:t xml:space="preserve">both </w:t>
      </w:r>
      <w:r w:rsidR="13A46BA0" w:rsidRPr="425FD9A6">
        <w:rPr>
          <w:rFonts w:ascii="Aptos" w:eastAsia="Aptos" w:hAnsi="Aptos" w:cs="Aptos"/>
          <w:color w:val="auto"/>
          <w:sz w:val="24"/>
          <w:szCs w:val="24"/>
        </w:rPr>
        <w:t>OAE students and the public</w:t>
      </w:r>
      <w:r w:rsidRPr="425FD9A6">
        <w:rPr>
          <w:rFonts w:ascii="Aptos" w:eastAsia="Aptos" w:hAnsi="Aptos" w:cs="Aptos"/>
          <w:color w:val="auto"/>
          <w:sz w:val="24"/>
          <w:szCs w:val="24"/>
        </w:rPr>
        <w:t xml:space="preserve"> will be considered, depending on recruitment opportunities and the time available. The final sample size will be agreed with </w:t>
      </w:r>
      <w:r w:rsidR="65C7D15C" w:rsidRPr="425FD9A6">
        <w:rPr>
          <w:rFonts w:ascii="Aptos" w:eastAsia="Aptos" w:hAnsi="Aptos" w:cs="Aptos"/>
          <w:color w:val="auto"/>
          <w:sz w:val="24"/>
          <w:szCs w:val="24"/>
        </w:rPr>
        <w:t xml:space="preserve">my </w:t>
      </w:r>
      <w:r w:rsidRPr="425FD9A6">
        <w:rPr>
          <w:rFonts w:ascii="Aptos" w:eastAsia="Aptos" w:hAnsi="Aptos" w:cs="Aptos"/>
          <w:color w:val="auto"/>
          <w:sz w:val="24"/>
          <w:szCs w:val="24"/>
        </w:rPr>
        <w:t xml:space="preserve">dissertation </w:t>
      </w:r>
      <w:r w:rsidR="3426BBEC" w:rsidRPr="425FD9A6">
        <w:rPr>
          <w:rFonts w:ascii="Aptos" w:eastAsia="Aptos" w:hAnsi="Aptos" w:cs="Aptos"/>
          <w:color w:val="auto"/>
          <w:sz w:val="24"/>
          <w:szCs w:val="24"/>
        </w:rPr>
        <w:t>supervisor</w:t>
      </w:r>
      <w:r w:rsidRPr="425FD9A6">
        <w:rPr>
          <w:rFonts w:ascii="Aptos" w:eastAsia="Aptos" w:hAnsi="Aptos" w:cs="Aptos"/>
          <w:color w:val="auto"/>
          <w:sz w:val="24"/>
          <w:szCs w:val="24"/>
        </w:rPr>
        <w:t>. Participants will be adults aged 18 or over. Relevant background information, such as age range, year of OAE study where applicable and frequency of social media use, will be collected to help interpret the results.</w:t>
      </w:r>
    </w:p>
    <w:p w14:paraId="1DC31884" w14:textId="7E71CE71" w:rsidR="70F96869" w:rsidRDefault="70F96869" w:rsidP="425FD9A6">
      <w:pPr>
        <w:pStyle w:val="Heading3"/>
        <w:spacing w:before="281" w:after="281"/>
        <w:rPr>
          <w:rFonts w:ascii="Aptos" w:eastAsia="Aptos" w:hAnsi="Aptos" w:cs="Aptos"/>
          <w:color w:val="auto"/>
        </w:rPr>
      </w:pPr>
      <w:r w:rsidRPr="425FD9A6">
        <w:rPr>
          <w:rFonts w:ascii="Aptos" w:eastAsia="Aptos" w:hAnsi="Aptos" w:cs="Aptos"/>
          <w:color w:val="auto"/>
        </w:rPr>
        <w:t>Questionnaire design and procedure</w:t>
      </w:r>
    </w:p>
    <w:p w14:paraId="04EB1793" w14:textId="337D0AE0" w:rsidR="70F96869" w:rsidRDefault="70F96869" w:rsidP="425FD9A6">
      <w:pPr>
        <w:spacing w:before="240" w:after="240"/>
        <w:rPr>
          <w:rFonts w:ascii="Aptos" w:eastAsia="Aptos" w:hAnsi="Aptos" w:cs="Aptos"/>
        </w:rPr>
      </w:pPr>
      <w:r w:rsidRPr="425FD9A6">
        <w:rPr>
          <w:rFonts w:ascii="Aptos" w:eastAsia="Aptos" w:hAnsi="Aptos" w:cs="Aptos"/>
        </w:rPr>
        <w:t>The questionnaire will be developed using the research question and existing literature on authority and online credibility. Questions will explore how often participants use social media, whether they trust advice from people with professional qualifications, and whether popularity indicators influence their judgements.</w:t>
      </w:r>
    </w:p>
    <w:p w14:paraId="6AB86FA3" w14:textId="0AD75559" w:rsidR="70F96869" w:rsidRDefault="70F96869" w:rsidP="425FD9A6">
      <w:pPr>
        <w:spacing w:before="240" w:after="240"/>
        <w:rPr>
          <w:rFonts w:ascii="Aptos" w:eastAsia="Aptos" w:hAnsi="Aptos" w:cs="Aptos"/>
        </w:rPr>
      </w:pPr>
      <w:r w:rsidRPr="425FD9A6">
        <w:rPr>
          <w:rFonts w:ascii="Aptos" w:eastAsia="Aptos" w:hAnsi="Aptos" w:cs="Aptos"/>
        </w:rPr>
        <w:t>Participants may be asked to rate statements using a five-point scale, from strongly disagree to strongly agree. Example statements include:</w:t>
      </w:r>
    </w:p>
    <w:p w14:paraId="51653382" w14:textId="2D7FA6BD" w:rsidR="70F96869" w:rsidRDefault="70F96869" w:rsidP="425FD9A6">
      <w:pPr>
        <w:pStyle w:val="ListParagraph"/>
        <w:numPr>
          <w:ilvl w:val="0"/>
          <w:numId w:val="2"/>
        </w:numPr>
        <w:spacing w:before="240" w:after="240"/>
        <w:rPr>
          <w:rFonts w:ascii="Aptos" w:eastAsia="Aptos" w:hAnsi="Aptos" w:cs="Aptos"/>
        </w:rPr>
      </w:pPr>
      <w:r w:rsidRPr="425FD9A6">
        <w:rPr>
          <w:rFonts w:ascii="Aptos" w:eastAsia="Aptos" w:hAnsi="Aptos" w:cs="Aptos"/>
        </w:rPr>
        <w:t>I am more likely to trust information if it comes from someone with professional qualifications.</w:t>
      </w:r>
    </w:p>
    <w:p w14:paraId="6AE1141C" w14:textId="3601FF2D" w:rsidR="70F96869" w:rsidRDefault="70F96869" w:rsidP="425FD9A6">
      <w:pPr>
        <w:pStyle w:val="ListParagraph"/>
        <w:numPr>
          <w:ilvl w:val="0"/>
          <w:numId w:val="2"/>
        </w:numPr>
        <w:spacing w:before="240" w:after="240"/>
        <w:rPr>
          <w:rFonts w:ascii="Aptos" w:eastAsia="Aptos" w:hAnsi="Aptos" w:cs="Aptos"/>
        </w:rPr>
      </w:pPr>
      <w:r w:rsidRPr="425FD9A6">
        <w:rPr>
          <w:rFonts w:ascii="Aptos" w:eastAsia="Aptos" w:hAnsi="Aptos" w:cs="Aptos"/>
        </w:rPr>
        <w:t>A social media account with a large following is more likely to provide reliable information.</w:t>
      </w:r>
    </w:p>
    <w:p w14:paraId="0FC4BE08" w14:textId="6C0EB1F2" w:rsidR="70F96869" w:rsidRDefault="70F96869" w:rsidP="425FD9A6">
      <w:pPr>
        <w:pStyle w:val="ListParagraph"/>
        <w:numPr>
          <w:ilvl w:val="0"/>
          <w:numId w:val="2"/>
        </w:numPr>
        <w:spacing w:before="240" w:after="240"/>
        <w:rPr>
          <w:rFonts w:ascii="Aptos" w:eastAsia="Aptos" w:hAnsi="Aptos" w:cs="Aptos"/>
        </w:rPr>
      </w:pPr>
      <w:r w:rsidRPr="425FD9A6">
        <w:rPr>
          <w:rFonts w:ascii="Aptos" w:eastAsia="Aptos" w:hAnsi="Aptos" w:cs="Aptos"/>
        </w:rPr>
        <w:t xml:space="preserve">I check the evidence behind advice even when it comes from </w:t>
      </w:r>
      <w:r w:rsidR="4967545D" w:rsidRPr="425FD9A6">
        <w:rPr>
          <w:rFonts w:ascii="Aptos" w:eastAsia="Aptos" w:hAnsi="Aptos" w:cs="Aptos"/>
        </w:rPr>
        <w:t>someone,</w:t>
      </w:r>
      <w:r w:rsidRPr="425FD9A6">
        <w:rPr>
          <w:rFonts w:ascii="Aptos" w:eastAsia="Aptos" w:hAnsi="Aptos" w:cs="Aptos"/>
        </w:rPr>
        <w:t xml:space="preserve"> I consider an expert.</w:t>
      </w:r>
    </w:p>
    <w:p w14:paraId="1201E6F3" w14:textId="009E4057" w:rsidR="70F96869" w:rsidRDefault="70F96869" w:rsidP="425FD9A6">
      <w:pPr>
        <w:spacing w:before="240" w:after="240"/>
        <w:rPr>
          <w:rFonts w:ascii="Aptos" w:eastAsia="Aptos" w:hAnsi="Aptos" w:cs="Aptos"/>
        </w:rPr>
      </w:pPr>
      <w:r w:rsidRPr="425FD9A6">
        <w:rPr>
          <w:rFonts w:ascii="Aptos" w:eastAsia="Aptos" w:hAnsi="Aptos" w:cs="Aptos"/>
        </w:rPr>
        <w:lastRenderedPageBreak/>
        <w:t>The questionnaire may also include a short fictional scenario in which similar advice is presented by people with different qualifications or follower counts. This would help explore whether the perceived source affects participants' judgements.</w:t>
      </w:r>
    </w:p>
    <w:p w14:paraId="2E43FA30" w14:textId="2D2A76F2" w:rsidR="70F96869" w:rsidRDefault="70F96869" w:rsidP="425FD9A6">
      <w:pPr>
        <w:spacing w:before="240" w:after="240"/>
        <w:rPr>
          <w:rFonts w:ascii="Aptos" w:eastAsia="Aptos" w:hAnsi="Aptos" w:cs="Aptos"/>
        </w:rPr>
      </w:pPr>
      <w:r w:rsidRPr="425FD9A6">
        <w:rPr>
          <w:rFonts w:ascii="Aptos" w:eastAsia="Aptos" w:hAnsi="Aptos" w:cs="Aptos"/>
        </w:rPr>
        <w:t>The questionnaire will be piloted with a small number of people to check that the questions are clear and unbiased. Following ethical approval, it will be distributed using an appropriate online form or printed copies. Participants will receive information about the study and provide informed consent before taking part.</w:t>
      </w:r>
    </w:p>
    <w:p w14:paraId="54330A52" w14:textId="6D0DFA7C" w:rsidR="70F96869" w:rsidRDefault="70F96869" w:rsidP="425FD9A6">
      <w:pPr>
        <w:pStyle w:val="Heading3"/>
        <w:spacing w:before="281" w:after="281"/>
        <w:rPr>
          <w:rFonts w:ascii="Aptos" w:eastAsia="Aptos" w:hAnsi="Aptos" w:cs="Aptos"/>
          <w:color w:val="auto"/>
        </w:rPr>
      </w:pPr>
      <w:r w:rsidRPr="425FD9A6">
        <w:rPr>
          <w:rFonts w:ascii="Aptos" w:eastAsia="Aptos" w:hAnsi="Aptos" w:cs="Aptos"/>
          <w:color w:val="auto"/>
        </w:rPr>
        <w:t>Ethical considerations</w:t>
      </w:r>
    </w:p>
    <w:p w14:paraId="4F75E750" w14:textId="314E6CB9" w:rsidR="70F96869" w:rsidRDefault="70F96869" w:rsidP="425FD9A6">
      <w:pPr>
        <w:spacing w:before="240" w:after="240"/>
        <w:rPr>
          <w:rFonts w:ascii="Aptos" w:eastAsia="Aptos" w:hAnsi="Aptos" w:cs="Aptos"/>
        </w:rPr>
      </w:pPr>
      <w:r w:rsidRPr="425FD9A6">
        <w:rPr>
          <w:rFonts w:ascii="Aptos" w:eastAsia="Aptos" w:hAnsi="Aptos" w:cs="Aptos"/>
        </w:rPr>
        <w:t>Ethical approval will be obtained from the university before recruitment or data collection begins. Participation will be voluntary, and participants will be informed about the purpose of the research, how their responses will be used and how their data will be stored. The questionnaire will avoid collecting unnecessary identifying information. Data will be handled in line with university guidance and applicable data protection requirements. Any limits to withdrawing an anonymous response after submission will be explained in advance.</w:t>
      </w:r>
    </w:p>
    <w:p w14:paraId="286C467D" w14:textId="1932B447" w:rsidR="70F96869" w:rsidRDefault="70F96869" w:rsidP="425FD9A6">
      <w:pPr>
        <w:pStyle w:val="Heading2"/>
        <w:spacing w:before="299" w:after="299"/>
        <w:rPr>
          <w:rFonts w:asciiTheme="minorHAnsi" w:eastAsiaTheme="minorEastAsia" w:hAnsiTheme="minorHAnsi" w:cstheme="minorBidi"/>
          <w:color w:val="auto"/>
          <w:sz w:val="28"/>
          <w:szCs w:val="28"/>
        </w:rPr>
      </w:pPr>
      <w:r w:rsidRPr="425FD9A6">
        <w:rPr>
          <w:rFonts w:asciiTheme="minorHAnsi" w:eastAsiaTheme="minorEastAsia" w:hAnsiTheme="minorHAnsi" w:cstheme="minorBidi"/>
          <w:color w:val="auto"/>
          <w:sz w:val="28"/>
          <w:szCs w:val="28"/>
        </w:rPr>
        <w:t>Data Analysis</w:t>
      </w:r>
    </w:p>
    <w:p w14:paraId="65506898" w14:textId="3F8A807F" w:rsidR="70F96869" w:rsidRDefault="70F96869" w:rsidP="425FD9A6">
      <w:pPr>
        <w:spacing w:before="240" w:after="240"/>
        <w:rPr>
          <w:rFonts w:ascii="Aptos" w:eastAsia="Aptos" w:hAnsi="Aptos" w:cs="Aptos"/>
        </w:rPr>
      </w:pPr>
      <w:r w:rsidRPr="425FD9A6">
        <w:rPr>
          <w:rFonts w:ascii="Aptos" w:eastAsia="Aptos" w:hAnsi="Aptos" w:cs="Aptos"/>
        </w:rPr>
        <w:t>The questionnaire responses will be organised using Excel or another suitable statistical package. Descriptive statistics, including frequencies and percentages, will be used to summarise the responses. Where appropriate, averages or medians will be calculated for rating-scale questions.</w:t>
      </w:r>
    </w:p>
    <w:p w14:paraId="56494A84" w14:textId="4FA62856" w:rsidR="70F96869" w:rsidRDefault="70F96869" w:rsidP="425FD9A6">
      <w:pPr>
        <w:spacing w:before="240" w:after="240"/>
        <w:rPr>
          <w:rFonts w:ascii="Aptos" w:eastAsia="Aptos" w:hAnsi="Aptos" w:cs="Aptos"/>
        </w:rPr>
      </w:pPr>
      <w:r w:rsidRPr="425FD9A6">
        <w:rPr>
          <w:rFonts w:ascii="Aptos" w:eastAsia="Aptos" w:hAnsi="Aptos" w:cs="Aptos"/>
        </w:rPr>
        <w:t>The OAE student group and public group will then be compared to identify similarities and differences in their responses. Results could be presented through tables and graphs showing attitudes towards professional qualifications, online popularity and checking information.</w:t>
      </w:r>
    </w:p>
    <w:p w14:paraId="3C851F74" w14:textId="34EF6863" w:rsidR="70F96869" w:rsidRDefault="70F96869" w:rsidP="425FD9A6">
      <w:pPr>
        <w:spacing w:before="240" w:after="240"/>
      </w:pPr>
      <w:r w:rsidRPr="425FD9A6">
        <w:rPr>
          <w:rFonts w:ascii="Aptos" w:eastAsia="Aptos" w:hAnsi="Aptos" w:cs="Aptos"/>
        </w:rPr>
        <w:t>Any open-ended responses will be grouped into recurring themes, such as trust in qualifications, popularity, personal experience or factchecking. These themes will help explain the patterns found in the numerical results.</w:t>
      </w:r>
    </w:p>
    <w:p w14:paraId="43CF3E82" w14:textId="62DE7335" w:rsidR="70F96869" w:rsidRDefault="70F96869" w:rsidP="425FD9A6">
      <w:pPr>
        <w:spacing w:before="240" w:after="240"/>
      </w:pPr>
      <w:r w:rsidRPr="425FD9A6">
        <w:rPr>
          <w:rFonts w:ascii="Aptos" w:eastAsia="Aptos" w:hAnsi="Aptos" w:cs="Aptos"/>
        </w:rPr>
        <w:t>Finally, the findings will be compared with existing research on authority bias, social influence and online credibility. This will help establish whether the results support or differ from previous findings. As the research relies on a questionnaire, the findings will show reported attitudes and possible associations rather than prove that social media causes authority bias.</w:t>
      </w:r>
    </w:p>
    <w:p w14:paraId="673438A7" w14:textId="606F33A4" w:rsidR="425FD9A6" w:rsidRDefault="425FD9A6" w:rsidP="425FD9A6">
      <w:pPr>
        <w:spacing w:before="240" w:after="240"/>
        <w:rPr>
          <w:rFonts w:ascii="Aptos" w:eastAsia="Aptos" w:hAnsi="Aptos" w:cs="Aptos"/>
          <w:sz w:val="28"/>
          <w:szCs w:val="28"/>
        </w:rPr>
      </w:pPr>
    </w:p>
    <w:p w14:paraId="46A263D1" w14:textId="76850D3C" w:rsidR="7E9E1C96" w:rsidRDefault="7E9E1C96" w:rsidP="425FD9A6">
      <w:pPr>
        <w:spacing w:before="240" w:after="240"/>
      </w:pPr>
      <w:r w:rsidRPr="425FD9A6">
        <w:rPr>
          <w:rFonts w:ascii="Aptos" w:eastAsia="Aptos" w:hAnsi="Aptos" w:cs="Aptos"/>
          <w:sz w:val="28"/>
          <w:szCs w:val="28"/>
        </w:rPr>
        <w:lastRenderedPageBreak/>
        <w:t>Timetable</w:t>
      </w:r>
    </w:p>
    <w:p w14:paraId="50BFCDF6" w14:textId="6B90F8DF" w:rsidR="7E9E1C96" w:rsidRDefault="7E9E1C96" w:rsidP="425FD9A6">
      <w:pPr>
        <w:spacing w:before="240" w:after="240"/>
      </w:pPr>
      <w:r w:rsidRPr="425FD9A6">
        <w:rPr>
          <w:rFonts w:ascii="Aptos" w:eastAsia="Aptos" w:hAnsi="Aptos" w:cs="Aptos"/>
          <w:sz w:val="28"/>
          <w:szCs w:val="28"/>
        </w:rPr>
        <w:t xml:space="preserve"> </w:t>
      </w:r>
    </w:p>
    <w:tbl>
      <w:tblPr>
        <w:tblW w:w="0" w:type="auto"/>
        <w:tblInd w:w="-210" w:type="dxa"/>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1777"/>
        <w:gridCol w:w="7429"/>
      </w:tblGrid>
      <w:tr w:rsidR="425FD9A6" w14:paraId="1DB1F33B" w14:textId="77777777" w:rsidTr="425FD9A6">
        <w:trPr>
          <w:trHeight w:val="300"/>
        </w:trPr>
        <w:tc>
          <w:tcPr>
            <w:tcW w:w="1815" w:type="dxa"/>
            <w:vAlign w:val="center"/>
          </w:tcPr>
          <w:p w14:paraId="369FF273" w14:textId="2FB9C312" w:rsidR="159657C1" w:rsidRDefault="159657C1" w:rsidP="425FD9A6">
            <w:pPr>
              <w:spacing w:after="0"/>
              <w:jc w:val="center"/>
            </w:pPr>
            <w:r>
              <w:t xml:space="preserve">Start </w:t>
            </w:r>
            <w:r w:rsidR="3ECA10E7">
              <w:t>Date</w:t>
            </w:r>
          </w:p>
        </w:tc>
        <w:tc>
          <w:tcPr>
            <w:tcW w:w="7896" w:type="dxa"/>
            <w:vAlign w:val="center"/>
          </w:tcPr>
          <w:p w14:paraId="6AC1F26B" w14:textId="134CA325" w:rsidR="425FD9A6" w:rsidRDefault="425FD9A6" w:rsidP="425FD9A6">
            <w:pPr>
              <w:spacing w:after="0"/>
              <w:jc w:val="center"/>
            </w:pPr>
            <w:r>
              <w:t>Planned activity</w:t>
            </w:r>
          </w:p>
        </w:tc>
      </w:tr>
      <w:tr w:rsidR="425FD9A6" w14:paraId="22A33380" w14:textId="77777777" w:rsidTr="425FD9A6">
        <w:trPr>
          <w:trHeight w:val="300"/>
        </w:trPr>
        <w:tc>
          <w:tcPr>
            <w:tcW w:w="1815" w:type="dxa"/>
            <w:vAlign w:val="center"/>
          </w:tcPr>
          <w:p w14:paraId="3DFFDAC9" w14:textId="4BDA21EF" w:rsidR="4DD88B3D" w:rsidRDefault="4DD88B3D" w:rsidP="425FD9A6">
            <w:pPr>
              <w:spacing w:after="0"/>
            </w:pPr>
            <w:r>
              <w:t>26</w:t>
            </w:r>
            <w:r w:rsidRPr="425FD9A6">
              <w:rPr>
                <w:vertAlign w:val="superscript"/>
              </w:rPr>
              <w:t>th</w:t>
            </w:r>
            <w:r>
              <w:t xml:space="preserve"> October</w:t>
            </w:r>
          </w:p>
        </w:tc>
        <w:tc>
          <w:tcPr>
            <w:tcW w:w="7896" w:type="dxa"/>
            <w:vAlign w:val="center"/>
          </w:tcPr>
          <w:p w14:paraId="57BFA344" w14:textId="061024FE" w:rsidR="425FD9A6" w:rsidRDefault="425FD9A6" w:rsidP="425FD9A6">
            <w:pPr>
              <w:spacing w:after="0"/>
            </w:pPr>
            <w:r>
              <w:t>Refine the research question and review literature on authority bias, social media and credibility.</w:t>
            </w:r>
          </w:p>
        </w:tc>
      </w:tr>
      <w:tr w:rsidR="425FD9A6" w14:paraId="44A581FD" w14:textId="77777777" w:rsidTr="425FD9A6">
        <w:trPr>
          <w:trHeight w:val="555"/>
        </w:trPr>
        <w:tc>
          <w:tcPr>
            <w:tcW w:w="1815" w:type="dxa"/>
            <w:vAlign w:val="center"/>
          </w:tcPr>
          <w:p w14:paraId="38087953" w14:textId="1B97E5C3" w:rsidR="257A9040" w:rsidRDefault="257A9040" w:rsidP="425FD9A6">
            <w:pPr>
              <w:spacing w:after="0"/>
            </w:pPr>
            <w:r>
              <w:t>31</w:t>
            </w:r>
            <w:r w:rsidRPr="425FD9A6">
              <w:rPr>
                <w:vertAlign w:val="superscript"/>
              </w:rPr>
              <w:t>st</w:t>
            </w:r>
            <w:r>
              <w:t xml:space="preserve"> October</w:t>
            </w:r>
          </w:p>
        </w:tc>
        <w:tc>
          <w:tcPr>
            <w:tcW w:w="7896" w:type="dxa"/>
            <w:vAlign w:val="center"/>
          </w:tcPr>
          <w:p w14:paraId="0D7BA08F" w14:textId="273E4560" w:rsidR="425FD9A6" w:rsidRDefault="425FD9A6" w:rsidP="425FD9A6">
            <w:pPr>
              <w:spacing w:after="0"/>
            </w:pPr>
            <w:r>
              <w:t>Finalise the methodology, design the questionnaire and submit the ethics application.</w:t>
            </w:r>
          </w:p>
        </w:tc>
      </w:tr>
      <w:tr w:rsidR="425FD9A6" w14:paraId="274879B5" w14:textId="77777777" w:rsidTr="425FD9A6">
        <w:trPr>
          <w:trHeight w:val="300"/>
        </w:trPr>
        <w:tc>
          <w:tcPr>
            <w:tcW w:w="1815" w:type="dxa"/>
            <w:vAlign w:val="center"/>
          </w:tcPr>
          <w:p w14:paraId="5B7590E6" w14:textId="335E5CBB" w:rsidR="76CFC039" w:rsidRDefault="76CFC039" w:rsidP="425FD9A6">
            <w:pPr>
              <w:spacing w:after="0"/>
            </w:pPr>
            <w:r>
              <w:t>20</w:t>
            </w:r>
            <w:r w:rsidRPr="425FD9A6">
              <w:rPr>
                <w:vertAlign w:val="superscript"/>
              </w:rPr>
              <w:t>th</w:t>
            </w:r>
            <w:r>
              <w:t xml:space="preserve"> November</w:t>
            </w:r>
          </w:p>
        </w:tc>
        <w:tc>
          <w:tcPr>
            <w:tcW w:w="7896" w:type="dxa"/>
            <w:vAlign w:val="center"/>
          </w:tcPr>
          <w:p w14:paraId="1B2493F1" w14:textId="218DF38D" w:rsidR="425FD9A6" w:rsidRDefault="425FD9A6" w:rsidP="425FD9A6">
            <w:pPr>
              <w:spacing w:after="0"/>
            </w:pPr>
            <w:r>
              <w:t>Complete the introduction, rationale, aims and objectives.</w:t>
            </w:r>
          </w:p>
        </w:tc>
      </w:tr>
      <w:tr w:rsidR="425FD9A6" w14:paraId="737EAF28" w14:textId="77777777" w:rsidTr="425FD9A6">
        <w:trPr>
          <w:trHeight w:val="300"/>
        </w:trPr>
        <w:tc>
          <w:tcPr>
            <w:tcW w:w="1815" w:type="dxa"/>
            <w:vAlign w:val="center"/>
          </w:tcPr>
          <w:p w14:paraId="1A1DB94A" w14:textId="2ABF91B1" w:rsidR="722B18D5" w:rsidRDefault="722B18D5" w:rsidP="425FD9A6">
            <w:pPr>
              <w:spacing w:after="0"/>
            </w:pPr>
            <w:r>
              <w:t>21</w:t>
            </w:r>
            <w:r w:rsidRPr="425FD9A6">
              <w:rPr>
                <w:vertAlign w:val="superscript"/>
              </w:rPr>
              <w:t>st</w:t>
            </w:r>
            <w:r>
              <w:t xml:space="preserve"> November</w:t>
            </w:r>
          </w:p>
        </w:tc>
        <w:tc>
          <w:tcPr>
            <w:tcW w:w="7896" w:type="dxa"/>
            <w:vAlign w:val="center"/>
          </w:tcPr>
          <w:p w14:paraId="00EF654A" w14:textId="01122829" w:rsidR="425FD9A6" w:rsidRDefault="425FD9A6" w:rsidP="425FD9A6">
            <w:pPr>
              <w:spacing w:after="0"/>
            </w:pPr>
            <w:r>
              <w:t>Review feedback, pilot the questionnaire and make any necessary changes after approval.</w:t>
            </w:r>
          </w:p>
        </w:tc>
      </w:tr>
      <w:tr w:rsidR="425FD9A6" w14:paraId="2D6CCED1" w14:textId="77777777" w:rsidTr="425FD9A6">
        <w:trPr>
          <w:trHeight w:val="300"/>
        </w:trPr>
        <w:tc>
          <w:tcPr>
            <w:tcW w:w="1815" w:type="dxa"/>
            <w:vAlign w:val="center"/>
          </w:tcPr>
          <w:p w14:paraId="2E03DF18" w14:textId="2265F790" w:rsidR="161ADC30" w:rsidRDefault="161ADC30" w:rsidP="425FD9A6">
            <w:pPr>
              <w:spacing w:after="0"/>
            </w:pPr>
            <w:r>
              <w:t>22</w:t>
            </w:r>
            <w:r w:rsidRPr="425FD9A6">
              <w:rPr>
                <w:vertAlign w:val="superscript"/>
              </w:rPr>
              <w:t>nd</w:t>
            </w:r>
            <w:r>
              <w:t xml:space="preserve"> Novembe</w:t>
            </w:r>
            <w:r w:rsidR="085425FA">
              <w:t>r 22</w:t>
            </w:r>
            <w:r w:rsidR="085425FA" w:rsidRPr="425FD9A6">
              <w:rPr>
                <w:vertAlign w:val="superscript"/>
              </w:rPr>
              <w:t>nd</w:t>
            </w:r>
            <w:r w:rsidR="085425FA">
              <w:t xml:space="preserve"> December</w:t>
            </w:r>
          </w:p>
        </w:tc>
        <w:tc>
          <w:tcPr>
            <w:tcW w:w="7896" w:type="dxa"/>
            <w:vAlign w:val="center"/>
          </w:tcPr>
          <w:p w14:paraId="15A3491E" w14:textId="4625EAAF" w:rsidR="425FD9A6" w:rsidRDefault="425FD9A6" w:rsidP="425FD9A6">
            <w:pPr>
              <w:spacing w:after="0"/>
            </w:pPr>
            <w:r>
              <w:t>Recruit participants and collect questionnaire responses.</w:t>
            </w:r>
          </w:p>
        </w:tc>
      </w:tr>
      <w:tr w:rsidR="425FD9A6" w14:paraId="3EB53BA9" w14:textId="77777777" w:rsidTr="425FD9A6">
        <w:trPr>
          <w:trHeight w:val="300"/>
        </w:trPr>
        <w:tc>
          <w:tcPr>
            <w:tcW w:w="1815" w:type="dxa"/>
            <w:vAlign w:val="center"/>
          </w:tcPr>
          <w:p w14:paraId="6B62444C" w14:textId="386F91C6" w:rsidR="20DD090E" w:rsidRDefault="20DD090E" w:rsidP="425FD9A6">
            <w:pPr>
              <w:spacing w:after="0"/>
            </w:pPr>
            <w:r>
              <w:t>1</w:t>
            </w:r>
            <w:r w:rsidR="1A0786F3" w:rsidRPr="425FD9A6">
              <w:rPr>
                <w:vertAlign w:val="superscript"/>
              </w:rPr>
              <w:t>st</w:t>
            </w:r>
            <w:r>
              <w:t xml:space="preserve"> January </w:t>
            </w:r>
          </w:p>
        </w:tc>
        <w:tc>
          <w:tcPr>
            <w:tcW w:w="7896" w:type="dxa"/>
            <w:vAlign w:val="center"/>
          </w:tcPr>
          <w:p w14:paraId="419A8A05" w14:textId="05E22EAC" w:rsidR="425FD9A6" w:rsidRDefault="425FD9A6" w:rsidP="425FD9A6">
            <w:pPr>
              <w:spacing w:after="0"/>
            </w:pPr>
            <w:r>
              <w:t>Organise the data and complete the initial analysis.</w:t>
            </w:r>
          </w:p>
        </w:tc>
      </w:tr>
      <w:tr w:rsidR="425FD9A6" w14:paraId="29CE1815" w14:textId="77777777" w:rsidTr="425FD9A6">
        <w:trPr>
          <w:trHeight w:val="300"/>
        </w:trPr>
        <w:tc>
          <w:tcPr>
            <w:tcW w:w="1815" w:type="dxa"/>
            <w:vAlign w:val="center"/>
          </w:tcPr>
          <w:p w14:paraId="25C35892" w14:textId="75EF1630" w:rsidR="219F0D7B" w:rsidRDefault="219F0D7B" w:rsidP="425FD9A6">
            <w:pPr>
              <w:spacing w:after="0"/>
            </w:pPr>
            <w:r>
              <w:t>5</w:t>
            </w:r>
            <w:r w:rsidRPr="425FD9A6">
              <w:rPr>
                <w:vertAlign w:val="superscript"/>
              </w:rPr>
              <w:t>th</w:t>
            </w:r>
            <w:r>
              <w:t xml:space="preserve"> January</w:t>
            </w:r>
          </w:p>
        </w:tc>
        <w:tc>
          <w:tcPr>
            <w:tcW w:w="7896" w:type="dxa"/>
            <w:vAlign w:val="center"/>
          </w:tcPr>
          <w:p w14:paraId="13C4321F" w14:textId="2BAC0532" w:rsidR="425FD9A6" w:rsidRDefault="425FD9A6" w:rsidP="425FD9A6">
            <w:pPr>
              <w:spacing w:after="0"/>
            </w:pPr>
            <w:r>
              <w:t>Compare the groups and relate findings to existing research.</w:t>
            </w:r>
          </w:p>
        </w:tc>
      </w:tr>
      <w:tr w:rsidR="425FD9A6" w14:paraId="374FC82D" w14:textId="77777777" w:rsidTr="425FD9A6">
        <w:trPr>
          <w:trHeight w:val="300"/>
        </w:trPr>
        <w:tc>
          <w:tcPr>
            <w:tcW w:w="1815" w:type="dxa"/>
            <w:vAlign w:val="center"/>
          </w:tcPr>
          <w:p w14:paraId="261CA6A9" w14:textId="73C14F0B" w:rsidR="139213A0" w:rsidRDefault="139213A0" w:rsidP="425FD9A6">
            <w:pPr>
              <w:spacing w:after="0"/>
            </w:pPr>
            <w:r>
              <w:t>10</w:t>
            </w:r>
            <w:r w:rsidRPr="425FD9A6">
              <w:rPr>
                <w:vertAlign w:val="superscript"/>
              </w:rPr>
              <w:t>th</w:t>
            </w:r>
            <w:r>
              <w:t xml:space="preserve"> January</w:t>
            </w:r>
          </w:p>
        </w:tc>
        <w:tc>
          <w:tcPr>
            <w:tcW w:w="7896" w:type="dxa"/>
            <w:vAlign w:val="center"/>
          </w:tcPr>
          <w:p w14:paraId="0AED30D9" w14:textId="047D9778" w:rsidR="425FD9A6" w:rsidRDefault="425FD9A6" w:rsidP="425FD9A6">
            <w:pPr>
              <w:spacing w:after="0"/>
            </w:pPr>
            <w:r>
              <w:t>Write up the discussion, conclusion and remaining dissertation sections.</w:t>
            </w:r>
          </w:p>
        </w:tc>
      </w:tr>
      <w:tr w:rsidR="425FD9A6" w14:paraId="71153CA5" w14:textId="77777777" w:rsidTr="425FD9A6">
        <w:trPr>
          <w:trHeight w:val="300"/>
        </w:trPr>
        <w:tc>
          <w:tcPr>
            <w:tcW w:w="1815" w:type="dxa"/>
            <w:vAlign w:val="center"/>
          </w:tcPr>
          <w:p w14:paraId="1D81276E" w14:textId="13936EBA" w:rsidR="61672AA3" w:rsidRDefault="61672AA3" w:rsidP="425FD9A6">
            <w:pPr>
              <w:spacing w:after="0"/>
            </w:pPr>
            <w:r>
              <w:t>30</w:t>
            </w:r>
            <w:r w:rsidRPr="425FD9A6">
              <w:rPr>
                <w:vertAlign w:val="superscript"/>
              </w:rPr>
              <w:t>th</w:t>
            </w:r>
            <w:r>
              <w:t xml:space="preserve"> March</w:t>
            </w:r>
          </w:p>
        </w:tc>
        <w:tc>
          <w:tcPr>
            <w:tcW w:w="7896" w:type="dxa"/>
            <w:vAlign w:val="center"/>
          </w:tcPr>
          <w:p w14:paraId="37F5B262" w14:textId="5139321A" w:rsidR="425FD9A6" w:rsidRDefault="425FD9A6" w:rsidP="425FD9A6">
            <w:pPr>
              <w:spacing w:after="0"/>
            </w:pPr>
            <w:r>
              <w:t>Review the full dissertation, check Harvard referencing, proofread and prepare the final submission.</w:t>
            </w:r>
          </w:p>
        </w:tc>
      </w:tr>
    </w:tbl>
    <w:p w14:paraId="5076C313" w14:textId="502C51AA" w:rsidR="425FD9A6" w:rsidRDefault="425FD9A6" w:rsidP="425FD9A6">
      <w:pPr>
        <w:spacing w:before="240" w:after="240"/>
        <w:rPr>
          <w:rFonts w:ascii="Aptos" w:eastAsia="Aptos" w:hAnsi="Aptos" w:cs="Aptos"/>
          <w:sz w:val="28"/>
          <w:szCs w:val="28"/>
        </w:rPr>
      </w:pPr>
    </w:p>
    <w:p w14:paraId="3F4DF261" w14:textId="567D09B3" w:rsidR="425FD9A6" w:rsidRDefault="425FD9A6" w:rsidP="425FD9A6">
      <w:pPr>
        <w:spacing w:before="240" w:after="240"/>
        <w:rPr>
          <w:rFonts w:ascii="Aptos" w:eastAsia="Aptos" w:hAnsi="Aptos" w:cs="Aptos"/>
        </w:rPr>
      </w:pPr>
    </w:p>
    <w:p w14:paraId="189251C4" w14:textId="51987CA3" w:rsidR="425FD9A6" w:rsidRDefault="425FD9A6" w:rsidP="425FD9A6">
      <w:pPr>
        <w:spacing w:before="240" w:after="240"/>
        <w:rPr>
          <w:rFonts w:ascii="Aptos" w:eastAsia="Aptos" w:hAnsi="Aptos" w:cs="Aptos"/>
        </w:rPr>
      </w:pPr>
    </w:p>
    <w:p w14:paraId="648A7E0B" w14:textId="01585B3B" w:rsidR="425FD9A6" w:rsidRDefault="425FD9A6" w:rsidP="425FD9A6">
      <w:pPr>
        <w:spacing w:before="240" w:after="240"/>
        <w:rPr>
          <w:rFonts w:ascii="Aptos" w:eastAsia="Aptos" w:hAnsi="Aptos" w:cs="Aptos"/>
        </w:rPr>
      </w:pPr>
    </w:p>
    <w:p w14:paraId="28C58586" w14:textId="5DD8AC2D" w:rsidR="425FD9A6" w:rsidRDefault="425FD9A6" w:rsidP="425FD9A6">
      <w:pPr>
        <w:spacing w:before="240" w:after="240"/>
        <w:rPr>
          <w:rFonts w:ascii="Aptos" w:eastAsia="Aptos" w:hAnsi="Aptos" w:cs="Aptos"/>
        </w:rPr>
      </w:pPr>
    </w:p>
    <w:p w14:paraId="60BF0D27" w14:textId="1065D3CC" w:rsidR="425FD9A6" w:rsidRDefault="425FD9A6" w:rsidP="425FD9A6">
      <w:pPr>
        <w:spacing w:before="240" w:after="240"/>
        <w:rPr>
          <w:rFonts w:ascii="Aptos" w:eastAsia="Aptos" w:hAnsi="Aptos" w:cs="Aptos"/>
        </w:rPr>
      </w:pPr>
    </w:p>
    <w:p w14:paraId="5F87F66C" w14:textId="1C0A1044" w:rsidR="425FD9A6" w:rsidRDefault="425FD9A6" w:rsidP="425FD9A6">
      <w:pPr>
        <w:spacing w:before="240" w:after="240"/>
        <w:rPr>
          <w:rFonts w:ascii="Aptos" w:eastAsia="Aptos" w:hAnsi="Aptos" w:cs="Aptos"/>
        </w:rPr>
      </w:pPr>
    </w:p>
    <w:p w14:paraId="36838E0A" w14:textId="55A07FCC" w:rsidR="425FD9A6" w:rsidRDefault="425FD9A6" w:rsidP="425FD9A6">
      <w:pPr>
        <w:spacing w:before="240" w:after="240"/>
        <w:rPr>
          <w:rFonts w:ascii="Aptos" w:eastAsia="Aptos" w:hAnsi="Aptos" w:cs="Aptos"/>
        </w:rPr>
      </w:pPr>
    </w:p>
    <w:p w14:paraId="17717CDE" w14:textId="39168794" w:rsidR="425FD9A6" w:rsidRDefault="425FD9A6" w:rsidP="425FD9A6">
      <w:pPr>
        <w:spacing w:before="240" w:after="240"/>
        <w:rPr>
          <w:rFonts w:ascii="Aptos" w:eastAsia="Aptos" w:hAnsi="Aptos" w:cs="Aptos"/>
        </w:rPr>
      </w:pPr>
    </w:p>
    <w:p w14:paraId="2AB15B64" w14:textId="41524E72" w:rsidR="425FD9A6" w:rsidRDefault="425FD9A6" w:rsidP="425FD9A6">
      <w:pPr>
        <w:spacing w:before="240" w:after="240"/>
        <w:rPr>
          <w:rFonts w:ascii="Aptos" w:eastAsia="Aptos" w:hAnsi="Aptos" w:cs="Aptos"/>
        </w:rPr>
      </w:pPr>
    </w:p>
    <w:p w14:paraId="6A17B7BC" w14:textId="399A7FAF" w:rsidR="425FD9A6" w:rsidRDefault="425FD9A6" w:rsidP="425FD9A6">
      <w:pPr>
        <w:spacing w:before="240" w:after="240"/>
        <w:rPr>
          <w:rFonts w:ascii="Aptos" w:eastAsia="Aptos" w:hAnsi="Aptos" w:cs="Aptos"/>
        </w:rPr>
      </w:pPr>
    </w:p>
    <w:p w14:paraId="7AF263E0" w14:textId="54843937" w:rsidR="425FD9A6" w:rsidRDefault="425FD9A6" w:rsidP="425FD9A6">
      <w:pPr>
        <w:spacing w:before="240" w:after="240"/>
        <w:rPr>
          <w:rFonts w:ascii="Aptos" w:eastAsia="Aptos" w:hAnsi="Aptos" w:cs="Aptos"/>
        </w:rPr>
      </w:pPr>
    </w:p>
    <w:p w14:paraId="17DFC404" w14:textId="1B682E31" w:rsidR="11668919" w:rsidRDefault="11668919" w:rsidP="425FD9A6">
      <w:pPr>
        <w:spacing w:before="240" w:after="240"/>
      </w:pPr>
      <w:r w:rsidRPr="425FD9A6">
        <w:rPr>
          <w:rFonts w:ascii="Aptos" w:eastAsia="Aptos" w:hAnsi="Aptos" w:cs="Aptos"/>
          <w:sz w:val="28"/>
          <w:szCs w:val="28"/>
        </w:rPr>
        <w:t>Reference List</w:t>
      </w:r>
    </w:p>
    <w:p w14:paraId="383CEFAB" w14:textId="78EDC91A" w:rsidR="11668919" w:rsidRDefault="11668919" w:rsidP="425FD9A6">
      <w:pPr>
        <w:spacing w:before="240" w:after="240"/>
        <w:rPr>
          <w:rFonts w:ascii="Aptos" w:eastAsia="Aptos" w:hAnsi="Aptos" w:cs="Aptos"/>
        </w:rPr>
      </w:pPr>
      <w:r w:rsidRPr="425FD9A6">
        <w:rPr>
          <w:rFonts w:ascii="Aptos" w:eastAsia="Aptos" w:hAnsi="Aptos" w:cs="Aptos"/>
        </w:rPr>
        <w:t xml:space="preserve">Cialdini, R.B. (2009) </w:t>
      </w:r>
      <w:r w:rsidRPr="425FD9A6">
        <w:rPr>
          <w:rFonts w:ascii="Aptos" w:eastAsia="Aptos" w:hAnsi="Aptos" w:cs="Aptos"/>
          <w:i/>
          <w:iCs/>
        </w:rPr>
        <w:t>Influence: Science and Practice</w:t>
      </w:r>
      <w:r w:rsidRPr="425FD9A6">
        <w:rPr>
          <w:rFonts w:ascii="Aptos" w:eastAsia="Aptos" w:hAnsi="Aptos" w:cs="Aptos"/>
        </w:rPr>
        <w:t xml:space="preserve">. 5th </w:t>
      </w:r>
      <w:proofErr w:type="spellStart"/>
      <w:r w:rsidRPr="425FD9A6">
        <w:rPr>
          <w:rFonts w:ascii="Aptos" w:eastAsia="Aptos" w:hAnsi="Aptos" w:cs="Aptos"/>
        </w:rPr>
        <w:t>edn</w:t>
      </w:r>
      <w:proofErr w:type="spellEnd"/>
      <w:r w:rsidRPr="425FD9A6">
        <w:rPr>
          <w:rFonts w:ascii="Aptos" w:eastAsia="Aptos" w:hAnsi="Aptos" w:cs="Aptos"/>
        </w:rPr>
        <w:t>. Boston, MA: Pearson Education.</w:t>
      </w:r>
    </w:p>
    <w:p w14:paraId="09F0C69B" w14:textId="25E5B388" w:rsidR="00F20F80" w:rsidRDefault="11668919" w:rsidP="425FD9A6">
      <w:pPr>
        <w:spacing w:before="240" w:after="240"/>
        <w:rPr>
          <w:rFonts w:ascii="Aptos" w:eastAsia="Aptos" w:hAnsi="Aptos" w:cs="Aptos"/>
        </w:rPr>
      </w:pPr>
      <w:r w:rsidRPr="425FD9A6">
        <w:rPr>
          <w:rFonts w:ascii="Aptos" w:eastAsia="Aptos" w:hAnsi="Aptos" w:cs="Aptos"/>
        </w:rPr>
        <w:t xml:space="preserve">Flanagin, A.J. and Metzger, M.J. (2013) ‘Trusting expert- versus user-generated ratings online: The role of information volume, valence, and consumer characteristics’, </w:t>
      </w:r>
      <w:r w:rsidRPr="425FD9A6">
        <w:rPr>
          <w:rFonts w:ascii="Aptos" w:eastAsia="Aptos" w:hAnsi="Aptos" w:cs="Aptos"/>
          <w:i/>
          <w:iCs/>
        </w:rPr>
        <w:t xml:space="preserve">Computers in Human </w:t>
      </w:r>
      <w:proofErr w:type="spellStart"/>
      <w:r w:rsidRPr="425FD9A6">
        <w:rPr>
          <w:rFonts w:ascii="Aptos" w:eastAsia="Aptos" w:hAnsi="Aptos" w:cs="Aptos"/>
          <w:i/>
          <w:iCs/>
        </w:rPr>
        <w:t>Behavior</w:t>
      </w:r>
      <w:proofErr w:type="spellEnd"/>
      <w:r w:rsidRPr="425FD9A6">
        <w:rPr>
          <w:rFonts w:ascii="Aptos" w:eastAsia="Aptos" w:hAnsi="Aptos" w:cs="Aptos"/>
        </w:rPr>
        <w:t xml:space="preserve">, 29(4), pp. 1626–1634. Available at: </w:t>
      </w:r>
      <w:hyperlink r:id="rId5">
        <w:r w:rsidRPr="425FD9A6">
          <w:rPr>
            <w:rStyle w:val="Hyperlink"/>
          </w:rPr>
          <w:t>https://doi.org/10.1016/j.chb.2013.02.001</w:t>
        </w:r>
      </w:hyperlink>
      <w:r w:rsidRPr="425FD9A6">
        <w:rPr>
          <w:rFonts w:ascii="Aptos" w:eastAsia="Aptos" w:hAnsi="Aptos" w:cs="Aptos"/>
        </w:rPr>
        <w:t>.</w:t>
      </w:r>
      <w:r w:rsidR="00F20F80">
        <w:rPr>
          <w:rFonts w:ascii="Aptos" w:eastAsia="Aptos" w:hAnsi="Aptos" w:cs="Aptos"/>
        </w:rPr>
        <w:t xml:space="preserve"> (Accessed </w:t>
      </w:r>
      <w:r w:rsidR="0022067A">
        <w:rPr>
          <w:rFonts w:ascii="Aptos" w:eastAsia="Aptos" w:hAnsi="Aptos" w:cs="Aptos"/>
        </w:rPr>
        <w:t>21</w:t>
      </w:r>
      <w:r w:rsidR="0022067A" w:rsidRPr="0022067A">
        <w:rPr>
          <w:rFonts w:ascii="Aptos" w:eastAsia="Aptos" w:hAnsi="Aptos" w:cs="Aptos"/>
          <w:vertAlign w:val="superscript"/>
        </w:rPr>
        <w:t>st</w:t>
      </w:r>
      <w:r w:rsidR="0022067A">
        <w:rPr>
          <w:rFonts w:ascii="Aptos" w:eastAsia="Aptos" w:hAnsi="Aptos" w:cs="Aptos"/>
        </w:rPr>
        <w:t xml:space="preserve"> October)</w:t>
      </w:r>
    </w:p>
    <w:p w14:paraId="551ACE16" w14:textId="2195DC6E" w:rsidR="11668919" w:rsidRDefault="11668919" w:rsidP="425FD9A6">
      <w:pPr>
        <w:spacing w:before="240" w:after="240"/>
        <w:rPr>
          <w:rFonts w:ascii="Aptos" w:eastAsia="Aptos" w:hAnsi="Aptos" w:cs="Aptos"/>
        </w:rPr>
      </w:pPr>
      <w:r w:rsidRPr="425FD9A6">
        <w:rPr>
          <w:rFonts w:ascii="Aptos" w:eastAsia="Aptos" w:hAnsi="Aptos" w:cs="Aptos"/>
        </w:rPr>
        <w:t xml:space="preserve">Metzger, M.J. and Flanagin, A.J. (2013) ‘Credibility and trust of information in online environments: The use of cognitive heuristics’, </w:t>
      </w:r>
      <w:r w:rsidRPr="425FD9A6">
        <w:rPr>
          <w:rFonts w:ascii="Aptos" w:eastAsia="Aptos" w:hAnsi="Aptos" w:cs="Aptos"/>
          <w:i/>
          <w:iCs/>
        </w:rPr>
        <w:t>Journal of Pragmatics</w:t>
      </w:r>
      <w:r w:rsidRPr="425FD9A6">
        <w:rPr>
          <w:rFonts w:ascii="Aptos" w:eastAsia="Aptos" w:hAnsi="Aptos" w:cs="Aptos"/>
        </w:rPr>
        <w:t xml:space="preserve">, 59, Part B, pp. 210–220. Available at: </w:t>
      </w:r>
      <w:hyperlink r:id="rId6">
        <w:r w:rsidRPr="425FD9A6">
          <w:rPr>
            <w:rStyle w:val="Hyperlink"/>
          </w:rPr>
          <w:t>https://doi.org/10.1016/j.pragma.2013.07.012</w:t>
        </w:r>
      </w:hyperlink>
      <w:r w:rsidRPr="425FD9A6">
        <w:rPr>
          <w:rFonts w:ascii="Aptos" w:eastAsia="Aptos" w:hAnsi="Aptos" w:cs="Aptos"/>
        </w:rPr>
        <w:t>.</w:t>
      </w:r>
      <w:r w:rsidR="0022067A">
        <w:rPr>
          <w:rFonts w:ascii="Aptos" w:eastAsia="Aptos" w:hAnsi="Aptos" w:cs="Aptos"/>
        </w:rPr>
        <w:t xml:space="preserve"> (Accessed 21</w:t>
      </w:r>
      <w:r w:rsidR="0022067A" w:rsidRPr="0022067A">
        <w:rPr>
          <w:rFonts w:ascii="Aptos" w:eastAsia="Aptos" w:hAnsi="Aptos" w:cs="Aptos"/>
          <w:vertAlign w:val="superscript"/>
        </w:rPr>
        <w:t>st</w:t>
      </w:r>
      <w:r w:rsidR="0022067A">
        <w:rPr>
          <w:rFonts w:ascii="Aptos" w:eastAsia="Aptos" w:hAnsi="Aptos" w:cs="Aptos"/>
        </w:rPr>
        <w:t xml:space="preserve"> October) </w:t>
      </w:r>
    </w:p>
    <w:p w14:paraId="571768A9" w14:textId="6446B92F" w:rsidR="11668919" w:rsidRDefault="11668919" w:rsidP="425FD9A6">
      <w:pPr>
        <w:spacing w:before="240" w:after="240"/>
        <w:rPr>
          <w:rFonts w:ascii="Aptos" w:eastAsia="Aptos" w:hAnsi="Aptos" w:cs="Aptos"/>
        </w:rPr>
      </w:pPr>
      <w:r w:rsidRPr="425FD9A6">
        <w:rPr>
          <w:rFonts w:ascii="Aptos" w:eastAsia="Aptos" w:hAnsi="Aptos" w:cs="Aptos"/>
        </w:rPr>
        <w:t xml:space="preserve">Metzger, M.J., Flanagin, A.J. and Medders, R.B. (2010) ‘Social and heuristic approaches to credibility evaluation online’, </w:t>
      </w:r>
      <w:r w:rsidRPr="425FD9A6">
        <w:rPr>
          <w:rFonts w:ascii="Aptos" w:eastAsia="Aptos" w:hAnsi="Aptos" w:cs="Aptos"/>
          <w:i/>
          <w:iCs/>
        </w:rPr>
        <w:t>Journal of Communication</w:t>
      </w:r>
      <w:r w:rsidRPr="425FD9A6">
        <w:rPr>
          <w:rFonts w:ascii="Aptos" w:eastAsia="Aptos" w:hAnsi="Aptos" w:cs="Aptos"/>
        </w:rPr>
        <w:t xml:space="preserve">, 60(3), pp. 413–439. Available at: </w:t>
      </w:r>
      <w:hyperlink r:id="rId7">
        <w:r w:rsidRPr="425FD9A6">
          <w:rPr>
            <w:rStyle w:val="Hyperlink"/>
          </w:rPr>
          <w:t>https://doi.org/10.1111/j.1460-2466.2010.01488.x</w:t>
        </w:r>
      </w:hyperlink>
      <w:r w:rsidRPr="425FD9A6">
        <w:rPr>
          <w:rFonts w:ascii="Aptos" w:eastAsia="Aptos" w:hAnsi="Aptos" w:cs="Aptos"/>
        </w:rPr>
        <w:t>.</w:t>
      </w:r>
      <w:r w:rsidR="0022067A">
        <w:rPr>
          <w:rFonts w:ascii="Aptos" w:eastAsia="Aptos" w:hAnsi="Aptos" w:cs="Aptos"/>
        </w:rPr>
        <w:t xml:space="preserve"> (Accessed 21</w:t>
      </w:r>
      <w:r w:rsidR="0022067A" w:rsidRPr="0022067A">
        <w:rPr>
          <w:rFonts w:ascii="Aptos" w:eastAsia="Aptos" w:hAnsi="Aptos" w:cs="Aptos"/>
          <w:vertAlign w:val="superscript"/>
        </w:rPr>
        <w:t>st</w:t>
      </w:r>
      <w:r w:rsidR="0022067A">
        <w:rPr>
          <w:rFonts w:ascii="Aptos" w:eastAsia="Aptos" w:hAnsi="Aptos" w:cs="Aptos"/>
        </w:rPr>
        <w:t xml:space="preserve"> October)</w:t>
      </w:r>
    </w:p>
    <w:p w14:paraId="27BB6C95" w14:textId="7D1F1AA5" w:rsidR="11668919" w:rsidRDefault="11668919" w:rsidP="425FD9A6">
      <w:pPr>
        <w:spacing w:before="240" w:after="240"/>
        <w:rPr>
          <w:rFonts w:ascii="Aptos" w:eastAsia="Aptos" w:hAnsi="Aptos" w:cs="Aptos"/>
        </w:rPr>
      </w:pPr>
      <w:r w:rsidRPr="425FD9A6">
        <w:rPr>
          <w:rFonts w:ascii="Aptos" w:eastAsia="Aptos" w:hAnsi="Aptos" w:cs="Aptos"/>
        </w:rPr>
        <w:t xml:space="preserve">Sundar, S.S. (2008) ‘The MAIN model: A heuristic approach to understanding technology effects on credibility’, in Metzger, M.J. and Flanagin, A.J. (eds.) </w:t>
      </w:r>
      <w:r w:rsidRPr="425FD9A6">
        <w:rPr>
          <w:rFonts w:ascii="Aptos" w:eastAsia="Aptos" w:hAnsi="Aptos" w:cs="Aptos"/>
          <w:i/>
          <w:iCs/>
        </w:rPr>
        <w:t>Digital Media, Youth, and Credibility</w:t>
      </w:r>
      <w:r w:rsidRPr="425FD9A6">
        <w:rPr>
          <w:rFonts w:ascii="Aptos" w:eastAsia="Aptos" w:hAnsi="Aptos" w:cs="Aptos"/>
        </w:rPr>
        <w:t>. Cambridge, MA: MIT Press, pp. 73–100.</w:t>
      </w:r>
      <w:r w:rsidR="0022067A">
        <w:rPr>
          <w:rFonts w:ascii="Aptos" w:eastAsia="Aptos" w:hAnsi="Aptos" w:cs="Aptos"/>
        </w:rPr>
        <w:t xml:space="preserve"> </w:t>
      </w:r>
      <w:r w:rsidR="009946BB">
        <w:rPr>
          <w:rFonts w:ascii="Aptos" w:eastAsia="Aptos" w:hAnsi="Aptos" w:cs="Aptos"/>
        </w:rPr>
        <w:t>(</w:t>
      </w:r>
      <w:r w:rsidR="0022067A">
        <w:rPr>
          <w:rFonts w:ascii="Aptos" w:eastAsia="Aptos" w:hAnsi="Aptos" w:cs="Aptos"/>
        </w:rPr>
        <w:t>Accessed 21</w:t>
      </w:r>
      <w:r w:rsidR="0022067A" w:rsidRPr="0022067A">
        <w:rPr>
          <w:rFonts w:ascii="Aptos" w:eastAsia="Aptos" w:hAnsi="Aptos" w:cs="Aptos"/>
          <w:vertAlign w:val="superscript"/>
        </w:rPr>
        <w:t>st</w:t>
      </w:r>
      <w:r w:rsidR="0022067A">
        <w:rPr>
          <w:rFonts w:ascii="Aptos" w:eastAsia="Aptos" w:hAnsi="Aptos" w:cs="Aptos"/>
        </w:rPr>
        <w:t xml:space="preserve"> </w:t>
      </w:r>
      <w:r w:rsidR="009946BB">
        <w:rPr>
          <w:rFonts w:ascii="Aptos" w:eastAsia="Aptos" w:hAnsi="Aptos" w:cs="Aptos"/>
        </w:rPr>
        <w:t>October)</w:t>
      </w:r>
    </w:p>
    <w:p w14:paraId="268BF07E" w14:textId="5AA06D21" w:rsidR="425FD9A6" w:rsidRDefault="425FD9A6" w:rsidP="425FD9A6">
      <w:pPr>
        <w:spacing w:before="240" w:after="240"/>
        <w:rPr>
          <w:rFonts w:ascii="Aptos" w:eastAsia="Aptos" w:hAnsi="Aptos" w:cs="Aptos"/>
          <w:sz w:val="28"/>
          <w:szCs w:val="28"/>
        </w:rPr>
      </w:pPr>
    </w:p>
    <w:sectPr w:rsidR="425FD9A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3D2BB"/>
    <w:multiLevelType w:val="hybridMultilevel"/>
    <w:tmpl w:val="FFFFFFFF"/>
    <w:lvl w:ilvl="0" w:tplc="7A688766">
      <w:start w:val="1"/>
      <w:numFmt w:val="decimal"/>
      <w:lvlText w:val="%1."/>
      <w:lvlJc w:val="left"/>
      <w:pPr>
        <w:ind w:left="720" w:hanging="360"/>
      </w:pPr>
    </w:lvl>
    <w:lvl w:ilvl="1" w:tplc="FB00D100">
      <w:start w:val="1"/>
      <w:numFmt w:val="lowerLetter"/>
      <w:lvlText w:val="%2."/>
      <w:lvlJc w:val="left"/>
      <w:pPr>
        <w:ind w:left="1440" w:hanging="360"/>
      </w:pPr>
    </w:lvl>
    <w:lvl w:ilvl="2" w:tplc="A2622B5A">
      <w:start w:val="1"/>
      <w:numFmt w:val="lowerRoman"/>
      <w:lvlText w:val="%3."/>
      <w:lvlJc w:val="right"/>
      <w:pPr>
        <w:ind w:left="2160" w:hanging="180"/>
      </w:pPr>
    </w:lvl>
    <w:lvl w:ilvl="3" w:tplc="8D4ACBCC">
      <w:start w:val="1"/>
      <w:numFmt w:val="decimal"/>
      <w:lvlText w:val="%4."/>
      <w:lvlJc w:val="left"/>
      <w:pPr>
        <w:ind w:left="2880" w:hanging="360"/>
      </w:pPr>
    </w:lvl>
    <w:lvl w:ilvl="4" w:tplc="C77ED998">
      <w:start w:val="1"/>
      <w:numFmt w:val="lowerLetter"/>
      <w:lvlText w:val="%5."/>
      <w:lvlJc w:val="left"/>
      <w:pPr>
        <w:ind w:left="3600" w:hanging="360"/>
      </w:pPr>
    </w:lvl>
    <w:lvl w:ilvl="5" w:tplc="41C4591E">
      <w:start w:val="1"/>
      <w:numFmt w:val="lowerRoman"/>
      <w:lvlText w:val="%6."/>
      <w:lvlJc w:val="right"/>
      <w:pPr>
        <w:ind w:left="4320" w:hanging="180"/>
      </w:pPr>
    </w:lvl>
    <w:lvl w:ilvl="6" w:tplc="6382FD0E">
      <w:start w:val="1"/>
      <w:numFmt w:val="decimal"/>
      <w:lvlText w:val="%7."/>
      <w:lvlJc w:val="left"/>
      <w:pPr>
        <w:ind w:left="5040" w:hanging="360"/>
      </w:pPr>
    </w:lvl>
    <w:lvl w:ilvl="7" w:tplc="C660D34E">
      <w:start w:val="1"/>
      <w:numFmt w:val="lowerLetter"/>
      <w:lvlText w:val="%8."/>
      <w:lvlJc w:val="left"/>
      <w:pPr>
        <w:ind w:left="5760" w:hanging="360"/>
      </w:pPr>
    </w:lvl>
    <w:lvl w:ilvl="8" w:tplc="F95611A0">
      <w:start w:val="1"/>
      <w:numFmt w:val="lowerRoman"/>
      <w:lvlText w:val="%9."/>
      <w:lvlJc w:val="right"/>
      <w:pPr>
        <w:ind w:left="6480" w:hanging="180"/>
      </w:pPr>
    </w:lvl>
  </w:abstractNum>
  <w:abstractNum w:abstractNumId="1" w15:restartNumberingAfterBreak="0">
    <w:nsid w:val="5183E558"/>
    <w:multiLevelType w:val="hybridMultilevel"/>
    <w:tmpl w:val="FFFFFFFF"/>
    <w:lvl w:ilvl="0" w:tplc="683AFBEA">
      <w:start w:val="1"/>
      <w:numFmt w:val="decimal"/>
      <w:lvlText w:val="%1."/>
      <w:lvlJc w:val="left"/>
      <w:pPr>
        <w:ind w:left="720" w:hanging="360"/>
      </w:pPr>
    </w:lvl>
    <w:lvl w:ilvl="1" w:tplc="E01C0D6A">
      <w:start w:val="1"/>
      <w:numFmt w:val="lowerLetter"/>
      <w:lvlText w:val="%2."/>
      <w:lvlJc w:val="left"/>
      <w:pPr>
        <w:ind w:left="1440" w:hanging="360"/>
      </w:pPr>
    </w:lvl>
    <w:lvl w:ilvl="2" w:tplc="1E9475D4">
      <w:start w:val="1"/>
      <w:numFmt w:val="lowerRoman"/>
      <w:lvlText w:val="%3."/>
      <w:lvlJc w:val="right"/>
      <w:pPr>
        <w:ind w:left="2160" w:hanging="180"/>
      </w:pPr>
    </w:lvl>
    <w:lvl w:ilvl="3" w:tplc="E51015E6">
      <w:start w:val="1"/>
      <w:numFmt w:val="decimal"/>
      <w:lvlText w:val="%4."/>
      <w:lvlJc w:val="left"/>
      <w:pPr>
        <w:ind w:left="2880" w:hanging="360"/>
      </w:pPr>
    </w:lvl>
    <w:lvl w:ilvl="4" w:tplc="82822A86">
      <w:start w:val="1"/>
      <w:numFmt w:val="lowerLetter"/>
      <w:lvlText w:val="%5."/>
      <w:lvlJc w:val="left"/>
      <w:pPr>
        <w:ind w:left="3600" w:hanging="360"/>
      </w:pPr>
    </w:lvl>
    <w:lvl w:ilvl="5" w:tplc="A0C05282">
      <w:start w:val="1"/>
      <w:numFmt w:val="lowerRoman"/>
      <w:lvlText w:val="%6."/>
      <w:lvlJc w:val="right"/>
      <w:pPr>
        <w:ind w:left="4320" w:hanging="180"/>
      </w:pPr>
    </w:lvl>
    <w:lvl w:ilvl="6" w:tplc="C7361C7A">
      <w:start w:val="1"/>
      <w:numFmt w:val="decimal"/>
      <w:lvlText w:val="%7."/>
      <w:lvlJc w:val="left"/>
      <w:pPr>
        <w:ind w:left="5040" w:hanging="360"/>
      </w:pPr>
    </w:lvl>
    <w:lvl w:ilvl="7" w:tplc="FB743A9E">
      <w:start w:val="1"/>
      <w:numFmt w:val="lowerLetter"/>
      <w:lvlText w:val="%8."/>
      <w:lvlJc w:val="left"/>
      <w:pPr>
        <w:ind w:left="5760" w:hanging="360"/>
      </w:pPr>
    </w:lvl>
    <w:lvl w:ilvl="8" w:tplc="2E942998">
      <w:start w:val="1"/>
      <w:numFmt w:val="lowerRoman"/>
      <w:lvlText w:val="%9."/>
      <w:lvlJc w:val="right"/>
      <w:pPr>
        <w:ind w:left="6480" w:hanging="180"/>
      </w:pPr>
    </w:lvl>
  </w:abstractNum>
  <w:abstractNum w:abstractNumId="2" w15:restartNumberingAfterBreak="0">
    <w:nsid w:val="6EEF728B"/>
    <w:multiLevelType w:val="hybridMultilevel"/>
    <w:tmpl w:val="FFFFFFFF"/>
    <w:lvl w:ilvl="0" w:tplc="40904284">
      <w:start w:val="1"/>
      <w:numFmt w:val="bullet"/>
      <w:lvlText w:val=""/>
      <w:lvlJc w:val="left"/>
      <w:pPr>
        <w:ind w:left="720" w:hanging="360"/>
      </w:pPr>
      <w:rPr>
        <w:rFonts w:ascii="Symbol" w:hAnsi="Symbol" w:hint="default"/>
      </w:rPr>
    </w:lvl>
    <w:lvl w:ilvl="1" w:tplc="10FE2DBC">
      <w:start w:val="1"/>
      <w:numFmt w:val="bullet"/>
      <w:lvlText w:val="o"/>
      <w:lvlJc w:val="left"/>
      <w:pPr>
        <w:ind w:left="1440" w:hanging="360"/>
      </w:pPr>
      <w:rPr>
        <w:rFonts w:ascii="Courier New" w:hAnsi="Courier New" w:hint="default"/>
      </w:rPr>
    </w:lvl>
    <w:lvl w:ilvl="2" w:tplc="DEB44614">
      <w:start w:val="1"/>
      <w:numFmt w:val="bullet"/>
      <w:lvlText w:val=""/>
      <w:lvlJc w:val="left"/>
      <w:pPr>
        <w:ind w:left="2160" w:hanging="360"/>
      </w:pPr>
      <w:rPr>
        <w:rFonts w:ascii="Wingdings" w:hAnsi="Wingdings" w:hint="default"/>
      </w:rPr>
    </w:lvl>
    <w:lvl w:ilvl="3" w:tplc="E14CA57A">
      <w:start w:val="1"/>
      <w:numFmt w:val="bullet"/>
      <w:lvlText w:val=""/>
      <w:lvlJc w:val="left"/>
      <w:pPr>
        <w:ind w:left="2880" w:hanging="360"/>
      </w:pPr>
      <w:rPr>
        <w:rFonts w:ascii="Symbol" w:hAnsi="Symbol" w:hint="default"/>
      </w:rPr>
    </w:lvl>
    <w:lvl w:ilvl="4" w:tplc="B2A0397E">
      <w:start w:val="1"/>
      <w:numFmt w:val="bullet"/>
      <w:lvlText w:val="o"/>
      <w:lvlJc w:val="left"/>
      <w:pPr>
        <w:ind w:left="3600" w:hanging="360"/>
      </w:pPr>
      <w:rPr>
        <w:rFonts w:ascii="Courier New" w:hAnsi="Courier New" w:hint="default"/>
      </w:rPr>
    </w:lvl>
    <w:lvl w:ilvl="5" w:tplc="1660ADCC">
      <w:start w:val="1"/>
      <w:numFmt w:val="bullet"/>
      <w:lvlText w:val=""/>
      <w:lvlJc w:val="left"/>
      <w:pPr>
        <w:ind w:left="4320" w:hanging="360"/>
      </w:pPr>
      <w:rPr>
        <w:rFonts w:ascii="Wingdings" w:hAnsi="Wingdings" w:hint="default"/>
      </w:rPr>
    </w:lvl>
    <w:lvl w:ilvl="6" w:tplc="FC26FEBC">
      <w:start w:val="1"/>
      <w:numFmt w:val="bullet"/>
      <w:lvlText w:val=""/>
      <w:lvlJc w:val="left"/>
      <w:pPr>
        <w:ind w:left="5040" w:hanging="360"/>
      </w:pPr>
      <w:rPr>
        <w:rFonts w:ascii="Symbol" w:hAnsi="Symbol" w:hint="default"/>
      </w:rPr>
    </w:lvl>
    <w:lvl w:ilvl="7" w:tplc="3A7C2B0A">
      <w:start w:val="1"/>
      <w:numFmt w:val="bullet"/>
      <w:lvlText w:val="o"/>
      <w:lvlJc w:val="left"/>
      <w:pPr>
        <w:ind w:left="5760" w:hanging="360"/>
      </w:pPr>
      <w:rPr>
        <w:rFonts w:ascii="Courier New" w:hAnsi="Courier New" w:hint="default"/>
      </w:rPr>
    </w:lvl>
    <w:lvl w:ilvl="8" w:tplc="9F7E1502">
      <w:start w:val="1"/>
      <w:numFmt w:val="bullet"/>
      <w:lvlText w:val=""/>
      <w:lvlJc w:val="left"/>
      <w:pPr>
        <w:ind w:left="6480" w:hanging="360"/>
      </w:pPr>
      <w:rPr>
        <w:rFonts w:ascii="Wingdings" w:hAnsi="Wingdings" w:hint="default"/>
      </w:rPr>
    </w:lvl>
  </w:abstractNum>
  <w:abstractNum w:abstractNumId="3" w15:restartNumberingAfterBreak="0">
    <w:nsid w:val="7DAE72D1"/>
    <w:multiLevelType w:val="hybridMultilevel"/>
    <w:tmpl w:val="FFFFFFFF"/>
    <w:lvl w:ilvl="0" w:tplc="95763B3C">
      <w:start w:val="1"/>
      <w:numFmt w:val="bullet"/>
      <w:lvlText w:val=""/>
      <w:lvlJc w:val="left"/>
      <w:pPr>
        <w:ind w:left="720" w:hanging="360"/>
      </w:pPr>
      <w:rPr>
        <w:rFonts w:ascii="Symbol" w:hAnsi="Symbol" w:hint="default"/>
      </w:rPr>
    </w:lvl>
    <w:lvl w:ilvl="1" w:tplc="00983A3C">
      <w:start w:val="1"/>
      <w:numFmt w:val="bullet"/>
      <w:lvlText w:val="o"/>
      <w:lvlJc w:val="left"/>
      <w:pPr>
        <w:ind w:left="1440" w:hanging="360"/>
      </w:pPr>
      <w:rPr>
        <w:rFonts w:ascii="Courier New" w:hAnsi="Courier New" w:hint="default"/>
      </w:rPr>
    </w:lvl>
    <w:lvl w:ilvl="2" w:tplc="76481CB4">
      <w:start w:val="1"/>
      <w:numFmt w:val="bullet"/>
      <w:lvlText w:val=""/>
      <w:lvlJc w:val="left"/>
      <w:pPr>
        <w:ind w:left="2160" w:hanging="360"/>
      </w:pPr>
      <w:rPr>
        <w:rFonts w:ascii="Wingdings" w:hAnsi="Wingdings" w:hint="default"/>
      </w:rPr>
    </w:lvl>
    <w:lvl w:ilvl="3" w:tplc="68F04634">
      <w:start w:val="1"/>
      <w:numFmt w:val="bullet"/>
      <w:lvlText w:val=""/>
      <w:lvlJc w:val="left"/>
      <w:pPr>
        <w:ind w:left="2880" w:hanging="360"/>
      </w:pPr>
      <w:rPr>
        <w:rFonts w:ascii="Symbol" w:hAnsi="Symbol" w:hint="default"/>
      </w:rPr>
    </w:lvl>
    <w:lvl w:ilvl="4" w:tplc="C3BC8220">
      <w:start w:val="1"/>
      <w:numFmt w:val="bullet"/>
      <w:lvlText w:val="o"/>
      <w:lvlJc w:val="left"/>
      <w:pPr>
        <w:ind w:left="3600" w:hanging="360"/>
      </w:pPr>
      <w:rPr>
        <w:rFonts w:ascii="Courier New" w:hAnsi="Courier New" w:hint="default"/>
      </w:rPr>
    </w:lvl>
    <w:lvl w:ilvl="5" w:tplc="6A2E0866">
      <w:start w:val="1"/>
      <w:numFmt w:val="bullet"/>
      <w:lvlText w:val=""/>
      <w:lvlJc w:val="left"/>
      <w:pPr>
        <w:ind w:left="4320" w:hanging="360"/>
      </w:pPr>
      <w:rPr>
        <w:rFonts w:ascii="Wingdings" w:hAnsi="Wingdings" w:hint="default"/>
      </w:rPr>
    </w:lvl>
    <w:lvl w:ilvl="6" w:tplc="9AE6D0EE">
      <w:start w:val="1"/>
      <w:numFmt w:val="bullet"/>
      <w:lvlText w:val=""/>
      <w:lvlJc w:val="left"/>
      <w:pPr>
        <w:ind w:left="5040" w:hanging="360"/>
      </w:pPr>
      <w:rPr>
        <w:rFonts w:ascii="Symbol" w:hAnsi="Symbol" w:hint="default"/>
      </w:rPr>
    </w:lvl>
    <w:lvl w:ilvl="7" w:tplc="CF7C5E0A">
      <w:start w:val="1"/>
      <w:numFmt w:val="bullet"/>
      <w:lvlText w:val="o"/>
      <w:lvlJc w:val="left"/>
      <w:pPr>
        <w:ind w:left="5760" w:hanging="360"/>
      </w:pPr>
      <w:rPr>
        <w:rFonts w:ascii="Courier New" w:hAnsi="Courier New" w:hint="default"/>
      </w:rPr>
    </w:lvl>
    <w:lvl w:ilvl="8" w:tplc="444455DC">
      <w:start w:val="1"/>
      <w:numFmt w:val="bullet"/>
      <w:lvlText w:val=""/>
      <w:lvlJc w:val="left"/>
      <w:pPr>
        <w:ind w:left="6480" w:hanging="360"/>
      </w:pPr>
      <w:rPr>
        <w:rFonts w:ascii="Wingdings" w:hAnsi="Wingdings" w:hint="default"/>
      </w:rPr>
    </w:lvl>
  </w:abstractNum>
  <w:num w:numId="1" w16cid:durableId="1502508475">
    <w:abstractNumId w:val="0"/>
  </w:num>
  <w:num w:numId="2" w16cid:durableId="1636184082">
    <w:abstractNumId w:val="3"/>
  </w:num>
  <w:num w:numId="3" w16cid:durableId="1879659446">
    <w:abstractNumId w:val="1"/>
  </w:num>
  <w:num w:numId="4" w16cid:durableId="6622034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5C83D2"/>
    <w:rsid w:val="00031F57"/>
    <w:rsid w:val="000D2474"/>
    <w:rsid w:val="00110676"/>
    <w:rsid w:val="0022067A"/>
    <w:rsid w:val="00394CC5"/>
    <w:rsid w:val="004119F5"/>
    <w:rsid w:val="004530B6"/>
    <w:rsid w:val="00785AE4"/>
    <w:rsid w:val="009946BB"/>
    <w:rsid w:val="009B0C14"/>
    <w:rsid w:val="00A09974"/>
    <w:rsid w:val="00A7193D"/>
    <w:rsid w:val="00C00600"/>
    <w:rsid w:val="00C031BA"/>
    <w:rsid w:val="00D62693"/>
    <w:rsid w:val="00EA3F9E"/>
    <w:rsid w:val="00F20F80"/>
    <w:rsid w:val="014D8CA2"/>
    <w:rsid w:val="01D8BBE2"/>
    <w:rsid w:val="026BA748"/>
    <w:rsid w:val="02963A44"/>
    <w:rsid w:val="02B32B9B"/>
    <w:rsid w:val="035024BF"/>
    <w:rsid w:val="03B49140"/>
    <w:rsid w:val="04148EA5"/>
    <w:rsid w:val="05FBBB96"/>
    <w:rsid w:val="06AE8053"/>
    <w:rsid w:val="0791F08C"/>
    <w:rsid w:val="079CDDDF"/>
    <w:rsid w:val="07E42118"/>
    <w:rsid w:val="084F4227"/>
    <w:rsid w:val="085425FA"/>
    <w:rsid w:val="086D14BF"/>
    <w:rsid w:val="0A2C9DF7"/>
    <w:rsid w:val="0AD10ECA"/>
    <w:rsid w:val="0B58BE62"/>
    <w:rsid w:val="0C061DC8"/>
    <w:rsid w:val="0CD0F346"/>
    <w:rsid w:val="0D58A6BB"/>
    <w:rsid w:val="0E136F61"/>
    <w:rsid w:val="0E898F71"/>
    <w:rsid w:val="0EC7685D"/>
    <w:rsid w:val="0F56B697"/>
    <w:rsid w:val="10952E6E"/>
    <w:rsid w:val="11668919"/>
    <w:rsid w:val="118F44A5"/>
    <w:rsid w:val="11A714B9"/>
    <w:rsid w:val="11B3DCFA"/>
    <w:rsid w:val="11C2BF2E"/>
    <w:rsid w:val="11D4AC97"/>
    <w:rsid w:val="12013A12"/>
    <w:rsid w:val="1323DC0A"/>
    <w:rsid w:val="139213A0"/>
    <w:rsid w:val="13A46BA0"/>
    <w:rsid w:val="14641ED0"/>
    <w:rsid w:val="148D4414"/>
    <w:rsid w:val="14D1A564"/>
    <w:rsid w:val="14D9DCA8"/>
    <w:rsid w:val="154033F9"/>
    <w:rsid w:val="159657C1"/>
    <w:rsid w:val="15E61CCB"/>
    <w:rsid w:val="161ADC30"/>
    <w:rsid w:val="16B6F1AF"/>
    <w:rsid w:val="170C51B3"/>
    <w:rsid w:val="17C22EE4"/>
    <w:rsid w:val="189B8156"/>
    <w:rsid w:val="18C5E4BF"/>
    <w:rsid w:val="195A7A5B"/>
    <w:rsid w:val="19C0FE70"/>
    <w:rsid w:val="19EBDAF4"/>
    <w:rsid w:val="1A0786F3"/>
    <w:rsid w:val="1AF0BBF6"/>
    <w:rsid w:val="1B3080EA"/>
    <w:rsid w:val="1B88B968"/>
    <w:rsid w:val="1BF148E2"/>
    <w:rsid w:val="1C43A51E"/>
    <w:rsid w:val="1E9B3E57"/>
    <w:rsid w:val="1F62B436"/>
    <w:rsid w:val="1F6B2C68"/>
    <w:rsid w:val="1F9F9FB5"/>
    <w:rsid w:val="1FD118DE"/>
    <w:rsid w:val="201F499D"/>
    <w:rsid w:val="20444160"/>
    <w:rsid w:val="20758459"/>
    <w:rsid w:val="2087A27B"/>
    <w:rsid w:val="20DD090E"/>
    <w:rsid w:val="20EB6504"/>
    <w:rsid w:val="2128FBBB"/>
    <w:rsid w:val="212A034B"/>
    <w:rsid w:val="2198BAF4"/>
    <w:rsid w:val="219F0D7B"/>
    <w:rsid w:val="244ACC89"/>
    <w:rsid w:val="244D9C7D"/>
    <w:rsid w:val="253302DE"/>
    <w:rsid w:val="255FF39B"/>
    <w:rsid w:val="257A9040"/>
    <w:rsid w:val="25F4341B"/>
    <w:rsid w:val="260AE2DD"/>
    <w:rsid w:val="26359054"/>
    <w:rsid w:val="26557A6B"/>
    <w:rsid w:val="2661D27B"/>
    <w:rsid w:val="266668D3"/>
    <w:rsid w:val="269DEDB5"/>
    <w:rsid w:val="26CA8FC5"/>
    <w:rsid w:val="2790667F"/>
    <w:rsid w:val="27B628EF"/>
    <w:rsid w:val="285A5599"/>
    <w:rsid w:val="2864A3A7"/>
    <w:rsid w:val="286D9150"/>
    <w:rsid w:val="29008C21"/>
    <w:rsid w:val="29176036"/>
    <w:rsid w:val="293F53FF"/>
    <w:rsid w:val="2AC7951B"/>
    <w:rsid w:val="2B6AA653"/>
    <w:rsid w:val="2BB04A24"/>
    <w:rsid w:val="2D089F54"/>
    <w:rsid w:val="2D17BBCC"/>
    <w:rsid w:val="2D31D72B"/>
    <w:rsid w:val="2E257FAE"/>
    <w:rsid w:val="2E684E6D"/>
    <w:rsid w:val="2E97F564"/>
    <w:rsid w:val="2E980C03"/>
    <w:rsid w:val="2ECA7EC3"/>
    <w:rsid w:val="3066AB43"/>
    <w:rsid w:val="31366AB2"/>
    <w:rsid w:val="32BDD669"/>
    <w:rsid w:val="32D86158"/>
    <w:rsid w:val="32E108D9"/>
    <w:rsid w:val="3348C419"/>
    <w:rsid w:val="3352EB38"/>
    <w:rsid w:val="3419E3DA"/>
    <w:rsid w:val="3426BBEC"/>
    <w:rsid w:val="347FC64B"/>
    <w:rsid w:val="349D55BE"/>
    <w:rsid w:val="34AE1671"/>
    <w:rsid w:val="350162AC"/>
    <w:rsid w:val="36B77FD1"/>
    <w:rsid w:val="36DDD00A"/>
    <w:rsid w:val="379DCC72"/>
    <w:rsid w:val="37C79A05"/>
    <w:rsid w:val="37F3C645"/>
    <w:rsid w:val="37FD7F59"/>
    <w:rsid w:val="383CD475"/>
    <w:rsid w:val="397DC833"/>
    <w:rsid w:val="39C00F6C"/>
    <w:rsid w:val="3A04DE41"/>
    <w:rsid w:val="3A3BBD17"/>
    <w:rsid w:val="3ABD66F1"/>
    <w:rsid w:val="3B63A1DD"/>
    <w:rsid w:val="3B6B1F02"/>
    <w:rsid w:val="3B6EC302"/>
    <w:rsid w:val="3B9568EF"/>
    <w:rsid w:val="3BAC8F4A"/>
    <w:rsid w:val="3BD5EA77"/>
    <w:rsid w:val="3BFD0971"/>
    <w:rsid w:val="3C7E8590"/>
    <w:rsid w:val="3D3BB441"/>
    <w:rsid w:val="3D490682"/>
    <w:rsid w:val="3E12B9EA"/>
    <w:rsid w:val="3E6B7F31"/>
    <w:rsid w:val="3E9D4250"/>
    <w:rsid w:val="3EAF8B9C"/>
    <w:rsid w:val="3ECA10E7"/>
    <w:rsid w:val="3F0DD355"/>
    <w:rsid w:val="3F93E502"/>
    <w:rsid w:val="4058A400"/>
    <w:rsid w:val="40E90495"/>
    <w:rsid w:val="410AA871"/>
    <w:rsid w:val="415C83D2"/>
    <w:rsid w:val="418155FF"/>
    <w:rsid w:val="41F9738E"/>
    <w:rsid w:val="425FD9A6"/>
    <w:rsid w:val="441C5908"/>
    <w:rsid w:val="449ED766"/>
    <w:rsid w:val="458F4D65"/>
    <w:rsid w:val="4596DA8F"/>
    <w:rsid w:val="45E93BD2"/>
    <w:rsid w:val="46E6F6AE"/>
    <w:rsid w:val="472AFDD3"/>
    <w:rsid w:val="4967545D"/>
    <w:rsid w:val="4967B128"/>
    <w:rsid w:val="497AD215"/>
    <w:rsid w:val="4A0AF145"/>
    <w:rsid w:val="4AE2495F"/>
    <w:rsid w:val="4AE75A0D"/>
    <w:rsid w:val="4C8C9BC8"/>
    <w:rsid w:val="4C98D2A4"/>
    <w:rsid w:val="4CA6CDF9"/>
    <w:rsid w:val="4CDFAD0C"/>
    <w:rsid w:val="4DD88B3D"/>
    <w:rsid w:val="4E018B36"/>
    <w:rsid w:val="4E918244"/>
    <w:rsid w:val="4ED64880"/>
    <w:rsid w:val="4FC1D6A7"/>
    <w:rsid w:val="5096B96A"/>
    <w:rsid w:val="510EF957"/>
    <w:rsid w:val="5116DEFB"/>
    <w:rsid w:val="518242FC"/>
    <w:rsid w:val="51F7BAE3"/>
    <w:rsid w:val="53ACDEA3"/>
    <w:rsid w:val="53F2C4C5"/>
    <w:rsid w:val="54A3DCC1"/>
    <w:rsid w:val="5513B0D0"/>
    <w:rsid w:val="555F94F0"/>
    <w:rsid w:val="5622602C"/>
    <w:rsid w:val="56722451"/>
    <w:rsid w:val="5678CFD1"/>
    <w:rsid w:val="56F0B125"/>
    <w:rsid w:val="572D770C"/>
    <w:rsid w:val="5780B4B5"/>
    <w:rsid w:val="57E6FDD5"/>
    <w:rsid w:val="59090E9F"/>
    <w:rsid w:val="590FE247"/>
    <w:rsid w:val="5989E96B"/>
    <w:rsid w:val="5B3DFEF4"/>
    <w:rsid w:val="5B43DC3B"/>
    <w:rsid w:val="5BCAC440"/>
    <w:rsid w:val="5BECDAC3"/>
    <w:rsid w:val="5C7FC26D"/>
    <w:rsid w:val="5ED3CDF4"/>
    <w:rsid w:val="5F25C2DA"/>
    <w:rsid w:val="5F68A228"/>
    <w:rsid w:val="5F7E71DB"/>
    <w:rsid w:val="603F2634"/>
    <w:rsid w:val="61672AA3"/>
    <w:rsid w:val="62735D9D"/>
    <w:rsid w:val="63247D79"/>
    <w:rsid w:val="636688BA"/>
    <w:rsid w:val="63C66765"/>
    <w:rsid w:val="6545D0CB"/>
    <w:rsid w:val="655DB32E"/>
    <w:rsid w:val="655EA29D"/>
    <w:rsid w:val="656444E2"/>
    <w:rsid w:val="65C7D15C"/>
    <w:rsid w:val="6617FAE3"/>
    <w:rsid w:val="66C745D5"/>
    <w:rsid w:val="67484E49"/>
    <w:rsid w:val="67E4A349"/>
    <w:rsid w:val="684C10B7"/>
    <w:rsid w:val="68FD8D7A"/>
    <w:rsid w:val="6914D4AD"/>
    <w:rsid w:val="6A2B1970"/>
    <w:rsid w:val="6B7C5A0F"/>
    <w:rsid w:val="6B8467C2"/>
    <w:rsid w:val="6BC9112B"/>
    <w:rsid w:val="6C566DB0"/>
    <w:rsid w:val="6CC03875"/>
    <w:rsid w:val="6D828EC0"/>
    <w:rsid w:val="6E188C10"/>
    <w:rsid w:val="6E9E42D1"/>
    <w:rsid w:val="6F7EBA76"/>
    <w:rsid w:val="6FAD4EFA"/>
    <w:rsid w:val="6FB6EA15"/>
    <w:rsid w:val="705B144A"/>
    <w:rsid w:val="70F96869"/>
    <w:rsid w:val="7132BE03"/>
    <w:rsid w:val="7171940C"/>
    <w:rsid w:val="722B18D5"/>
    <w:rsid w:val="72E282AD"/>
    <w:rsid w:val="737E9E8E"/>
    <w:rsid w:val="73AC2ADA"/>
    <w:rsid w:val="73BF530E"/>
    <w:rsid w:val="73C36B58"/>
    <w:rsid w:val="7426F0D1"/>
    <w:rsid w:val="742F0DD9"/>
    <w:rsid w:val="74CFB6FA"/>
    <w:rsid w:val="74EE8480"/>
    <w:rsid w:val="752C6D65"/>
    <w:rsid w:val="76CFC039"/>
    <w:rsid w:val="76ECA57B"/>
    <w:rsid w:val="77061E41"/>
    <w:rsid w:val="77A5B583"/>
    <w:rsid w:val="783DD845"/>
    <w:rsid w:val="79377C06"/>
    <w:rsid w:val="793AD4D7"/>
    <w:rsid w:val="7946D5C3"/>
    <w:rsid w:val="7958ED82"/>
    <w:rsid w:val="799A0B08"/>
    <w:rsid w:val="79F68FC4"/>
    <w:rsid w:val="79F73385"/>
    <w:rsid w:val="7ABD447F"/>
    <w:rsid w:val="7AC81AFF"/>
    <w:rsid w:val="7ACD5AF9"/>
    <w:rsid w:val="7B0D6511"/>
    <w:rsid w:val="7B47552B"/>
    <w:rsid w:val="7B4A8A42"/>
    <w:rsid w:val="7B84DEE2"/>
    <w:rsid w:val="7BEDE2AE"/>
    <w:rsid w:val="7C3BD89A"/>
    <w:rsid w:val="7D117EA0"/>
    <w:rsid w:val="7D6C5F95"/>
    <w:rsid w:val="7D6D8649"/>
    <w:rsid w:val="7E558B8E"/>
    <w:rsid w:val="7E9E1C96"/>
    <w:rsid w:val="7EAAB18B"/>
    <w:rsid w:val="7ECDCB5C"/>
    <w:rsid w:val="7EF74369"/>
    <w:rsid w:val="7F74ECF4"/>
    <w:rsid w:val="7FD49C6C"/>
    <w:rsid w:val="7FF155E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B63DC"/>
  <w15:chartTrackingRefBased/>
  <w15:docId w15:val="{82943834-E202-42B3-90B8-93B8828B1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25FD9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25FD9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425FD9A6"/>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116DEFB"/>
    <w:pPr>
      <w:ind w:left="720"/>
      <w:contextualSpacing/>
    </w:pPr>
  </w:style>
  <w:style w:type="character" w:styleId="Hyperlink">
    <w:name w:val="Hyperlink"/>
    <w:basedOn w:val="DefaultParagraphFont"/>
    <w:uiPriority w:val="99"/>
    <w:unhideWhenUsed/>
    <w:rsid w:val="425FD9A6"/>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FollowedHyperlink">
    <w:name w:val="FollowedHyperlink"/>
    <w:basedOn w:val="DefaultParagraphFont"/>
    <w:uiPriority w:val="99"/>
    <w:semiHidden/>
    <w:unhideWhenUsed/>
    <w:rsid w:val="00031F5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11/j.1460-2466.2010.01488.x"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pragma.2013.07.012" TargetMode="External"/><Relationship Id="rId5" Type="http://schemas.openxmlformats.org/officeDocument/2006/relationships/hyperlink" Target="https://doi.org/10.1016/j.chb.2013.02.001"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1768</Words>
  <Characters>10079</Characters>
  <Application>Microsoft Office Word</Application>
  <DocSecurity>0</DocSecurity>
  <Lines>83</Lines>
  <Paragraphs>23</Paragraphs>
  <ScaleCrop>false</ScaleCrop>
  <Company/>
  <LinksUpToDate>false</LinksUpToDate>
  <CharactersWithSpaces>11824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Ensor (2317067)</dc:creator>
  <cp:keywords/>
  <dc:description/>
  <cp:lastModifiedBy>Lewis Ensor (2317067)</cp:lastModifiedBy>
  <cp:revision>4</cp:revision>
  <dcterms:created xsi:type="dcterms:W3CDTF">2026-10-20T08:43:00Z</dcterms:created>
  <dcterms:modified xsi:type="dcterms:W3CDTF">2026-10-23T15:38:00Z</dcterms:modified>
</cp:coreProperties>
</file>