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C6A7A" w14:textId="77777777" w:rsidR="00B16ACE" w:rsidRPr="00EE5BC3" w:rsidRDefault="00B16ACE" w:rsidP="00B16ACE">
      <w:pPr>
        <w:jc w:val="center"/>
        <w:rPr>
          <w:b/>
          <w:sz w:val="28"/>
          <w:szCs w:val="28"/>
        </w:rPr>
      </w:pPr>
      <w:r w:rsidRPr="00EE5BC3">
        <w:rPr>
          <w:b/>
          <w:sz w:val="28"/>
          <w:szCs w:val="28"/>
        </w:rPr>
        <w:t>Task 4</w:t>
      </w:r>
    </w:p>
    <w:p w14:paraId="40FD86B6" w14:textId="77777777" w:rsidR="00B16ACE" w:rsidRPr="00EE5BC3" w:rsidRDefault="00B16ACE" w:rsidP="00B16ACE">
      <w:pPr>
        <w:jc w:val="center"/>
        <w:rPr>
          <w:b/>
          <w:sz w:val="28"/>
          <w:szCs w:val="28"/>
        </w:rPr>
      </w:pPr>
    </w:p>
    <w:p w14:paraId="5925DD64" w14:textId="77777777" w:rsidR="00B16ACE" w:rsidRPr="00EE5BC3" w:rsidRDefault="00B16ACE" w:rsidP="00B16ACE">
      <w:pPr>
        <w:jc w:val="center"/>
        <w:rPr>
          <w:b/>
          <w:sz w:val="28"/>
          <w:szCs w:val="28"/>
        </w:rPr>
      </w:pPr>
      <w:r w:rsidRPr="00EE5BC3">
        <w:rPr>
          <w:b/>
          <w:sz w:val="28"/>
          <w:szCs w:val="28"/>
        </w:rPr>
        <w:t>Safeguarding</w:t>
      </w:r>
      <w:r>
        <w:rPr>
          <w:b/>
          <w:sz w:val="28"/>
          <w:szCs w:val="28"/>
        </w:rPr>
        <w:t xml:space="preserve"> in an area which is not your main area of work</w:t>
      </w:r>
    </w:p>
    <w:p w14:paraId="1CAB2709" w14:textId="77777777" w:rsidR="00B16ACE" w:rsidRPr="008B28E7" w:rsidRDefault="00B16ACE" w:rsidP="00B16ACE">
      <w:pPr>
        <w:jc w:val="both"/>
        <w:rPr>
          <w:b/>
          <w:sz w:val="24"/>
          <w:szCs w:val="24"/>
        </w:rPr>
      </w:pPr>
    </w:p>
    <w:p w14:paraId="6D0558B6" w14:textId="77777777" w:rsidR="00B16ACE" w:rsidRPr="00EE5BC3" w:rsidRDefault="00B16ACE" w:rsidP="00B16ACE">
      <w:pPr>
        <w:ind w:left="-90"/>
        <w:jc w:val="both"/>
        <w:rPr>
          <w:b/>
          <w:i/>
          <w:sz w:val="24"/>
          <w:szCs w:val="24"/>
        </w:rPr>
      </w:pPr>
      <w:r w:rsidRPr="00EE5BC3">
        <w:rPr>
          <w:b/>
          <w:i/>
          <w:sz w:val="24"/>
          <w:szCs w:val="24"/>
        </w:rPr>
        <w:t xml:space="preserve">Guidance: </w:t>
      </w:r>
    </w:p>
    <w:p w14:paraId="01293329" w14:textId="77777777" w:rsidR="00B16ACE" w:rsidRPr="00706BB5" w:rsidRDefault="00B16ACE" w:rsidP="00B16ACE">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249C54E2" w14:textId="77777777" w:rsidR="00B16ACE" w:rsidRPr="008B28E7" w:rsidRDefault="00B16ACE" w:rsidP="00B16ACE">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16ACE" w:rsidRPr="008B28E7" w14:paraId="7157BA81" w14:textId="77777777" w:rsidTr="00D619AC">
        <w:tc>
          <w:tcPr>
            <w:tcW w:w="10188" w:type="dxa"/>
            <w:shd w:val="clear" w:color="auto" w:fill="auto"/>
          </w:tcPr>
          <w:p w14:paraId="1C71234B" w14:textId="77777777" w:rsidR="00B16ACE" w:rsidRPr="00EB695F" w:rsidRDefault="00B16ACE" w:rsidP="00D619AC">
            <w:pPr>
              <w:jc w:val="both"/>
              <w:rPr>
                <w:b/>
                <w:sz w:val="24"/>
                <w:szCs w:val="24"/>
              </w:rPr>
            </w:pPr>
            <w:r w:rsidRPr="00EB695F">
              <w:rPr>
                <w:b/>
                <w:sz w:val="24"/>
                <w:szCs w:val="24"/>
              </w:rPr>
              <w:t>Question</w:t>
            </w:r>
            <w:r>
              <w:rPr>
                <w:b/>
                <w:sz w:val="24"/>
                <w:szCs w:val="24"/>
              </w:rPr>
              <w:t xml:space="preserve"> a:</w:t>
            </w:r>
          </w:p>
          <w:p w14:paraId="3B63B446" w14:textId="77777777" w:rsidR="00B16ACE" w:rsidRDefault="00B16ACE" w:rsidP="00D619AC">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explain </w:t>
            </w:r>
            <w:r w:rsidRPr="006108C9">
              <w:rPr>
                <w:sz w:val="24"/>
                <w:szCs w:val="24"/>
              </w:rPr>
              <w:t xml:space="preserve">the relevant </w:t>
            </w:r>
            <w:r w:rsidRPr="00080FC0">
              <w:rPr>
                <w:sz w:val="24"/>
                <w:szCs w:val="24"/>
              </w:rPr>
              <w:t>legislation, and the national, local and organisational policies and procedures for safeguarding.</w:t>
            </w:r>
            <w:r>
              <w:rPr>
                <w:sz w:val="24"/>
                <w:szCs w:val="24"/>
              </w:rPr>
              <w:t xml:space="preserve"> </w:t>
            </w:r>
          </w:p>
          <w:p w14:paraId="7B07B037" w14:textId="77777777" w:rsidR="00B16ACE" w:rsidRDefault="00B16ACE" w:rsidP="00D619AC">
            <w:pPr>
              <w:jc w:val="both"/>
              <w:rPr>
                <w:sz w:val="24"/>
                <w:szCs w:val="24"/>
              </w:rPr>
            </w:pPr>
          </w:p>
          <w:p w14:paraId="71001AC6" w14:textId="77777777" w:rsidR="00B16ACE" w:rsidRDefault="00B16ACE" w:rsidP="00D619AC">
            <w:pPr>
              <w:jc w:val="both"/>
              <w:rPr>
                <w:sz w:val="24"/>
                <w:szCs w:val="24"/>
              </w:rPr>
            </w:pPr>
          </w:p>
          <w:p w14:paraId="2C10143E" w14:textId="77777777" w:rsidR="00B16ACE" w:rsidRDefault="00B16ACE" w:rsidP="00D619AC">
            <w:pPr>
              <w:spacing w:line="360" w:lineRule="auto"/>
              <w:jc w:val="both"/>
              <w:rPr>
                <w:sz w:val="24"/>
                <w:szCs w:val="24"/>
              </w:rPr>
            </w:pPr>
            <w:bookmarkStart w:id="0" w:name="_Hlk127349670"/>
            <w:bookmarkStart w:id="1" w:name="_Hlk127352625"/>
            <w:r>
              <w:rPr>
                <w:sz w:val="24"/>
                <w:szCs w:val="24"/>
              </w:rPr>
              <w:t xml:space="preserve">In Wales, safeguarding boards have introduced statutory obligations to safeguard children and adults at risk under section 134 of the Social Services and Well-being (Wales) Act 2014 (SSWBWA). An adult at risk under this legislation is any adult who is considered an individual who is, or at risk of experiencing, </w:t>
            </w:r>
            <w:proofErr w:type="gramStart"/>
            <w:r>
              <w:rPr>
                <w:sz w:val="24"/>
                <w:szCs w:val="24"/>
              </w:rPr>
              <w:t>abuse</w:t>
            </w:r>
            <w:proofErr w:type="gramEnd"/>
            <w:r>
              <w:rPr>
                <w:sz w:val="24"/>
                <w:szCs w:val="24"/>
              </w:rPr>
              <w:t xml:space="preserve"> or neglect. This also applies to those who are considered to have needs for care and support and </w:t>
            </w:r>
            <w:proofErr w:type="gramStart"/>
            <w:r>
              <w:rPr>
                <w:sz w:val="24"/>
                <w:szCs w:val="24"/>
              </w:rPr>
              <w:t>as a result of</w:t>
            </w:r>
            <w:proofErr w:type="gramEnd"/>
            <w:r>
              <w:rPr>
                <w:sz w:val="24"/>
                <w:szCs w:val="24"/>
              </w:rPr>
              <w:t xml:space="preserve"> those needs, is unable to protect themselves against the actual or risk of abuse or neglect (SSWBWA, 2014). If a Local Authority has reasonable doubt to suspect that a person within their area or not ordinarily resident is an adult of </w:t>
            </w:r>
            <w:proofErr w:type="gramStart"/>
            <w:r>
              <w:rPr>
                <w:sz w:val="24"/>
                <w:szCs w:val="24"/>
              </w:rPr>
              <w:t>risk</w:t>
            </w:r>
            <w:proofErr w:type="gramEnd"/>
            <w:r>
              <w:rPr>
                <w:sz w:val="24"/>
                <w:szCs w:val="24"/>
              </w:rPr>
              <w:t xml:space="preserve"> make inquiries under section 126 of the Act to establish whether any action should be taken.</w:t>
            </w:r>
          </w:p>
          <w:p w14:paraId="7FE5612A" w14:textId="77777777" w:rsidR="00B16ACE" w:rsidRDefault="00B16ACE" w:rsidP="00D619AC">
            <w:pPr>
              <w:spacing w:line="360" w:lineRule="auto"/>
              <w:jc w:val="both"/>
              <w:rPr>
                <w:sz w:val="24"/>
                <w:szCs w:val="24"/>
              </w:rPr>
            </w:pPr>
          </w:p>
          <w:p w14:paraId="1DCD95E0" w14:textId="77777777" w:rsidR="00B16ACE" w:rsidRDefault="00B16ACE" w:rsidP="00D619AC">
            <w:pPr>
              <w:spacing w:line="360" w:lineRule="auto"/>
              <w:jc w:val="both"/>
              <w:rPr>
                <w:sz w:val="24"/>
                <w:szCs w:val="24"/>
              </w:rPr>
            </w:pPr>
            <w:r>
              <w:rPr>
                <w:sz w:val="24"/>
                <w:szCs w:val="24"/>
              </w:rPr>
              <w:t xml:space="preserve">Further to the SSWBWA, The Mental Capacity Act 2005 and the Mental Capacity Act 2007 also regulate provisions in relation to safeguarding. The mental Capacity Act 2005 introduced provisions for Local Authorities to offer Independent Mental Capacity Advocate services when there are suspected safeguarding concerns of individuals who are considered to lack capacity. The Mental Capacity 2007 further amended the 2005 Act and introduced the Deprivation of Liberty Safeguarding that applies to those individuals that lack capacity to ensure they are not deprived of their liberty. In cases where an adult deemed as vulnerable is considered to lack the mental capacity to make decisions in their best interest will need an assessment of capacity under the Mental Capacity Act 2007. </w:t>
            </w:r>
          </w:p>
          <w:p w14:paraId="72FB7189" w14:textId="77777777" w:rsidR="00B16ACE" w:rsidRDefault="00B16ACE" w:rsidP="00D619AC">
            <w:pPr>
              <w:spacing w:line="360" w:lineRule="auto"/>
              <w:jc w:val="both"/>
              <w:rPr>
                <w:sz w:val="24"/>
                <w:szCs w:val="24"/>
              </w:rPr>
            </w:pPr>
          </w:p>
          <w:p w14:paraId="333F99B2" w14:textId="77777777" w:rsidR="00B16ACE" w:rsidRDefault="00B16ACE" w:rsidP="00D619AC">
            <w:pPr>
              <w:spacing w:line="360" w:lineRule="auto"/>
              <w:jc w:val="both"/>
              <w:rPr>
                <w:sz w:val="24"/>
                <w:szCs w:val="24"/>
              </w:rPr>
            </w:pPr>
            <w:r>
              <w:rPr>
                <w:sz w:val="24"/>
                <w:szCs w:val="24"/>
              </w:rPr>
              <w:t xml:space="preserve">The Equality Act 2010 legislation sets out a list of ‘Protected Characteristics’ with the objective of protecting individuals from discrimination, </w:t>
            </w:r>
            <w:proofErr w:type="gramStart"/>
            <w:r>
              <w:rPr>
                <w:sz w:val="24"/>
                <w:szCs w:val="24"/>
              </w:rPr>
              <w:t>harassment</w:t>
            </w:r>
            <w:proofErr w:type="gramEnd"/>
            <w:r>
              <w:rPr>
                <w:sz w:val="24"/>
                <w:szCs w:val="24"/>
              </w:rPr>
              <w:t xml:space="preserve"> and victimisation. This Law replaced several pieces of legislation including Sex Discrimination Act 1975, Race Relations Act </w:t>
            </w:r>
            <w:proofErr w:type="gramStart"/>
            <w:r>
              <w:rPr>
                <w:sz w:val="24"/>
                <w:szCs w:val="24"/>
              </w:rPr>
              <w:t>1976</w:t>
            </w:r>
            <w:proofErr w:type="gramEnd"/>
            <w:r>
              <w:rPr>
                <w:sz w:val="24"/>
                <w:szCs w:val="24"/>
              </w:rPr>
              <w:t xml:space="preserve"> and Disability Discrimination Act 1995. It aims to set clear guidelines that discrimination or unfair treatment </w:t>
            </w:r>
            <w:proofErr w:type="gramStart"/>
            <w:r>
              <w:rPr>
                <w:sz w:val="24"/>
                <w:szCs w:val="24"/>
              </w:rPr>
              <w:t>on the basis of</w:t>
            </w:r>
            <w:proofErr w:type="gramEnd"/>
            <w:r>
              <w:rPr>
                <w:sz w:val="24"/>
                <w:szCs w:val="24"/>
              </w:rPr>
              <w:t xml:space="preserve"> certain personal characteristics; age, disability, gender reassignment, marriage and civil partnerships, pregnancy and maternity, race, religion or belief, or sexual orientation is against the law. With relevance and more broadly to the Equality Act 2010 is Domestic Violence, Crime and Victims 2004 and Mental Health Act 1983/2007 which all seek to place safeguarding measures for those adults who are considered as vulnerable in their individual circumstances. </w:t>
            </w:r>
          </w:p>
          <w:bookmarkEnd w:id="0"/>
          <w:p w14:paraId="29F7FE22" w14:textId="77777777" w:rsidR="00B16ACE" w:rsidRDefault="00B16ACE" w:rsidP="00D619AC">
            <w:pPr>
              <w:spacing w:line="360" w:lineRule="auto"/>
              <w:jc w:val="both"/>
              <w:rPr>
                <w:sz w:val="24"/>
                <w:szCs w:val="24"/>
              </w:rPr>
            </w:pPr>
          </w:p>
          <w:p w14:paraId="29DD283C" w14:textId="77777777" w:rsidR="00B16ACE" w:rsidRDefault="00B16ACE" w:rsidP="00D619AC">
            <w:pPr>
              <w:spacing w:line="360" w:lineRule="auto"/>
              <w:jc w:val="both"/>
              <w:rPr>
                <w:sz w:val="24"/>
                <w:szCs w:val="24"/>
              </w:rPr>
            </w:pPr>
            <w:r>
              <w:rPr>
                <w:sz w:val="24"/>
                <w:szCs w:val="24"/>
              </w:rPr>
              <w:t xml:space="preserve">Following inquiries under section 126 of the SSWBWA practitioners will sometimes be faced with challenges of balancing any risks with human rights </w:t>
            </w:r>
            <w:proofErr w:type="gramStart"/>
            <w:r>
              <w:rPr>
                <w:sz w:val="24"/>
                <w:szCs w:val="24"/>
              </w:rPr>
              <w:t>and also</w:t>
            </w:r>
            <w:proofErr w:type="gramEnd"/>
            <w:r>
              <w:rPr>
                <w:sz w:val="24"/>
                <w:szCs w:val="24"/>
              </w:rPr>
              <w:t xml:space="preserve"> around capacity and choice (</w:t>
            </w:r>
            <w:proofErr w:type="spellStart"/>
            <w:r>
              <w:rPr>
                <w:sz w:val="24"/>
                <w:szCs w:val="24"/>
              </w:rPr>
              <w:t>Koubel</w:t>
            </w:r>
            <w:proofErr w:type="spellEnd"/>
            <w:r>
              <w:rPr>
                <w:sz w:val="24"/>
                <w:szCs w:val="24"/>
              </w:rPr>
              <w:t xml:space="preserve">, 2016). The Mental Capacity Act 2005 records that although someone may be seen as making an unwise choice, that does not mean that they lack capacity (Mental Capacity Act, 2005). If an individual is deemed to have capacity to make their own decisions, adults have the choice as to whether they want to accept support even if they are subject to abuse (Age Cymru, 2018). Therefore, essential that the practitioner carrying out these enquiries are equipped with skills to ensure that the individual who is considered at risk of abuse or neglect understands what abusive behaviours consist of, allowing their independence is also promoted (Safeguarding Board, 2016). </w:t>
            </w:r>
          </w:p>
          <w:p w14:paraId="245D3D05" w14:textId="77777777" w:rsidR="00B16ACE" w:rsidRDefault="00B16ACE" w:rsidP="00D619AC">
            <w:pPr>
              <w:spacing w:line="360" w:lineRule="auto"/>
              <w:jc w:val="both"/>
              <w:rPr>
                <w:sz w:val="24"/>
                <w:szCs w:val="24"/>
              </w:rPr>
            </w:pPr>
          </w:p>
          <w:p w14:paraId="27FABDA3" w14:textId="77777777" w:rsidR="00B16ACE" w:rsidRDefault="00B16ACE" w:rsidP="00D619AC">
            <w:pPr>
              <w:spacing w:line="360" w:lineRule="auto"/>
              <w:jc w:val="both"/>
              <w:rPr>
                <w:sz w:val="24"/>
                <w:szCs w:val="24"/>
              </w:rPr>
            </w:pPr>
            <w:r>
              <w:rPr>
                <w:sz w:val="24"/>
                <w:szCs w:val="24"/>
              </w:rPr>
              <w:t>The Wales Safeguarding Procedures 2019 underpin practice for professionals under the SSWBWA, the procedures set out essential roles and responsibilities for any professionals working with children or adults who are considered at risk or in need for support (Wales Safeguarding Procedures, 2019).</w:t>
            </w:r>
          </w:p>
          <w:bookmarkEnd w:id="1"/>
          <w:p w14:paraId="5949E15E" w14:textId="77777777" w:rsidR="00B16ACE" w:rsidRDefault="00B16ACE" w:rsidP="00D619AC">
            <w:pPr>
              <w:jc w:val="both"/>
              <w:rPr>
                <w:sz w:val="24"/>
                <w:szCs w:val="24"/>
              </w:rPr>
            </w:pPr>
          </w:p>
          <w:p w14:paraId="0257B41C" w14:textId="77777777" w:rsidR="00B16ACE" w:rsidRPr="005C2641" w:rsidRDefault="00B16ACE" w:rsidP="00D619AC">
            <w:pPr>
              <w:jc w:val="both"/>
              <w:rPr>
                <w:b/>
                <w:bCs/>
                <w:sz w:val="24"/>
                <w:szCs w:val="24"/>
              </w:rPr>
            </w:pPr>
            <w:r w:rsidRPr="00B811CC">
              <w:rPr>
                <w:b/>
                <w:bCs/>
                <w:sz w:val="24"/>
                <w:szCs w:val="24"/>
              </w:rPr>
              <w:t xml:space="preserve">Word Count </w:t>
            </w:r>
            <w:r>
              <w:rPr>
                <w:b/>
                <w:bCs/>
                <w:sz w:val="24"/>
                <w:szCs w:val="24"/>
              </w:rPr>
              <w:t>548</w:t>
            </w:r>
          </w:p>
          <w:p w14:paraId="79A54B4B" w14:textId="77777777" w:rsidR="00B16ACE" w:rsidRPr="006108C9" w:rsidRDefault="00B16ACE" w:rsidP="00D619AC">
            <w:pPr>
              <w:jc w:val="both"/>
              <w:rPr>
                <w:sz w:val="24"/>
                <w:szCs w:val="24"/>
              </w:rPr>
            </w:pPr>
          </w:p>
          <w:p w14:paraId="55467422" w14:textId="77777777" w:rsidR="00B16ACE" w:rsidRDefault="00B16ACE" w:rsidP="00D619AC">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AE21EE3" w14:textId="77777777" w:rsidR="00B16ACE" w:rsidRDefault="00B16ACE" w:rsidP="00D619AC">
            <w:pPr>
              <w:jc w:val="both"/>
              <w:rPr>
                <w:sz w:val="24"/>
                <w:szCs w:val="24"/>
              </w:rPr>
            </w:pPr>
          </w:p>
          <w:p w14:paraId="1FC79879" w14:textId="77777777" w:rsidR="00B16ACE" w:rsidRDefault="00B16ACE" w:rsidP="00D619AC">
            <w:pPr>
              <w:jc w:val="both"/>
              <w:rPr>
                <w:sz w:val="24"/>
                <w:szCs w:val="24"/>
              </w:rPr>
            </w:pPr>
          </w:p>
          <w:p w14:paraId="473121AA" w14:textId="77777777" w:rsidR="00B16ACE" w:rsidRDefault="00B16ACE" w:rsidP="00D619AC">
            <w:pPr>
              <w:jc w:val="both"/>
              <w:rPr>
                <w:sz w:val="24"/>
                <w:szCs w:val="24"/>
              </w:rPr>
            </w:pPr>
          </w:p>
          <w:p w14:paraId="42E54A14" w14:textId="77777777" w:rsidR="00B16ACE" w:rsidRPr="008B28E7" w:rsidRDefault="00B16ACE" w:rsidP="00D619AC">
            <w:pPr>
              <w:jc w:val="both"/>
              <w:rPr>
                <w:b/>
                <w:sz w:val="24"/>
                <w:szCs w:val="24"/>
              </w:rPr>
            </w:pPr>
          </w:p>
        </w:tc>
      </w:tr>
    </w:tbl>
    <w:p w14:paraId="4D9ACD84" w14:textId="77777777" w:rsidR="00B16ACE" w:rsidRPr="008B28E7" w:rsidRDefault="00B16ACE" w:rsidP="00B16ACE">
      <w:pPr>
        <w:jc w:val="both"/>
        <w:rPr>
          <w:sz w:val="24"/>
          <w:szCs w:val="24"/>
        </w:rPr>
      </w:pPr>
    </w:p>
    <w:p w14:paraId="46CB1519" w14:textId="77777777" w:rsidR="00B16ACE" w:rsidRPr="008B28E7" w:rsidRDefault="00B16ACE" w:rsidP="00B16ACE">
      <w:pPr>
        <w:jc w:val="both"/>
        <w:rPr>
          <w:sz w:val="24"/>
          <w:szCs w:val="24"/>
        </w:rPr>
      </w:pPr>
    </w:p>
    <w:p w14:paraId="77F5393E" w14:textId="77777777" w:rsidR="00B16ACE" w:rsidRDefault="00B16ACE" w:rsidP="00B16ACE">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16ACE" w:rsidRPr="008B28E7" w14:paraId="30A8E128" w14:textId="77777777" w:rsidTr="00D619AC">
        <w:tc>
          <w:tcPr>
            <w:tcW w:w="10278" w:type="dxa"/>
            <w:shd w:val="clear" w:color="auto" w:fill="auto"/>
          </w:tcPr>
          <w:p w14:paraId="15A20593" w14:textId="77777777" w:rsidR="00B16ACE" w:rsidRPr="00EB695F" w:rsidRDefault="00B16ACE" w:rsidP="00D619AC">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03BC8A3C" w14:textId="77777777" w:rsidR="00B16ACE" w:rsidRDefault="00B16ACE" w:rsidP="00D619AC">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14:paraId="730FCB41" w14:textId="77777777" w:rsidR="00B16ACE" w:rsidRDefault="00B16ACE" w:rsidP="00D619AC">
            <w:pPr>
              <w:jc w:val="both"/>
              <w:rPr>
                <w:sz w:val="24"/>
                <w:szCs w:val="24"/>
              </w:rPr>
            </w:pPr>
          </w:p>
          <w:p w14:paraId="3FF563F1" w14:textId="77777777" w:rsidR="00B16ACE" w:rsidRDefault="00B16ACE" w:rsidP="00D619AC">
            <w:pPr>
              <w:spacing w:line="360" w:lineRule="auto"/>
              <w:jc w:val="both"/>
              <w:rPr>
                <w:sz w:val="24"/>
                <w:szCs w:val="24"/>
              </w:rPr>
            </w:pPr>
            <w:bookmarkStart w:id="2" w:name="_Hlk127360735"/>
            <w:bookmarkStart w:id="3" w:name="_Hlk127359200"/>
            <w:bookmarkStart w:id="4" w:name="_Hlk127368115"/>
            <w:bookmarkStart w:id="5" w:name="_Hlk127370520"/>
            <w:proofErr w:type="gramStart"/>
            <w:r>
              <w:rPr>
                <w:sz w:val="24"/>
                <w:szCs w:val="24"/>
              </w:rPr>
              <w:t>Prior to the SSWBWA being introduced, there</w:t>
            </w:r>
            <w:proofErr w:type="gramEnd"/>
            <w:r>
              <w:rPr>
                <w:sz w:val="24"/>
                <w:szCs w:val="24"/>
              </w:rPr>
              <w:t xml:space="preserve"> was no specific legislation with a statutory footing as there is within Children’s. SSWBWA 2014 introduced a National Independent Safeguarding Board whose objectives are to protect and prevent risks with both adult and children. This Act has applied safeguarding measures which now applies a similar statutory structure as children’s safeguarding as it is now a statutory duty in Wales for practitioners to investigate any concerns reported with adults as there is with children (Luke Clement, 2019).</w:t>
            </w:r>
          </w:p>
          <w:p w14:paraId="4407DA9C" w14:textId="77777777" w:rsidR="00B16ACE" w:rsidRDefault="00B16ACE" w:rsidP="00D619AC">
            <w:pPr>
              <w:spacing w:line="360" w:lineRule="auto"/>
              <w:jc w:val="both"/>
              <w:rPr>
                <w:sz w:val="24"/>
                <w:szCs w:val="24"/>
              </w:rPr>
            </w:pPr>
          </w:p>
          <w:p w14:paraId="7C5A6623" w14:textId="77777777" w:rsidR="00B16ACE" w:rsidRDefault="00B16ACE" w:rsidP="00D619AC">
            <w:pPr>
              <w:spacing w:line="360" w:lineRule="auto"/>
              <w:jc w:val="both"/>
              <w:rPr>
                <w:sz w:val="24"/>
                <w:szCs w:val="24"/>
              </w:rPr>
            </w:pPr>
            <w:r>
              <w:rPr>
                <w:sz w:val="24"/>
                <w:szCs w:val="24"/>
              </w:rPr>
              <w:t xml:space="preserve">Whilst it is recognized that there are commonalities in children safeguarding processes and protection of adults at risk, there are differences in legislation. The main differences between addressing safeguarding concerns with children and adults is that adults have a right to self-determination should they have mental capacity unlike with children’s services. In children’s services, responding to a concern regarding a child is conducted under section 47 under the Children Act 1989 to establish whether a child is suffering or is likely to suffer significant harm (Children Act, 1989). Should it be established from those inquiries that a child is suffering or likely to suffer significant harm in their parent’s or care givers care, there is an involuntary obligation for statutory involvement and engagement to reduce those risks, in some cases legal advice can be sought to apply for a care order from the courts under the Children Act 1989 that could lead to a child being removed from their parents or carers care to a place of safety. This threshold is outlined in the Children Act 1989 (Children Act, 1989). For adult safeguarding can be much more complex as if an adult is deemed to have the capacity, Local Authorities do not have the power to force an individual to accept support (Age Cymru, 2018). </w:t>
            </w:r>
          </w:p>
          <w:p w14:paraId="330D5A41" w14:textId="77777777" w:rsidR="00B16ACE" w:rsidRDefault="00B16ACE" w:rsidP="00D619AC">
            <w:pPr>
              <w:spacing w:line="360" w:lineRule="auto"/>
              <w:jc w:val="both"/>
              <w:rPr>
                <w:sz w:val="24"/>
                <w:szCs w:val="24"/>
              </w:rPr>
            </w:pPr>
          </w:p>
          <w:p w14:paraId="224C4E1A" w14:textId="77777777" w:rsidR="00B16ACE" w:rsidRDefault="00B16ACE" w:rsidP="00D619AC">
            <w:pPr>
              <w:spacing w:line="360" w:lineRule="auto"/>
              <w:jc w:val="both"/>
              <w:rPr>
                <w:sz w:val="24"/>
                <w:szCs w:val="24"/>
              </w:rPr>
            </w:pPr>
            <w:bookmarkStart w:id="6" w:name="_Hlk127360899"/>
            <w:r>
              <w:rPr>
                <w:sz w:val="24"/>
                <w:szCs w:val="24"/>
              </w:rPr>
              <w:t xml:space="preserve">Unlike with children’s services, when considering statutory intervention regarding adult safeguarding, the concept of mental capacity and consent underpin statutory intervention. Any assessment with an adult should begin with a presumption that </w:t>
            </w:r>
            <w:r>
              <w:rPr>
                <w:sz w:val="24"/>
                <w:szCs w:val="24"/>
              </w:rPr>
              <w:lastRenderedPageBreak/>
              <w:t xml:space="preserve">they are best placed to judge their own well-being (Safeguarding Board, 2016). Should an adult have mental capacity, statutory services have no powers to apply safeguarding measures if the adult does not want support despite the concerns and risks being substantiated. In such cases where the adult has the capacity, but the risk is significant, depending on the concerns will be a discussed case in Multi agency Meetings as an attempt to identify the best service to try and reduce such risk. For example, Multi-agency Risk Assessment Conference relevant to domestic violence or self-neglect meetings involving external agencies that may be involved with the adult who may be able to engage and support to reduce that risk or likelihood risk (AWSP, 2019). </w:t>
            </w:r>
          </w:p>
          <w:bookmarkEnd w:id="2"/>
          <w:bookmarkEnd w:id="3"/>
          <w:bookmarkEnd w:id="4"/>
          <w:bookmarkEnd w:id="5"/>
          <w:bookmarkEnd w:id="6"/>
          <w:p w14:paraId="645CF0CB" w14:textId="77777777" w:rsidR="00B16ACE" w:rsidRDefault="00B16ACE" w:rsidP="00D619AC">
            <w:pPr>
              <w:jc w:val="both"/>
              <w:rPr>
                <w:sz w:val="24"/>
                <w:szCs w:val="24"/>
              </w:rPr>
            </w:pPr>
          </w:p>
          <w:p w14:paraId="5C8E822C" w14:textId="77777777" w:rsidR="00B16ACE" w:rsidRPr="009648A5" w:rsidRDefault="00B16ACE" w:rsidP="00D619AC">
            <w:pPr>
              <w:jc w:val="both"/>
              <w:rPr>
                <w:b/>
                <w:bCs/>
                <w:sz w:val="24"/>
                <w:szCs w:val="24"/>
              </w:rPr>
            </w:pPr>
            <w:r w:rsidRPr="009648A5">
              <w:rPr>
                <w:b/>
                <w:bCs/>
                <w:sz w:val="24"/>
                <w:szCs w:val="24"/>
              </w:rPr>
              <w:t>Word count 434</w:t>
            </w:r>
          </w:p>
          <w:p w14:paraId="6224B76F" w14:textId="77777777" w:rsidR="00B16ACE" w:rsidRDefault="00B16ACE" w:rsidP="00D619AC">
            <w:pPr>
              <w:jc w:val="both"/>
              <w:rPr>
                <w:sz w:val="24"/>
                <w:szCs w:val="24"/>
              </w:rPr>
            </w:pPr>
          </w:p>
          <w:p w14:paraId="359E1B48" w14:textId="77777777" w:rsidR="00B16ACE" w:rsidRPr="006108C9" w:rsidRDefault="00B16ACE" w:rsidP="00D619AC">
            <w:pPr>
              <w:jc w:val="both"/>
              <w:rPr>
                <w:sz w:val="24"/>
                <w:szCs w:val="24"/>
              </w:rPr>
            </w:pPr>
          </w:p>
          <w:p w14:paraId="0D895999" w14:textId="77777777" w:rsidR="00B16ACE" w:rsidRDefault="00B16ACE" w:rsidP="00D619AC">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693EFE26" w14:textId="77777777" w:rsidR="00B16ACE" w:rsidRPr="006108C9" w:rsidRDefault="00B16ACE" w:rsidP="00D619AC">
            <w:pPr>
              <w:jc w:val="both"/>
              <w:rPr>
                <w:sz w:val="24"/>
                <w:szCs w:val="24"/>
              </w:rPr>
            </w:pPr>
          </w:p>
        </w:tc>
      </w:tr>
    </w:tbl>
    <w:p w14:paraId="7B112F69" w14:textId="77777777" w:rsidR="00EF42FF" w:rsidRPr="00B16ACE" w:rsidRDefault="00EF42FF" w:rsidP="00B16ACE"/>
    <w:sectPr w:rsidR="00EF42FF" w:rsidRPr="00B16A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BC7"/>
    <w:rsid w:val="00076A3A"/>
    <w:rsid w:val="002347A9"/>
    <w:rsid w:val="003A5D71"/>
    <w:rsid w:val="0043519D"/>
    <w:rsid w:val="00643D1B"/>
    <w:rsid w:val="008413D4"/>
    <w:rsid w:val="00994DE6"/>
    <w:rsid w:val="009E1BC7"/>
    <w:rsid w:val="00A549AB"/>
    <w:rsid w:val="00B16ACE"/>
    <w:rsid w:val="00C55FA4"/>
    <w:rsid w:val="00E15EE8"/>
    <w:rsid w:val="00EF42FF"/>
    <w:rsid w:val="00FB5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18C6"/>
  <w15:chartTrackingRefBased/>
  <w15:docId w15:val="{B2C8DD72-2AFF-4F62-AD06-0370096D2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BC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1155</Words>
  <Characters>6322</Characters>
  <Application>Microsoft Office Word</Application>
  <DocSecurity>0</DocSecurity>
  <Lines>140</Lines>
  <Paragraphs>40</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Lloyd</dc:creator>
  <cp:keywords/>
  <dc:description/>
  <cp:lastModifiedBy>Cherise Lloyd</cp:lastModifiedBy>
  <cp:revision>2</cp:revision>
  <dcterms:created xsi:type="dcterms:W3CDTF">2023-02-24T12:11:00Z</dcterms:created>
  <dcterms:modified xsi:type="dcterms:W3CDTF">2023-02-24T12:11:00Z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9b5ca00e-ae59-475a-af24-1e1cd35a1dd5</vt:lpwstr>
  </property>
</Properties>
</file>