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sz w:val="22"/>
          <w:szCs w:val="22"/>
        </w:rPr>
      </w:pPr>
      <w:r w:rsidDel="00000000" w:rsidR="00000000" w:rsidRPr="00000000">
        <w:rPr>
          <w:sz w:val="22"/>
          <w:szCs w:val="22"/>
        </w:rPr>
        <w:drawing>
          <wp:inline distB="114300" distT="114300" distL="114300" distR="114300">
            <wp:extent cx="5731200" cy="22225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2222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rPr>
          <w:sz w:val="22"/>
          <w:szCs w:val="22"/>
        </w:rPr>
      </w:pPr>
      <w:r w:rsidDel="00000000" w:rsidR="00000000" w:rsidRPr="00000000">
        <w:rPr>
          <w:rtl w:val="0"/>
        </w:rPr>
      </w:r>
    </w:p>
    <w:p w:rsidR="00000000" w:rsidDel="00000000" w:rsidP="00000000" w:rsidRDefault="00000000" w:rsidRPr="00000000" w14:paraId="00000003">
      <w:pPr>
        <w:spacing w:line="360" w:lineRule="auto"/>
        <w:rPr>
          <w:sz w:val="22"/>
          <w:szCs w:val="22"/>
        </w:rPr>
      </w:pPr>
      <w:r w:rsidDel="00000000" w:rsidR="00000000" w:rsidRPr="00000000">
        <w:rPr>
          <w:rtl w:val="0"/>
        </w:rPr>
      </w:r>
    </w:p>
    <w:p w:rsidR="00000000" w:rsidDel="00000000" w:rsidP="00000000" w:rsidRDefault="00000000" w:rsidRPr="00000000" w14:paraId="00000004">
      <w:pPr>
        <w:spacing w:line="360" w:lineRule="auto"/>
        <w:rPr>
          <w:sz w:val="22"/>
          <w:szCs w:val="22"/>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2"/>
          <w:szCs w:val="22"/>
          <w:rtl w:val="0"/>
        </w:rPr>
        <w:t xml:space="preserve"> Introduction to Health and Social Care</w:t>
      </w:r>
    </w:p>
    <w:p w:rsidR="00000000" w:rsidDel="00000000" w:rsidP="00000000" w:rsidRDefault="00000000" w:rsidRPr="00000000" w14:paraId="00000007">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2"/>
          <w:szCs w:val="22"/>
          <w:rtl w:val="0"/>
        </w:rPr>
        <w:t xml:space="preserve">LCHS4003</w:t>
      </w:r>
    </w:p>
    <w:p w:rsidR="00000000" w:rsidDel="00000000" w:rsidP="00000000" w:rsidRDefault="00000000" w:rsidRPr="00000000" w14:paraId="00000008">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b w:val="1"/>
          <w:bCs w:val="1"/>
          <w:sz w:val="28"/>
          <w:szCs w:val="28"/>
          <w:rtl w:val="0"/>
        </w:rPr>
        <w:t xml:space="preserve">Programme: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2"/>
          <w:szCs w:val="22"/>
          <w:rtl w:val="0"/>
        </w:rPr>
        <w:t xml:space="preserve">Certificate of Higher Education Skills for the Workplace (Health &amp;                        Social Care)</w:t>
      </w:r>
    </w:p>
    <w:p w:rsidR="00000000" w:rsidDel="00000000" w:rsidP="00000000" w:rsidRDefault="00000000" w:rsidRPr="00000000" w14:paraId="00000009">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2"/>
          <w:szCs w:val="22"/>
          <w:rtl w:val="0"/>
        </w:rPr>
        <w:t xml:space="preserve">Debora Bouwens</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2"/>
          <w:szCs w:val="22"/>
          <w:rtl w:val="0"/>
        </w:rPr>
        <w:t xml:space="preserve">2524176</w:t>
      </w:r>
      <w:r w:rsidDel="00000000" w:rsidR="00000000" w:rsidRPr="00000000">
        <w:rPr>
          <w:rtl w:val="0"/>
        </w:rPr>
      </w:r>
    </w:p>
    <w:p w:rsidR="00000000" w:rsidDel="00000000" w:rsidP="00000000" w:rsidRDefault="00000000" w:rsidRPr="00000000" w14:paraId="0000000B">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b w:val="1"/>
          <w:bCs w:val="1"/>
          <w:sz w:val="28"/>
          <w:szCs w:val="28"/>
          <w:rtl w:val="0"/>
        </w:rPr>
        <w:t xml:space="preserve">Lecturer’s name</w:t>
      </w: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sz w:val="22"/>
          <w:szCs w:val="22"/>
          <w:rtl w:val="0"/>
        </w:rPr>
        <w:t xml:space="preserve">Sam Parker</w:t>
      </w:r>
    </w:p>
    <w:p w:rsidR="00000000" w:rsidDel="00000000" w:rsidP="00000000" w:rsidRDefault="00000000" w:rsidRPr="00000000" w14:paraId="0000000C">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0D">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0E">
      <w:pPr>
        <w:tabs>
          <w:tab w:val="left" w:leader="none" w:pos="6540"/>
        </w:tabs>
        <w:spacing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Wordcount: 1377</w:t>
      </w:r>
    </w:p>
    <w:p w:rsidR="00000000" w:rsidDel="00000000" w:rsidP="00000000" w:rsidRDefault="00000000" w:rsidRPr="00000000" w14:paraId="0000000F">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10">
      <w:pPr>
        <w:spacing w:line="36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Table of contents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rPr>
      </w:pPr>
      <w:r w:rsidDel="00000000" w:rsidR="00000000" w:rsidRPr="00000000">
        <w:rPr>
          <w:rFonts w:ascii="Arial" w:cs="Arial" w:eastAsia="Arial" w:hAnsi="Arial"/>
          <w:b w:val="1"/>
          <w:bCs w:val="1"/>
          <w:rtl w:val="0"/>
        </w:rPr>
        <w:t xml:space="preserve">Introduction</w:t>
      </w:r>
      <w:r w:rsidDel="00000000" w:rsidR="00000000" w:rsidRPr="00000000">
        <w:rPr>
          <w:rFonts w:ascii="Arial" w:cs="Arial" w:eastAsia="Arial" w:hAnsi="Arial"/>
          <w:rtl w:val="0"/>
        </w:rPr>
        <w:t xml:space="preserve">…………………………………………………………………………..page </w:t>
      </w:r>
      <w:r w:rsidDel="00000000" w:rsidR="00000000" w:rsidRPr="00000000">
        <w:rPr>
          <w:rFonts w:ascii="Arial" w:cs="Arial" w:eastAsia="Arial" w:hAnsi="Arial"/>
          <w:b w:val="1"/>
          <w:bCs w:val="1"/>
          <w:rtl w:val="0"/>
        </w:rPr>
        <w:t xml:space="preserve">3</w:t>
      </w:r>
    </w:p>
    <w:p w:rsidR="00000000" w:rsidDel="00000000" w:rsidP="00000000" w:rsidRDefault="00000000" w:rsidRPr="00000000" w14:paraId="00000014">
      <w:pPr>
        <w:rPr>
          <w:rFonts w:ascii="Arial" w:cs="Arial" w:eastAsia="Arial" w:hAnsi="Arial"/>
          <w:b w:val="1"/>
          <w:bCs w:val="1"/>
        </w:rPr>
      </w:pPr>
      <w:r w:rsidDel="00000000" w:rsidR="00000000" w:rsidRPr="00000000">
        <w:rPr>
          <w:rFonts w:ascii="Arial" w:cs="Arial" w:eastAsia="Arial" w:hAnsi="Arial"/>
          <w:b w:val="1"/>
          <w:bCs w:val="1"/>
          <w:rtl w:val="0"/>
        </w:rPr>
        <w:t xml:space="preserve">Importance of effective  communication</w:t>
      </w:r>
      <w:r w:rsidDel="00000000" w:rsidR="00000000" w:rsidRPr="00000000">
        <w:rPr>
          <w:rFonts w:ascii="Arial" w:cs="Arial" w:eastAsia="Arial" w:hAnsi="Arial"/>
          <w:rtl w:val="0"/>
        </w:rPr>
        <w:t xml:space="preserve">…………….……………………..…..page </w:t>
      </w:r>
      <w:r w:rsidDel="00000000" w:rsidR="00000000" w:rsidRPr="00000000">
        <w:rPr>
          <w:rFonts w:ascii="Arial" w:cs="Arial" w:eastAsia="Arial" w:hAnsi="Arial"/>
          <w:b w:val="1"/>
          <w:bCs w:val="1"/>
          <w:rtl w:val="0"/>
        </w:rPr>
        <w:t xml:space="preserve">4</w:t>
      </w:r>
    </w:p>
    <w:p w:rsidR="00000000" w:rsidDel="00000000" w:rsidP="00000000" w:rsidRDefault="00000000" w:rsidRPr="00000000" w14:paraId="00000015">
      <w:pPr>
        <w:rPr>
          <w:rFonts w:ascii="Arial" w:cs="Arial" w:eastAsia="Arial" w:hAnsi="Arial"/>
          <w:b w:val="1"/>
          <w:bCs w:val="1"/>
        </w:rPr>
      </w:pPr>
      <w:r w:rsidDel="00000000" w:rsidR="00000000" w:rsidRPr="00000000">
        <w:rPr>
          <w:rFonts w:ascii="Arial" w:cs="Arial" w:eastAsia="Arial" w:hAnsi="Arial"/>
          <w:b w:val="1"/>
          <w:bCs w:val="1"/>
          <w:rtl w:val="0"/>
        </w:rPr>
        <w:t xml:space="preserve">Importance of good administrative skills</w:t>
      </w:r>
      <w:r w:rsidDel="00000000" w:rsidR="00000000" w:rsidRPr="00000000">
        <w:rPr>
          <w:rFonts w:ascii="Arial" w:cs="Arial" w:eastAsia="Arial" w:hAnsi="Arial"/>
          <w:rtl w:val="0"/>
        </w:rPr>
        <w:t xml:space="preserve">……………………………………….page </w:t>
      </w:r>
      <w:r w:rsidDel="00000000" w:rsidR="00000000" w:rsidRPr="00000000">
        <w:rPr>
          <w:rFonts w:ascii="Arial" w:cs="Arial" w:eastAsia="Arial" w:hAnsi="Arial"/>
          <w:b w:val="1"/>
          <w:bCs w:val="1"/>
          <w:rtl w:val="0"/>
        </w:rPr>
        <w:t xml:space="preserve">5</w:t>
      </w:r>
    </w:p>
    <w:p w:rsidR="00000000" w:rsidDel="00000000" w:rsidP="00000000" w:rsidRDefault="00000000" w:rsidRPr="00000000" w14:paraId="00000016">
      <w:pPr>
        <w:rPr>
          <w:rFonts w:ascii="Arial" w:cs="Arial" w:eastAsia="Arial" w:hAnsi="Arial"/>
          <w:b w:val="1"/>
          <w:bCs w:val="1"/>
        </w:rPr>
      </w:pPr>
      <w:r w:rsidDel="00000000" w:rsidR="00000000" w:rsidRPr="00000000">
        <w:rPr>
          <w:rFonts w:ascii="Arial" w:cs="Arial" w:eastAsia="Arial" w:hAnsi="Arial"/>
          <w:b w:val="1"/>
          <w:bCs w:val="1"/>
          <w:rtl w:val="0"/>
        </w:rPr>
        <w:t xml:space="preserve">Importance of working collaboratively</w:t>
      </w:r>
      <w:r w:rsidDel="00000000" w:rsidR="00000000" w:rsidRPr="00000000">
        <w:rPr>
          <w:rFonts w:ascii="Arial" w:cs="Arial" w:eastAsia="Arial" w:hAnsi="Arial"/>
          <w:rtl w:val="0"/>
        </w:rPr>
        <w:t xml:space="preserve">………………………………………….page </w:t>
      </w:r>
      <w:r w:rsidDel="00000000" w:rsidR="00000000" w:rsidRPr="00000000">
        <w:rPr>
          <w:rFonts w:ascii="Arial" w:cs="Arial" w:eastAsia="Arial" w:hAnsi="Arial"/>
          <w:b w:val="1"/>
          <w:bCs w:val="1"/>
          <w:rtl w:val="0"/>
        </w:rPr>
        <w:t xml:space="preserve">6</w:t>
      </w:r>
    </w:p>
    <w:p w:rsidR="00000000" w:rsidDel="00000000" w:rsidP="00000000" w:rsidRDefault="00000000" w:rsidRPr="00000000" w14:paraId="00000017">
      <w:pPr>
        <w:rPr>
          <w:rFonts w:ascii="Arial" w:cs="Arial" w:eastAsia="Arial" w:hAnsi="Arial"/>
          <w:b w:val="1"/>
          <w:bCs w:val="1"/>
        </w:rPr>
      </w:pPr>
      <w:r w:rsidDel="00000000" w:rsidR="00000000" w:rsidRPr="00000000">
        <w:rPr>
          <w:rFonts w:ascii="Arial" w:cs="Arial" w:eastAsia="Arial" w:hAnsi="Arial"/>
          <w:b w:val="1"/>
          <w:bCs w:val="1"/>
          <w:rtl w:val="0"/>
        </w:rPr>
        <w:t xml:space="preserve">Conclusion</w:t>
      </w:r>
      <w:r w:rsidDel="00000000" w:rsidR="00000000" w:rsidRPr="00000000">
        <w:rPr>
          <w:rFonts w:ascii="Arial" w:cs="Arial" w:eastAsia="Arial" w:hAnsi="Arial"/>
          <w:rtl w:val="0"/>
        </w:rPr>
        <w:t xml:space="preserve">……………………………………………………………………………page </w:t>
      </w:r>
      <w:r w:rsidDel="00000000" w:rsidR="00000000" w:rsidRPr="00000000">
        <w:rPr>
          <w:rFonts w:ascii="Arial" w:cs="Arial" w:eastAsia="Arial" w:hAnsi="Arial"/>
          <w:b w:val="1"/>
          <w:bCs w:val="1"/>
          <w:rtl w:val="0"/>
        </w:rPr>
        <w:t xml:space="preserve">7</w:t>
      </w:r>
    </w:p>
    <w:p w:rsidR="00000000" w:rsidDel="00000000" w:rsidP="00000000" w:rsidRDefault="00000000" w:rsidRPr="00000000" w14:paraId="00000018">
      <w:pPr>
        <w:rPr>
          <w:rFonts w:ascii="Arial" w:cs="Arial" w:eastAsia="Arial" w:hAnsi="Arial"/>
          <w:b w:val="1"/>
          <w:bCs w:val="1"/>
        </w:rPr>
      </w:pPr>
      <w:r w:rsidDel="00000000" w:rsidR="00000000" w:rsidRPr="00000000">
        <w:rPr>
          <w:rFonts w:ascii="Arial" w:cs="Arial" w:eastAsia="Arial" w:hAnsi="Arial"/>
          <w:b w:val="1"/>
          <w:bCs w:val="1"/>
          <w:rtl w:val="0"/>
        </w:rPr>
        <w:t xml:space="preserve">References</w:t>
      </w:r>
      <w:r w:rsidDel="00000000" w:rsidR="00000000" w:rsidRPr="00000000">
        <w:rPr>
          <w:rFonts w:ascii="Arial" w:cs="Arial" w:eastAsia="Arial" w:hAnsi="Arial"/>
          <w:rtl w:val="0"/>
        </w:rPr>
        <w:t xml:space="preserve"> …………………………………………………………………………...page </w:t>
      </w:r>
      <w:r w:rsidDel="00000000" w:rsidR="00000000" w:rsidRPr="00000000">
        <w:rPr>
          <w:rFonts w:ascii="Arial" w:cs="Arial" w:eastAsia="Arial" w:hAnsi="Arial"/>
          <w:b w:val="1"/>
          <w:bCs w:val="1"/>
          <w:rtl w:val="0"/>
        </w:rPr>
        <w:t xml:space="preserve">8</w:t>
      </w:r>
    </w:p>
    <w:p w:rsidR="00000000" w:rsidDel="00000000" w:rsidP="00000000" w:rsidRDefault="00000000" w:rsidRPr="00000000" w14:paraId="00000019">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1C">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1D">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1E">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1F">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1">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5">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6">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color w:val="ff0000"/>
          <w:sz w:val="28"/>
          <w:szCs w:val="28"/>
          <w:u w:val="single"/>
        </w:rPr>
      </w:pPr>
      <w:r w:rsidDel="00000000" w:rsidR="00000000" w:rsidRPr="00000000">
        <w:rPr>
          <w:rtl w:val="0"/>
        </w:rPr>
      </w:r>
    </w:p>
    <w:p w:rsidR="00000000" w:rsidDel="00000000" w:rsidP="00000000" w:rsidRDefault="00000000" w:rsidRPr="00000000" w14:paraId="00000028">
      <w:pPr>
        <w:spacing w:line="360"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color w:val="ff0000"/>
        </w:rPr>
      </w:pPr>
      <w:r w:rsidDel="00000000" w:rsidR="00000000" w:rsidRPr="00000000">
        <w:rPr>
          <w:rtl w:val="0"/>
        </w:rPr>
        <w:t xml:space="preserve">1. Introduction  </w:t>
      </w:r>
      <w:r w:rsidDel="00000000" w:rsidR="00000000" w:rsidRPr="00000000">
        <w:rPr>
          <w:rtl w:val="0"/>
        </w:rPr>
      </w:r>
    </w:p>
    <w:p w:rsidR="00000000" w:rsidDel="00000000" w:rsidP="00000000" w:rsidRDefault="00000000" w:rsidRPr="00000000" w14:paraId="0000002A">
      <w:pPr>
        <w:tabs>
          <w:tab w:val="left" w:leader="none" w:pos="6540"/>
        </w:tabs>
        <w:spacing w:line="360" w:lineRule="auto"/>
        <w:rPr>
          <w:rFonts w:ascii="Arial" w:cs="Arial" w:eastAsia="Arial" w:hAnsi="Arial"/>
          <w:color w:val="ff0000"/>
          <w:sz w:val="28"/>
          <w:szCs w:val="28"/>
        </w:rPr>
      </w:pPr>
      <w:r w:rsidDel="00000000" w:rsidR="00000000" w:rsidRPr="00000000">
        <w:rPr>
          <w:rtl w:val="0"/>
        </w:rPr>
      </w:r>
    </w:p>
    <w:p w:rsidR="00000000" w:rsidDel="00000000" w:rsidP="00000000" w:rsidRDefault="00000000" w:rsidRPr="00000000" w14:paraId="0000002B">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examines the health and social care needs of Mrs Thompson, an 84-year-old woman who has recently been discharged from hospital </w:t>
      </w:r>
      <w:r w:rsidDel="00000000" w:rsidR="00000000" w:rsidRPr="00000000">
        <w:rPr>
          <w:rFonts w:ascii="Arial" w:cs="Arial" w:eastAsia="Arial" w:hAnsi="Arial"/>
          <w:sz w:val="22"/>
          <w:szCs w:val="22"/>
          <w:rtl w:val="0"/>
        </w:rPr>
        <w:t xml:space="preserve">following a pneumonia</w:t>
      </w:r>
      <w:r w:rsidDel="00000000" w:rsidR="00000000" w:rsidRPr="00000000">
        <w:rPr>
          <w:rFonts w:ascii="Arial" w:cs="Arial" w:eastAsia="Arial" w:hAnsi="Arial"/>
          <w:sz w:val="22"/>
          <w:szCs w:val="22"/>
          <w:rtl w:val="0"/>
        </w:rPr>
        <w:t xml:space="preserve">. Mrs Thompson lives alone in sheltered housing and receives twice a day domiciliary care. She has mild dementia and has recently missed her routine medication. A further concern was raised when she was found outside in cold weather without appropriate clothing, and the local council is currently reviewing the situation. This case deals with complex needs and therefore will discuss coordination and effective communication, while taking laws and regulation into account, such as: the Equality Act 2010, Human Rights Act 1998, Data Protection Act 2018 and UK GDPR. The report will explore professional partnership within multi-agency working and how legislation expects Mrs Thompson to be attended to.</w:t>
      </w:r>
    </w:p>
    <w:p w:rsidR="00000000" w:rsidDel="00000000" w:rsidP="00000000" w:rsidRDefault="00000000" w:rsidRPr="00000000" w14:paraId="0000002C">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9">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pStyle w:val="Heading1"/>
        <w:rPr>
          <w:color w:val="ff0000"/>
        </w:rPr>
      </w:pPr>
      <w:r w:rsidDel="00000000" w:rsidR="00000000" w:rsidRPr="00000000">
        <w:rPr>
          <w:rtl w:val="0"/>
        </w:rPr>
        <w:t xml:space="preserve">2. Importance of effective communication </w:t>
      </w:r>
      <w:r w:rsidDel="00000000" w:rsidR="00000000" w:rsidRPr="00000000">
        <w:rPr>
          <w:rtl w:val="0"/>
        </w:rPr>
      </w:r>
    </w:p>
    <w:p w:rsidR="00000000" w:rsidDel="00000000" w:rsidP="00000000" w:rsidRDefault="00000000" w:rsidRPr="00000000" w14:paraId="0000003B">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Equality Act of 2010 focuses on nine characteristics protected against unfair treatment: age, disability, gender reassignment, marriage and civil partnership, pregnancy and maternity, race, religion and belief, sex, and sexual orientation. Contextually, Mrs Thompson is protected due to age and disability.  The duties under the Equality Act 2010 in Health and Social Care are in this case mainly to advance equality of opportunity. Considering Mrs Thompson’s mild dementia and increased confusion, as she has been forgetting her medication lately, and taking into consideration Mrs Thompson has been found outside without appropriate clothing in cold weather, and she currently lives in sheltered care, with twice-a-day domiciliary care, she would be protected by the Human Rights Act, 1998, as the NHS is a public authority. Article 3, Inhuman or Degrading Treatment, subjecting someone to severe abuse, torture,, or extreme neglect while in a state detention or care (Human Rights Act, 1998). Logically, Article 5, Right to Liberty, is relevant as well as mental health and physical neurological brain syndromes, in recent history have been used as a reason to detain individuals in mental asylums. Article 8 gives effect to the right of self-determination and autonomy in the competent patient. With regard to the incompetent patient, Articles 8 and 3 apply in reaching a decision about best interests. The law is settled that a decision about best interests should not be solely medically oriented, but must incorporate broader ethical, social, moral and welfare considerations and that in the event of dispute it is for the judge, not the doctor, to decide whether the proposed treatment (or non-treatment) is indeed in the best interests of the patient who lacks capacity.16 Article 8 provides protection for an incompetent individual's personal autonomy and dignity (Samanta and Samanta, 2005).  Bronfenbrenner’s Ecological Systems Theory 1979 is clarifying how in depth this interferes with Mrs Thompson's life as follows; micro systems as her personal experience is changing, family structure and decision making. Mesosystems, environment might change as well as interactions.  Exo systems, choices will be made regarding care that she might not understand or agree with. Macro systems , Mrs Thompson’s and her family’s cultural beliefs might be </w:t>
      </w:r>
      <w:r w:rsidDel="00000000" w:rsidR="00000000" w:rsidRPr="00000000">
        <w:rPr>
          <w:rFonts w:ascii="Arial" w:cs="Arial" w:eastAsia="Arial" w:hAnsi="Arial"/>
          <w:sz w:val="22"/>
          <w:szCs w:val="22"/>
          <w:rtl w:val="0"/>
        </w:rPr>
        <w:t xml:space="preserve">disappointed</w:t>
      </w:r>
      <w:r w:rsidDel="00000000" w:rsidR="00000000" w:rsidRPr="00000000">
        <w:rPr>
          <w:rFonts w:ascii="Arial" w:cs="Arial" w:eastAsia="Arial" w:hAnsi="Arial"/>
          <w:sz w:val="22"/>
          <w:szCs w:val="22"/>
          <w:rtl w:val="0"/>
        </w:rPr>
        <w:t xml:space="preserve">. And chronosystem, meaning time and life transitions, this is an understandable emotional time for Mrs Thompson and family, it is the. By using clear, concise, complete, correct and compassionate communication, verbal and written, provided to Mrs Thompson and her family, as well as the sheltered care staff and General Practitioner.</w:t>
      </w:r>
    </w:p>
    <w:p w:rsidR="00000000" w:rsidDel="00000000" w:rsidP="00000000" w:rsidRDefault="00000000" w:rsidRPr="00000000" w14:paraId="0000003C">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pStyle w:val="Heading1"/>
        <w:rPr>
          <w:color w:val="ff0000"/>
        </w:rPr>
      </w:pPr>
      <w:r w:rsidDel="00000000" w:rsidR="00000000" w:rsidRPr="00000000">
        <w:rPr>
          <w:rtl w:val="0"/>
        </w:rPr>
        <w:t xml:space="preserve">3. Importance of good administrative skills </w:t>
      </w:r>
      <w:r w:rsidDel="00000000" w:rsidR="00000000" w:rsidRPr="00000000">
        <w:rPr>
          <w:rtl w:val="0"/>
        </w:rPr>
      </w:r>
    </w:p>
    <w:p w:rsidR="00000000" w:rsidDel="00000000" w:rsidP="00000000" w:rsidRDefault="00000000" w:rsidRPr="00000000" w14:paraId="0000003F">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Data Protection Act 2018 states data be used fairly, lawfully and transparently. Used for specified, explicit purposes. Used in a way that is adequate, relevant and limited to only what is necessary, and kept up to date. The data can not be kept longer than is necessary and is handled in a way that ensures appropriate security, including protection against unlawful or unauthorised processing, access, loss, destruction or damage.  There is stronger legal protection for more sensitive information such as; race, ethnic background, political opinions, religious beliefs, genetics, biometrics, health, sex life or orientation and more (UK Government, 2025). </w:t>
        <w:br w:type="textWrapping"/>
        <w:t xml:space="preserve">Keeping, updating and acquiring data in Health and Social Care is vital. NHS England has a framework called the Records Management Code of Practice for consistent and effective records management, based on established standards. Without these guidelines the quality and privacy of the data is not guaranteed. Which can promote dangerous interactions, unsafe care and a lesser quality of life. </w:t>
        <w:br w:type="textWrapping"/>
        <w:t xml:space="preserve">DPA 2018 is a law and UK General Data Protection Regulation, go together as essential laws because professionals regularly handle sensitive personal information, including medical records, care plans, medication details, safeguarding concerns, and personal histories. These laws and regulations ensure that information is used legally, safely, and respectfully.</w:t>
        <w:br w:type="textWrapping"/>
        <w:t xml:space="preserve">The NHS works with an Equality Delivery System (EDS), it is a toolkit to improve equality performance that has been widely implemented across the NHS and is being used by both providers and commissioners of services (NHS England, 2024). The Equality and Diversity Council (EDC) provides visible leadership on equality and health inequalities issues across the Health and Social Care. The NHS lists information governance documents hyperlinks regarding records management policy, information governance policy, confidentiality policy, data protection policy, and freedom of information policy. Freedom of information publication scheme explains what information NHS England makes (or expects to make) routinely available, and where it can be accessed (NHS England, 2024). Followed by useful links, contact information and complaints procedures.</w:t>
      </w:r>
    </w:p>
    <w:p w:rsidR="00000000" w:rsidDel="00000000" w:rsidP="00000000" w:rsidRDefault="00000000" w:rsidRPr="00000000" w14:paraId="00000040">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pStyle w:val="Heading1"/>
        <w:rPr>
          <w:color w:val="ff0000"/>
        </w:rPr>
      </w:pPr>
      <w:r w:rsidDel="00000000" w:rsidR="00000000" w:rsidRPr="00000000">
        <w:rPr>
          <w:rtl w:val="0"/>
        </w:rPr>
        <w:t xml:space="preserve">4. Importance of working collaboratively </w:t>
      </w:r>
      <w:r w:rsidDel="00000000" w:rsidR="00000000" w:rsidRPr="00000000">
        <w:rPr>
          <w:rtl w:val="0"/>
        </w:rPr>
      </w:r>
    </w:p>
    <w:p w:rsidR="00000000" w:rsidDel="00000000" w:rsidP="00000000" w:rsidRDefault="00000000" w:rsidRPr="00000000" w14:paraId="00000045">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Mrs Thompson will be exposed to multiple levels of care and communication, which will be overseen by a family member, if no family member is available, the local council's adult social services take on the legal responsibility for assessing and supporting the care needs. There will be communication between the General Practitioner, sheltered home staff, domiciliary care workers, dementia specialist, pharmacist, social worker, adult safeguarding team. </w:t>
        <w:br w:type="textWrapping"/>
        <w:t xml:space="preserve">The General Practitioner is usually responsible for overseeing Mrs Thompson's general health. They can refer her as deemed necessary and will oversee the progress, regress or stagnation of her pneumonia. They will review and adjust medication.The Pharmacist can contribute to a medication review. Domiciliary care workers who support Mrs Thompson twice daily with medication, personal care and daily living, and report concerts such as missed medication or changes in behaviour.</w:t>
        <w:br w:type="textWrapping"/>
        <w:t xml:space="preserve">The Social Worker and Safeguarding Team are relevant because the council is reviewing Mrs Thompson’s case. And a Care Coordinator who goes between different services and ensures that information is appropriately shared, and her care plan is updated. These professionals must maintain confidentiality however can share relevant information when there is a lawful basis and it is necessary for providing care.</w:t>
        <w:br w:type="textWrapping"/>
        <w:t xml:space="preserve">Multidisciplinary care is necessary as Mrs Thompson has healthcare needs that cover a range, and no single professional can address all of the needs. This can only be effective with good communication. </w:t>
        <w:br w:type="textWrapping"/>
        <w:t xml:space="preserve">The challenges, without including often seen behavioural problems from people suffering with dementia, is constant, relevant communication, without crossing laws, regulations, and guidelines. Another challenge is how to make changes without disturbing the patient, as illness progresses, a change of scenery, meaning more hands on and an appropriate living arrangement could result in more stress for Mrs Thompson and possible family. Monitoring medication is crucial and quite possibly impossible semi-independently living. Having Mrs Thompson’s family support and possible resources would mitigate certain challenges. Familiarity, funds and a strong support system is incredibly helpful. </w:t>
      </w:r>
    </w:p>
    <w:p w:rsidR="00000000" w:rsidDel="00000000" w:rsidP="00000000" w:rsidRDefault="00000000" w:rsidRPr="00000000" w14:paraId="00000047">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pStyle w:val="Heading1"/>
        <w:rPr>
          <w:color w:val="ff0000"/>
        </w:rPr>
      </w:pPr>
      <w:r w:rsidDel="00000000" w:rsidR="00000000" w:rsidRPr="00000000">
        <w:rPr>
          <w:rtl w:val="0"/>
        </w:rPr>
        <w:t xml:space="preserve">5. Conclusion </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Mrs Thompson’s situation demonstrates the importance of coordinated, person-centred care with complex needs.Effective communication with Mrs Thompson and her family is essential as the Equality Act 2010 requires and an appropriate communication model is essential to ensure that her rights are respected. Accurate record keeping in accordance with the Data Protection Act 2018 and UK GDPR, is necessary to protect her privacy. Professional partnership within multi-agency working in Health and Social Care, promotes identifying and managing risks relating to medication, safeguarding, and likely transitions. Although multi-agency working may present challenges, these can be reduced by having regular, clear and effective communication. On paper the systems in place should provide adequate care however, inefficiency is the key component in the United Kingdom and the NHS is a prime example. More people involved, increases risk of complications. Yet overall, the Equality Act 2010 and the Human Rights Act 1998 provide an important legal framework to protect Mrs Thompson’s dignity, autonomy, safety and wellbeing.</w:t>
      </w:r>
    </w:p>
    <w:p w:rsidR="00000000" w:rsidDel="00000000" w:rsidP="00000000" w:rsidRDefault="00000000" w:rsidRPr="00000000" w14:paraId="0000004D">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1">
      <w:pPr>
        <w:rPr>
          <w:rFonts w:ascii="Arial" w:cs="Arial" w:eastAsia="Arial" w:hAnsi="Arial"/>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rPr/>
      </w:pPr>
      <w:r w:rsidDel="00000000" w:rsidR="00000000" w:rsidRPr="00000000">
        <w:rPr>
          <w:rtl w:val="0"/>
        </w:rPr>
        <w:t xml:space="preserve">References</w:t>
      </w:r>
    </w:p>
    <w:p w:rsidR="00000000" w:rsidDel="00000000" w:rsidP="00000000" w:rsidRDefault="00000000" w:rsidRPr="00000000" w14:paraId="00000053">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Care Act (2014). Care Act 2014. [online] Legislation.gov.uk. Available at: https://www.legislation.gov.uk/ukpga/2014/23/contents [Accessed 25 Aug. 2026].</w:t>
      </w:r>
    </w:p>
    <w:p w:rsidR="00000000" w:rsidDel="00000000" w:rsidP="00000000" w:rsidRDefault="00000000" w:rsidRPr="00000000" w14:paraId="00000054">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Google Books. (2026). The Ecology of Human Development. [online] Available at: https://books.google.co.uk/books?hl=en&amp;lr=&amp;id=OCmbzWka6xUC&amp;oi=fnd&amp;pg=PA3&amp;dq=urie+bronfenbrenner+1979&amp;ots=yAR0P1YQgd&amp;sig=8IueRSrGys73Qz47mE1tbtTyo_0&amp;redir_esc=y#v=onepage&amp;q&amp;f=false [Accessed 25 Aug. 2026].</w:t>
      </w:r>
    </w:p>
    <w:p w:rsidR="00000000" w:rsidDel="00000000" w:rsidP="00000000" w:rsidRDefault="00000000" w:rsidRPr="00000000" w14:paraId="00000055">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(2005). Mental Capacity Act 2005. [online] Legislation.gov.uk. Available at: https://www.legislation.gov.uk/ukpga/2005/9/contents [Accessed 25 Aug. 2026].</w:t>
      </w:r>
    </w:p>
    <w:p w:rsidR="00000000" w:rsidDel="00000000" w:rsidP="00000000" w:rsidRDefault="00000000" w:rsidRPr="00000000" w14:paraId="00000056">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(2010). Equality Act 2010. [online] Legislation.gov.uk. Available at: https://www.legislation.gov.uk/ukpga/2010/15/contents [Accessed 25 Aug. 2026].</w:t>
      </w:r>
    </w:p>
    <w:p w:rsidR="00000000" w:rsidDel="00000000" w:rsidP="00000000" w:rsidRDefault="00000000" w:rsidRPr="00000000" w14:paraId="00000057">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(2018). Data Protection Act 2018. [online] legislation.gov.uk. Available at: https://www.legislation.gov.uk/ukpga/2018/12/contents [Accessed 25 Aug. 2026].</w:t>
      </w:r>
    </w:p>
    <w:p w:rsidR="00000000" w:rsidDel="00000000" w:rsidP="00000000" w:rsidRDefault="00000000" w:rsidRPr="00000000" w14:paraId="00000058">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Human Rights Act (1998). Human Rights Act 1998. [online] Legislation.gov.uk. Available at: https://www.legislation.gov.uk/ukpga/1998/42/contents [Accessed 25 Aug. 2026].</w:t>
      </w:r>
    </w:p>
    <w:p w:rsidR="00000000" w:rsidDel="00000000" w:rsidP="00000000" w:rsidRDefault="00000000" w:rsidRPr="00000000" w14:paraId="00000059">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(2022). High quality patient records. [online] NHS England. Available at: https://www.england.nhs.uk/long-read/high-quality-patient-records/ [Accessed 25 Aug. 2026].</w:t>
      </w:r>
    </w:p>
    <w:p w:rsidR="00000000" w:rsidDel="00000000" w:rsidP="00000000" w:rsidRDefault="00000000" w:rsidRPr="00000000" w14:paraId="0000005A">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(2024). NHS England Our Policies and Procedures. [online] England.nhs.uk. Available at: https://www.england.nhs.uk/contact-us/pub-scheme/pol-proc/ [Accessed 25 Aug. 2026].</w:t>
      </w:r>
    </w:p>
    <w:p w:rsidR="00000000" w:rsidDel="00000000" w:rsidP="00000000" w:rsidRDefault="00000000" w:rsidRPr="00000000" w14:paraId="0000005B">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Samanta, A. and Samanta, J. (2005). The Human Rights Act 1998--why should it matter for medical practice? Journal of the Royal Society of Medicine, [online] 98(9), pp.404–410. doi:10.1258/jrsm.98.9.404.</w:t>
      </w:r>
    </w:p>
    <w:p w:rsidR="00000000" w:rsidDel="00000000" w:rsidP="00000000" w:rsidRDefault="00000000" w:rsidRPr="00000000" w14:paraId="0000005C">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Government (2008). Health and Social Care Act 2008. [online] Legislation.gov.uk. Available at: https://www.legislation.gov.uk/ukpga/2008/14/contents [Accessed 25 Aug. 2026].</w:t>
      </w:r>
    </w:p>
    <w:p w:rsidR="00000000" w:rsidDel="00000000" w:rsidP="00000000" w:rsidRDefault="00000000" w:rsidRPr="00000000" w14:paraId="0000005D">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Government (2018). UK General Data Protection Regulation. [online] legislation.gov.uk. Available at: https://www.legislation.gov.uk/eur/2016/679/contents [Accessed 25 Aug. 2026].</w:t>
      </w:r>
    </w:p>
    <w:p w:rsidR="00000000" w:rsidDel="00000000" w:rsidP="00000000" w:rsidRDefault="00000000" w:rsidRPr="00000000" w14:paraId="0000005E">
      <w:pPr>
        <w:tabs>
          <w:tab w:val="left" w:leader="none" w:pos="6540"/>
        </w:tabs>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Government (2025). Data Protection Act. [online] Gov.uk. Available at: https://www.gov.uk/data-protection [Accessed 25 Aug. 2026].</w:t>
      </w:r>
    </w:p>
    <w:p w:rsidR="00000000" w:rsidDel="00000000" w:rsidP="00000000" w:rsidRDefault="00000000" w:rsidRPr="00000000" w14:paraId="0000005F">
      <w:pPr>
        <w:tabs>
          <w:tab w:val="left" w:leader="none" w:pos="6540"/>
        </w:tabs>
        <w:spacing w:line="360" w:lineRule="auto"/>
        <w:rPr>
          <w:rFonts w:ascii="Arial" w:cs="Arial" w:eastAsia="Arial" w:hAnsi="Arial"/>
          <w:sz w:val="22"/>
          <w:szCs w:val="22"/>
        </w:rPr>
      </w:pPr>
      <w:r w:rsidDel="00000000" w:rsidR="00000000" w:rsidRPr="00000000">
        <w:rPr>
          <w:rtl w:val="0"/>
        </w:rPr>
      </w:r>
    </w:p>
    <w:sectPr>
      <w:footerReference r:id="rId8"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bCs w:val="1"/>
      <w:i w:val="1"/>
      <w:iCs w:val="1"/>
      <w:color w:val="2f5496"/>
      <w:sz w:val="26"/>
      <w:szCs w:val="26"/>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Tj8YmYEb6Fhoyadl6xd1VBfZdA==">CgMxLjA4AHIhMURfY1lzcFUtc182VF9QZEZ0WUktdkp0U2NRSlFXR3Vo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