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90585" w14:textId="11707192" w:rsidR="00406E24" w:rsidRPr="005C569D" w:rsidRDefault="00406E24" w:rsidP="0E9096A0">
      <w:pPr>
        <w:spacing w:line="360" w:lineRule="auto"/>
        <w:jc w:val="center"/>
        <w:rPr>
          <w:sz w:val="28"/>
          <w:szCs w:val="28"/>
          <w:u w:val="single"/>
        </w:rPr>
      </w:pPr>
      <w:r w:rsidRPr="0E9096A0">
        <w:rPr>
          <w:sz w:val="28"/>
          <w:szCs w:val="28"/>
          <w:u w:val="single"/>
        </w:rPr>
        <w:t xml:space="preserve">Bridging the Gap </w:t>
      </w:r>
      <w:r w:rsidR="005C569D" w:rsidRPr="0E9096A0">
        <w:rPr>
          <w:sz w:val="28"/>
          <w:szCs w:val="28"/>
          <w:u w:val="single"/>
        </w:rPr>
        <w:t>–</w:t>
      </w:r>
      <w:r w:rsidRPr="0E9096A0">
        <w:rPr>
          <w:sz w:val="28"/>
          <w:szCs w:val="28"/>
          <w:u w:val="single"/>
        </w:rPr>
        <w:t xml:space="preserve"> </w:t>
      </w:r>
      <w:r w:rsidR="005C569D" w:rsidRPr="0E9096A0">
        <w:rPr>
          <w:sz w:val="28"/>
          <w:szCs w:val="28"/>
          <w:u w:val="single"/>
        </w:rPr>
        <w:t xml:space="preserve">Understanding the Teaching Experiences of College-Based </w:t>
      </w:r>
      <w:r w:rsidR="00CB12C8" w:rsidRPr="0E9096A0">
        <w:rPr>
          <w:sz w:val="28"/>
          <w:szCs w:val="28"/>
          <w:u w:val="single"/>
        </w:rPr>
        <w:t xml:space="preserve">Higher Education </w:t>
      </w:r>
      <w:r w:rsidR="005C569D" w:rsidRPr="0E9096A0">
        <w:rPr>
          <w:sz w:val="28"/>
          <w:szCs w:val="28"/>
          <w:u w:val="single"/>
        </w:rPr>
        <w:t>Lecturers in Wales</w:t>
      </w:r>
    </w:p>
    <w:p w14:paraId="3E44C174" w14:textId="77777777" w:rsidR="00406E24" w:rsidRDefault="00406E24" w:rsidP="0E9096A0">
      <w:pPr>
        <w:spacing w:line="360" w:lineRule="auto"/>
        <w:rPr>
          <w:u w:val="single"/>
        </w:rPr>
      </w:pPr>
    </w:p>
    <w:p w14:paraId="4293476E" w14:textId="3C04229C" w:rsidR="00FD4798" w:rsidRDefault="00131FCE" w:rsidP="0E9096A0">
      <w:pPr>
        <w:spacing w:line="360" w:lineRule="auto"/>
        <w:rPr>
          <w:u w:val="single"/>
        </w:rPr>
      </w:pPr>
      <w:r w:rsidRPr="50EE857F">
        <w:rPr>
          <w:u w:val="single"/>
        </w:rPr>
        <w:t>Abbreviations</w:t>
      </w:r>
      <w:r w:rsidR="00283417" w:rsidRPr="50EE857F">
        <w:rPr>
          <w:u w:val="single"/>
        </w:rPr>
        <w:t xml:space="preserve"> and Glossary</w:t>
      </w:r>
    </w:p>
    <w:p w14:paraId="68F40147" w14:textId="69160BEF" w:rsidR="00F63D29" w:rsidRPr="0029192A" w:rsidRDefault="0029192A" w:rsidP="0E9096A0">
      <w:pPr>
        <w:spacing w:line="360" w:lineRule="auto"/>
      </w:pPr>
      <w:r w:rsidRPr="0E9096A0">
        <w:rPr>
          <w:b/>
          <w:bCs/>
        </w:rPr>
        <w:t xml:space="preserve">CBHE – </w:t>
      </w:r>
      <w:r>
        <w:t>College-based Higher Education</w:t>
      </w:r>
    </w:p>
    <w:p w14:paraId="33568320" w14:textId="04518580" w:rsidR="00EE4370" w:rsidRDefault="0029192A" w:rsidP="0E9096A0">
      <w:pPr>
        <w:spacing w:line="360" w:lineRule="auto"/>
      </w:pPr>
      <w:r w:rsidRPr="0E9096A0">
        <w:rPr>
          <w:b/>
          <w:bCs/>
        </w:rPr>
        <w:t xml:space="preserve">FE – </w:t>
      </w:r>
      <w:r>
        <w:t>Further Education</w:t>
      </w:r>
      <w:r w:rsidR="005B7F9C">
        <w:t xml:space="preserve"> – usually includes vocational</w:t>
      </w:r>
      <w:r w:rsidR="00131FCE">
        <w:t>, academic,</w:t>
      </w:r>
      <w:r w:rsidR="005B7F9C">
        <w:t xml:space="preserve"> and work-based learning programmes</w:t>
      </w:r>
      <w:r w:rsidR="00F46E3F">
        <w:t>, for post-16 learners</w:t>
      </w:r>
      <w:r w:rsidR="005B7F9C">
        <w:t xml:space="preserve">. </w:t>
      </w:r>
    </w:p>
    <w:p w14:paraId="2AEB46FE" w14:textId="557CBAE7" w:rsidR="00761A08" w:rsidRPr="00761A08" w:rsidRDefault="00761A08" w:rsidP="0E9096A0">
      <w:pPr>
        <w:spacing w:line="360" w:lineRule="auto"/>
      </w:pPr>
      <w:r>
        <w:rPr>
          <w:b/>
          <w:bCs/>
        </w:rPr>
        <w:t xml:space="preserve">FEC – </w:t>
      </w:r>
      <w:r>
        <w:t>Further Education College</w:t>
      </w:r>
    </w:p>
    <w:p w14:paraId="60E022B9" w14:textId="7AB7C6F7" w:rsidR="00CD52EB" w:rsidRDefault="00CD52EB" w:rsidP="0E9096A0">
      <w:pPr>
        <w:spacing w:line="360" w:lineRule="auto"/>
      </w:pPr>
      <w:r w:rsidRPr="0E9096A0">
        <w:rPr>
          <w:b/>
          <w:bCs/>
        </w:rPr>
        <w:t xml:space="preserve">FEI – </w:t>
      </w:r>
      <w:r>
        <w:t xml:space="preserve">Further Education </w:t>
      </w:r>
      <w:r w:rsidR="00B744DE">
        <w:t>Institution</w:t>
      </w:r>
    </w:p>
    <w:p w14:paraId="7F091B3D" w14:textId="7075187B" w:rsidR="00F63D29" w:rsidRDefault="009A644E" w:rsidP="0E9096A0">
      <w:pPr>
        <w:spacing w:line="360" w:lineRule="auto"/>
      </w:pPr>
      <w:r w:rsidRPr="0E9096A0">
        <w:rPr>
          <w:b/>
          <w:bCs/>
        </w:rPr>
        <w:t xml:space="preserve">HE - </w:t>
      </w:r>
      <w:r>
        <w:t>Higher Education</w:t>
      </w:r>
      <w:r w:rsidRPr="0E9096A0">
        <w:rPr>
          <w:b/>
          <w:bCs/>
        </w:rPr>
        <w:t xml:space="preserve"> – </w:t>
      </w:r>
      <w:r>
        <w:t>typically refers to</w:t>
      </w:r>
      <w:r w:rsidR="00B744DE">
        <w:t xml:space="preserve"> </w:t>
      </w:r>
      <w:r w:rsidR="006E2865">
        <w:t>undergraduate</w:t>
      </w:r>
      <w:r w:rsidR="006C0334">
        <w:t xml:space="preserve">, </w:t>
      </w:r>
      <w:r w:rsidR="006E2865">
        <w:t xml:space="preserve">postgraduate </w:t>
      </w:r>
      <w:r w:rsidR="006C0334">
        <w:t xml:space="preserve">and </w:t>
      </w:r>
      <w:r w:rsidR="00F46E3F">
        <w:t>research awards, from level four onwards.</w:t>
      </w:r>
    </w:p>
    <w:p w14:paraId="348360E2" w14:textId="471D4A84" w:rsidR="00B744DE" w:rsidRPr="00B744DE" w:rsidRDefault="00B744DE" w:rsidP="0E9096A0">
      <w:pPr>
        <w:spacing w:line="360" w:lineRule="auto"/>
      </w:pPr>
      <w:r w:rsidRPr="0E9096A0">
        <w:rPr>
          <w:b/>
          <w:bCs/>
        </w:rPr>
        <w:t xml:space="preserve">HEI – </w:t>
      </w:r>
      <w:r>
        <w:t>Higher Education Institution</w:t>
      </w:r>
    </w:p>
    <w:p w14:paraId="5FBD83EF" w14:textId="77777777" w:rsidR="00443C8C" w:rsidRDefault="00443C8C" w:rsidP="0E9096A0">
      <w:pPr>
        <w:spacing w:line="360" w:lineRule="auto"/>
      </w:pPr>
      <w:r w:rsidRPr="50EE857F">
        <w:rPr>
          <w:b/>
          <w:bCs/>
        </w:rPr>
        <w:t xml:space="preserve">HE in FE – </w:t>
      </w:r>
      <w:r>
        <w:t>Higher Education in Further Education</w:t>
      </w:r>
    </w:p>
    <w:p w14:paraId="2AF8EB30" w14:textId="53ADEEF3" w:rsidR="594AF7B2" w:rsidRDefault="594AF7B2" w:rsidP="50EE857F">
      <w:pPr>
        <w:spacing w:line="360" w:lineRule="auto"/>
      </w:pPr>
      <w:r w:rsidRPr="50EE857F">
        <w:rPr>
          <w:b/>
          <w:bCs/>
        </w:rPr>
        <w:t xml:space="preserve">Tertiary Education – </w:t>
      </w:r>
      <w:r>
        <w:t>Also known as post-compulsory education</w:t>
      </w:r>
    </w:p>
    <w:p w14:paraId="788431A1" w14:textId="77777777" w:rsidR="00443C8C" w:rsidRDefault="00443C8C" w:rsidP="0E9096A0">
      <w:pPr>
        <w:spacing w:line="360" w:lineRule="auto"/>
      </w:pPr>
      <w:r w:rsidRPr="0E9096A0">
        <w:rPr>
          <w:b/>
          <w:bCs/>
        </w:rPr>
        <w:t xml:space="preserve">WG – </w:t>
      </w:r>
      <w:r>
        <w:t>Welsh Government</w:t>
      </w:r>
    </w:p>
    <w:p w14:paraId="06159F6B" w14:textId="41890DD4" w:rsidR="00F63D29" w:rsidRDefault="00443C8C" w:rsidP="0E9096A0">
      <w:pPr>
        <w:spacing w:line="360" w:lineRule="auto"/>
      </w:pPr>
      <w:r w:rsidRPr="0E9096A0">
        <w:rPr>
          <w:b/>
          <w:bCs/>
        </w:rPr>
        <w:t xml:space="preserve">WP - </w:t>
      </w:r>
      <w:r w:rsidR="00F63D29">
        <w:t>Widening Participation</w:t>
      </w:r>
    </w:p>
    <w:p w14:paraId="7D039474" w14:textId="77777777" w:rsidR="00845D29" w:rsidRPr="00F63D29" w:rsidRDefault="00845D29" w:rsidP="0E9096A0">
      <w:pPr>
        <w:spacing w:line="360" w:lineRule="auto"/>
      </w:pPr>
    </w:p>
    <w:p w14:paraId="3CD574BE" w14:textId="376760D2" w:rsidR="00231ABD" w:rsidRPr="004E06A4" w:rsidRDefault="00564372" w:rsidP="0E9096A0">
      <w:pPr>
        <w:spacing w:line="360" w:lineRule="auto"/>
        <w:rPr>
          <w:sz w:val="28"/>
          <w:szCs w:val="28"/>
          <w:u w:val="single"/>
        </w:rPr>
      </w:pPr>
      <w:r w:rsidRPr="0E9096A0">
        <w:rPr>
          <w:sz w:val="28"/>
          <w:szCs w:val="28"/>
          <w:u w:val="single"/>
        </w:rPr>
        <w:t>Introduction</w:t>
      </w:r>
    </w:p>
    <w:p w14:paraId="5B8F1877" w14:textId="72B13116" w:rsidR="00A24FD3" w:rsidRDefault="007B5849" w:rsidP="0E9096A0">
      <w:pPr>
        <w:spacing w:line="360" w:lineRule="auto"/>
      </w:pPr>
      <w:r>
        <w:t xml:space="preserve"> In the U</w:t>
      </w:r>
      <w:r w:rsidR="00C710E4">
        <w:t>nited Kingdom (UK)</w:t>
      </w:r>
      <w:r>
        <w:t xml:space="preserve">, </w:t>
      </w:r>
      <w:r w:rsidR="3B4DDD83">
        <w:t>the post-</w:t>
      </w:r>
      <w:r w:rsidR="456E6D3C">
        <w:t>compulsory</w:t>
      </w:r>
      <w:r w:rsidR="78395F60">
        <w:t xml:space="preserve"> </w:t>
      </w:r>
      <w:r w:rsidR="003D1B19">
        <w:t xml:space="preserve">or tertiary </w:t>
      </w:r>
      <w:r w:rsidR="456E6D3C">
        <w:t>educational</w:t>
      </w:r>
      <w:r>
        <w:t xml:space="preserve"> landscape is </w:t>
      </w:r>
      <w:r w:rsidR="0003258C">
        <w:t>diverse, with sixth form schools, further education (FE) colleges, and higher education (HE) institutions all offering qualifications for learners aged 16 and above</w:t>
      </w:r>
      <w:r>
        <w:t xml:space="preserve"> </w:t>
      </w:r>
      <w:r w:rsidR="117616D7">
        <w:t>(QAA, 2022; HESA, 2023</w:t>
      </w:r>
      <w:r w:rsidR="0E6CE0CC">
        <w:t>;</w:t>
      </w:r>
      <w:r w:rsidR="56D2D1F2">
        <w:t xml:space="preserve"> Welsh Government, 2025)</w:t>
      </w:r>
      <w:r>
        <w:t xml:space="preserve">. </w:t>
      </w:r>
      <w:r w:rsidR="4531A7FC">
        <w:t xml:space="preserve">In Wales, </w:t>
      </w:r>
      <w:r w:rsidR="00FD120A">
        <w:t xml:space="preserve">the number of learners attending these institutions has increased, with 145,175 learners studying at university and 119,300 </w:t>
      </w:r>
      <w:r w:rsidR="00FD120A">
        <w:lastRenderedPageBreak/>
        <w:t>students enrolled in</w:t>
      </w:r>
      <w:r w:rsidR="59EAB328">
        <w:t xml:space="preserve"> FE programmes in </w:t>
      </w:r>
      <w:r w:rsidR="00830BB4">
        <w:t xml:space="preserve">the 2021-2022 academic year </w:t>
      </w:r>
      <w:r w:rsidR="59EAB328">
        <w:t>(</w:t>
      </w:r>
      <w:r w:rsidR="00F6612E">
        <w:t>WCPP, 2024)</w:t>
      </w:r>
      <w:r w:rsidR="00600529">
        <w:t xml:space="preserve">. </w:t>
      </w:r>
      <w:r w:rsidR="00AF0162">
        <w:t>However</w:t>
      </w:r>
      <w:r w:rsidR="00DE7974">
        <w:t>,</w:t>
      </w:r>
      <w:r w:rsidR="00AF0162">
        <w:t xml:space="preserve"> </w:t>
      </w:r>
      <w:r w:rsidR="00DE7974">
        <w:t xml:space="preserve">Pember </w:t>
      </w:r>
      <w:r w:rsidR="00DE7974">
        <w:rPr>
          <w:i/>
          <w:iCs/>
        </w:rPr>
        <w:t>et al.</w:t>
      </w:r>
      <w:r w:rsidR="00594EB7">
        <w:rPr>
          <w:i/>
          <w:iCs/>
        </w:rPr>
        <w:t xml:space="preserve"> (2021) </w:t>
      </w:r>
      <w:r w:rsidR="00594EB7" w:rsidRPr="00594EB7">
        <w:t>note that adult skills are in decline, which is leading to unemployment</w:t>
      </w:r>
      <w:r w:rsidR="00CF23F2">
        <w:t xml:space="preserve"> </w:t>
      </w:r>
      <w:r w:rsidR="005F5DAB">
        <w:t xml:space="preserve">and limited labour productivity. </w:t>
      </w:r>
      <w:r w:rsidR="003D0FF0">
        <w:t xml:space="preserve">They further acknowledge that the </w:t>
      </w:r>
      <w:r w:rsidR="00BC1C27">
        <w:t>COVID-19 pandemic</w:t>
      </w:r>
      <w:r w:rsidR="003D0FF0">
        <w:t>, societal</w:t>
      </w:r>
      <w:r w:rsidR="006F5605">
        <w:t xml:space="preserve"> concerns</w:t>
      </w:r>
      <w:r w:rsidR="004B236D">
        <w:t>, and the</w:t>
      </w:r>
      <w:r w:rsidR="0051632D">
        <w:t xml:space="preserve"> recent</w:t>
      </w:r>
      <w:r w:rsidR="004B236D">
        <w:t xml:space="preserve"> economic downturn have</w:t>
      </w:r>
      <w:r w:rsidR="003D0FF0">
        <w:t xml:space="preserve"> exacer</w:t>
      </w:r>
      <w:r w:rsidR="00BC1C27">
        <w:t>bated the</w:t>
      </w:r>
      <w:r w:rsidR="006F5605">
        <w:t xml:space="preserve"> skills and employment issues.</w:t>
      </w:r>
    </w:p>
    <w:p w14:paraId="4C0BC7A8" w14:textId="3062DFB1" w:rsidR="00A24FD3" w:rsidRDefault="007B5849" w:rsidP="0E9096A0">
      <w:pPr>
        <w:spacing w:line="360" w:lineRule="auto"/>
      </w:pPr>
      <w:r>
        <w:t xml:space="preserve">Over the past decade, several government-commissioned reviews have assessed strategies to bridge </w:t>
      </w:r>
      <w:r w:rsidR="004B236D">
        <w:t xml:space="preserve">the </w:t>
      </w:r>
      <w:r w:rsidR="00830BB4">
        <w:t xml:space="preserve">skills </w:t>
      </w:r>
      <w:r w:rsidR="004B236D">
        <w:t>deficit and attainment gaps, with widening participation for disadvantaged socio-economic groups being</w:t>
      </w:r>
      <w:r>
        <w:t xml:space="preserve"> a top priority for both the UK and devolved governments (Rocks and Lavender, 2018</w:t>
      </w:r>
      <w:r w:rsidR="005C5140">
        <w:t>; WCPP, 2024</w:t>
      </w:r>
      <w:r>
        <w:t>).</w:t>
      </w:r>
    </w:p>
    <w:p w14:paraId="56D156B5" w14:textId="49072133" w:rsidR="0040123D" w:rsidRDefault="00522EA5" w:rsidP="0E9096A0">
      <w:pPr>
        <w:spacing w:line="360" w:lineRule="auto"/>
      </w:pPr>
      <w:r>
        <w:t>Across</w:t>
      </w:r>
      <w:r w:rsidR="000F19B1">
        <w:t xml:space="preserve"> the </w:t>
      </w:r>
      <w:r>
        <w:t>United Kingdom (UK)</w:t>
      </w:r>
      <w:r w:rsidR="002130D9">
        <w:t>, further education colleges offer college-based higher education</w:t>
      </w:r>
      <w:r w:rsidR="000F19B1">
        <w:t xml:space="preserve"> (CBHE)</w:t>
      </w:r>
      <w:r w:rsidR="002130D9">
        <w:t xml:space="preserve">, </w:t>
      </w:r>
      <w:r w:rsidR="00516D27">
        <w:t xml:space="preserve">a provision developed to provide opportunities for learners </w:t>
      </w:r>
      <w:r w:rsidR="005C0492">
        <w:t xml:space="preserve">who wish to retrain or </w:t>
      </w:r>
      <w:r w:rsidR="10A907EE">
        <w:t xml:space="preserve">upskill (Welsh Government, 2015; </w:t>
      </w:r>
      <w:r w:rsidR="4CD90090">
        <w:t>W</w:t>
      </w:r>
      <w:r w:rsidR="117D087A">
        <w:t>CPP</w:t>
      </w:r>
      <w:r w:rsidR="4CD90090">
        <w:t>, 2024).</w:t>
      </w:r>
      <w:r w:rsidR="005C0492">
        <w:t xml:space="preserve"> In Wales, these programmes are often attended by non-traditional learners, who are typically older than traditional students and have been out of education for a significant period</w:t>
      </w:r>
      <w:r w:rsidR="002445C4">
        <w:t>. Furthermore</w:t>
      </w:r>
      <w:r w:rsidR="00A94FEF">
        <w:t xml:space="preserve">, the demographics of CBHE programmes demonstrate that many learners come from </w:t>
      </w:r>
      <w:r w:rsidR="002445C4">
        <w:t>disadvantaged socio-economic groups (</w:t>
      </w:r>
      <w:r w:rsidR="752A2B41">
        <w:t>McGhie, 2017; Taylor and Bullock, 2023)</w:t>
      </w:r>
      <w:r w:rsidR="005C0492">
        <w:t xml:space="preserve">. </w:t>
      </w:r>
      <w:r w:rsidR="00B74E4D">
        <w:t>Accordingly, t</w:t>
      </w:r>
      <w:r w:rsidR="002130D9">
        <w:t>he Welsh Government actively promotes the use of further education colleges to support the development of higher education programmes</w:t>
      </w:r>
      <w:r w:rsidR="000E6BB2">
        <w:t xml:space="preserve">, with several reviews highlighting the potential of this </w:t>
      </w:r>
      <w:r w:rsidR="007E5BF5">
        <w:t>provision (</w:t>
      </w:r>
      <w:r w:rsidR="73E7DE7C">
        <w:t xml:space="preserve">Welsh Government, 2015; </w:t>
      </w:r>
      <w:r w:rsidR="336067E9">
        <w:t>WCPP</w:t>
      </w:r>
      <w:r w:rsidR="4B2EA5FD">
        <w:t>, 2024</w:t>
      </w:r>
      <w:r w:rsidR="7CEFF1F1">
        <w:t>; Welsh Government 2025)</w:t>
      </w:r>
      <w:r w:rsidR="007E5BF5">
        <w:t>.</w:t>
      </w:r>
    </w:p>
    <w:p w14:paraId="5D0C4B7C" w14:textId="4DC73889" w:rsidR="00A60A78" w:rsidRDefault="0071463F" w:rsidP="0E9096A0">
      <w:pPr>
        <w:spacing w:line="360" w:lineRule="auto"/>
      </w:pPr>
      <w:r>
        <w:t xml:space="preserve">Despite the focus of the UK and devolved governments on widening participation and the increasing use of further education colleges to deliver higher educational programmes for non-traditional learners, research into the experiences of lecturers and learners within this tertiary context has been insufficiently explored. Although CBHE provides various vocational and academic pathways, little is known about how staff manage the dual demands of teaching higher education in further education settings. </w:t>
      </w:r>
    </w:p>
    <w:p w14:paraId="7B991F9C" w14:textId="516B8168" w:rsidR="005B29F7" w:rsidRDefault="00621F1F" w:rsidP="0E9096A0">
      <w:pPr>
        <w:spacing w:line="360" w:lineRule="auto"/>
      </w:pPr>
      <w:r>
        <w:t xml:space="preserve">The current available literature highlights several opportunities and challenges for the CBHE lecturer, including the rewarding feeling that lecturers experience when they see </w:t>
      </w:r>
      <w:r>
        <w:lastRenderedPageBreak/>
        <w:t>their learners graduating with awards, as well as the strong industry links developed within their educational communities (</w:t>
      </w:r>
      <w:r w:rsidR="197202E8">
        <w:t xml:space="preserve">Ostapenko-Denton, 2019; </w:t>
      </w:r>
      <w:r w:rsidR="65691C7A">
        <w:t>Bullock and Henry, 2023</w:t>
      </w:r>
      <w:r w:rsidR="70AC8D60">
        <w:t>)</w:t>
      </w:r>
      <w:r>
        <w:t>. However, research also indicates that substantial workloads, a lack of understanding from management, and the need to navigate dual systems all contribute to staff feeling pressured and overworked</w:t>
      </w:r>
      <w:r w:rsidR="00900AF0">
        <w:t xml:space="preserve"> (</w:t>
      </w:r>
      <w:r w:rsidR="69CADCBC">
        <w:t>CollegesWales, 2020; Kin</w:t>
      </w:r>
      <w:r w:rsidR="28C05704">
        <w:t>man 2023)</w:t>
      </w:r>
      <w:r>
        <w:t>. Furthermore, much of the current limited literature is based on the experiences of CBHE staff in England, with little to no research focused on the Welsh context.</w:t>
      </w:r>
    </w:p>
    <w:p w14:paraId="4905788A" w14:textId="375B9540" w:rsidR="001C6BA2" w:rsidRPr="00DF7845" w:rsidRDefault="00966E04" w:rsidP="0E9096A0">
      <w:pPr>
        <w:spacing w:line="360" w:lineRule="auto"/>
        <w:rPr>
          <w:i/>
          <w:iCs/>
        </w:rPr>
      </w:pPr>
      <w:r>
        <w:t>Th</w:t>
      </w:r>
      <w:r w:rsidR="00D235AD">
        <w:t xml:space="preserve">is </w:t>
      </w:r>
      <w:r w:rsidR="005859E4">
        <w:t>study</w:t>
      </w:r>
      <w:r w:rsidR="00D235AD">
        <w:t xml:space="preserve"> aims</w:t>
      </w:r>
      <w:r>
        <w:t xml:space="preserve"> to </w:t>
      </w:r>
      <w:r w:rsidR="005859E4">
        <w:t>understand</w:t>
      </w:r>
      <w:r>
        <w:t xml:space="preserve"> the experiences of Welsh lecturers in delivering CBHE, </w:t>
      </w:r>
      <w:r w:rsidR="001C6BA2">
        <w:t xml:space="preserve">guided by the </w:t>
      </w:r>
      <w:r w:rsidR="00DF7845">
        <w:t xml:space="preserve">question: </w:t>
      </w:r>
      <w:r w:rsidR="00DF7845" w:rsidRPr="0E9096A0">
        <w:rPr>
          <w:i/>
          <w:iCs/>
        </w:rPr>
        <w:t xml:space="preserve">What </w:t>
      </w:r>
      <w:r w:rsidR="0074412A" w:rsidRPr="0E9096A0">
        <w:rPr>
          <w:i/>
          <w:iCs/>
        </w:rPr>
        <w:t>opportunities and challenges do</w:t>
      </w:r>
      <w:r w:rsidR="00854B6A" w:rsidRPr="0E9096A0">
        <w:rPr>
          <w:i/>
          <w:iCs/>
        </w:rPr>
        <w:t xml:space="preserve"> college-based higher education</w:t>
      </w:r>
      <w:r w:rsidR="0074412A" w:rsidRPr="0E9096A0">
        <w:rPr>
          <w:i/>
          <w:iCs/>
        </w:rPr>
        <w:t xml:space="preserve"> lecturers face in </w:t>
      </w:r>
      <w:r w:rsidR="00DF7845" w:rsidRPr="0E9096A0">
        <w:rPr>
          <w:i/>
          <w:iCs/>
        </w:rPr>
        <w:t xml:space="preserve">teaching in Wales? </w:t>
      </w:r>
    </w:p>
    <w:p w14:paraId="216768F7" w14:textId="0029468A" w:rsidR="00FD15B7" w:rsidRDefault="004C5EE8" w:rsidP="0E9096A0">
      <w:pPr>
        <w:spacing w:line="360" w:lineRule="auto"/>
      </w:pPr>
      <w:r>
        <w:t>This study aims</w:t>
      </w:r>
      <w:r w:rsidR="0084040B">
        <w:t xml:space="preserve"> to understand the student demographics within CBHE programmes in Wales and to explore how CBHE lecturers support them. Another aim is to comprehend how HE in FE lecturers experience the administrative framework, focusing on the opportunities and challenges of working within the dual sector. Additionally, this research </w:t>
      </w:r>
      <w:r w:rsidR="005F6D1E">
        <w:t>seeks</w:t>
      </w:r>
      <w:r w:rsidR="0084040B">
        <w:t xml:space="preserve"> to examine job satisfaction and workload. A key component of this study is to understand the Welsh context.</w:t>
      </w:r>
    </w:p>
    <w:p w14:paraId="5ADB847C" w14:textId="27B08AB1" w:rsidR="00966E04" w:rsidRDefault="00966E04" w:rsidP="0E9096A0">
      <w:pPr>
        <w:spacing w:line="360" w:lineRule="auto"/>
      </w:pPr>
      <w:r>
        <w:t xml:space="preserve">Using </w:t>
      </w:r>
      <w:r w:rsidR="00B24BEA">
        <w:t>a qualitative approach, semi-structured interviews</w:t>
      </w:r>
      <w:r w:rsidR="004B1E2F">
        <w:t xml:space="preserve"> </w:t>
      </w:r>
      <w:r w:rsidR="0092095B">
        <w:t>are</w:t>
      </w:r>
      <w:r w:rsidR="00B24BEA">
        <w:t xml:space="preserve"> conducted with </w:t>
      </w:r>
      <w:r w:rsidR="00BE10F7">
        <w:t xml:space="preserve">CBHE </w:t>
      </w:r>
      <w:r w:rsidR="00B24BEA">
        <w:t>lecturers in a single Welsh college</w:t>
      </w:r>
      <w:r w:rsidR="00BE10F7">
        <w:t xml:space="preserve">. The data </w:t>
      </w:r>
      <w:r w:rsidR="00B13A87">
        <w:t>are analysed thematically, following Braun and Clarke’s (2006,</w:t>
      </w:r>
      <w:r w:rsidR="009B0E95">
        <w:t xml:space="preserve"> </w:t>
      </w:r>
      <w:r w:rsidR="00704A5D">
        <w:t>2022</w:t>
      </w:r>
      <w:r w:rsidR="00BE10F7">
        <w:t>) method</w:t>
      </w:r>
      <w:r w:rsidR="009B0E95">
        <w:t xml:space="preserve"> of analysis</w:t>
      </w:r>
      <w:r w:rsidR="003E246B">
        <w:t>.</w:t>
      </w:r>
    </w:p>
    <w:p w14:paraId="424D195A" w14:textId="71F49FC3" w:rsidR="00564372" w:rsidRDefault="00B33079" w:rsidP="0E9096A0">
      <w:pPr>
        <w:spacing w:line="360" w:lineRule="auto"/>
      </w:pPr>
      <w:r>
        <w:t xml:space="preserve">This research provides new insights into the professional experiences of CBHE lecturers, highlighting the institutional </w:t>
      </w:r>
      <w:r w:rsidR="006652B8">
        <w:t xml:space="preserve">rewards, </w:t>
      </w:r>
      <w:r>
        <w:t>complexities</w:t>
      </w:r>
      <w:r w:rsidR="006652B8">
        <w:t xml:space="preserve"> and </w:t>
      </w:r>
      <w:r>
        <w:t>tensions they encounter. The findings aim to inform both institutional strategies for supporting CBHE and the broader academic understanding of this evolving sector of education in Wales.</w:t>
      </w:r>
    </w:p>
    <w:p w14:paraId="2ABDC87D" w14:textId="34269C03" w:rsidR="00B2757A" w:rsidRDefault="007227EB" w:rsidP="0E9096A0">
      <w:pPr>
        <w:spacing w:line="360" w:lineRule="auto"/>
      </w:pPr>
      <w:r>
        <w:t xml:space="preserve">It is worth noting that in </w:t>
      </w:r>
      <w:r w:rsidR="007006E7">
        <w:t xml:space="preserve">the </w:t>
      </w:r>
      <w:r>
        <w:t>contemporary literature discussing this topic, the terms college-based higher education (CBHE) and higher education in further education (HE in FE) are used. In this paper, both terms are used interchangeably.</w:t>
      </w:r>
    </w:p>
    <w:p w14:paraId="75DA1D96" w14:textId="6469501E" w:rsidR="00273DD4" w:rsidRPr="004E06A4" w:rsidRDefault="00273DD4" w:rsidP="0E9096A0">
      <w:pPr>
        <w:spacing w:line="360" w:lineRule="auto"/>
        <w:rPr>
          <w:sz w:val="28"/>
          <w:szCs w:val="28"/>
          <w:u w:val="single"/>
        </w:rPr>
      </w:pPr>
      <w:r w:rsidRPr="0E9096A0">
        <w:rPr>
          <w:sz w:val="28"/>
          <w:szCs w:val="28"/>
          <w:u w:val="single"/>
        </w:rPr>
        <w:t>Literature Review</w:t>
      </w:r>
    </w:p>
    <w:p w14:paraId="21ADA0B2" w14:textId="02745AC0" w:rsidR="009726D9" w:rsidRDefault="00FA5E1E" w:rsidP="0E9096A0">
      <w:pPr>
        <w:spacing w:line="360" w:lineRule="auto"/>
      </w:pPr>
      <w:r>
        <w:lastRenderedPageBreak/>
        <w:t>This narrative review</w:t>
      </w:r>
      <w:r w:rsidR="00844262">
        <w:t xml:space="preserve"> will critically evaluate the literature</w:t>
      </w:r>
      <w:r w:rsidR="00864363">
        <w:t xml:space="preserve"> </w:t>
      </w:r>
      <w:r w:rsidR="00D36AF0">
        <w:t xml:space="preserve">surrounding the opportunities and challenges </w:t>
      </w:r>
      <w:r w:rsidR="009475ED">
        <w:t>that CBHE lecturers face in teaching in Wales</w:t>
      </w:r>
      <w:r w:rsidR="00CC2291">
        <w:t>. It will</w:t>
      </w:r>
      <w:r w:rsidR="00117FBD">
        <w:t xml:space="preserve"> </w:t>
      </w:r>
      <w:r w:rsidR="000E111C">
        <w:t xml:space="preserve">initially discuss the HE and FE context before </w:t>
      </w:r>
      <w:r w:rsidR="00117FBD">
        <w:t xml:space="preserve">critically </w:t>
      </w:r>
      <w:r w:rsidR="001D1860">
        <w:t>examin</w:t>
      </w:r>
      <w:r w:rsidR="000E111C">
        <w:t>ing</w:t>
      </w:r>
      <w:r w:rsidR="001D1860">
        <w:t xml:space="preserve"> the</w:t>
      </w:r>
      <w:r w:rsidR="00063DF6">
        <w:t xml:space="preserve"> UK and Welsh</w:t>
      </w:r>
      <w:r w:rsidR="001D1860">
        <w:t xml:space="preserve"> political</w:t>
      </w:r>
      <w:r w:rsidR="006B3BC4">
        <w:t xml:space="preserve"> and</w:t>
      </w:r>
      <w:r w:rsidR="001D1860">
        <w:t xml:space="preserve"> educational landscape, identif</w:t>
      </w:r>
      <w:r w:rsidR="006B3BC4">
        <w:t xml:space="preserve">ying the influence that Governmental policies have on the drive to teach HE in FE. </w:t>
      </w:r>
      <w:r w:rsidR="003A04DE">
        <w:t xml:space="preserve">A discussion on </w:t>
      </w:r>
      <w:r w:rsidR="00656604">
        <w:t>the diverse academic needs and backgrounds of learners enrolled on a</w:t>
      </w:r>
      <w:r w:rsidR="00796B9B">
        <w:t xml:space="preserve"> CBHE programme</w:t>
      </w:r>
      <w:r w:rsidR="00FC00ED">
        <w:t xml:space="preserve"> </w:t>
      </w:r>
      <w:r w:rsidR="003A04DE">
        <w:t xml:space="preserve">will be </w:t>
      </w:r>
      <w:r w:rsidR="00982BE5">
        <w:t>connected</w:t>
      </w:r>
      <w:r w:rsidR="00735013">
        <w:t xml:space="preserve"> to this discussion. The literature review will then progress to</w:t>
      </w:r>
      <w:r w:rsidR="00FC00ED">
        <w:t xml:space="preserve"> discuss the</w:t>
      </w:r>
      <w:r w:rsidR="00213F37">
        <w:t xml:space="preserve"> rewards, opportunities and</w:t>
      </w:r>
      <w:r w:rsidR="00CE55C4">
        <w:t xml:space="preserve"> challenges that </w:t>
      </w:r>
      <w:r w:rsidR="00796B9B">
        <w:t>CBHE</w:t>
      </w:r>
      <w:r w:rsidR="00CE55C4">
        <w:t xml:space="preserve"> lecturers </w:t>
      </w:r>
      <w:r w:rsidR="008D2B00">
        <w:t>face in their dual role within a college, before concluding with an exploration of role alignment, conflict,</w:t>
      </w:r>
      <w:r w:rsidR="004855EC">
        <w:t xml:space="preserve"> and professional identity.</w:t>
      </w:r>
      <w:r w:rsidR="009726D9">
        <w:t xml:space="preserve"> The chapter will conclude with </w:t>
      </w:r>
      <w:r w:rsidR="00C323C3">
        <w:t>a summary</w:t>
      </w:r>
      <w:r w:rsidR="00FC00ED">
        <w:t xml:space="preserve"> </w:t>
      </w:r>
      <w:r w:rsidR="00982BE5">
        <w:t xml:space="preserve">that identifies the gaps in the literature and outlines </w:t>
      </w:r>
      <w:r w:rsidR="0068595F">
        <w:t>the research question for this project.</w:t>
      </w:r>
    </w:p>
    <w:p w14:paraId="2402A981" w14:textId="5F39E312" w:rsidR="0000633D" w:rsidRDefault="0000633D" w:rsidP="0E9096A0">
      <w:pPr>
        <w:spacing w:line="360" w:lineRule="auto"/>
        <w:rPr>
          <w:u w:val="single"/>
        </w:rPr>
      </w:pPr>
      <w:r w:rsidRPr="0E9096A0">
        <w:rPr>
          <w:u w:val="single"/>
        </w:rPr>
        <w:t>Search Strategy</w:t>
      </w:r>
    </w:p>
    <w:p w14:paraId="4114522E" w14:textId="7A2A86FC" w:rsidR="002E4D9D" w:rsidRDefault="00D84AB1" w:rsidP="0E9096A0">
      <w:pPr>
        <w:spacing w:line="360" w:lineRule="auto"/>
      </w:pPr>
      <w:r>
        <w:t xml:space="preserve">The literature search for this project </w:t>
      </w:r>
      <w:r w:rsidR="007965F8">
        <w:t>utilised the following databases: ProQuest Central, PsychArticles, ScienceDirect,</w:t>
      </w:r>
      <w:r w:rsidR="003F14CD">
        <w:t xml:space="preserve"> and Academic Search Premier. Peer-reviewed, </w:t>
      </w:r>
      <w:r w:rsidR="00C73D16">
        <w:t>evidence-based</w:t>
      </w:r>
      <w:r w:rsidR="003F14CD">
        <w:t xml:space="preserve"> literature was used to support the discussion within the paper</w:t>
      </w:r>
      <w:r w:rsidR="00C73D16">
        <w:t>. However</w:t>
      </w:r>
      <w:r w:rsidR="003F14CD">
        <w:t>, grey literature, including Governmental documents</w:t>
      </w:r>
      <w:r w:rsidR="00C73D16">
        <w:t>,</w:t>
      </w:r>
      <w:r w:rsidR="003F14CD">
        <w:t xml:space="preserve"> </w:t>
      </w:r>
      <w:r w:rsidR="00C73D16">
        <w:t>was</w:t>
      </w:r>
      <w:r w:rsidR="003F14CD">
        <w:t xml:space="preserve"> also utilised to</w:t>
      </w:r>
      <w:r w:rsidR="00C73D16">
        <w:t xml:space="preserve"> support t</w:t>
      </w:r>
      <w:r w:rsidR="003F14CD">
        <w:t xml:space="preserve">he </w:t>
      </w:r>
      <w:r w:rsidR="00544C3E">
        <w:t xml:space="preserve">critical </w:t>
      </w:r>
      <w:r w:rsidR="007965F8">
        <w:t>debate</w:t>
      </w:r>
      <w:r w:rsidR="00544C3E">
        <w:t>.</w:t>
      </w:r>
      <w:r w:rsidR="007965F8">
        <w:t xml:space="preserve"> </w:t>
      </w:r>
      <w:r w:rsidR="002E4D9D">
        <w:t>Specific search terms were used</w:t>
      </w:r>
      <w:r w:rsidR="00F70608">
        <w:t xml:space="preserve"> for this project:</w:t>
      </w:r>
    </w:p>
    <w:p w14:paraId="4D374304" w14:textId="740CBC1B" w:rsidR="00F70608" w:rsidRPr="003E04D1" w:rsidRDefault="009819CB" w:rsidP="0E9096A0">
      <w:pPr>
        <w:spacing w:line="360" w:lineRule="auto"/>
      </w:pPr>
      <w:r>
        <w:t>College-based higher education provision, further education, higher education, tertiary education</w:t>
      </w:r>
      <w:r w:rsidR="000637CF">
        <w:t>, higher education in further education.</w:t>
      </w:r>
    </w:p>
    <w:p w14:paraId="697D709B" w14:textId="6609FCD2" w:rsidR="0006700F" w:rsidRDefault="0072034A" w:rsidP="0E9096A0">
      <w:pPr>
        <w:spacing w:line="360" w:lineRule="auto"/>
      </w:pPr>
      <w:r>
        <w:t xml:space="preserve">The </w:t>
      </w:r>
      <w:r w:rsidR="00004E33">
        <w:t>search aimed to explore contemporary literature produced since 2018</w:t>
      </w:r>
      <w:r w:rsidR="006C3535">
        <w:t xml:space="preserve">, </w:t>
      </w:r>
      <w:r w:rsidR="005579E3">
        <w:t>with a central focus on research produced within the UK. Wherever possible</w:t>
      </w:r>
      <w:r w:rsidR="00A748F6">
        <w:t>,</w:t>
      </w:r>
      <w:r w:rsidR="005579E3">
        <w:t xml:space="preserve"> the lens would be </w:t>
      </w:r>
      <w:r w:rsidR="00A748F6">
        <w:t xml:space="preserve">narrowed to explore the Welsh context. However, </w:t>
      </w:r>
      <w:r w:rsidR="008513CC">
        <w:t xml:space="preserve">there is generally a dearth of literature </w:t>
      </w:r>
      <w:r w:rsidR="00A30B7E">
        <w:t>examining</w:t>
      </w:r>
      <w:r w:rsidR="008513CC">
        <w:t xml:space="preserve"> the Further Education context, and so these parameters </w:t>
      </w:r>
      <w:r w:rsidR="00A30B7E">
        <w:t>often need</w:t>
      </w:r>
      <w:r w:rsidR="008513CC">
        <w:t xml:space="preserve"> to be widened; where this occurs, it will be identified within the paper. </w:t>
      </w:r>
    </w:p>
    <w:p w14:paraId="3923001C" w14:textId="784CCBB5" w:rsidR="00976FAD" w:rsidRDefault="0006700F" w:rsidP="0E9096A0">
      <w:pPr>
        <w:spacing w:line="360" w:lineRule="auto"/>
        <w:rPr>
          <w:u w:val="single"/>
        </w:rPr>
      </w:pPr>
      <w:r w:rsidRPr="0E9096A0">
        <w:rPr>
          <w:u w:val="single"/>
        </w:rPr>
        <w:t>Defi</w:t>
      </w:r>
      <w:r w:rsidR="00F51143" w:rsidRPr="0E9096A0">
        <w:rPr>
          <w:u w:val="single"/>
        </w:rPr>
        <w:t xml:space="preserve">ning the </w:t>
      </w:r>
      <w:r w:rsidR="00085FB8" w:rsidRPr="0E9096A0">
        <w:rPr>
          <w:u w:val="single"/>
        </w:rPr>
        <w:t>C</w:t>
      </w:r>
      <w:r w:rsidR="00F51143" w:rsidRPr="0E9096A0">
        <w:rPr>
          <w:u w:val="single"/>
        </w:rPr>
        <w:t>ontext</w:t>
      </w:r>
    </w:p>
    <w:p w14:paraId="521DE45D" w14:textId="03552E57" w:rsidR="0094161F" w:rsidRDefault="00525CCD" w:rsidP="0E9096A0">
      <w:pPr>
        <w:spacing w:line="360" w:lineRule="auto"/>
      </w:pPr>
      <w:r>
        <w:t xml:space="preserve">Further Education (FE) represents the post-compulsory education system for </w:t>
      </w:r>
      <w:r w:rsidR="00A71DF0">
        <w:t xml:space="preserve">individuals aged 16 and above (Welsh Government, 2025; </w:t>
      </w:r>
      <w:r w:rsidR="005B7AC6">
        <w:t xml:space="preserve">Education and Training Foundation, </w:t>
      </w:r>
      <w:r w:rsidR="0081310B">
        <w:t>2024</w:t>
      </w:r>
      <w:r w:rsidR="00A15ED9">
        <w:t xml:space="preserve">.). </w:t>
      </w:r>
      <w:r w:rsidR="00A15ED9">
        <w:lastRenderedPageBreak/>
        <w:t>It provides opportunities for learners to extend their studies through professional and vocational programmes, as well as A</w:t>
      </w:r>
      <w:r w:rsidR="009819CB">
        <w:t>dvanced</w:t>
      </w:r>
      <w:r w:rsidR="00A15ED9">
        <w:t xml:space="preserve"> Levels and Access Diplomas, which have been developed to prepare</w:t>
      </w:r>
      <w:r w:rsidR="0058439B">
        <w:t xml:space="preserve"> students</w:t>
      </w:r>
      <w:r w:rsidR="00A71DF0">
        <w:t xml:space="preserve"> for university. </w:t>
      </w:r>
      <w:r w:rsidR="00372A99">
        <w:t xml:space="preserve">Further Education </w:t>
      </w:r>
      <w:r w:rsidR="006E1B77">
        <w:t>Institutions (FEIs)</w:t>
      </w:r>
      <w:r w:rsidR="00372A99">
        <w:t xml:space="preserve"> in Wales also offer a </w:t>
      </w:r>
      <w:r w:rsidR="00596577">
        <w:t>limited number of degree programmes, with a growing framework being developed</w:t>
      </w:r>
      <w:r w:rsidR="005F0788">
        <w:t xml:space="preserve"> </w:t>
      </w:r>
      <w:r w:rsidR="0037446F">
        <w:t>to improve</w:t>
      </w:r>
      <w:r w:rsidR="00FF7549">
        <w:t xml:space="preserve"> the economic and social well-being of the Welsh population (</w:t>
      </w:r>
      <w:r w:rsidR="00B05959">
        <w:t>Welsh Government, 2014</w:t>
      </w:r>
      <w:r w:rsidR="001C3410">
        <w:t>;</w:t>
      </w:r>
      <w:r w:rsidR="00B05959">
        <w:t xml:space="preserve"> </w:t>
      </w:r>
      <w:r w:rsidR="00127877">
        <w:t>CollegesWales, 2020</w:t>
      </w:r>
      <w:r w:rsidR="001C3410">
        <w:t>)</w:t>
      </w:r>
      <w:r w:rsidR="00127877">
        <w:t xml:space="preserve">; </w:t>
      </w:r>
      <w:r w:rsidR="00C042E1">
        <w:t xml:space="preserve">The </w:t>
      </w:r>
      <w:r w:rsidR="0095324A">
        <w:t xml:space="preserve">FE </w:t>
      </w:r>
      <w:r w:rsidR="00F56362">
        <w:t xml:space="preserve">landscape in Wales is </w:t>
      </w:r>
      <w:r w:rsidR="005370B0">
        <w:t xml:space="preserve">diverse, with over 12 colleges and sixth form centres spanning the breadth of Wales, offering learners </w:t>
      </w:r>
      <w:r w:rsidR="00D31360">
        <w:t>a wide range of academic and vocational courses.</w:t>
      </w:r>
      <w:r w:rsidR="00C00EFA">
        <w:t xml:space="preserve"> In addition, there are specialised college campuses </w:t>
      </w:r>
      <w:r w:rsidR="00092631">
        <w:t xml:space="preserve">that </w:t>
      </w:r>
      <w:r w:rsidR="005370B0">
        <w:t>provide</w:t>
      </w:r>
      <w:r w:rsidR="00092631">
        <w:t xml:space="preserve"> land-based education and training in areas related to countryside management, animal studies, and horticulture</w:t>
      </w:r>
      <w:r w:rsidR="00A15ED9">
        <w:t xml:space="preserve"> (M</w:t>
      </w:r>
      <w:r w:rsidR="00A1665E">
        <w:t>EDR</w:t>
      </w:r>
      <w:r w:rsidR="00A15ED9">
        <w:t>, 2024; Welsh Government, 2025)</w:t>
      </w:r>
      <w:r w:rsidR="00092631">
        <w:t>.</w:t>
      </w:r>
      <w:r w:rsidR="00B6449E">
        <w:t xml:space="preserve"> These </w:t>
      </w:r>
      <w:r w:rsidR="00F26A0E">
        <w:t>college courses</w:t>
      </w:r>
      <w:r w:rsidR="00B6449E">
        <w:t xml:space="preserve"> are primarily funded by the Welsh Government, with </w:t>
      </w:r>
      <w:r w:rsidR="00D029CB">
        <w:t xml:space="preserve">any additional subsidised fees paid </w:t>
      </w:r>
      <w:r w:rsidR="00CD2767">
        <w:t xml:space="preserve">for </w:t>
      </w:r>
      <w:r w:rsidR="00D029CB">
        <w:t>by the learner.</w:t>
      </w:r>
    </w:p>
    <w:p w14:paraId="701908C9" w14:textId="11393F8A" w:rsidR="00FE0F24" w:rsidRDefault="009C385D" w:rsidP="0E9096A0">
      <w:pPr>
        <w:spacing w:line="360" w:lineRule="auto"/>
      </w:pPr>
      <w:r>
        <w:t xml:space="preserve">Higher Education </w:t>
      </w:r>
      <w:r w:rsidR="00505722">
        <w:t xml:space="preserve">(HE) is </w:t>
      </w:r>
      <w:r w:rsidR="00BB0058">
        <w:t xml:space="preserve">defined as </w:t>
      </w:r>
      <w:r w:rsidR="00315BA5">
        <w:t>post</w:t>
      </w:r>
      <w:r w:rsidR="0059245A">
        <w:t xml:space="preserve"> </w:t>
      </w:r>
      <w:r w:rsidR="00315BA5">
        <w:t>secondary</w:t>
      </w:r>
      <w:r w:rsidR="00C15694">
        <w:t xml:space="preserve"> and further education, </w:t>
      </w:r>
      <w:r w:rsidR="008B2E8E">
        <w:t xml:space="preserve">typically leading to a degree, although alternatives such as certificates and diplomas are also available </w:t>
      </w:r>
      <w:r w:rsidR="00F966D8">
        <w:t>(</w:t>
      </w:r>
      <w:r w:rsidR="00DD12DC">
        <w:t>QAA, 2022; HESA</w:t>
      </w:r>
      <w:r w:rsidR="00315BA5">
        <w:t>, 2023).</w:t>
      </w:r>
      <w:r w:rsidR="006B56EA">
        <w:t xml:space="preserve"> </w:t>
      </w:r>
      <w:r w:rsidR="00622736">
        <w:t>In their review of Post-18 Education and Funding</w:t>
      </w:r>
      <w:r w:rsidR="00D64F1A">
        <w:t>, the Department for Education</w:t>
      </w:r>
      <w:r w:rsidR="00BE72D5">
        <w:t xml:space="preserve"> (</w:t>
      </w:r>
      <w:r w:rsidR="00C73362">
        <w:t>Augar</w:t>
      </w:r>
      <w:r w:rsidR="004E2C86">
        <w:t xml:space="preserve">, 2019) suggests that there are prescribed and non-prescribed </w:t>
      </w:r>
      <w:r w:rsidR="00615E9B">
        <w:t>q</w:t>
      </w:r>
      <w:r w:rsidR="004E2C86">
        <w:t>ualifications, indicating that vocational qualifications, such as those awarded by the City and Guilds, are non-prescribed, while traditional academic degrees are</w:t>
      </w:r>
      <w:r w:rsidR="00BE72D5">
        <w:t xml:space="preserve"> defined as prescribed. </w:t>
      </w:r>
      <w:r w:rsidR="00D77EDE">
        <w:t xml:space="preserve">Alternative funding structures </w:t>
      </w:r>
      <w:r w:rsidR="00676975">
        <w:t>are available for the various</w:t>
      </w:r>
      <w:r w:rsidR="00BE72D5">
        <w:t xml:space="preserve"> pathways. It is worth noting that this review is based on the </w:t>
      </w:r>
      <w:r w:rsidR="00F70E5A">
        <w:t>Higher Education</w:t>
      </w:r>
      <w:r w:rsidR="00BA4FA0">
        <w:t xml:space="preserve"> </w:t>
      </w:r>
      <w:r w:rsidR="00BE72D5">
        <w:t>structure in England</w:t>
      </w:r>
      <w:r w:rsidR="004C64D7">
        <w:t xml:space="preserve">; however, a similar framework exists for Wales. </w:t>
      </w:r>
      <w:r w:rsidR="00E82669">
        <w:t>There are eight universities across Wales, offering a range of subjects, from research-focused degrees to industry-led programmes (Welsh Government, 2025).</w:t>
      </w:r>
      <w:r w:rsidR="00BB48C2">
        <w:t xml:space="preserve"> </w:t>
      </w:r>
      <w:r w:rsidR="005F3427">
        <w:t>Additionally, HE courses are also provided by the Open University and some further education (FE)</w:t>
      </w:r>
      <w:r w:rsidR="00BB48C2">
        <w:t xml:space="preserve"> colleges.</w:t>
      </w:r>
      <w:r w:rsidR="005F3427">
        <w:t xml:space="preserve"> </w:t>
      </w:r>
    </w:p>
    <w:p w14:paraId="4351A1EF" w14:textId="343EFF47" w:rsidR="001E37F0" w:rsidRDefault="001E37F0" w:rsidP="0E9096A0">
      <w:pPr>
        <w:spacing w:line="360" w:lineRule="auto"/>
        <w:rPr>
          <w:u w:val="single"/>
        </w:rPr>
      </w:pPr>
      <w:r w:rsidRPr="0E9096A0">
        <w:rPr>
          <w:u w:val="single"/>
        </w:rPr>
        <w:t xml:space="preserve">Current </w:t>
      </w:r>
      <w:r w:rsidR="005F6AAC" w:rsidRPr="0E9096A0">
        <w:rPr>
          <w:u w:val="single"/>
        </w:rPr>
        <w:t xml:space="preserve">College-based </w:t>
      </w:r>
      <w:r w:rsidR="00CF2BD5" w:rsidRPr="0E9096A0">
        <w:rPr>
          <w:u w:val="single"/>
        </w:rPr>
        <w:t>HE (CBHE) Provision</w:t>
      </w:r>
    </w:p>
    <w:p w14:paraId="69B0EBC4" w14:textId="0073C7BD" w:rsidR="001E37F0" w:rsidRDefault="001E37F0" w:rsidP="0E9096A0">
      <w:pPr>
        <w:spacing w:line="360" w:lineRule="auto"/>
      </w:pPr>
      <w:r>
        <w:t xml:space="preserve">The current </w:t>
      </w:r>
      <w:r w:rsidR="00CF2BD5">
        <w:t>CBHE</w:t>
      </w:r>
      <w:r>
        <w:t xml:space="preserve"> provision in Wales </w:t>
      </w:r>
      <w:r w:rsidR="005E6E89">
        <w:t xml:space="preserve">remains primarily industry-focused, with </w:t>
      </w:r>
      <w:r w:rsidR="00EE0DA6">
        <w:t xml:space="preserve">further education </w:t>
      </w:r>
      <w:r w:rsidR="005E6E89">
        <w:t xml:space="preserve">colleges offering practical and vocational programmes, such as Higher National Certificates and Diplomas (HNC and HND), as well as industry-related foundation degrees, </w:t>
      </w:r>
      <w:r w:rsidR="005E6E89">
        <w:lastRenderedPageBreak/>
        <w:t xml:space="preserve">which typically form </w:t>
      </w:r>
      <w:r>
        <w:t>the first part of an undergraduate award</w:t>
      </w:r>
      <w:r w:rsidR="00F172AE">
        <w:t xml:space="preserve"> </w:t>
      </w:r>
      <w:r w:rsidR="005570CF">
        <w:t>(WCPP, 2024).</w:t>
      </w:r>
      <w:r>
        <w:t xml:space="preserve"> Additionally, some colleges in Wales offer complete degree-level programmes</w:t>
      </w:r>
      <w:r w:rsidR="00A42B3F">
        <w:t xml:space="preserve">, </w:t>
      </w:r>
      <w:r w:rsidR="00CD5429">
        <w:t>such as BA and BSc awards,</w:t>
      </w:r>
      <w:r>
        <w:t xml:space="preserve"> as well as professional awards, including teaching qualifications (Studyinwales.ac.uk, 2025). Furthermore, many of these programmes are also offered bilingually, providing further opportunities for learners in Wales (Carmarthenshire County Council, 2024).</w:t>
      </w:r>
    </w:p>
    <w:p w14:paraId="364FE8CC" w14:textId="0A7B75D5" w:rsidR="00FA1CD7" w:rsidRDefault="00FA1CD7" w:rsidP="0E9096A0">
      <w:pPr>
        <w:spacing w:line="360" w:lineRule="auto"/>
        <w:rPr>
          <w:u w:val="single"/>
        </w:rPr>
      </w:pPr>
      <w:r w:rsidRPr="0E9096A0">
        <w:rPr>
          <w:u w:val="single"/>
        </w:rPr>
        <w:t>Widening Participation</w:t>
      </w:r>
    </w:p>
    <w:p w14:paraId="69E6A52E" w14:textId="446B73BC" w:rsidR="00871537" w:rsidRPr="00B9541C" w:rsidRDefault="00BF1269" w:rsidP="0E9096A0">
      <w:pPr>
        <w:spacing w:line="360" w:lineRule="auto"/>
      </w:pPr>
      <w:r>
        <w:t xml:space="preserve">The Evidence Review (2024), produced by the Welsh Centre for Public Policy, reiterated the inequalities that individuals from disadvantaged backgrounds face in accessing and engaging with tertiary education. This disparity can be linked to socioeconomic backgrounds or protected characteristics such as race, ethnicity, or disability. Not only do these inequalities often preclude access to higher education, but they also affect attainment, retention, and outcomes (CSJ, 2020). Pennacchia, Jones, and Aldridge (2018) suggest that disadvantaged groups can experience a range of challenges when seeking further learning opportunities, including attitudinal barriers, whereby learners hold negative beliefs about their ability to learn or develop new skills or knowledge, which instructors and teachers can also reinforce. Situational barriers represent another key area of concern, as learners with family or care responsibilities often face additional challenges that prevent them from </w:t>
      </w:r>
      <w:r w:rsidR="00975C10">
        <w:t>accessing</w:t>
      </w:r>
      <w:r>
        <w:t xml:space="preserve"> further education. Finally, institutional barriers are also identified as a significant challenge, whereby colleges and universities provide inflexible study programmes that are more suited to younger students who can undertake full-time studies, rather than to older learners. Pembey </w:t>
      </w:r>
      <w:r w:rsidRPr="005C6907">
        <w:rPr>
          <w:i/>
          <w:iCs/>
        </w:rPr>
        <w:t>et al</w:t>
      </w:r>
      <w:r>
        <w:t>. (2021) concur, noting that in Wales, the number of working-age adults who are under-qualified and lacking key skills is increasing, with further obstacles cited, including a lack of employment training, insufficient information</w:t>
      </w:r>
      <w:r w:rsidR="00667E7A">
        <w:t xml:space="preserve"> about learning and training opportunities</w:t>
      </w:r>
      <w:r>
        <w:t>, and limited essential skills.</w:t>
      </w:r>
    </w:p>
    <w:p w14:paraId="4643796D" w14:textId="524028CE" w:rsidR="00FA1CD7" w:rsidRDefault="004F0DAB" w:rsidP="0E9096A0">
      <w:pPr>
        <w:spacing w:line="360" w:lineRule="auto"/>
        <w:rPr>
          <w:highlight w:val="yellow"/>
        </w:rPr>
      </w:pPr>
      <w:r>
        <w:t xml:space="preserve">The ‘Widening Participation’ policies developed by both the UK government and devolved governments aim to address these barriers by exploring alternative methods of access, </w:t>
      </w:r>
      <w:r>
        <w:lastRenderedPageBreak/>
        <w:t>progression, and attainment (WCPP, 2024). In Wales, following the Hazelkorn Review (2016), M</w:t>
      </w:r>
      <w:r w:rsidR="005C6907">
        <w:t>EDR, t</w:t>
      </w:r>
      <w:r>
        <w:t xml:space="preserve">he Commission for Tertiary Education and Research, was tasked with developing opportunities within tertiary education for disadvantaged learners, examining strategies to reduce the attainment gap and providing opportunities for underprivileged learners to complete their studies </w:t>
      </w:r>
      <w:r w:rsidRPr="005C6907">
        <w:t>(Tertiary Education and Research (Wales) Act 2022).</w:t>
      </w:r>
    </w:p>
    <w:p w14:paraId="0D4AE349" w14:textId="6091E16F" w:rsidR="00B265A1" w:rsidRDefault="00F377B6" w:rsidP="0E9096A0">
      <w:pPr>
        <w:spacing w:line="360" w:lineRule="auto"/>
      </w:pPr>
      <w:r>
        <w:t>It should be noted, however, that the language used in Widening Participation policies often suggests that learners are the issue, rather than addressing inherent societal or systemic problems (Chorcora, Bray, and Banks, 2022). Furthermore, Williams (2020) suggests that using terms such as “underrepresented” can be a demeaning label, producing feelings of inadequacy and unworthiness, and may be considered a microaggression, actually hindering growth rather than encouraging support and access. Nevertheless, the intention behind these programmes is to commit to the principles of social equity, support marginalised groups, and offer various strategies to enable learners to access higher education (McEwen et al., 2024). Understanding the needs of individual learners ensures they can be supported on a case-by-case basis, using sensitive and appropriate language. Allowing individuals to highlight and name their differing circumstances fosters an ethos of respect and inclusivity (Williams, 2020).</w:t>
      </w:r>
    </w:p>
    <w:p w14:paraId="1F38E01C" w14:textId="777E0787" w:rsidR="00C9154C" w:rsidRDefault="00F74EE9" w:rsidP="0E9096A0">
      <w:pPr>
        <w:spacing w:line="360" w:lineRule="auto"/>
      </w:pPr>
      <w:r>
        <w:t>Widening participation is a priority for the Welsh Government, and offering opportunities for disadvantaged learners is central to their educational policies. A possible ‘bridge’ to enhancing accessibility and flexibility is the utilisation of Further Education colleges to deliver Higher Education programmes. Trotman (2023) suggests that colleges have the potential to support the ‘non-traditional’ learner, providing opportunities that they may not receive in a more traditional university.</w:t>
      </w:r>
    </w:p>
    <w:p w14:paraId="5723D1C7" w14:textId="704EFA55" w:rsidR="00B96537" w:rsidRPr="00B96537" w:rsidRDefault="00B96537" w:rsidP="0E9096A0">
      <w:pPr>
        <w:spacing w:line="360" w:lineRule="auto"/>
        <w:rPr>
          <w:u w:val="single"/>
        </w:rPr>
      </w:pPr>
      <w:r w:rsidRPr="0E9096A0">
        <w:rPr>
          <w:u w:val="single"/>
        </w:rPr>
        <w:t>The Further Education Bridge to Higher Education.</w:t>
      </w:r>
    </w:p>
    <w:p w14:paraId="6784B728" w14:textId="4524824D" w:rsidR="009D23CF" w:rsidRDefault="00325BA9" w:rsidP="0E9096A0">
      <w:pPr>
        <w:spacing w:line="360" w:lineRule="auto"/>
      </w:pPr>
      <w:r>
        <w:t>A</w:t>
      </w:r>
      <w:r w:rsidR="00653ECF">
        <w:t xml:space="preserve"> Welsh Government review published in 2015 </w:t>
      </w:r>
      <w:r>
        <w:t xml:space="preserve">highlighted the flexibility of further education colleges. It acknowledged that FE colleges offered several opportunities that were more challenging for the university sector, including workforce progression opportunities, locally based college campuses, and additional flexible study </w:t>
      </w:r>
      <w:r>
        <w:lastRenderedPageBreak/>
        <w:t>arrangements. The review also emphasised the social benefits of FE provision, linking to the widening participation policies</w:t>
      </w:r>
      <w:r w:rsidR="00F84704">
        <w:t xml:space="preserve"> </w:t>
      </w:r>
      <w:r w:rsidR="00F84704" w:rsidRPr="0E9096A0">
        <w:rPr>
          <w:b/>
          <w:bCs/>
        </w:rPr>
        <w:t>WHAT ARE THOSE SOCIAL BENEFITS?</w:t>
      </w:r>
      <w:r>
        <w:t xml:space="preserve"> (Welsh Gov, 2015). </w:t>
      </w:r>
    </w:p>
    <w:p w14:paraId="4B9B3152" w14:textId="25CA9027" w:rsidR="00712F1B" w:rsidRDefault="00E177DB" w:rsidP="0E9096A0">
      <w:pPr>
        <w:spacing w:line="360" w:lineRule="auto"/>
        <w:rPr>
          <w:b/>
          <w:bCs/>
        </w:rPr>
      </w:pPr>
      <w:r>
        <w:t xml:space="preserve">A </w:t>
      </w:r>
      <w:r w:rsidR="003A2978">
        <w:t xml:space="preserve">more </w:t>
      </w:r>
      <w:r>
        <w:t xml:space="preserve">recent Welsh review of college-based higher education (Colleges Wales, 2020) suggested that colleges continue to offer a more flexible approach and respond to the needs of learners in local communities. The review underscored the partnerships between colleges and universities, recognising that effective progression was a key aim for these institutions. Written at the height of the global pandemic, the review drew attention to the uncertain future for higher education, acknowledging the international and local challenges faced within tertiary education. Nevertheless, it was eager to emphasise the value of college-based higher education provision and that this should remain available as an alternative to the traditional university route. </w:t>
      </w:r>
    </w:p>
    <w:p w14:paraId="29294D05" w14:textId="5A1D157E" w:rsidR="00FC0073" w:rsidRDefault="00FC0073" w:rsidP="0E9096A0">
      <w:pPr>
        <w:spacing w:line="360" w:lineRule="auto"/>
        <w:rPr>
          <w:u w:val="single"/>
        </w:rPr>
      </w:pPr>
      <w:r w:rsidRPr="0E9096A0">
        <w:rPr>
          <w:u w:val="single"/>
        </w:rPr>
        <w:t>Challenges</w:t>
      </w:r>
    </w:p>
    <w:p w14:paraId="5EE01B17" w14:textId="45B54986" w:rsidR="000965BF" w:rsidRDefault="00FF0BE0" w:rsidP="0E9096A0">
      <w:pPr>
        <w:spacing w:line="360" w:lineRule="auto"/>
      </w:pPr>
      <w:r>
        <w:t xml:space="preserve">The Widening Participation goals and the Welsh Government-commissioned reviews highlight the desire to provide more accessible routes for learners to access higher education. CBHE is consistently presented as an alternative route; however, this proposed alternative is often considered to be of lesser quality and does not offer as much academic value or authority as the university route (Bullock and Henry, 2022). Furthermore, the widening participation policies </w:t>
      </w:r>
      <w:r w:rsidR="0068480B">
        <w:t>overlook</w:t>
      </w:r>
      <w:r>
        <w:t xml:space="preserve"> the challenges involved in developing college-based higher education programmes. Augar (2019) suggests that FE has been undervalued and inconsistently funded in England for many years. Similarly, while CBHE programmes are primarily funded through franchise partnerships, such as the dual sector group structure between Coleg Sir Gar and the University of Wales Trinity Saint David (UWTSD) (Colleges Wales, 2020), substantial funding cuts to the FE sector in Wales have noticeably impacted learners, including access to education for disadvantaged groups (Welsh Government, 2022). </w:t>
      </w:r>
    </w:p>
    <w:p w14:paraId="0EAD3BA3" w14:textId="7EB22D8A" w:rsidR="004316FF" w:rsidRDefault="00CA3A06" w:rsidP="0E9096A0">
      <w:pPr>
        <w:spacing w:line="360" w:lineRule="auto"/>
      </w:pPr>
      <w:r>
        <w:t xml:space="preserve">In addition, quality assurance and monitoring of colleges in Wales impose extra pressures. In 2024, MEDR replaced the Higher Education Funding Council for Wales (HEFCW) and is </w:t>
      </w:r>
      <w:r>
        <w:lastRenderedPageBreak/>
        <w:t xml:space="preserve">now responsible for overseeing the </w:t>
      </w:r>
      <w:r w:rsidR="007B493E">
        <w:t>provision of FE and HE</w:t>
      </w:r>
      <w:r>
        <w:t xml:space="preserve">, </w:t>
      </w:r>
      <w:r w:rsidR="007B493E">
        <w:t xml:space="preserve">including </w:t>
      </w:r>
      <w:r>
        <w:t xml:space="preserve">quality assurance and funding (MEDR, 2025). Alongside MEDR, Estyn, the educational inspectorate for Wales, provides further monitoring of </w:t>
      </w:r>
      <w:r w:rsidR="009F458E">
        <w:t xml:space="preserve">FE </w:t>
      </w:r>
      <w:r>
        <w:t xml:space="preserve">institutions, ensuring accountability for the standards of teaching and training. FE colleges undergo a full inspection at least once every six years, with annual link visits to various departments to discuss current issues (Estyn, 2024). Simmons (2016) also highlights the internal lesson observations and in-house quality processes that are regularly conducted to monitor teaching and learning. Bullock and Henry (2022) suggest that the lack of consistent funding, along with the expectations of regulatory bodies and in-house demands, often adds further pressures on FE staff. </w:t>
      </w:r>
    </w:p>
    <w:p w14:paraId="101720F6" w14:textId="264F827A" w:rsidR="00FC0073" w:rsidRDefault="007C502F" w:rsidP="0E9096A0">
      <w:pPr>
        <w:spacing w:line="360" w:lineRule="auto"/>
      </w:pPr>
      <w:r>
        <w:t>In addition to meeting the FE quality assurance expectations, staff are also required to develop HE programmes and provide HE experiences that are comparable to those offered at the partner HE institution</w:t>
      </w:r>
      <w:r w:rsidR="00BF4084">
        <w:t xml:space="preserve"> (HEI)</w:t>
      </w:r>
      <w:r>
        <w:t xml:space="preserve">. CollegesWales (2020) highlights that the curriculum, delivery, and quality of HE programmes remain the responsibility of the HEI, and the validation of new CBHE programmes is subject to the approval of the partnership HEI. Furthermore, franchised colleges are expected to provide learning opportunities and resources </w:t>
      </w:r>
      <w:r w:rsidR="0026786F">
        <w:t xml:space="preserve">equivalent to those of HEIs; however, given the financial discrepancies between colleges and universities, this expectation may be unrealistic </w:t>
      </w:r>
      <w:r>
        <w:t>(Bullock and Henry, 2022).</w:t>
      </w:r>
    </w:p>
    <w:p w14:paraId="65C7C262" w14:textId="13485067" w:rsidR="00A61AED" w:rsidRPr="008436E1" w:rsidRDefault="00E85728" w:rsidP="0E9096A0">
      <w:pPr>
        <w:spacing w:line="360" w:lineRule="auto"/>
        <w:rPr>
          <w:b/>
          <w:bCs/>
        </w:rPr>
      </w:pPr>
      <w:r>
        <w:t>This brief overview has provided the context of CBHE, examining both the opportunities and challenges it presents. It has identified the underlying expectations of the widening participation policies and demonstrated the potential that CBHE can offer for disadvantaged learners</w:t>
      </w:r>
      <w:r w:rsidR="000F7B4D">
        <w:t>, whilst also acknowledging the demanding expectations</w:t>
      </w:r>
      <w:r w:rsidR="00970AB4">
        <w:t xml:space="preserve"> within the sector</w:t>
      </w:r>
      <w:r>
        <w:t xml:space="preserve">. It will now proceed to discuss the literature surrounding the FE lecturer’s experience of teaching higher education. However, it will first briefly examine the learner experience and outline the reasons why learners may choose to study higher education within a college.  </w:t>
      </w:r>
    </w:p>
    <w:p w14:paraId="682BFF15" w14:textId="5F151B18" w:rsidR="002F6346" w:rsidRDefault="002F6346" w:rsidP="0E9096A0">
      <w:pPr>
        <w:spacing w:line="360" w:lineRule="auto"/>
        <w:rPr>
          <w:u w:val="single"/>
        </w:rPr>
      </w:pPr>
      <w:r w:rsidRPr="0E9096A0">
        <w:rPr>
          <w:u w:val="single"/>
        </w:rPr>
        <w:t>Learner Experience</w:t>
      </w:r>
      <w:r w:rsidR="00832112" w:rsidRPr="0E9096A0">
        <w:rPr>
          <w:u w:val="single"/>
        </w:rPr>
        <w:t xml:space="preserve"> and Learning Culture</w:t>
      </w:r>
    </w:p>
    <w:p w14:paraId="610A0421" w14:textId="5BB9E7F9" w:rsidR="00FD13BD" w:rsidRPr="00487891" w:rsidRDefault="00E862B3" w:rsidP="0E9096A0">
      <w:pPr>
        <w:spacing w:line="360" w:lineRule="auto"/>
      </w:pPr>
      <w:r>
        <w:t>Recent reviews demonstrate that FE colleges provide</w:t>
      </w:r>
      <w:r w:rsidR="00FB18D1">
        <w:t xml:space="preserve"> opportunities in terms of accessibility, engagement, and support for learners from lower socio-economic </w:t>
      </w:r>
      <w:r w:rsidR="00FB18D1">
        <w:lastRenderedPageBreak/>
        <w:t>backgrounds. However, they only minimally acknowledge the voices of learners and lecturers, being instead driven by fiscal, political, and social agendas. Qualitative studies that have directly engaged with learners reveal that decision-making related to HE transition is often influenced by socio-cultural factors, location, and a sense of belonging, which arise from smaller class sizes (King and Widdowson, 2012; Amettler and Ryder, 2015; King, et al., 2015; Bullock and Henry, 2022). Moreover, many learners choose to remain at their further education college (FEC) due to the vocational orientation of the programmes (Gill, 2019). Personal tutorial support and familiarity with tutors are also cited as key reasons why learners prefer to study at an FEC. Bullock and Henry (2022) highlighted the significance of the student-teacher relationship in their study, which aligns with the findings presented by Gill (2020) in his qualitative study on vocational students progressing to HE studies.</w:t>
      </w:r>
    </w:p>
    <w:p w14:paraId="21689BB5" w14:textId="352766E1" w:rsidR="00314490" w:rsidRPr="00072D51" w:rsidRDefault="00314490" w:rsidP="0E9096A0">
      <w:pPr>
        <w:spacing w:line="360" w:lineRule="auto"/>
        <w:rPr>
          <w:u w:val="single"/>
        </w:rPr>
      </w:pPr>
      <w:r w:rsidRPr="0E9096A0">
        <w:rPr>
          <w:u w:val="single"/>
        </w:rPr>
        <w:t>Identity of Lecturers</w:t>
      </w:r>
    </w:p>
    <w:p w14:paraId="39D0982D" w14:textId="48A91203" w:rsidR="00B90724" w:rsidRDefault="007977ED" w:rsidP="0E9096A0">
      <w:pPr>
        <w:spacing w:line="360" w:lineRule="auto"/>
      </w:pPr>
      <w:r>
        <w:t xml:space="preserve">The literature surrounding the professional identity of HE in FE lecturers is </w:t>
      </w:r>
      <w:r w:rsidR="008A0735">
        <w:t>limited; however, the studies are significant and provide insight into the background and roles of lecturers</w:t>
      </w:r>
      <w:r>
        <w:t xml:space="preserve"> (McGhie, 2017). Simmons and Lea (2013), in their Q</w:t>
      </w:r>
      <w:r w:rsidR="00024F71">
        <w:t>uality Assurance Agency (QAA) r</w:t>
      </w:r>
      <w:r>
        <w:t xml:space="preserve">eport, found that the identity of the </w:t>
      </w:r>
      <w:r w:rsidR="00393CD2">
        <w:t>CBHE</w:t>
      </w:r>
      <w:r>
        <w:t xml:space="preserve"> lecturer was not clear. They observed that several lecturers were employed solely to teach HE, while most taught across both the FE and HE </w:t>
      </w:r>
      <w:r w:rsidR="00F052A1">
        <w:t>curricula</w:t>
      </w:r>
      <w:r>
        <w:t xml:space="preserve">. Furthermore, many lecturers progressed to teaching HE as a result of their knowledge, understanding, and experience in the vocational sector (Bathmaker and Avis, 2005; Springbett, 2017). Feather (2010) highlights the role conflict experienced by many FE lecturers, stemming from the flexibility they </w:t>
      </w:r>
      <w:r w:rsidR="009613A4">
        <w:t>are required to</w:t>
      </w:r>
      <w:r>
        <w:t xml:space="preserve"> demonstrate. This includes the ability to teach across a range of levels and engage with a broad variety of subjects. Within this context, they also teach learners with a significant range of academic abilities. Although </w:t>
      </w:r>
      <w:r w:rsidR="009613A4">
        <w:t>Feather’s (2010) research</w:t>
      </w:r>
      <w:r>
        <w:t xml:space="preserve"> is somewhat dated, Taylor and Bullock (2024) present similar findings in their more recent study, acknowledging that CBHE lecturers experience considerable flux as their roles frequently change. McGhie (2017) also notes that, despite the challenges of CBHE teaching, lecturers often have little desire to teach in a traditional HEI, as they value the relationship</w:t>
      </w:r>
      <w:r w:rsidR="00670735">
        <w:t>s</w:t>
      </w:r>
      <w:r>
        <w:t xml:space="preserve"> they have with their learners. </w:t>
      </w:r>
      <w:r w:rsidRPr="00B778DF">
        <w:rPr>
          <w:highlight w:val="yellow"/>
        </w:rPr>
        <w:t>Reay (2018)</w:t>
      </w:r>
      <w:r>
        <w:t xml:space="preserve"> </w:t>
      </w:r>
      <w:r>
        <w:lastRenderedPageBreak/>
        <w:t>agrees, stating that the teaching style of CBHE lecturers offers greater opportunities for fostering enhanced relationships with learners, which they may not a</w:t>
      </w:r>
      <w:r w:rsidR="00B778DF">
        <w:t>chieve</w:t>
      </w:r>
      <w:r>
        <w:t xml:space="preserve"> in a </w:t>
      </w:r>
      <w:r w:rsidR="00B778DF">
        <w:t>traditional university setting</w:t>
      </w:r>
      <w:r>
        <w:t>.</w:t>
      </w:r>
    </w:p>
    <w:p w14:paraId="51D9368A" w14:textId="7FA03D74" w:rsidR="00072D51" w:rsidRDefault="00072D51" w:rsidP="0E9096A0">
      <w:pPr>
        <w:spacing w:line="360" w:lineRule="auto"/>
        <w:rPr>
          <w:u w:val="single"/>
        </w:rPr>
      </w:pPr>
      <w:r w:rsidRPr="0E9096A0">
        <w:rPr>
          <w:u w:val="single"/>
        </w:rPr>
        <w:t>Teaching in CBHE</w:t>
      </w:r>
    </w:p>
    <w:p w14:paraId="7E404CDA" w14:textId="68BEAAEF" w:rsidR="00FC1DDF" w:rsidRDefault="00011F7C" w:rsidP="0E9096A0">
      <w:pPr>
        <w:spacing w:line="360" w:lineRule="auto"/>
      </w:pPr>
      <w:r>
        <w:t xml:space="preserve">In his examination of the liberal studies movement, a key feature of FE between 1950 and 1980, Simmons (2016) highlights the changing nature of the tertiary college. In his study, he discusses learner demographics, noting that today’s FE colleges support far greater numbers of disenfranchised and marginalised learners than in previous decades. Taylor and Bullock (2024) agree, stating that most students who engage with CBHE today are often from disadvantaged socio-economic communities. In response to this, a student-centred approach to teaching is </w:t>
      </w:r>
      <w:r w:rsidR="00876753">
        <w:t>frequently</w:t>
      </w:r>
      <w:r>
        <w:t xml:space="preserve"> adopted, allowing for more time for coaching and mentoring, with a pedagogic focus on supporting the individual needs of the learner (Chowdhry, 2013; Simmons, 2016). </w:t>
      </w:r>
    </w:p>
    <w:p w14:paraId="5CB038CF" w14:textId="52E7AEEA" w:rsidR="00072D51" w:rsidRDefault="002F0CE6" w:rsidP="0E9096A0">
      <w:pPr>
        <w:spacing w:line="360" w:lineRule="auto"/>
      </w:pPr>
      <w:r>
        <w:t xml:space="preserve">However, despite the lecturers appreciating the opportunity to engage with and support learners in gaining qualifications, the significant number of contracted teaching hours in FE in Wales does cause frustration. A full-time contracted member of staff is expected to teach around 24 hours per week, with the assumption that staff will also attend open evenings and skills events (Careerswales.gov.uk, 2025). However, there is no UK or Welsh </w:t>
      </w:r>
      <w:r w:rsidR="004E5561">
        <w:t>Government</w:t>
      </w:r>
      <w:r>
        <w:t xml:space="preserve"> agreement on teaching hours; therefore, some lecturers may work more or less than the average figure. These hours do not account for the time </w:t>
      </w:r>
      <w:r w:rsidR="004E5561">
        <w:t>required for marking, planning, and administration, which can lead</w:t>
      </w:r>
      <w:r>
        <w:t xml:space="preserve"> to frustration and disillusionment within the CBHE teaching team (Ostapenko-Denton, 2019; Taylor and Bullock, 2023).</w:t>
      </w:r>
    </w:p>
    <w:p w14:paraId="2C402250" w14:textId="66FDCEA7" w:rsidR="003E75EE" w:rsidRDefault="00D31DF1" w:rsidP="0E9096A0">
      <w:pPr>
        <w:spacing w:line="360" w:lineRule="auto"/>
      </w:pPr>
      <w:r>
        <w:t xml:space="preserve">Scholarly activity, which might be a core element of a university lecturer’s role, is often not feasible for the already overburdened FE lecturer. Feather (2016) highlights the challenges that many CBHE lecturers face, acknowledging that the contact hours for HE in FE lecturers are significant and do not allow them to engage in research or study within their professional fields. He indicates that this situation has implications for students studying </w:t>
      </w:r>
      <w:r>
        <w:lastRenderedPageBreak/>
        <w:t>at HE level, as their lecturers may not always possess up-to-date knowledge of their subject area.</w:t>
      </w:r>
    </w:p>
    <w:p w14:paraId="5715EDBD" w14:textId="01C65310" w:rsidR="00314490" w:rsidRDefault="00314490" w:rsidP="0E9096A0">
      <w:pPr>
        <w:spacing w:line="360" w:lineRule="auto"/>
        <w:rPr>
          <w:u w:val="single"/>
        </w:rPr>
      </w:pPr>
      <w:r w:rsidRPr="0E9096A0">
        <w:rPr>
          <w:u w:val="single"/>
        </w:rPr>
        <w:t>Job Satisfaction</w:t>
      </w:r>
    </w:p>
    <w:p w14:paraId="1141A5C5" w14:textId="3142449C" w:rsidR="00DD2455" w:rsidRDefault="00570A20" w:rsidP="0E9096A0">
      <w:pPr>
        <w:spacing w:line="360" w:lineRule="auto"/>
      </w:pPr>
      <w:r>
        <w:t xml:space="preserve">Within the CBHE institutions, there are questions regarding job and role satisfaction. Kinman and Wray (2014) found that the stress levels of FE staff have increased, with workloads and hours becoming a significant burden, leading to fatigue and burnout among the teaching population. In a more recent UCU survey, Kinman (2023) highlighted that workplace issues </w:t>
      </w:r>
      <w:r w:rsidR="001E57DC">
        <w:t>continue to contribute to stress and ill health within the FE context, stating that workloads remain substantial while resources and funding decline</w:t>
      </w:r>
      <w:r>
        <w:t xml:space="preserve">. Key issues identified by the respondents included the need for more lecturing, administrative, and support staff, as well as a review of workloads. A noteworthy comment within this study was the request for management to acknowledge that “one size does not fit all” (Kinman, 2023, </w:t>
      </w:r>
      <w:r w:rsidR="00A473D4">
        <w:t>p. 14</w:t>
      </w:r>
      <w:r>
        <w:t>). This is a crucial point, particularly for CBHE lecturers, who often feel undervalued and believe that their roles are misunderstood by FE senior management teams (Taylor and Bullock, 2023).</w:t>
      </w:r>
    </w:p>
    <w:p w14:paraId="21D917BD" w14:textId="5BB72740" w:rsidR="00CE0171" w:rsidRPr="00183FD8" w:rsidRDefault="00D63D0C" w:rsidP="0E9096A0">
      <w:pPr>
        <w:spacing w:line="360" w:lineRule="auto"/>
      </w:pPr>
      <w:r>
        <w:t>The number of lecturers seeking to leave the profession is substantial. The University and College Union (2022) highlighted the anger, frustration, and demoralisation of HE lecturers. Frustration with the working conditions and cuts to pensions were deemed the key reasons why staff were considering leaving. Although this survey focused on HE lecturers, research exploring the attitudes of FE staff has shown similar responses</w:t>
      </w:r>
      <w:r w:rsidR="00A473D4">
        <w:t>. The Association of Colleges (2024) highlights</w:t>
      </w:r>
      <w:r>
        <w:t xml:space="preserve"> that salary and increased workloads are the leading reasons why FE staff are leaving the profession. </w:t>
      </w:r>
    </w:p>
    <w:p w14:paraId="1892D335" w14:textId="23148A16" w:rsidR="00E37D4C" w:rsidRDefault="00766FC1" w:rsidP="0E9096A0">
      <w:pPr>
        <w:spacing w:line="360" w:lineRule="auto"/>
      </w:pPr>
      <w:r>
        <w:t xml:space="preserve">This literature review has examined key aspects of higher education in further education and considered the underlying rationale for the provision of CBHE. It is essential to consider the principal notion of Widening Participation when seeking to understand </w:t>
      </w:r>
      <w:r w:rsidR="00AD50C5">
        <w:t xml:space="preserve">the concept of </w:t>
      </w:r>
      <w:r>
        <w:t>CBHE; both the UK and the devolved government</w:t>
      </w:r>
      <w:r w:rsidR="00992C2D">
        <w:t>s</w:t>
      </w:r>
      <w:r>
        <w:t xml:space="preserve"> view this as fundamental in supporting learners from disadvantaged groups to access tertiary education. However, the literature exploring this is </w:t>
      </w:r>
      <w:r w:rsidR="00E17601">
        <w:t>primarily based</w:t>
      </w:r>
      <w:r>
        <w:t xml:space="preserve"> on English provision, with only limited </w:t>
      </w:r>
      <w:r>
        <w:lastRenderedPageBreak/>
        <w:t xml:space="preserve">governmental reviews addressing the concept in Wales. Furthermore, the literature </w:t>
      </w:r>
      <w:r w:rsidR="00DC338A">
        <w:t>on further education has been identified as insufficient, with minimal research on CBHE</w:t>
      </w:r>
      <w:r>
        <w:t xml:space="preserve"> available. Similarly, </w:t>
      </w:r>
      <w:r w:rsidR="00DC338A">
        <w:t>research exploring the</w:t>
      </w:r>
      <w:r>
        <w:t xml:space="preserve"> context in Wales is severely lacking</w:t>
      </w:r>
      <w:r w:rsidR="00EA550D">
        <w:t>;</w:t>
      </w:r>
      <w:r w:rsidR="00DC338A">
        <w:t xml:space="preserve"> hence,</w:t>
      </w:r>
      <w:r>
        <w:t xml:space="preserve"> the need to </w:t>
      </w:r>
      <w:r w:rsidR="00DC338A">
        <w:t>examine</w:t>
      </w:r>
      <w:r>
        <w:t xml:space="preserve"> a broader UK context within this review and the necessity to use significantly dated research to underpin the critical discussion. The role of the CBHE lecturer </w:t>
      </w:r>
      <w:r w:rsidR="00EA550D">
        <w:t>remains minimally researched, with a limited number of papers exploring the identity, dual role, and lecturer satisfaction associated with</w:t>
      </w:r>
      <w:r>
        <w:t xml:space="preserve"> teaching higher education in further education. As </w:t>
      </w:r>
      <w:r w:rsidR="00F078EB">
        <w:t>noted</w:t>
      </w:r>
      <w:r>
        <w:t xml:space="preserve"> previously, a number of these studies are now significantly dated, necessitating further contemporary research. CBHE lecturers often feel undervalued and misunderstood, with many leaving the profession due to burnou</w:t>
      </w:r>
      <w:r w:rsidR="00064704">
        <w:t>t and stress</w:t>
      </w:r>
      <w:r>
        <w:t xml:space="preserve">. It is anticipated that this experience is similar in Wales; however, again, no literature clearly defines the Welsh context. </w:t>
      </w:r>
    </w:p>
    <w:p w14:paraId="6EC85C5C" w14:textId="4584BEA4" w:rsidR="008F7AC8" w:rsidRPr="00B30F4F" w:rsidRDefault="007458C5" w:rsidP="0E9096A0">
      <w:pPr>
        <w:tabs>
          <w:tab w:val="left" w:pos="4200"/>
        </w:tabs>
        <w:spacing w:line="360" w:lineRule="auto"/>
      </w:pPr>
      <w:r>
        <w:t xml:space="preserve">Therefore, this research </w:t>
      </w:r>
      <w:r w:rsidR="001879AD">
        <w:t xml:space="preserve">intends to </w:t>
      </w:r>
      <w:r w:rsidR="000C1741">
        <w:t xml:space="preserve">explore the opportunities and challenges that college-based higher education lecturers face </w:t>
      </w:r>
      <w:r w:rsidR="001E4AFF">
        <w:t>in</w:t>
      </w:r>
      <w:r w:rsidR="000C1741">
        <w:t xml:space="preserve"> teaching in Wales.</w:t>
      </w:r>
      <w:r w:rsidR="00C348D0">
        <w:t xml:space="preserve"> Using qualitative research methods, </w:t>
      </w:r>
      <w:r w:rsidR="006708E1">
        <w:t>the lecturing staff will  be provided with an opportunity to voice their experience and highlight the rewards and the challenges that they experience within their roles.</w:t>
      </w:r>
    </w:p>
    <w:p w14:paraId="348233AA" w14:textId="13EFB11B" w:rsidR="007C4E0C" w:rsidRPr="006149F7" w:rsidRDefault="30D1D802" w:rsidP="0E9096A0">
      <w:pPr>
        <w:spacing w:line="360" w:lineRule="auto"/>
        <w:rPr>
          <w:sz w:val="28"/>
          <w:szCs w:val="28"/>
          <w:u w:val="single"/>
        </w:rPr>
      </w:pPr>
      <w:r w:rsidRPr="0E9096A0">
        <w:rPr>
          <w:sz w:val="28"/>
          <w:szCs w:val="28"/>
          <w:u w:val="single"/>
        </w:rPr>
        <w:t>Methodology</w:t>
      </w:r>
    </w:p>
    <w:p w14:paraId="45F791BD" w14:textId="10EAB3FB" w:rsidR="008A6F2B" w:rsidRDefault="00A0532E" w:rsidP="0E9096A0">
      <w:pPr>
        <w:spacing w:line="360" w:lineRule="auto"/>
      </w:pPr>
      <w:r>
        <w:t>The research question for this project was, ‘</w:t>
      </w:r>
      <w:r w:rsidRPr="0E9096A0">
        <w:rPr>
          <w:i/>
          <w:iCs/>
        </w:rPr>
        <w:t xml:space="preserve">What opportunities and challenges do </w:t>
      </w:r>
      <w:r w:rsidR="00DB4650" w:rsidRPr="0E9096A0">
        <w:rPr>
          <w:i/>
          <w:iCs/>
        </w:rPr>
        <w:t>college-based higher education lecturers</w:t>
      </w:r>
      <w:r w:rsidRPr="0E9096A0">
        <w:rPr>
          <w:i/>
          <w:iCs/>
        </w:rPr>
        <w:t xml:space="preserve"> face </w:t>
      </w:r>
      <w:r w:rsidR="001E4AFF" w:rsidRPr="0E9096A0">
        <w:rPr>
          <w:i/>
          <w:iCs/>
        </w:rPr>
        <w:t>in</w:t>
      </w:r>
      <w:r w:rsidRPr="0E9096A0">
        <w:rPr>
          <w:i/>
          <w:iCs/>
        </w:rPr>
        <w:t xml:space="preserve"> teaching </w:t>
      </w:r>
      <w:r w:rsidR="00DB4650" w:rsidRPr="0E9096A0">
        <w:rPr>
          <w:i/>
          <w:iCs/>
        </w:rPr>
        <w:t>in Wales</w:t>
      </w:r>
      <w:r w:rsidR="001E4AFF" w:rsidRPr="0E9096A0">
        <w:rPr>
          <w:i/>
          <w:iCs/>
        </w:rPr>
        <w:t>?</w:t>
      </w:r>
      <w:r w:rsidR="001E4AFF">
        <w:t xml:space="preserve"> </w:t>
      </w:r>
      <w:r>
        <w:t xml:space="preserve">The research had several aims. Firstly, it sought to understand the learning culture and student demographics. The literature suggests that learners often attend CBHE programmes due to their socio-economic circumstances, the location of the campus, or the natural progression from vocational courses. This research aimed to determine if similar reasons were found in Wales. A second aim was to explore how lecturers experienced their practice in a CBHE context, examining whether they also noted similar frustrations with policies and practices related to FE and HE procedures, or whether there was a more seamless and coherent connection between the institutional frameworks. A third aim was to understand the role of the lecturers: was there a sense of satisfaction, or were the lecturers finding their roles </w:t>
      </w:r>
      <w:r>
        <w:lastRenderedPageBreak/>
        <w:t xml:space="preserve">demanding and challenging? Furthermore, the literature highlighted the coaching and mentoring </w:t>
      </w:r>
      <w:r w:rsidR="007C1A76">
        <w:t>components</w:t>
      </w:r>
      <w:r>
        <w:t xml:space="preserve"> of the CBHE lecturer’s role, and this research aimed to find out if Welsh HE in FE lecturers experienced a similar element within their roles. As noted, the overarching theme was to explore the Welsh context and examine the data for similarities and differences with </w:t>
      </w:r>
      <w:r w:rsidR="00AA6CEA">
        <w:t xml:space="preserve">the </w:t>
      </w:r>
      <w:r w:rsidR="001F3ED3">
        <w:t>research h</w:t>
      </w:r>
      <w:r>
        <w:t>ighlighted in the review.</w:t>
      </w:r>
    </w:p>
    <w:p w14:paraId="3926A34C" w14:textId="000C79E6" w:rsidR="754D617B" w:rsidRDefault="00D951AB" w:rsidP="0E9096A0">
      <w:pPr>
        <w:spacing w:line="360" w:lineRule="auto"/>
      </w:pPr>
      <w:r>
        <w:t>With this question and these aims in mind, this chapter examines the project's research methodology, emphasising the rationale behind the qualitative, interpretivist design. It defines the philosophical assumptions and justifies the selected methods and approach. Furthermore, the data collection methods and analysis procedures are critically examined, presenting both the advantages and limitations of the process. Ethical considerations are also discussed.</w:t>
      </w:r>
    </w:p>
    <w:p w14:paraId="68A5E0FE" w14:textId="173DCA9F" w:rsidR="00C85D6D" w:rsidRPr="00983E57" w:rsidRDefault="007C4E0C" w:rsidP="0E9096A0">
      <w:pPr>
        <w:spacing w:line="360" w:lineRule="auto"/>
        <w:rPr>
          <w:b/>
          <w:bCs/>
          <w:u w:val="single"/>
        </w:rPr>
      </w:pPr>
      <w:r w:rsidRPr="0E9096A0">
        <w:rPr>
          <w:u w:val="single"/>
        </w:rPr>
        <w:t>A discussion on the research philosophy.</w:t>
      </w:r>
      <w:r w:rsidR="00983E57" w:rsidRPr="0E9096A0">
        <w:rPr>
          <w:u w:val="single"/>
        </w:rPr>
        <w:t xml:space="preserve"> </w:t>
      </w:r>
    </w:p>
    <w:p w14:paraId="7221D60A" w14:textId="35A12F0D" w:rsidR="007E5E3B" w:rsidRDefault="00640F6F" w:rsidP="0E9096A0">
      <w:pPr>
        <w:spacing w:line="360" w:lineRule="auto"/>
      </w:pPr>
      <w:r>
        <w:t>According to Punch and Oancea</w:t>
      </w:r>
      <w:r w:rsidR="001A03F7">
        <w:t xml:space="preserve"> (2014)</w:t>
      </w:r>
      <w:r>
        <w:t>, the research philosophy or paradigm refers to the underlying assumptions and beliefs about the world</w:t>
      </w:r>
      <w:r w:rsidR="00751739">
        <w:t xml:space="preserve">. </w:t>
      </w:r>
      <w:r w:rsidR="002C7CEA">
        <w:t>Both Denscombe (</w:t>
      </w:r>
      <w:r w:rsidR="0017063A">
        <w:t>2010</w:t>
      </w:r>
      <w:r w:rsidR="002C7CEA">
        <w:t xml:space="preserve">) and Thomas (2023) argue that these assumptions provide the foundations for </w:t>
      </w:r>
      <w:r w:rsidR="0017063A">
        <w:t>the</w:t>
      </w:r>
      <w:r w:rsidR="00AC4B24">
        <w:t xml:space="preserve"> research process and influence every stage of </w:t>
      </w:r>
      <w:r w:rsidR="00546D95">
        <w:t>the investigation.</w:t>
      </w:r>
      <w:r w:rsidR="00961532">
        <w:t xml:space="preserve"> </w:t>
      </w:r>
      <w:r w:rsidR="002E64B7">
        <w:t xml:space="preserve">Additionally, </w:t>
      </w:r>
      <w:r w:rsidR="00D7578C">
        <w:t xml:space="preserve">Lewis </w:t>
      </w:r>
      <w:r w:rsidR="00D7578C" w:rsidRPr="0E9096A0">
        <w:rPr>
          <w:i/>
          <w:iCs/>
        </w:rPr>
        <w:t xml:space="preserve">et al. 2019) </w:t>
      </w:r>
      <w:r w:rsidR="00D7578C">
        <w:t>suggest that s</w:t>
      </w:r>
      <w:r w:rsidR="00B44325">
        <w:t xml:space="preserve">ocial researchers need to </w:t>
      </w:r>
      <w:r w:rsidR="00583E9E">
        <w:t>understand</w:t>
      </w:r>
      <w:r w:rsidR="008E4CD9">
        <w:t xml:space="preserve"> </w:t>
      </w:r>
      <w:r w:rsidR="001A03F7">
        <w:t>the epistemological, ontological, and axiological questions</w:t>
      </w:r>
      <w:r w:rsidR="00486994">
        <w:t xml:space="preserve"> and </w:t>
      </w:r>
      <w:r w:rsidR="001F2AD7">
        <w:t>be critically aware of the paradigm in which their research sits</w:t>
      </w:r>
      <w:r w:rsidR="00D7578C">
        <w:t xml:space="preserve">. </w:t>
      </w:r>
      <w:r w:rsidR="0034471C">
        <w:t>Indeed, s</w:t>
      </w:r>
      <w:r w:rsidR="004B10B4">
        <w:t>everal philosophies exist</w:t>
      </w:r>
      <w:r w:rsidR="007E5E3B">
        <w:t xml:space="preserve"> (e.g. positivism, interpretivism, critical theory and </w:t>
      </w:r>
      <w:r w:rsidR="00CF6BD1">
        <w:t>pragmatism</w:t>
      </w:r>
      <w:r w:rsidR="5E659FE8">
        <w:t>)</w:t>
      </w:r>
      <w:r w:rsidR="007E5E3B">
        <w:t>, and the critical discourse surrounding these is wide and varied. However, due to the constraints of this paper, the discussion will focus on qualitative research and the interpretivist paradigm.</w:t>
      </w:r>
    </w:p>
    <w:p w14:paraId="1ABC1563" w14:textId="2468ADEC" w:rsidR="00DA1FE2" w:rsidRDefault="00F3397C" w:rsidP="0E9096A0">
      <w:pPr>
        <w:spacing w:line="360" w:lineRule="auto"/>
      </w:pPr>
      <w:r>
        <w:t>Within social research</w:t>
      </w:r>
      <w:r w:rsidR="00A47D96">
        <w:t>,</w:t>
      </w:r>
      <w:r>
        <w:t xml:space="preserve"> o</w:t>
      </w:r>
      <w:r w:rsidR="005851B6">
        <w:t xml:space="preserve">ntology </w:t>
      </w:r>
      <w:r w:rsidR="00E22ED0">
        <w:t xml:space="preserve">refers to </w:t>
      </w:r>
      <w:r w:rsidR="002D20DE">
        <w:t xml:space="preserve">the </w:t>
      </w:r>
      <w:r w:rsidR="004C617B">
        <w:t>nature of reality</w:t>
      </w:r>
      <w:r w:rsidR="002D20DE">
        <w:t>,</w:t>
      </w:r>
      <w:r w:rsidR="004C617B">
        <w:t xml:space="preserve"> </w:t>
      </w:r>
      <w:r w:rsidR="002D20DE">
        <w:t xml:space="preserve">and </w:t>
      </w:r>
      <w:r w:rsidR="0003334B">
        <w:t xml:space="preserve">in connection </w:t>
      </w:r>
      <w:r w:rsidR="00706CBC">
        <w:t>with</w:t>
      </w:r>
      <w:r w:rsidR="0003334B">
        <w:t xml:space="preserve"> the</w:t>
      </w:r>
      <w:r w:rsidR="002D20DE">
        <w:t xml:space="preserve"> interpretive paradigm, the ontological assumption is that the </w:t>
      </w:r>
      <w:r w:rsidR="003606E4">
        <w:t xml:space="preserve">world is </w:t>
      </w:r>
      <w:r w:rsidR="00B9451B">
        <w:t>socially constructed</w:t>
      </w:r>
      <w:r w:rsidR="00B92FA6">
        <w:t xml:space="preserve">. </w:t>
      </w:r>
      <w:r w:rsidR="00072FAF">
        <w:t>Interpretiv</w:t>
      </w:r>
      <w:r w:rsidR="0003334B">
        <w:t>ist</w:t>
      </w:r>
      <w:r w:rsidR="00B92FA6">
        <w:t xml:space="preserve"> researchers </w:t>
      </w:r>
      <w:r w:rsidR="00072FAF">
        <w:t>are</w:t>
      </w:r>
      <w:r w:rsidR="00B92FA6">
        <w:t xml:space="preserve"> interested in </w:t>
      </w:r>
      <w:r w:rsidR="00B1327F">
        <w:t>how</w:t>
      </w:r>
      <w:r w:rsidR="00B92FA6">
        <w:t xml:space="preserve"> people </w:t>
      </w:r>
      <w:r w:rsidR="00072FAF">
        <w:t xml:space="preserve">interact with others and interpret </w:t>
      </w:r>
      <w:r w:rsidR="00B1327F">
        <w:t xml:space="preserve">and make sense of </w:t>
      </w:r>
      <w:r w:rsidR="00072FAF">
        <w:t>their world</w:t>
      </w:r>
      <w:r w:rsidR="00BC0D22">
        <w:t xml:space="preserve"> (Manion, Morrison and Cohen, 2018; Grey, 2022)</w:t>
      </w:r>
      <w:r w:rsidR="00072FAF">
        <w:t>.</w:t>
      </w:r>
      <w:r w:rsidR="00242495">
        <w:t xml:space="preserve"> </w:t>
      </w:r>
      <w:r w:rsidR="00090E36">
        <w:t xml:space="preserve">The </w:t>
      </w:r>
      <w:r w:rsidR="00693E3C">
        <w:t>e</w:t>
      </w:r>
      <w:r w:rsidR="00EF1C6B">
        <w:t>pistemological assumption</w:t>
      </w:r>
      <w:r w:rsidR="00090E36">
        <w:t xml:space="preserve"> is </w:t>
      </w:r>
      <w:r w:rsidR="00EF1C6B">
        <w:t xml:space="preserve">that </w:t>
      </w:r>
      <w:r w:rsidR="00456058">
        <w:t>everything is connected</w:t>
      </w:r>
      <w:r w:rsidR="007E1670">
        <w:t xml:space="preserve"> and subjectively experienced</w:t>
      </w:r>
      <w:r w:rsidR="00693E3C">
        <w:t xml:space="preserve"> and</w:t>
      </w:r>
      <w:r w:rsidR="003C0144">
        <w:t xml:space="preserve"> thus</w:t>
      </w:r>
      <w:r w:rsidR="00693E3C">
        <w:t xml:space="preserve"> cannot be separated (Punch and Oancea, 2014). </w:t>
      </w:r>
      <w:r w:rsidR="003C0144">
        <w:t xml:space="preserve">Furthermore, </w:t>
      </w:r>
      <w:r w:rsidR="009A2A85">
        <w:t xml:space="preserve">Flick </w:t>
      </w:r>
      <w:r w:rsidR="00F77442">
        <w:t>(20</w:t>
      </w:r>
      <w:r w:rsidR="000F70F7">
        <w:t>23</w:t>
      </w:r>
      <w:r w:rsidR="00F77442">
        <w:t>)</w:t>
      </w:r>
      <w:r w:rsidR="002332C6">
        <w:t xml:space="preserve"> </w:t>
      </w:r>
      <w:r w:rsidR="002332C6">
        <w:lastRenderedPageBreak/>
        <w:t>considers an additional philosophical layer, highlighting that the axiological position, or the values of both the investigator and the participant,</w:t>
      </w:r>
      <w:r w:rsidR="00E14340">
        <w:t xml:space="preserve"> need to be considered </w:t>
      </w:r>
      <w:r w:rsidR="004C0971">
        <w:t>within the study, as again</w:t>
      </w:r>
      <w:r w:rsidR="00D82F36">
        <w:t>,</w:t>
      </w:r>
      <w:r w:rsidR="004C0971">
        <w:t xml:space="preserve"> this will influence all elements of the research. </w:t>
      </w:r>
      <w:r w:rsidR="007E1670">
        <w:t xml:space="preserve"> </w:t>
      </w:r>
    </w:p>
    <w:p w14:paraId="1166AB86" w14:textId="4C362177" w:rsidR="00DC71D9" w:rsidRDefault="00DC71D9" w:rsidP="0E9096A0">
      <w:pPr>
        <w:spacing w:line="360" w:lineRule="auto"/>
      </w:pPr>
      <w:r>
        <w:t xml:space="preserve">However, </w:t>
      </w:r>
      <w:r w:rsidR="005165C6">
        <w:t>critical p</w:t>
      </w:r>
      <w:r w:rsidR="000A02E2">
        <w:t>hilosophical</w:t>
      </w:r>
      <w:r w:rsidR="005165C6">
        <w:t xml:space="preserve"> discourse highlights the limitations of </w:t>
      </w:r>
      <w:r w:rsidR="00182B21">
        <w:t xml:space="preserve">interpretivist research, </w:t>
      </w:r>
      <w:r w:rsidR="00FE3178">
        <w:t xml:space="preserve">acknowledging that </w:t>
      </w:r>
      <w:r w:rsidR="00C04163">
        <w:t xml:space="preserve">the scope of methods used within this paradigm often </w:t>
      </w:r>
      <w:r w:rsidR="00C20059">
        <w:t xml:space="preserve">limits the possibility of the </w:t>
      </w:r>
      <w:r w:rsidR="00C04163">
        <w:t>study</w:t>
      </w:r>
      <w:r w:rsidR="00C20059">
        <w:t xml:space="preserve"> being replicated and applied to other contexts or participants (Flick, 20</w:t>
      </w:r>
      <w:r w:rsidR="007D0D22">
        <w:t>23</w:t>
      </w:r>
      <w:r w:rsidR="00C20059">
        <w:t xml:space="preserve">). </w:t>
      </w:r>
      <w:r w:rsidR="00D00F4E">
        <w:t>Accordingly</w:t>
      </w:r>
      <w:r w:rsidR="00AA24AA">
        <w:t>,</w:t>
      </w:r>
      <w:r w:rsidR="00D00F4E">
        <w:t xml:space="preserve"> positivist academics </w:t>
      </w:r>
      <w:r w:rsidR="00B75EEF">
        <w:t>frequently</w:t>
      </w:r>
      <w:r w:rsidR="00D00F4E">
        <w:t xml:space="preserve"> </w:t>
      </w:r>
      <w:r w:rsidR="00131B4A">
        <w:t xml:space="preserve">dispute the validity of interpretive </w:t>
      </w:r>
      <w:r w:rsidR="000676A9">
        <w:t xml:space="preserve">research </w:t>
      </w:r>
      <w:r w:rsidR="00131B4A">
        <w:t xml:space="preserve">due to the lack of </w:t>
      </w:r>
      <w:r w:rsidR="00AA24AA">
        <w:t xml:space="preserve">a scientific method when </w:t>
      </w:r>
      <w:r w:rsidR="002D2639">
        <w:t>justifying and analysing the data</w:t>
      </w:r>
      <w:r w:rsidR="00582954">
        <w:t xml:space="preserve"> (</w:t>
      </w:r>
      <w:r w:rsidR="00AD4D8B">
        <w:t>Husam</w:t>
      </w:r>
      <w:r w:rsidR="00582954">
        <w:t xml:space="preserve"> and Pius, 20</w:t>
      </w:r>
      <w:r w:rsidR="00ED0FE5">
        <w:t>20</w:t>
      </w:r>
      <w:r w:rsidR="00582954">
        <w:t>).</w:t>
      </w:r>
    </w:p>
    <w:p w14:paraId="11FD03F7" w14:textId="54606EFD" w:rsidR="007D114F" w:rsidRDefault="00AE22AC" w:rsidP="0E9096A0">
      <w:pPr>
        <w:spacing w:line="360" w:lineRule="auto"/>
        <w:rPr>
          <w:u w:val="single"/>
        </w:rPr>
      </w:pPr>
      <w:r w:rsidRPr="0E9096A0">
        <w:rPr>
          <w:u w:val="single"/>
        </w:rPr>
        <w:t>Qualitative</w:t>
      </w:r>
      <w:r w:rsidR="00B454D3" w:rsidRPr="0E9096A0">
        <w:rPr>
          <w:u w:val="single"/>
        </w:rPr>
        <w:t xml:space="preserve"> Research</w:t>
      </w:r>
    </w:p>
    <w:p w14:paraId="27AB0586" w14:textId="597A664F" w:rsidR="00A918DA" w:rsidRDefault="00075884" w:rsidP="0E9096A0">
      <w:pPr>
        <w:spacing w:line="360" w:lineRule="auto"/>
      </w:pPr>
      <w:r>
        <w:t xml:space="preserve">Dunscombe (2010) </w:t>
      </w:r>
      <w:r w:rsidR="006A768D">
        <w:t xml:space="preserve">highlights the challenges of differentiating between </w:t>
      </w:r>
      <w:r w:rsidR="00B70298">
        <w:t>quantitative</w:t>
      </w:r>
      <w:r w:rsidR="006A768D">
        <w:t xml:space="preserve"> and qualitative research, acknowledging that there is no clear </w:t>
      </w:r>
      <w:r w:rsidR="00B658FC">
        <w:t>boundary between</w:t>
      </w:r>
      <w:r w:rsidR="006A768D">
        <w:t xml:space="preserve"> the two types of researc</w:t>
      </w:r>
      <w:r w:rsidR="005565EB">
        <w:t>h</w:t>
      </w:r>
      <w:r w:rsidR="000D31CD">
        <w:t>.</w:t>
      </w:r>
      <w:r w:rsidR="007F588D">
        <w:t xml:space="preserve"> </w:t>
      </w:r>
      <w:r w:rsidR="001D6302">
        <w:t xml:space="preserve">Punch and Oancea (2014) </w:t>
      </w:r>
      <w:r w:rsidR="004C4DB2">
        <w:t xml:space="preserve">agree, stating that the sharp </w:t>
      </w:r>
      <w:r w:rsidR="00C269A4">
        <w:t>divide created between the two paradigms is often unhelpful, as</w:t>
      </w:r>
      <w:r w:rsidR="000F6B55">
        <w:t xml:space="preserve"> both share similarities and </w:t>
      </w:r>
      <w:r w:rsidR="00EE40F7">
        <w:t xml:space="preserve">overlap </w:t>
      </w:r>
      <w:r w:rsidR="001F2DFF">
        <w:t>in certain aspects. They all concede, however,</w:t>
      </w:r>
      <w:r w:rsidR="0042201D">
        <w:t xml:space="preserve"> </w:t>
      </w:r>
      <w:r w:rsidR="007B576D">
        <w:t xml:space="preserve">that it can be </w:t>
      </w:r>
      <w:r w:rsidR="007B767F">
        <w:t>helpful</w:t>
      </w:r>
      <w:r w:rsidR="007B576D">
        <w:t xml:space="preserve"> to </w:t>
      </w:r>
      <w:r w:rsidR="00A918DA">
        <w:t xml:space="preserve">separate the paradigms when </w:t>
      </w:r>
      <w:r w:rsidR="007B767F">
        <w:t>providing</w:t>
      </w:r>
      <w:r w:rsidR="00A918DA">
        <w:t xml:space="preserve"> a general overview of the different </w:t>
      </w:r>
      <w:r w:rsidR="0042201D">
        <w:t>approaches</w:t>
      </w:r>
      <w:r w:rsidR="00A918DA">
        <w:t>.</w:t>
      </w:r>
      <w:r w:rsidR="007F588D">
        <w:t xml:space="preserve"> </w:t>
      </w:r>
      <w:r w:rsidR="003F725C">
        <w:t>Therefore, for this paper</w:t>
      </w:r>
      <w:r w:rsidR="00BB2A4F">
        <w:t>, the qualitative paradigm will be explored</w:t>
      </w:r>
      <w:r w:rsidR="00B70298">
        <w:t xml:space="preserve">, </w:t>
      </w:r>
      <w:r w:rsidR="005B017F">
        <w:t>with a focus on its</w:t>
      </w:r>
      <w:r w:rsidR="00A918DA">
        <w:t xml:space="preserve"> </w:t>
      </w:r>
      <w:r w:rsidR="00B70298">
        <w:t xml:space="preserve">connection to the interpretivist philosophy. </w:t>
      </w:r>
    </w:p>
    <w:p w14:paraId="791FCF7E" w14:textId="3EEF918C" w:rsidR="000D46C0" w:rsidRDefault="007F485F" w:rsidP="0E9096A0">
      <w:pPr>
        <w:spacing w:line="360" w:lineRule="auto"/>
      </w:pPr>
      <w:r>
        <w:t xml:space="preserve">Arguably, </w:t>
      </w:r>
      <w:r w:rsidR="002D50B9">
        <w:t>qualitative</w:t>
      </w:r>
      <w:r>
        <w:t xml:space="preserve"> research is </w:t>
      </w:r>
      <w:r w:rsidR="009516D1">
        <w:t xml:space="preserve">often connected with exploring </w:t>
      </w:r>
      <w:r w:rsidR="00F34FD1">
        <w:t>participants' subjective experiences</w:t>
      </w:r>
      <w:r w:rsidR="00BB26D7">
        <w:t xml:space="preserve"> (</w:t>
      </w:r>
      <w:r w:rsidR="00F34FD1">
        <w:t xml:space="preserve">Flick, </w:t>
      </w:r>
      <w:r w:rsidR="00BB26D7">
        <w:t>2023)</w:t>
      </w:r>
      <w:r w:rsidR="000366AA">
        <w:t xml:space="preserve">, and the data are usually collected through the </w:t>
      </w:r>
      <w:r w:rsidR="000D3469">
        <w:t>meaningful exploration of texts, words, and</w:t>
      </w:r>
      <w:r w:rsidR="00F34FD1">
        <w:t>/or</w:t>
      </w:r>
      <w:r w:rsidR="000D3469">
        <w:t xml:space="preserve"> images produced via interviews, focus groups,</w:t>
      </w:r>
      <w:r w:rsidR="002D50B9">
        <w:t xml:space="preserve"> and text</w:t>
      </w:r>
      <w:r w:rsidR="002661D9">
        <w:t>ual or image</w:t>
      </w:r>
      <w:r w:rsidR="002D50B9">
        <w:t xml:space="preserve"> analysis</w:t>
      </w:r>
      <w:r w:rsidR="000D3469">
        <w:t xml:space="preserve"> (Denscombe, 2010; Thomas, 2023)</w:t>
      </w:r>
      <w:r w:rsidR="002D50B9">
        <w:t xml:space="preserve">. </w:t>
      </w:r>
      <w:r w:rsidR="00C35AC7">
        <w:t>Researchers use qualitative methods to understand how individuals make sense of their experiences and their internal worldview</w:t>
      </w:r>
      <w:r w:rsidR="00DF6E0C">
        <w:t xml:space="preserve"> (Braun and Clarke, 2013). </w:t>
      </w:r>
      <w:r w:rsidR="00BB36C1">
        <w:t>Thus, i</w:t>
      </w:r>
      <w:r w:rsidR="00272AE0">
        <w:t xml:space="preserve">n the same way that the </w:t>
      </w:r>
      <w:r w:rsidR="007F3750">
        <w:t>interpretivist philosophy</w:t>
      </w:r>
      <w:r w:rsidR="00272AE0">
        <w:t xml:space="preserve"> is interested in </w:t>
      </w:r>
      <w:r w:rsidR="00FE2A76">
        <w:t xml:space="preserve">how the world is socially constructed and </w:t>
      </w:r>
      <w:r w:rsidR="00BB36C1">
        <w:t xml:space="preserve">subjectively </w:t>
      </w:r>
      <w:r w:rsidR="00FE2A76">
        <w:t xml:space="preserve">viewed, </w:t>
      </w:r>
      <w:r w:rsidR="007F3750">
        <w:t>researchers</w:t>
      </w:r>
      <w:r w:rsidR="00422FEA">
        <w:t xml:space="preserve"> working within the qualitative paradigm are int</w:t>
      </w:r>
      <w:r w:rsidR="004A7278">
        <w:t xml:space="preserve">erested in how their participants view their world. </w:t>
      </w:r>
      <w:r w:rsidR="00272AE0">
        <w:t xml:space="preserve"> </w:t>
      </w:r>
      <w:r w:rsidR="007F3750">
        <w:t xml:space="preserve">Hence, qualitative research </w:t>
      </w:r>
      <w:r w:rsidR="00A82830">
        <w:t xml:space="preserve">can be seen to </w:t>
      </w:r>
      <w:r w:rsidR="007F3750">
        <w:t>fall under the interpretivist paradigm</w:t>
      </w:r>
      <w:r w:rsidR="006D131E">
        <w:t xml:space="preserve"> (Thomas, 2023).</w:t>
      </w:r>
      <w:r w:rsidR="00A82830">
        <w:t xml:space="preserve"> </w:t>
      </w:r>
      <w:r w:rsidR="008C0BAF">
        <w:t xml:space="preserve">Additionally, the researcher's subjectivity is also </w:t>
      </w:r>
      <w:r w:rsidR="008C0BAF">
        <w:lastRenderedPageBreak/>
        <w:t>important, and their influence on the study will need to be acknowledged</w:t>
      </w:r>
      <w:r w:rsidR="00EB222C">
        <w:t xml:space="preserve"> </w:t>
      </w:r>
      <w:r w:rsidR="00ED6BD4">
        <w:t xml:space="preserve">(Flick, 2023). Gray (2022) </w:t>
      </w:r>
      <w:r w:rsidR="00EB222C">
        <w:t xml:space="preserve">agrees, defining this as researcher reflexivity, </w:t>
      </w:r>
      <w:r w:rsidR="00C160B5">
        <w:t xml:space="preserve">highlighting the association between the researcher and </w:t>
      </w:r>
      <w:r w:rsidR="001C4B27">
        <w:t xml:space="preserve">their </w:t>
      </w:r>
      <w:r w:rsidR="00FD15DE">
        <w:t xml:space="preserve">impact </w:t>
      </w:r>
      <w:r w:rsidR="001C4B27">
        <w:t>on the</w:t>
      </w:r>
      <w:r w:rsidR="00FD15DE">
        <w:t>ir</w:t>
      </w:r>
      <w:r w:rsidR="001C4B27">
        <w:t xml:space="preserve"> project.</w:t>
      </w:r>
    </w:p>
    <w:p w14:paraId="0277BEA5" w14:textId="648216F2" w:rsidR="00311B15" w:rsidRDefault="00833A0C" w:rsidP="0E9096A0">
      <w:pPr>
        <w:spacing w:line="360" w:lineRule="auto"/>
      </w:pPr>
      <w:r>
        <w:t xml:space="preserve">As with interpretivism, critics of qualitative research </w:t>
      </w:r>
      <w:r w:rsidR="00902849">
        <w:t xml:space="preserve">highlight the small-scale focus of projects and the difficulties with replicating the studies. They also acknowledge the </w:t>
      </w:r>
      <w:r w:rsidR="001B2D42">
        <w:t>researcher's bias and highlight</w:t>
      </w:r>
      <w:r w:rsidR="00902849">
        <w:t xml:space="preserve"> that neutrality cannot be achieved in qualitative research</w:t>
      </w:r>
      <w:r w:rsidR="001B2D42">
        <w:t xml:space="preserve"> (Denscombe, 20</w:t>
      </w:r>
      <w:r w:rsidR="005226D7">
        <w:t>21</w:t>
      </w:r>
      <w:r w:rsidR="001B2D42">
        <w:t xml:space="preserve">). </w:t>
      </w:r>
      <w:r w:rsidR="00A01922">
        <w:t xml:space="preserve">In response to these limitations, </w:t>
      </w:r>
      <w:r w:rsidR="006F75EC">
        <w:t>qualitative researchers</w:t>
      </w:r>
      <w:r w:rsidR="00A01922">
        <w:t xml:space="preserve"> </w:t>
      </w:r>
      <w:r w:rsidR="002103DD">
        <w:t xml:space="preserve">often </w:t>
      </w:r>
      <w:r w:rsidR="008E4792">
        <w:t>disclose their positionality within the study and take care to be transparent in their data collection, frequently employing</w:t>
      </w:r>
      <w:r w:rsidR="00354FB3">
        <w:t xml:space="preserve"> triangulation</w:t>
      </w:r>
      <w:r w:rsidR="004B24E8">
        <w:t xml:space="preserve"> methods</w:t>
      </w:r>
      <w:r w:rsidR="00354FB3">
        <w:t xml:space="preserve"> to </w:t>
      </w:r>
      <w:r w:rsidR="006F75EC">
        <w:t xml:space="preserve">produce nuanced and rigorous data (Flick, 2023). </w:t>
      </w:r>
    </w:p>
    <w:p w14:paraId="0523402D" w14:textId="61EFB995" w:rsidR="006833DE" w:rsidRDefault="006833DE" w:rsidP="0E9096A0">
      <w:pPr>
        <w:spacing w:line="360" w:lineRule="auto"/>
        <w:rPr>
          <w:u w:val="single"/>
        </w:rPr>
      </w:pPr>
      <w:r w:rsidRPr="0E9096A0">
        <w:rPr>
          <w:u w:val="single"/>
        </w:rPr>
        <w:t>Research Question</w:t>
      </w:r>
    </w:p>
    <w:p w14:paraId="18494C33" w14:textId="7C0F078E" w:rsidR="006833DE" w:rsidRDefault="00340265" w:rsidP="0E9096A0">
      <w:pPr>
        <w:spacing w:line="360" w:lineRule="auto"/>
      </w:pPr>
      <w:r>
        <w:t>‘</w:t>
      </w:r>
      <w:r w:rsidRPr="0E9096A0">
        <w:rPr>
          <w:i/>
          <w:iCs/>
        </w:rPr>
        <w:t>What opportunities and challenges do</w:t>
      </w:r>
      <w:r w:rsidR="00427543" w:rsidRPr="0E9096A0">
        <w:rPr>
          <w:i/>
          <w:iCs/>
        </w:rPr>
        <w:t xml:space="preserve"> college-based</w:t>
      </w:r>
      <w:r w:rsidRPr="0E9096A0">
        <w:rPr>
          <w:i/>
          <w:iCs/>
        </w:rPr>
        <w:t xml:space="preserve"> lecturers face </w:t>
      </w:r>
      <w:r w:rsidR="00427543" w:rsidRPr="0E9096A0">
        <w:rPr>
          <w:i/>
          <w:iCs/>
        </w:rPr>
        <w:t>in</w:t>
      </w:r>
      <w:r w:rsidRPr="0E9096A0">
        <w:rPr>
          <w:i/>
          <w:iCs/>
        </w:rPr>
        <w:t xml:space="preserve"> teaching </w:t>
      </w:r>
      <w:r w:rsidR="00427543" w:rsidRPr="0E9096A0">
        <w:rPr>
          <w:i/>
          <w:iCs/>
        </w:rPr>
        <w:t>in Wales?</w:t>
      </w:r>
      <w:r>
        <w:t>’</w:t>
      </w:r>
    </w:p>
    <w:p w14:paraId="7DC72403" w14:textId="005717F8" w:rsidR="00340265" w:rsidRDefault="00892EE8" w:rsidP="0E9096A0">
      <w:pPr>
        <w:spacing w:line="360" w:lineRule="auto"/>
      </w:pPr>
      <w:r>
        <w:t xml:space="preserve">This research question </w:t>
      </w:r>
      <w:r w:rsidR="000D6231">
        <w:t>was designed to enable</w:t>
      </w:r>
      <w:r w:rsidR="009006F2">
        <w:t xml:space="preserve"> </w:t>
      </w:r>
      <w:r w:rsidR="000D6231">
        <w:t xml:space="preserve">lecturers to voice their </w:t>
      </w:r>
      <w:r w:rsidR="00203BE0">
        <w:t>experience</w:t>
      </w:r>
      <w:r w:rsidR="00956982">
        <w:t>s of</w:t>
      </w:r>
      <w:r w:rsidR="006A2558">
        <w:t xml:space="preserve"> teaching </w:t>
      </w:r>
      <w:r w:rsidR="009006F2">
        <w:t>undergraduate</w:t>
      </w:r>
      <w:r w:rsidR="006A2558">
        <w:t xml:space="preserve"> </w:t>
      </w:r>
      <w:r w:rsidR="009006F2">
        <w:t>degree-level</w:t>
      </w:r>
      <w:r w:rsidR="006A2558">
        <w:t xml:space="preserve"> </w:t>
      </w:r>
      <w:r w:rsidR="009006F2">
        <w:t>programmes</w:t>
      </w:r>
      <w:r w:rsidR="006A2558">
        <w:t xml:space="preserve"> </w:t>
      </w:r>
      <w:r w:rsidR="00EF5B7B">
        <w:t>whil</w:t>
      </w:r>
      <w:r w:rsidR="007D7911">
        <w:t>st</w:t>
      </w:r>
      <w:r w:rsidR="00EF5B7B">
        <w:t xml:space="preserve"> working within an FE college. It aimed to explore lecturers' subjective experiences</w:t>
      </w:r>
      <w:r w:rsidR="00231ABD">
        <w:t xml:space="preserve">, situated within an interpretivist philosophical approach and </w:t>
      </w:r>
      <w:r w:rsidR="00EE6073">
        <w:t xml:space="preserve">the qualitative </w:t>
      </w:r>
      <w:r w:rsidR="00CA49A7">
        <w:t xml:space="preserve">paradigm. </w:t>
      </w:r>
    </w:p>
    <w:p w14:paraId="31D7811D" w14:textId="21F6BC9F" w:rsidR="00FA4FF8" w:rsidRDefault="00FA4FF8" w:rsidP="0E9096A0">
      <w:pPr>
        <w:spacing w:line="360" w:lineRule="auto"/>
      </w:pPr>
      <w:r>
        <w:t xml:space="preserve">Qualitative </w:t>
      </w:r>
      <w:r w:rsidR="00D723B0">
        <w:t>research</w:t>
      </w:r>
      <w:r>
        <w:t xml:space="preserve"> methods were </w:t>
      </w:r>
      <w:r w:rsidR="00956982">
        <w:t>employed to ensure that</w:t>
      </w:r>
      <w:r w:rsidR="00E2585A">
        <w:t xml:space="preserve"> the </w:t>
      </w:r>
      <w:r w:rsidR="004F4F72">
        <w:t>lecturers' voices</w:t>
      </w:r>
      <w:r w:rsidR="00E2585A">
        <w:t xml:space="preserve"> could be heard</w:t>
      </w:r>
      <w:r w:rsidR="00396693">
        <w:t>. These will be discussed further in this chapter</w:t>
      </w:r>
      <w:r w:rsidR="00956982">
        <w:t>; however, the data collection method aimed to gather rich data</w:t>
      </w:r>
      <w:r w:rsidR="008C6172">
        <w:t xml:space="preserve">, which </w:t>
      </w:r>
      <w:r w:rsidR="004F4F72">
        <w:t xml:space="preserve">in turn </w:t>
      </w:r>
      <w:r w:rsidR="008C6172">
        <w:t xml:space="preserve">would allow the analysis to </w:t>
      </w:r>
      <w:r w:rsidR="00B901FC">
        <w:t xml:space="preserve">highlight </w:t>
      </w:r>
      <w:r w:rsidR="00956982">
        <w:t xml:space="preserve">similar </w:t>
      </w:r>
      <w:r w:rsidR="00B901FC">
        <w:t>themes an</w:t>
      </w:r>
      <w:r w:rsidR="00050A69">
        <w:t>d discrepancies.</w:t>
      </w:r>
      <w:r w:rsidR="00467A8A">
        <w:t xml:space="preserve"> </w:t>
      </w:r>
      <w:r w:rsidR="00855BD6">
        <w:t xml:space="preserve">The analysis was inductive, </w:t>
      </w:r>
      <w:r w:rsidR="00090342">
        <w:t>enabling the data to be thoroughly examined</w:t>
      </w:r>
      <w:r w:rsidR="0085742B">
        <w:t>.</w:t>
      </w:r>
      <w:r w:rsidR="00D92AB7">
        <w:t xml:space="preserve"> The aim was to be mindful of </w:t>
      </w:r>
      <w:r w:rsidR="000B4E72">
        <w:t>researcher</w:t>
      </w:r>
      <w:r w:rsidR="00D92AB7">
        <w:t xml:space="preserve"> bias</w:t>
      </w:r>
      <w:r w:rsidR="00910AED">
        <w:t xml:space="preserve"> while focusing on the participant's</w:t>
      </w:r>
      <w:r w:rsidR="000B4E72">
        <w:t xml:space="preserve"> experience</w:t>
      </w:r>
      <w:r w:rsidR="005B6313">
        <w:t xml:space="preserve">, both in the questioning and the analysis (Saldana, 2020). </w:t>
      </w:r>
    </w:p>
    <w:p w14:paraId="0571A22C" w14:textId="549C25BF" w:rsidR="00956982" w:rsidRDefault="00956982" w:rsidP="0E9096A0">
      <w:pPr>
        <w:spacing w:line="360" w:lineRule="auto"/>
      </w:pPr>
      <w:r>
        <w:t xml:space="preserve">The qualitative approach for this study </w:t>
      </w:r>
      <w:r w:rsidR="00701650">
        <w:t>is situated within the interpretivist paradigm</w:t>
      </w:r>
      <w:r w:rsidR="00AC733E">
        <w:t>. As</w:t>
      </w:r>
      <w:r w:rsidR="00701650">
        <w:t xml:space="preserve"> such, it is essential to consider the researcher's positionality </w:t>
      </w:r>
      <w:r w:rsidR="00A1706B">
        <w:t>to promote transparency and acknowledge</w:t>
      </w:r>
      <w:r w:rsidR="00701650">
        <w:t xml:space="preserve"> the potential influence of the investigator’s worldview on the study's framework</w:t>
      </w:r>
      <w:r w:rsidR="00925F57">
        <w:t>.</w:t>
      </w:r>
    </w:p>
    <w:p w14:paraId="0BF653A6" w14:textId="7B88F787" w:rsidR="00EF5B7B" w:rsidRDefault="00701650" w:rsidP="0E9096A0">
      <w:pPr>
        <w:spacing w:line="360" w:lineRule="auto"/>
        <w:rPr>
          <w:u w:val="single"/>
        </w:rPr>
      </w:pPr>
      <w:r w:rsidRPr="0E9096A0">
        <w:rPr>
          <w:u w:val="single"/>
        </w:rPr>
        <w:t>Positionality</w:t>
      </w:r>
    </w:p>
    <w:p w14:paraId="4CA9EB38" w14:textId="4FC18FA4" w:rsidR="00701650" w:rsidRDefault="00C50D18" w:rsidP="0E9096A0">
      <w:pPr>
        <w:spacing w:line="360" w:lineRule="auto"/>
      </w:pPr>
      <w:r>
        <w:lastRenderedPageBreak/>
        <w:t>Manon, Morrison, and Coh</w:t>
      </w:r>
      <w:r w:rsidR="00D77AE3">
        <w:t xml:space="preserve">en (2018) </w:t>
      </w:r>
      <w:r w:rsidR="00E51598">
        <w:t xml:space="preserve">argue that </w:t>
      </w:r>
      <w:r w:rsidR="00EE3C18">
        <w:t xml:space="preserve">social researchers need to be self-reflective throughout the research process and </w:t>
      </w:r>
      <w:r w:rsidR="00DC6A51">
        <w:t>aware of their potential</w:t>
      </w:r>
      <w:r w:rsidR="00E51598">
        <w:t xml:space="preserve"> impact on the project. </w:t>
      </w:r>
      <w:r w:rsidR="009D6727">
        <w:t xml:space="preserve">Buetow (2019) concurs, </w:t>
      </w:r>
      <w:r w:rsidR="0009644C">
        <w:t xml:space="preserve">stating that </w:t>
      </w:r>
      <w:r w:rsidR="00EE3C18">
        <w:t xml:space="preserve">recognising the potential for researcher influence and bias can help </w:t>
      </w:r>
      <w:r w:rsidR="00875B6C">
        <w:t>ensure a robust and viable project.</w:t>
      </w:r>
      <w:r w:rsidR="00EE3C18">
        <w:t xml:space="preserve"> Additionally,</w:t>
      </w:r>
      <w:r w:rsidR="00957AA0">
        <w:t xml:space="preserve"> by acknowledging their positionality and being reflexive throughout the process, the researcher can be more attuned to their position of power, status</w:t>
      </w:r>
      <w:r w:rsidR="00A1706B">
        <w:t>, and impact on the research (Jacobson and Mustafa, 2019; Bolade-Ogunfodun, Richmond, Soga,</w:t>
      </w:r>
      <w:r w:rsidR="00390D3E">
        <w:t xml:space="preserve"> and Laker, 2023)</w:t>
      </w:r>
      <w:r w:rsidR="00163946">
        <w:t xml:space="preserve">. </w:t>
      </w:r>
    </w:p>
    <w:p w14:paraId="7957763D" w14:textId="77777777" w:rsidR="003C73E5" w:rsidRPr="00316EB2" w:rsidRDefault="00823E6A" w:rsidP="0E9096A0">
      <w:pPr>
        <w:spacing w:line="360" w:lineRule="auto"/>
        <w:rPr>
          <w:highlight w:val="yellow"/>
        </w:rPr>
      </w:pPr>
      <w:r>
        <w:t xml:space="preserve">I am a </w:t>
      </w:r>
      <w:r w:rsidR="00EE7DB5">
        <w:t>Humanistic psychotherapist</w:t>
      </w:r>
      <w:r w:rsidR="007914C3">
        <w:t xml:space="preserve"> and</w:t>
      </w:r>
      <w:r w:rsidR="00EE7DB5">
        <w:t xml:space="preserve"> also work as a deputy head in a </w:t>
      </w:r>
      <w:r w:rsidR="007914C3">
        <w:t>h</w:t>
      </w:r>
      <w:r w:rsidR="00EE7DB5">
        <w:t xml:space="preserve">ealth and </w:t>
      </w:r>
      <w:r w:rsidR="007914C3">
        <w:t>s</w:t>
      </w:r>
      <w:r w:rsidR="00EE7DB5">
        <w:t xml:space="preserve">ocial </w:t>
      </w:r>
      <w:r w:rsidR="007914C3">
        <w:t>c</w:t>
      </w:r>
      <w:r w:rsidR="00EE7DB5">
        <w:t>are department in</w:t>
      </w:r>
      <w:r w:rsidR="007914C3">
        <w:t xml:space="preserve"> a</w:t>
      </w:r>
      <w:r w:rsidR="00EE7DB5">
        <w:t xml:space="preserve"> </w:t>
      </w:r>
      <w:r w:rsidR="00424E09">
        <w:t>further education college</w:t>
      </w:r>
      <w:r w:rsidR="007914C3">
        <w:t xml:space="preserve"> in South Wales</w:t>
      </w:r>
      <w:r w:rsidR="00424E09">
        <w:t xml:space="preserve">. I am </w:t>
      </w:r>
      <w:r w:rsidR="009E329E">
        <w:t xml:space="preserve">a white, British female, and have lived in both the UK and </w:t>
      </w:r>
      <w:r w:rsidR="00F87A9F">
        <w:t>English-speaking</w:t>
      </w:r>
      <w:r w:rsidR="007914C3">
        <w:t xml:space="preserve"> communities </w:t>
      </w:r>
      <w:r w:rsidR="00F87A9F">
        <w:t xml:space="preserve">in Europe. I am aware of the advantages and privileges that I have experienced in my life, but </w:t>
      </w:r>
      <w:r w:rsidR="00CA60F1">
        <w:t>I have also experienced gender-based op</w:t>
      </w:r>
      <w:r w:rsidR="009E329E">
        <w:t>pression. Within this research</w:t>
      </w:r>
      <w:r w:rsidR="00E04ADF">
        <w:t>,</w:t>
      </w:r>
      <w:r w:rsidR="009E329E">
        <w:t xml:space="preserve"> I want to acknowledge my position of power</w:t>
      </w:r>
      <w:r w:rsidR="00E04ADF">
        <w:t>.</w:t>
      </w:r>
      <w:r w:rsidR="00F20053">
        <w:t xml:space="preserve"> This research was conducted at a Welsh Further Education College, with five participants who were known to the researcher. </w:t>
      </w:r>
      <w:r w:rsidR="009E329E">
        <w:t xml:space="preserve"> </w:t>
      </w:r>
      <w:r w:rsidR="003C73E5">
        <w:t xml:space="preserve">The researcher is also a full-time, contracted manager within the college. Olmos-Vega </w:t>
      </w:r>
      <w:r w:rsidR="003C73E5" w:rsidRPr="0E9096A0">
        <w:rPr>
          <w:i/>
          <w:iCs/>
        </w:rPr>
        <w:t>et al.</w:t>
      </w:r>
      <w:r w:rsidR="003C73E5">
        <w:t xml:space="preserve"> (2022) emphasise the importance of reflexivity, particularly when participants are known to the researcher. As noted in the methodology chapter, paying attention to power dynamics was a key element of this research; it was necessary to consider the interpersonal dynamics between the interviewer and participants to ensure that the interviewees did not feel pressured to respond in a particular way. Purposive sampling was used to ensure that each participant worked within HE in the college, but was not directly managed by the researcher. However, working within the interpretivist framework, it is acknowledged that separating self from the research is impossible, and the researcher recognised the impact that they had throughout the entire process (Ide and Beddoe, 2023). </w:t>
      </w:r>
    </w:p>
    <w:p w14:paraId="3F458C03" w14:textId="51662E00" w:rsidR="00AC733E" w:rsidRPr="00003F92" w:rsidRDefault="00AC733E" w:rsidP="0E9096A0">
      <w:pPr>
        <w:spacing w:line="360" w:lineRule="auto"/>
        <w:rPr>
          <w:highlight w:val="yellow"/>
        </w:rPr>
      </w:pPr>
      <w:r>
        <w:t xml:space="preserve">Furthermore, there are critical discussions regarding the appropriateness of undertaking research within the researcher’s institution. Finefter-Rosenbluh (2017) highlights some strengths of insider research, such as familiarity with the context, an understanding of the issues, and access to participants, which may pose challenges for outsider researchers. </w:t>
      </w:r>
      <w:r>
        <w:lastRenderedPageBreak/>
        <w:t>However, Andrews (2024) notes several concerns, including researcher bias, issues of anonymity, coercion, and concerns regarding consent. Still, mitigations can be made to reduce these risks, such as ensuring fully informed consent, preparing questions in advance, and using aliases in the analysis, all of which have been upheld for this project. Nevertheless, researchers must engage in reflexive practice to ensure the process is critically evaluated and that they remain attentive to the influence they may have on the research process.</w:t>
      </w:r>
      <w:r w:rsidR="00543091">
        <w:t xml:space="preserve"> Throughout the project, I aimed to be </w:t>
      </w:r>
      <w:r w:rsidR="0017348E">
        <w:t xml:space="preserve">aware of my biases and the potential </w:t>
      </w:r>
      <w:r w:rsidR="004F14DE">
        <w:t>impact</w:t>
      </w:r>
      <w:r w:rsidR="0017348E">
        <w:t xml:space="preserve"> I might have on not only the interview process but also the analysis, striving for an unbiased and</w:t>
      </w:r>
      <w:r w:rsidR="00543091">
        <w:t xml:space="preserve"> non-judgmental approach.</w:t>
      </w:r>
    </w:p>
    <w:p w14:paraId="5750BBF3" w14:textId="57FFA8F0" w:rsidR="00BA2476" w:rsidRPr="008815CF" w:rsidRDefault="00994145" w:rsidP="0E9096A0">
      <w:pPr>
        <w:spacing w:line="360" w:lineRule="auto"/>
        <w:rPr>
          <w:b/>
          <w:bCs/>
          <w:u w:val="single"/>
        </w:rPr>
      </w:pPr>
      <w:r w:rsidRPr="0E9096A0">
        <w:rPr>
          <w:u w:val="single"/>
        </w:rPr>
        <w:t xml:space="preserve">Sampling and </w:t>
      </w:r>
      <w:r w:rsidR="00BA2476" w:rsidRPr="0E9096A0">
        <w:rPr>
          <w:u w:val="single"/>
        </w:rPr>
        <w:t>Case Study</w:t>
      </w:r>
      <w:r w:rsidRPr="0E9096A0">
        <w:rPr>
          <w:u w:val="single"/>
        </w:rPr>
        <w:t xml:space="preserve"> Framework</w:t>
      </w:r>
      <w:r w:rsidR="008815CF" w:rsidRPr="0E9096A0">
        <w:rPr>
          <w:u w:val="single"/>
        </w:rPr>
        <w:t xml:space="preserve"> </w:t>
      </w:r>
    </w:p>
    <w:p w14:paraId="1DFCD046" w14:textId="027CF867" w:rsidR="00353D68" w:rsidRDefault="009530BF" w:rsidP="0E9096A0">
      <w:pPr>
        <w:spacing w:line="360" w:lineRule="auto"/>
      </w:pPr>
      <w:r>
        <w:t xml:space="preserve">In qualitative research, participants are selected purposefully, identified and chosen because they can provide information that may not be obtained from others (Gray, 2022). The research undertaken for this project heard the voices of five lecturers working within a single FE college in South Wales. </w:t>
      </w:r>
      <w:r w:rsidR="00767683">
        <w:t xml:space="preserve">Five participants were interviewed for this study, ranging from a newly qualified teacher to an experienced manager. Boddy (2016) suggests that smaller participant numbers can provide rich, nuanced data when exploring under-researched topics. </w:t>
      </w:r>
      <w:r>
        <w:t>At the FE level, this college provided opportunities to undertake qualifications in both academic and vocational subjects. The HE level programmes offered at this college were primarily industry-focused, presenting opportunities to study higher national diplomas, foundation degrees, or ‘top-ups’ to a full Bachelor’s award.</w:t>
      </w:r>
    </w:p>
    <w:p w14:paraId="2A67BE20" w14:textId="39B5D1DC" w:rsidR="0067078D" w:rsidRDefault="003F2C13" w:rsidP="0E9096A0">
      <w:pPr>
        <w:spacing w:line="360" w:lineRule="auto"/>
      </w:pPr>
      <w:r>
        <w:t>Th</w:t>
      </w:r>
      <w:r w:rsidR="008A24CC">
        <w:t>e</w:t>
      </w:r>
      <w:r w:rsidR="00E437DC">
        <w:t xml:space="preserve"> purpos</w:t>
      </w:r>
      <w:r w:rsidR="00BC76B1">
        <w:t>ive</w:t>
      </w:r>
      <w:r w:rsidR="00E437DC">
        <w:t xml:space="preserve"> sample</w:t>
      </w:r>
      <w:r w:rsidR="008A24CC">
        <w:t xml:space="preserve"> indicated here</w:t>
      </w:r>
      <w:r w:rsidR="00E437DC">
        <w:t xml:space="preserve"> </w:t>
      </w:r>
      <w:r w:rsidR="00485B87">
        <w:t>represented different disciplines</w:t>
      </w:r>
      <w:r w:rsidR="00BE3D83">
        <w:t>, including education, care, and construction</w:t>
      </w:r>
      <w:r w:rsidR="005D4ED1">
        <w:t>, and e</w:t>
      </w:r>
      <w:r w:rsidR="0084268F">
        <w:t>ach</w:t>
      </w:r>
      <w:r w:rsidR="009C1D7A">
        <w:t xml:space="preserve"> participant had prior experience in their vocat</w:t>
      </w:r>
      <w:r w:rsidR="0084268F">
        <w:t>ional field before teaching on the HE programme</w:t>
      </w:r>
      <w:r w:rsidR="00485B87">
        <w:t>.</w:t>
      </w:r>
      <w:r w:rsidR="0096058D">
        <w:t xml:space="preserve"> </w:t>
      </w:r>
      <w:r w:rsidR="0084268F">
        <w:t xml:space="preserve">There were two male participants and three female participants, all of </w:t>
      </w:r>
      <w:r w:rsidR="00FB58FD">
        <w:t>whom</w:t>
      </w:r>
      <w:r w:rsidR="0084268F">
        <w:t xml:space="preserve"> worked across different campuses within the college. </w:t>
      </w:r>
      <w:r w:rsidR="00517DC9">
        <w:t xml:space="preserve">Each chosen participant was directly connected to the research aims. They were all teaching HE subjects within the FE context, </w:t>
      </w:r>
      <w:r w:rsidR="00FB58FD">
        <w:t xml:space="preserve">and </w:t>
      </w:r>
      <w:r w:rsidR="00517DC9">
        <w:t>were all qualified teachers</w:t>
      </w:r>
      <w:r w:rsidR="00FB58FD">
        <w:t xml:space="preserve">. </w:t>
      </w:r>
      <w:r w:rsidR="00DA0BE1">
        <w:t xml:space="preserve">The participants </w:t>
      </w:r>
      <w:r w:rsidR="005D4ED1">
        <w:t xml:space="preserve">had a broad range of </w:t>
      </w:r>
      <w:r w:rsidR="00DA0BE1">
        <w:t xml:space="preserve">teaching </w:t>
      </w:r>
      <w:r w:rsidR="005D4ED1">
        <w:t xml:space="preserve">experience, from </w:t>
      </w:r>
      <w:r w:rsidR="00DA0BE1">
        <w:t xml:space="preserve">those who were </w:t>
      </w:r>
      <w:r w:rsidR="005D4ED1">
        <w:t xml:space="preserve">recently qualified to highly experienced. </w:t>
      </w:r>
      <w:r w:rsidR="00DA0BE1">
        <w:t>T</w:t>
      </w:r>
      <w:r w:rsidR="0045463C">
        <w:t xml:space="preserve">he interpretivist paradigm is clear about the subjective </w:t>
      </w:r>
      <w:r w:rsidR="0045463C">
        <w:lastRenderedPageBreak/>
        <w:t xml:space="preserve">nature of experience. These participants were from a mix of sectors, with varying degrees of </w:t>
      </w:r>
      <w:r w:rsidR="00982BFF">
        <w:t>expertise</w:t>
      </w:r>
      <w:r w:rsidR="0045463C">
        <w:t xml:space="preserve">, which enabled a rich </w:t>
      </w:r>
      <w:r w:rsidR="00EE0A9B">
        <w:t>exploration of subjective viewpoints.</w:t>
      </w:r>
      <w:r w:rsidR="001B57AD">
        <w:t xml:space="preserve"> </w:t>
      </w:r>
      <w:r w:rsidR="004853BB">
        <w:t xml:space="preserve">Rather than </w:t>
      </w:r>
      <w:r w:rsidR="00316885">
        <w:t>a large number of</w:t>
      </w:r>
      <w:r w:rsidR="004853BB">
        <w:t xml:space="preserve"> participants, the </w:t>
      </w:r>
      <w:r w:rsidR="00316885">
        <w:t xml:space="preserve">key </w:t>
      </w:r>
      <w:r w:rsidR="004853BB">
        <w:t xml:space="preserve">point here was to </w:t>
      </w:r>
      <w:r w:rsidR="00481556">
        <w:t>explore</w:t>
      </w:r>
      <w:r w:rsidR="004853BB">
        <w:t xml:space="preserve"> the depth of experience, rather than breadth.</w:t>
      </w:r>
    </w:p>
    <w:p w14:paraId="7A8A4982" w14:textId="04E4048A" w:rsidR="002664B2" w:rsidRDefault="00B40B6F" w:rsidP="0E9096A0">
      <w:pPr>
        <w:spacing w:line="360" w:lineRule="auto"/>
      </w:pPr>
      <w:r>
        <w:t>The research question aims to understand the opportunities and challenges faced by CBHE lecturers in teaching in Wales. The project is structured as an embedded single-case study. Yin (2018) suggests that focusing on a single case can support a study that is both in-depth and rigorous. In this project, research is conducted in one college, which allows participants to discuss their experiences in their workplace, creating a more naturalistic experience (Flick, 2018).</w:t>
      </w:r>
    </w:p>
    <w:p w14:paraId="40416116" w14:textId="651C06B1" w:rsidR="00AD73E4" w:rsidRDefault="00AD73E4" w:rsidP="0E9096A0">
      <w:pPr>
        <w:spacing w:line="360" w:lineRule="auto"/>
      </w:pPr>
      <w:r>
        <w:t xml:space="preserve">As is the case with much qualitative research, </w:t>
      </w:r>
      <w:r w:rsidR="00D13868">
        <w:t>the case study approach has both benefits and challenges</w:t>
      </w:r>
      <w:r>
        <w:t xml:space="preserve">. </w:t>
      </w:r>
      <w:r w:rsidR="00D13868">
        <w:t xml:space="preserve">It can be </w:t>
      </w:r>
      <w:r w:rsidR="003C6D27">
        <w:t>a vigorous framework</w:t>
      </w:r>
      <w:r w:rsidR="00DF0F28">
        <w:t>. However,</w:t>
      </w:r>
      <w:r w:rsidR="00F233F8">
        <w:t xml:space="preserve"> Takahashi and Araujo (2020) highlight that the </w:t>
      </w:r>
      <w:r w:rsidR="004039D3">
        <w:t xml:space="preserve">philosophical underpinnings need to thoroughly connect to the research design, including the </w:t>
      </w:r>
      <w:r w:rsidR="00F150A8">
        <w:t>question, methods and analysis</w:t>
      </w:r>
      <w:r w:rsidR="00DF0F28">
        <w:t xml:space="preserve"> for the case study to demonstrate rigour and robustness.</w:t>
      </w:r>
      <w:r w:rsidR="00784DD1">
        <w:t xml:space="preserve"> </w:t>
      </w:r>
      <w:r w:rsidR="00DD2C29">
        <w:t xml:space="preserve">There are criticisms of the case study approach, which are similar to </w:t>
      </w:r>
      <w:r w:rsidR="001351CD">
        <w:t xml:space="preserve">those in </w:t>
      </w:r>
      <w:r w:rsidR="00862E46">
        <w:t xml:space="preserve">critical </w:t>
      </w:r>
      <w:r w:rsidR="001351CD">
        <w:t>qualitative discourse, including concerns</w:t>
      </w:r>
      <w:r w:rsidR="00BC7E58">
        <w:t xml:space="preserve"> a</w:t>
      </w:r>
      <w:r w:rsidR="004A0130">
        <w:t>bout</w:t>
      </w:r>
      <w:r w:rsidR="00BC7E58">
        <w:t xml:space="preserve"> </w:t>
      </w:r>
      <w:r w:rsidR="00694826">
        <w:t>generalisability an</w:t>
      </w:r>
      <w:r w:rsidR="00BF540B">
        <w:t xml:space="preserve">d </w:t>
      </w:r>
      <w:r w:rsidR="00481D34">
        <w:t xml:space="preserve">the </w:t>
      </w:r>
      <w:r w:rsidR="00BF540B">
        <w:t xml:space="preserve">ability to apply to other situations. </w:t>
      </w:r>
      <w:r w:rsidR="008135B4">
        <w:t xml:space="preserve">Furthermore, </w:t>
      </w:r>
      <w:r w:rsidR="00C927BB">
        <w:t>confirmation bias</w:t>
      </w:r>
      <w:r w:rsidR="00CB5484">
        <w:t xml:space="preserve"> can be an issue within case studies, as can response bias and </w:t>
      </w:r>
      <w:r w:rsidR="00665C0D">
        <w:t xml:space="preserve">sociobility bias, </w:t>
      </w:r>
      <w:r w:rsidR="00481D34">
        <w:t>which rely on participants to answer interview questions reliably and honestly, rather than presenting themselves in a favourable light to align with what they feel the researcher may want to hear (Cohen, Manion,</w:t>
      </w:r>
      <w:r w:rsidR="008D5804">
        <w:t xml:space="preserve"> and Morrison, 2018). This is </w:t>
      </w:r>
      <w:r w:rsidR="004A0130">
        <w:t>particularly concerning in the context of this research project, given the researcher's authoritative position</w:t>
      </w:r>
      <w:r w:rsidR="006C771B">
        <w:t>. Exploring the</w:t>
      </w:r>
      <w:r w:rsidR="00053DD8">
        <w:t xml:space="preserve"> subjective perspectives</w:t>
      </w:r>
      <w:r w:rsidR="006C771B">
        <w:t xml:space="preserve"> with </w:t>
      </w:r>
      <w:r w:rsidR="00053DD8">
        <w:t>several</w:t>
      </w:r>
      <w:r w:rsidR="006C771B">
        <w:t xml:space="preserve"> different participants allows the</w:t>
      </w:r>
      <w:r w:rsidR="001351CD">
        <w:t xml:space="preserve"> reliability to be checked (Cohen, Manion, and Morrison, 2018).</w:t>
      </w:r>
    </w:p>
    <w:p w14:paraId="42A06DD3" w14:textId="21BB186C" w:rsidR="00BA74B2" w:rsidRDefault="00BA74B2" w:rsidP="0E9096A0">
      <w:pPr>
        <w:spacing w:line="360" w:lineRule="auto"/>
        <w:rPr>
          <w:u w:val="single"/>
        </w:rPr>
      </w:pPr>
      <w:r w:rsidRPr="0E9096A0">
        <w:rPr>
          <w:u w:val="single"/>
        </w:rPr>
        <w:t>Data Collection</w:t>
      </w:r>
    </w:p>
    <w:p w14:paraId="42B06B36" w14:textId="54EB5CB4" w:rsidR="00CC628C" w:rsidRDefault="00432F82" w:rsidP="0E9096A0">
      <w:pPr>
        <w:spacing w:line="360" w:lineRule="auto"/>
      </w:pPr>
      <w:r>
        <w:t xml:space="preserve">Qualitative research </w:t>
      </w:r>
      <w:r w:rsidR="00EC6855">
        <w:t xml:space="preserve">methods of data collection are wide and varied. </w:t>
      </w:r>
      <w:r w:rsidR="001E41FB">
        <w:t>However, as Cohen, Manion</w:t>
      </w:r>
      <w:r w:rsidR="00706857">
        <w:t>,</w:t>
      </w:r>
      <w:r w:rsidR="001E41FB">
        <w:t xml:space="preserve"> and Morrison (2018) point out, </w:t>
      </w:r>
      <w:r w:rsidR="00706857">
        <w:t>choosing a method is not a simple or arbitrary decision</w:t>
      </w:r>
      <w:r w:rsidR="001E41FB">
        <w:t xml:space="preserve">. </w:t>
      </w:r>
      <w:r w:rsidR="000104C3">
        <w:t xml:space="preserve">It is </w:t>
      </w:r>
      <w:r w:rsidR="00C713DF">
        <w:t>essential to consider which methods are suitable for the project's purpose</w:t>
      </w:r>
      <w:r w:rsidR="008C0593">
        <w:t xml:space="preserve">. </w:t>
      </w:r>
      <w:r w:rsidR="00870678">
        <w:lastRenderedPageBreak/>
        <w:t>Grey (2022) agrees and highlights several data collection methods that can be used within a case study framework, including participant interviews, focus groups, or exploring artefacts, images,</w:t>
      </w:r>
      <w:r w:rsidR="00706857">
        <w:t xml:space="preserve"> or texts. </w:t>
      </w:r>
    </w:p>
    <w:p w14:paraId="791A43A0" w14:textId="729A063F" w:rsidR="00E673C3" w:rsidRDefault="00E673C3" w:rsidP="0E9096A0">
      <w:pPr>
        <w:spacing w:line="360" w:lineRule="auto"/>
      </w:pPr>
      <w:r>
        <w:t>Semi-structured interviews</w:t>
      </w:r>
      <w:r w:rsidR="00B156FA">
        <w:t xml:space="preserve"> (</w:t>
      </w:r>
      <w:r w:rsidR="00CF61EE">
        <w:t>SSI</w:t>
      </w:r>
      <w:r w:rsidR="004C7A18">
        <w:t>s</w:t>
      </w:r>
      <w:r w:rsidR="00CF61EE">
        <w:t>) were employed in</w:t>
      </w:r>
      <w:r>
        <w:t xml:space="preserve"> this case study. </w:t>
      </w:r>
      <w:r w:rsidR="0077441F">
        <w:t xml:space="preserve">These are commonly </w:t>
      </w:r>
      <w:r w:rsidR="00A1706B">
        <w:t>used</w:t>
      </w:r>
      <w:r w:rsidR="00502261">
        <w:t xml:space="preserve"> in qualitative research projects, providing participants with the opportunity to answer a set of questions about their experiences, with a degree of</w:t>
      </w:r>
      <w:r w:rsidR="00B966CB">
        <w:t xml:space="preserve"> flexibility for the researcher to ask additional </w:t>
      </w:r>
      <w:r w:rsidR="00F26474">
        <w:t>sub-questions</w:t>
      </w:r>
      <w:r w:rsidR="00B966CB">
        <w:t xml:space="preserve"> where appro</w:t>
      </w:r>
      <w:r w:rsidR="00F26474">
        <w:t xml:space="preserve">priate (Braun and Clarke, 2013). </w:t>
      </w:r>
      <w:r w:rsidR="00B85A74">
        <w:t xml:space="preserve">Denscombe (2021) elaborates further on the benefits of </w:t>
      </w:r>
      <w:r w:rsidR="00724CBD">
        <w:t>SSI</w:t>
      </w:r>
      <w:r w:rsidR="004C7A18">
        <w:t>s</w:t>
      </w:r>
      <w:r w:rsidR="00724CBD">
        <w:t xml:space="preserve">, indicating that they </w:t>
      </w:r>
      <w:r w:rsidR="00502261">
        <w:t>offer participants the chance</w:t>
      </w:r>
      <w:r w:rsidR="00724CBD">
        <w:t xml:space="preserve"> to share their beliefs, viewpoints, and insights, thereby providing a rich source of data for the researcher to explore.</w:t>
      </w:r>
      <w:r w:rsidR="00502261">
        <w:t xml:space="preserve"> Furthermore, </w:t>
      </w:r>
      <w:r w:rsidR="00136004">
        <w:t>SSI</w:t>
      </w:r>
      <w:r w:rsidR="004C7A18">
        <w:t>s</w:t>
      </w:r>
      <w:r w:rsidR="00136004">
        <w:t xml:space="preserve"> </w:t>
      </w:r>
      <w:r w:rsidR="000C0995">
        <w:t>offer</w:t>
      </w:r>
      <w:r w:rsidR="00136004">
        <w:t xml:space="preserve"> opportunities for </w:t>
      </w:r>
      <w:r w:rsidR="00004752">
        <w:t xml:space="preserve">the researcher to </w:t>
      </w:r>
      <w:r w:rsidR="00E96FEC">
        <w:t>discern the subtleties in the language and responses, and to respond promptly to these in the interview, thereby enabling the analysis of varied themes</w:t>
      </w:r>
      <w:r w:rsidR="00E33868">
        <w:t xml:space="preserve"> (Kakilla, 2021)</w:t>
      </w:r>
      <w:r w:rsidR="00511CD6">
        <w:t>.</w:t>
      </w:r>
    </w:p>
    <w:p w14:paraId="709F90A2" w14:textId="3A5001CB" w:rsidR="004C7A18" w:rsidRDefault="00FF7C64" w:rsidP="0E9096A0">
      <w:pPr>
        <w:spacing w:line="360" w:lineRule="auto"/>
      </w:pPr>
      <w:r>
        <w:t xml:space="preserve">Despite the benefits of </w:t>
      </w:r>
      <w:r w:rsidR="00A13B0B">
        <w:t>SSIs, they do have their</w:t>
      </w:r>
      <w:r w:rsidR="00E256D2">
        <w:t xml:space="preserve"> limitations. Thomas (2023)</w:t>
      </w:r>
      <w:r w:rsidR="00A13B0B">
        <w:t xml:space="preserve"> suggests that although there is a degree of flexibility in the interview schedule, organisation is still necessary. He also </w:t>
      </w:r>
      <w:r w:rsidR="0012221F">
        <w:t>notes</w:t>
      </w:r>
      <w:r w:rsidR="00A13B0B">
        <w:t xml:space="preserve"> that SSIs are not always the most appropriate data collection method, and researchers who use this approach need to be mindful of why they are asking each question and </w:t>
      </w:r>
      <w:r w:rsidR="00940292">
        <w:t>how</w:t>
      </w:r>
      <w:r w:rsidR="00A13B0B">
        <w:t xml:space="preserve"> they do so, to avoid the process feeling like an interrogation for the interviewee.</w:t>
      </w:r>
      <w:r w:rsidR="001310BB">
        <w:t xml:space="preserve"> </w:t>
      </w:r>
      <w:r w:rsidR="00DB332B">
        <w:t xml:space="preserve">Similarly, </w:t>
      </w:r>
      <w:r w:rsidR="002027C3">
        <w:t xml:space="preserve">Grey (2022) </w:t>
      </w:r>
      <w:r w:rsidR="00920589">
        <w:t>highlights further limitations of SSI</w:t>
      </w:r>
      <w:r w:rsidR="0012221F">
        <w:t>s</w:t>
      </w:r>
      <w:r w:rsidR="00920589">
        <w:t xml:space="preserve">, acknowledging that it can be both time-consuming to analyse the data and harder to protect the identity of </w:t>
      </w:r>
      <w:r w:rsidR="00976F4B">
        <w:t xml:space="preserve">participants. </w:t>
      </w:r>
      <w:r w:rsidR="0012221F">
        <w:t xml:space="preserve">The </w:t>
      </w:r>
      <w:r w:rsidR="00CA3110">
        <w:t xml:space="preserve">interview </w:t>
      </w:r>
      <w:r w:rsidR="0041204D">
        <w:t>questions</w:t>
      </w:r>
      <w:r w:rsidR="00CA3110">
        <w:t xml:space="preserve"> used </w:t>
      </w:r>
      <w:r w:rsidR="007B3BF7">
        <w:t xml:space="preserve">in this research project were drawn from the literature reviewed </w:t>
      </w:r>
      <w:r w:rsidR="00E21864">
        <w:t>before</w:t>
      </w:r>
      <w:r w:rsidR="007B4AD3">
        <w:t xml:space="preserve"> the data collection point of </w:t>
      </w:r>
      <w:r w:rsidR="00876CFB">
        <w:t xml:space="preserve">the </w:t>
      </w:r>
      <w:r w:rsidR="007B4AD3">
        <w:t>research.</w:t>
      </w:r>
    </w:p>
    <w:p w14:paraId="644A7443" w14:textId="3452CA37" w:rsidR="006B7E04" w:rsidRDefault="006C41C9" w:rsidP="0E9096A0">
      <w:pPr>
        <w:spacing w:line="360" w:lineRule="auto"/>
      </w:pPr>
      <w:r>
        <w:t xml:space="preserve">Given these considerations, </w:t>
      </w:r>
      <w:r w:rsidR="004B4D1E">
        <w:t xml:space="preserve">it is </w:t>
      </w:r>
      <w:r w:rsidR="00731B93">
        <w:t xml:space="preserve">pertinent to examine the interviews conducted for this research. </w:t>
      </w:r>
      <w:r w:rsidR="00090DDC">
        <w:t xml:space="preserve">As </w:t>
      </w:r>
      <w:r w:rsidR="007B1496">
        <w:t xml:space="preserve">noted, this research was interested in the subjective experiences of </w:t>
      </w:r>
      <w:r w:rsidR="007B3BF7">
        <w:t>CBHE</w:t>
      </w:r>
      <w:r w:rsidR="007B1496">
        <w:t xml:space="preserve"> lecturers; </w:t>
      </w:r>
      <w:r w:rsidR="00D22D8F">
        <w:t>furthermore, it</w:t>
      </w:r>
      <w:r w:rsidR="007B1496">
        <w:t xml:space="preserve"> was committed to providing a confidential space for teachers to share their knowledge, understanding, and experiences of the challenges and opportunities </w:t>
      </w:r>
      <w:r w:rsidR="007B01CF">
        <w:t xml:space="preserve">they faced within their </w:t>
      </w:r>
      <w:r w:rsidR="000613FB">
        <w:t xml:space="preserve">professional </w:t>
      </w:r>
      <w:r w:rsidR="007B01CF">
        <w:t>practice.</w:t>
      </w:r>
      <w:r w:rsidR="001A0867">
        <w:t xml:space="preserve"> </w:t>
      </w:r>
      <w:r w:rsidR="004D2C5F">
        <w:t xml:space="preserve">Denscombe (2021) </w:t>
      </w:r>
      <w:r w:rsidR="0004130B">
        <w:t xml:space="preserve">notes </w:t>
      </w:r>
      <w:r w:rsidR="004D2C5F">
        <w:t xml:space="preserve">that single-person interviews are easier to arrange than focus groups and </w:t>
      </w:r>
      <w:r w:rsidR="005954A0">
        <w:t xml:space="preserve">provide increased </w:t>
      </w:r>
      <w:r w:rsidR="0004130B">
        <w:t>opportunities</w:t>
      </w:r>
      <w:r w:rsidR="005954A0">
        <w:t xml:space="preserve"> for the interviewer to notice the nuances and </w:t>
      </w:r>
      <w:r w:rsidR="00327835">
        <w:t>insights</w:t>
      </w:r>
      <w:r w:rsidR="005954A0">
        <w:t xml:space="preserve"> of individual </w:t>
      </w:r>
      <w:r w:rsidR="005954A0">
        <w:lastRenderedPageBreak/>
        <w:t>participants. This was the case for this study. Campuses within this college are varied and extend across a broad part of Wales</w:t>
      </w:r>
      <w:r w:rsidR="007A3BB3">
        <w:t>;</w:t>
      </w:r>
      <w:r w:rsidR="00327835">
        <w:t xml:space="preserve"> </w:t>
      </w:r>
      <w:r w:rsidR="007A3BB3">
        <w:t xml:space="preserve">thus, </w:t>
      </w:r>
      <w:r w:rsidR="00327835">
        <w:t>arranging focus groups would have been challenging</w:t>
      </w:r>
      <w:r w:rsidR="00704E46">
        <w:t xml:space="preserve"> due to the multi-site locations</w:t>
      </w:r>
      <w:r w:rsidR="0019512A">
        <w:t xml:space="preserve">. </w:t>
      </w:r>
      <w:r w:rsidR="006B7E04">
        <w:t>The</w:t>
      </w:r>
      <w:r w:rsidR="00704E46">
        <w:t xml:space="preserve"> </w:t>
      </w:r>
      <w:r w:rsidR="006B7E04">
        <w:t xml:space="preserve">added </w:t>
      </w:r>
      <w:r w:rsidR="00704E46">
        <w:t xml:space="preserve">complication of </w:t>
      </w:r>
      <w:r w:rsidR="0019512A">
        <w:t>organising focus groups around conflicting teaching timetables</w:t>
      </w:r>
      <w:r w:rsidR="006B7E04">
        <w:t xml:space="preserve"> meant that individual interviews were the most appropriate for this study.</w:t>
      </w:r>
    </w:p>
    <w:p w14:paraId="35913624" w14:textId="796E6C7B" w:rsidR="00AC6747" w:rsidRDefault="00AC6747" w:rsidP="0E9096A0">
      <w:pPr>
        <w:spacing w:line="360" w:lineRule="auto"/>
      </w:pPr>
      <w:r>
        <w:t xml:space="preserve">An additional consideration for </w:t>
      </w:r>
      <w:r w:rsidR="006B7E04">
        <w:t>using</w:t>
      </w:r>
      <w:r>
        <w:t xml:space="preserve"> interviews was the confidential nature of the topic. Lecturers were asked questions which they may have found challenging, particularly concerning their professional consideration of the college processes. Focus groups may have inhibited some participants, and they may have been reticent to highlight their experience in front of their colleagues. Accordingly, </w:t>
      </w:r>
      <w:r w:rsidR="00DF74AC">
        <w:t xml:space="preserve">one-to-one, </w:t>
      </w:r>
      <w:r w:rsidR="004C182C">
        <w:t xml:space="preserve">semi-structured interviews were deemed to be the most appropriate </w:t>
      </w:r>
      <w:r w:rsidR="000A6527">
        <w:t>data collection method for this study.</w:t>
      </w:r>
    </w:p>
    <w:p w14:paraId="3FBB7D99" w14:textId="33D23993" w:rsidR="00A65E9D" w:rsidRDefault="00304E29" w:rsidP="0E9096A0">
      <w:pPr>
        <w:spacing w:line="360" w:lineRule="auto"/>
      </w:pPr>
      <w:r>
        <w:t>Furthermore, in qualitative studies, face-to-face interviews are still regarded as the ‘gold standard’ (Irani, 2019). However, since the Covid-19 pandemic, online video-conferencing platforms such as Zoom, Google Meet, and Teams have emerged as accessible alternatives, particularly when the distance between the participant and interviewer is considerable (Khan and Maceachen, 2022). For this research, due to the participants' locations and their teaching schedules, it was deemed appropriate to conduct the interviews online using Google Meet. This platform is the preferred video-conferencing tool within the college, ensuring that participants would be more familiar with the technical aspects of the interview, such as logging into the session and utilising the video and microphone options.</w:t>
      </w:r>
    </w:p>
    <w:p w14:paraId="25A48BAA" w14:textId="2AF47CBF" w:rsidR="00CE05B8" w:rsidRDefault="00CE05B8" w:rsidP="0E9096A0">
      <w:pPr>
        <w:spacing w:line="360" w:lineRule="auto"/>
        <w:rPr>
          <w:u w:val="single"/>
        </w:rPr>
      </w:pPr>
      <w:r w:rsidRPr="0E9096A0">
        <w:rPr>
          <w:u w:val="single"/>
        </w:rPr>
        <w:t>Analysis of the Data</w:t>
      </w:r>
    </w:p>
    <w:p w14:paraId="5CD7A82D" w14:textId="5E35A963" w:rsidR="00CE05B8" w:rsidRDefault="00D92917" w:rsidP="0E9096A0">
      <w:pPr>
        <w:spacing w:line="360" w:lineRule="auto"/>
      </w:pPr>
      <w:r>
        <w:t xml:space="preserve">Due to the subjective nature of qualitative research, there are often layers of </w:t>
      </w:r>
      <w:r w:rsidR="00C47C6A">
        <w:t xml:space="preserve">dialogue to analyse, </w:t>
      </w:r>
      <w:r w:rsidR="00CB4F51">
        <w:t>which include</w:t>
      </w:r>
      <w:r w:rsidR="00C47C6A">
        <w:t xml:space="preserve"> both the </w:t>
      </w:r>
      <w:r w:rsidR="006036DB">
        <w:t>explicit themes and the underlying, implicit themes</w:t>
      </w:r>
      <w:r w:rsidR="00CB4F51">
        <w:t xml:space="preserve"> (Hickson, 2016)</w:t>
      </w:r>
      <w:r w:rsidR="006036DB">
        <w:t>.</w:t>
      </w:r>
      <w:r w:rsidR="00A7425F">
        <w:t xml:space="preserve"> Analysing the data can be a complicated, yet </w:t>
      </w:r>
      <w:r w:rsidR="003B3785">
        <w:t>sophisticated</w:t>
      </w:r>
      <w:r w:rsidR="00A7425F">
        <w:t xml:space="preserve"> </w:t>
      </w:r>
      <w:r w:rsidR="00AA144B">
        <w:t>process</w:t>
      </w:r>
      <w:r w:rsidR="003B3785">
        <w:t>; Flick</w:t>
      </w:r>
      <w:r w:rsidR="00AA144B">
        <w:t xml:space="preserve"> (2018) suggests that as the analysis </w:t>
      </w:r>
      <w:r w:rsidR="003B3785">
        <w:t>progresses</w:t>
      </w:r>
      <w:r w:rsidR="00AA144B">
        <w:t>, the data can reveal</w:t>
      </w:r>
      <w:r w:rsidR="003B3785">
        <w:t xml:space="preserve"> a variety of</w:t>
      </w:r>
      <w:r w:rsidR="00AA144B">
        <w:t xml:space="preserve"> rich </w:t>
      </w:r>
      <w:r w:rsidR="003B3785">
        <w:t>and elaborate themes.</w:t>
      </w:r>
    </w:p>
    <w:p w14:paraId="205F3066" w14:textId="1FFF07E3" w:rsidR="00B7362A" w:rsidRDefault="00B7362A" w:rsidP="0E9096A0">
      <w:pPr>
        <w:spacing w:line="360" w:lineRule="auto"/>
      </w:pPr>
      <w:r>
        <w:lastRenderedPageBreak/>
        <w:t xml:space="preserve">As noted previously, </w:t>
      </w:r>
      <w:r w:rsidR="00361E58">
        <w:t xml:space="preserve">a connected thread is necessary </w:t>
      </w:r>
      <w:r>
        <w:t>between the different elements of the researc</w:t>
      </w:r>
      <w:r w:rsidR="00312E5F">
        <w:t>h</w:t>
      </w:r>
      <w:r>
        <w:t xml:space="preserve">. </w:t>
      </w:r>
      <w:r w:rsidR="008177A6">
        <w:t xml:space="preserve">Therefore, from the outset of the project, the researcher should consider the analysis </w:t>
      </w:r>
      <w:r w:rsidR="00816FE2">
        <w:t xml:space="preserve">method </w:t>
      </w:r>
      <w:r w:rsidR="008177A6">
        <w:t xml:space="preserve">to ensure it is appropriate for the project (Cohen, Manion, and Morrison, 2018). </w:t>
      </w:r>
      <w:r w:rsidR="00294DDB">
        <w:t xml:space="preserve">The </w:t>
      </w:r>
      <w:r w:rsidR="002A1B68">
        <w:t>subjective</w:t>
      </w:r>
      <w:r w:rsidR="00294DDB">
        <w:t xml:space="preserve"> experience of the participant has been central to this investigation</w:t>
      </w:r>
      <w:r w:rsidR="00214115">
        <w:t>. As</w:t>
      </w:r>
      <w:r w:rsidR="002A1B68">
        <w:t xml:space="preserve"> such</w:t>
      </w:r>
      <w:r w:rsidR="00214115">
        <w:t>,</w:t>
      </w:r>
      <w:r w:rsidR="002A1B68">
        <w:t xml:space="preserve"> it </w:t>
      </w:r>
      <w:r w:rsidR="00DE4A01">
        <w:t>was appropriate to use an analytical method that allow</w:t>
      </w:r>
      <w:r w:rsidR="00214115">
        <w:t>ed</w:t>
      </w:r>
      <w:r w:rsidR="00DE4A01">
        <w:t xml:space="preserve"> the participant narratives to be explored.</w:t>
      </w:r>
      <w:r w:rsidR="006F1856">
        <w:t xml:space="preserve"> T</w:t>
      </w:r>
      <w:r w:rsidR="00C672AF">
        <w:t>hematic Analysis</w:t>
      </w:r>
      <w:r w:rsidR="00816FE2">
        <w:t xml:space="preserve"> (TA)</w:t>
      </w:r>
      <w:r w:rsidR="00B86525">
        <w:t xml:space="preserve"> is one method of analysing qualitative data.</w:t>
      </w:r>
      <w:r w:rsidR="002345EF">
        <w:t xml:space="preserve"> </w:t>
      </w:r>
      <w:r w:rsidR="001725C4">
        <w:t>According to Braun and Clarke</w:t>
      </w:r>
      <w:r w:rsidR="00655357">
        <w:t xml:space="preserve"> (2022)</w:t>
      </w:r>
      <w:r w:rsidR="005675E8">
        <w:t>,</w:t>
      </w:r>
      <w:r w:rsidR="00655357">
        <w:t xml:space="preserve"> </w:t>
      </w:r>
      <w:r w:rsidR="00EF41E0">
        <w:t xml:space="preserve">thematic analysis </w:t>
      </w:r>
      <w:r w:rsidR="00FE0DC9">
        <w:t>requires a sensitive</w:t>
      </w:r>
      <w:r w:rsidR="0013669D">
        <w:t xml:space="preserve"> and reflexive researcher who recognises their place within the research while</w:t>
      </w:r>
      <w:r w:rsidR="00B17EEC">
        <w:t xml:space="preserve"> also </w:t>
      </w:r>
      <w:r w:rsidR="00BC360E">
        <w:t>perceptively acknowledging the subjective viewpoint of the participant.</w:t>
      </w:r>
      <w:r w:rsidR="005675E8">
        <w:t xml:space="preserve"> The researcher will </w:t>
      </w:r>
      <w:r w:rsidR="006366FC">
        <w:t>actively process their assumptions and values while</w:t>
      </w:r>
      <w:r w:rsidR="00F66F37">
        <w:t xml:space="preserve"> </w:t>
      </w:r>
      <w:r w:rsidR="00816FE2">
        <w:t xml:space="preserve">engaging in the analysis of the </w:t>
      </w:r>
      <w:r w:rsidR="00F23D0A">
        <w:t>data</w:t>
      </w:r>
      <w:r w:rsidR="00816FE2">
        <w:t xml:space="preserve">. </w:t>
      </w:r>
      <w:r w:rsidR="000F0059">
        <w:t xml:space="preserve"> </w:t>
      </w:r>
      <w:r w:rsidR="00816FE2">
        <w:t xml:space="preserve">TA involves the researcher immersing themselves within the data, </w:t>
      </w:r>
      <w:r w:rsidR="008C6734">
        <w:t xml:space="preserve">systematically examining </w:t>
      </w:r>
      <w:r w:rsidR="00F23D0A">
        <w:t>it</w:t>
      </w:r>
      <w:r w:rsidR="008C6734">
        <w:t xml:space="preserve"> for codes and </w:t>
      </w:r>
      <w:r w:rsidR="00F23D0A">
        <w:t>searching for connecting themes</w:t>
      </w:r>
      <w:r w:rsidR="00226E9B">
        <w:t>;</w:t>
      </w:r>
      <w:r w:rsidR="00D05A1F">
        <w:t xml:space="preserve"> t</w:t>
      </w:r>
      <w:r w:rsidR="00F23D0A">
        <w:t xml:space="preserve">here is a process of </w:t>
      </w:r>
      <w:r w:rsidR="00E24903">
        <w:t xml:space="preserve">going back and forth within the data, </w:t>
      </w:r>
      <w:r w:rsidR="001A6688">
        <w:t xml:space="preserve">looking for themes which connect to the research question. </w:t>
      </w:r>
      <w:r w:rsidR="00896292">
        <w:t xml:space="preserve">The </w:t>
      </w:r>
      <w:r w:rsidR="00B02390">
        <w:t>researcher</w:t>
      </w:r>
      <w:r w:rsidR="00896292">
        <w:t xml:space="preserve"> is aware of their influence in the process as the themes are </w:t>
      </w:r>
      <w:r w:rsidR="00385AA2">
        <w:t xml:space="preserve">constructed through their knowledge, awareness </w:t>
      </w:r>
      <w:r w:rsidR="00F621E7">
        <w:t xml:space="preserve">and experience of the </w:t>
      </w:r>
      <w:r w:rsidR="00B02390">
        <w:t>subject area.</w:t>
      </w:r>
      <w:r w:rsidR="0052060C">
        <w:t xml:space="preserve"> </w:t>
      </w:r>
    </w:p>
    <w:p w14:paraId="6BA2206D" w14:textId="76E4EF96" w:rsidR="0052060C" w:rsidRDefault="00AA367C" w:rsidP="0E9096A0">
      <w:pPr>
        <w:spacing w:line="360" w:lineRule="auto"/>
      </w:pPr>
      <w:r>
        <w:t>The</w:t>
      </w:r>
      <w:r w:rsidR="0052060C">
        <w:t xml:space="preserve"> f</w:t>
      </w:r>
      <w:r w:rsidR="004F6BE6">
        <w:t xml:space="preserve">undamental </w:t>
      </w:r>
      <w:r w:rsidR="00F17FC4">
        <w:t xml:space="preserve">principles of </w:t>
      </w:r>
      <w:r>
        <w:t>thematic analysis</w:t>
      </w:r>
      <w:r w:rsidR="00F17FC4">
        <w:t xml:space="preserve"> </w:t>
      </w:r>
      <w:r>
        <w:t>align with the study's values</w:t>
      </w:r>
      <w:r w:rsidR="00F9632A">
        <w:t xml:space="preserve">, which </w:t>
      </w:r>
      <w:r>
        <w:t>include</w:t>
      </w:r>
      <w:r w:rsidR="00F9632A">
        <w:t xml:space="preserve"> the interpretive, qualitative paradigm and the data collection methods. However, as </w:t>
      </w:r>
      <w:r w:rsidR="000C0995">
        <w:t>noted in this chapter, there are often limitations to elements of qualitative research, and this holds true for thematic analysis (TA)</w:t>
      </w:r>
      <w:r w:rsidR="00F9632A">
        <w:t>.</w:t>
      </w:r>
    </w:p>
    <w:p w14:paraId="276831E0" w14:textId="206B65EB" w:rsidR="00F9632A" w:rsidRDefault="00F9632A" w:rsidP="0E9096A0">
      <w:pPr>
        <w:spacing w:line="360" w:lineRule="auto"/>
      </w:pPr>
      <w:r>
        <w:t xml:space="preserve">One </w:t>
      </w:r>
      <w:r w:rsidR="0053541C">
        <w:t xml:space="preserve">notable weakness noted by Nowell </w:t>
      </w:r>
      <w:r w:rsidR="0053541C" w:rsidRPr="0E9096A0">
        <w:rPr>
          <w:i/>
          <w:iCs/>
        </w:rPr>
        <w:t>et al. (</w:t>
      </w:r>
      <w:r w:rsidR="0053541C">
        <w:t>2017)</w:t>
      </w:r>
      <w:r w:rsidR="00001A7B">
        <w:t xml:space="preserve"> is the </w:t>
      </w:r>
      <w:r w:rsidR="009C69B9">
        <w:t>limited evaluation that has been conducted</w:t>
      </w:r>
      <w:r w:rsidR="00883655">
        <w:t xml:space="preserve"> on TA. They suggest that further examination is </w:t>
      </w:r>
      <w:r w:rsidR="003F2293">
        <w:t>necessary to ensure that this analysis method is robust</w:t>
      </w:r>
      <w:r w:rsidR="00867BD8">
        <w:t xml:space="preserve">. Flick (2018) also </w:t>
      </w:r>
      <w:r w:rsidR="00DA4AA5">
        <w:t>indicates</w:t>
      </w:r>
      <w:r w:rsidR="00867BD8">
        <w:t xml:space="preserve"> that TA is limited to</w:t>
      </w:r>
      <w:r w:rsidR="00DA4AA5">
        <w:t xml:space="preserve"> </w:t>
      </w:r>
      <w:r w:rsidR="000C0995">
        <w:t xml:space="preserve">exploring only verbal data and presents a challenge when examining other qualitative data or investigating the non-verbal communication of participants. </w:t>
      </w:r>
      <w:r w:rsidR="008A6762">
        <w:t>In response to th</w:t>
      </w:r>
      <w:r w:rsidR="001442F5">
        <w:t>is critique</w:t>
      </w:r>
      <w:r w:rsidR="008A6762">
        <w:t xml:space="preserve">, Braun and Clarke (2006) </w:t>
      </w:r>
      <w:r w:rsidR="00406C32">
        <w:t>acknowledge</w:t>
      </w:r>
      <w:r w:rsidR="006F1464">
        <w:t xml:space="preserve"> that more nuanced</w:t>
      </w:r>
      <w:r w:rsidR="00406C32">
        <w:t xml:space="preserve"> subtleties within the language may be lost in the analysis</w:t>
      </w:r>
      <w:r w:rsidR="003F2293">
        <w:t>.</w:t>
      </w:r>
    </w:p>
    <w:p w14:paraId="4804FF76" w14:textId="77B96A52" w:rsidR="007B3D47" w:rsidRDefault="007B3D47" w:rsidP="0E9096A0">
      <w:pPr>
        <w:spacing w:line="360" w:lineRule="auto"/>
        <w:rPr>
          <w:u w:val="single"/>
        </w:rPr>
      </w:pPr>
      <w:r w:rsidRPr="0E9096A0">
        <w:rPr>
          <w:u w:val="single"/>
        </w:rPr>
        <w:t>Ethical Awareness</w:t>
      </w:r>
    </w:p>
    <w:p w14:paraId="2BE3DA0E" w14:textId="185F42C6" w:rsidR="007B3D47" w:rsidRDefault="00034331" w:rsidP="0E9096A0">
      <w:pPr>
        <w:spacing w:line="360" w:lineRule="auto"/>
      </w:pPr>
      <w:r>
        <w:lastRenderedPageBreak/>
        <w:t>Before</w:t>
      </w:r>
      <w:r w:rsidR="00517C02">
        <w:t xml:space="preserve"> the commencement of the study, this research </w:t>
      </w:r>
      <w:r>
        <w:t>received</w:t>
      </w:r>
      <w:r w:rsidR="00517C02">
        <w:t xml:space="preserve"> approval from the UWTSD Ethics</w:t>
      </w:r>
      <w:r>
        <w:t xml:space="preserve"> Board. </w:t>
      </w:r>
      <w:r w:rsidR="00E75DFA">
        <w:t xml:space="preserve">All five participants were contacted via email and invited to take part in the study. </w:t>
      </w:r>
      <w:r w:rsidR="00372C91">
        <w:t>Throughout the research process</w:t>
      </w:r>
      <w:r w:rsidR="00480D5A">
        <w:t>,</w:t>
      </w:r>
      <w:r w:rsidR="00372C91">
        <w:t xml:space="preserve"> the rights of the participants </w:t>
      </w:r>
      <w:r w:rsidR="00480D5A">
        <w:t xml:space="preserve">were </w:t>
      </w:r>
      <w:r w:rsidR="00372C91">
        <w:t>paramount</w:t>
      </w:r>
      <w:r w:rsidR="00480D5A">
        <w:t>; all</w:t>
      </w:r>
      <w:r w:rsidR="0008323B">
        <w:t xml:space="preserve"> individuals were treated with respect and </w:t>
      </w:r>
      <w:r w:rsidR="00480D5A">
        <w:t>equity</w:t>
      </w:r>
      <w:r w:rsidR="0006032B">
        <w:t xml:space="preserve"> (BERA, 2024)</w:t>
      </w:r>
      <w:r w:rsidR="00480D5A">
        <w:t xml:space="preserve">. </w:t>
      </w:r>
      <w:r w:rsidR="0006032B">
        <w:t xml:space="preserve">Furthermore, </w:t>
      </w:r>
      <w:r w:rsidR="0088147C">
        <w:t xml:space="preserve">all participants were provided with </w:t>
      </w:r>
      <w:r w:rsidR="00AC58B3">
        <w:t>research information before the interviews, ensuring they were fully aware of the nature of the research and thus able to give</w:t>
      </w:r>
      <w:r w:rsidR="0088147C">
        <w:t xml:space="preserve"> informed consent. They were also informed that they </w:t>
      </w:r>
      <w:r w:rsidR="00AC58B3">
        <w:t xml:space="preserve">had the right to withdraw from the study </w:t>
      </w:r>
      <w:r w:rsidR="00114637">
        <w:t xml:space="preserve">without discrimination </w:t>
      </w:r>
      <w:r w:rsidR="00AC58B3">
        <w:t xml:space="preserve">if they chose to do so. </w:t>
      </w:r>
      <w:r w:rsidR="007343DC">
        <w:t>All participants were fully informed about the confidential nature of their data and tha</w:t>
      </w:r>
      <w:r w:rsidR="00613ED4">
        <w:t xml:space="preserve">t </w:t>
      </w:r>
      <w:r w:rsidR="00114637">
        <w:t xml:space="preserve">their data would be anonymised throughout. </w:t>
      </w:r>
      <w:r w:rsidR="00633B66">
        <w:t xml:space="preserve">It was essential to </w:t>
      </w:r>
      <w:r w:rsidR="00A7346F">
        <w:t xml:space="preserve">ensure that all participants </w:t>
      </w:r>
      <w:r w:rsidR="0047445A">
        <w:t>understood that their participation in or withdrawal from this study would not affect their job, performance appraisals,</w:t>
      </w:r>
      <w:r w:rsidR="00B9207A">
        <w:t xml:space="preserve"> or professional relationships within the college. </w:t>
      </w:r>
      <w:r w:rsidR="00DA3562">
        <w:t xml:space="preserve">Data management practices would ensure that all data </w:t>
      </w:r>
      <w:r w:rsidR="00791B33">
        <w:t>are held in encrypted storage, with access limited to the researcher and supervisor</w:t>
      </w:r>
      <w:r w:rsidR="00CB0EEA">
        <w:t>.</w:t>
      </w:r>
      <w:r w:rsidR="00D55D2D">
        <w:t xml:space="preserve"> Finally, a debrief was offered to each participant at the end of the intervie</w:t>
      </w:r>
      <w:r w:rsidR="0060493D">
        <w:t xml:space="preserve">ws, inviting </w:t>
      </w:r>
      <w:r w:rsidR="00791B33">
        <w:t>them to ask any questions they may have related to the research outcomes</w:t>
      </w:r>
      <w:r w:rsidR="00E75DFA">
        <w:t xml:space="preserve"> (BERA, 2024)</w:t>
      </w:r>
      <w:r w:rsidR="005A121B">
        <w:t>.</w:t>
      </w:r>
    </w:p>
    <w:p w14:paraId="6710FB61" w14:textId="23D6BE07" w:rsidR="00754C32" w:rsidRDefault="00A10C25" w:rsidP="0E9096A0">
      <w:pPr>
        <w:spacing w:line="360" w:lineRule="auto"/>
      </w:pPr>
      <w:r>
        <w:t>All interviews were recorded and transcribed using Google Meet video-conferencing software. The transcriptions were reviewed for accuracy, providing the data for the study. Thematic analysis was conducted manually for this research.</w:t>
      </w:r>
    </w:p>
    <w:p w14:paraId="789F5520" w14:textId="7CBFCBCB" w:rsidR="00CD3D3B" w:rsidRDefault="00CD3D3B" w:rsidP="0E9096A0">
      <w:pPr>
        <w:spacing w:line="360" w:lineRule="auto"/>
        <w:rPr>
          <w:u w:val="single"/>
        </w:rPr>
      </w:pPr>
      <w:r w:rsidRPr="0E9096A0">
        <w:rPr>
          <w:u w:val="single"/>
        </w:rPr>
        <w:t>Summary</w:t>
      </w:r>
    </w:p>
    <w:p w14:paraId="3E5A0DE3" w14:textId="79B6F4B1" w:rsidR="005E027D" w:rsidRPr="00A10C25" w:rsidRDefault="003A5EF5" w:rsidP="0E9096A0">
      <w:pPr>
        <w:spacing w:line="360" w:lineRule="auto"/>
      </w:pPr>
      <w:r>
        <w:t>At the outset, the methodology chapter</w:t>
      </w:r>
      <w:r w:rsidR="00D86F0E">
        <w:t xml:space="preserve"> indicated that an interpretive, qualitative stance would be taken for this project, demonstrating the links between the question, the data collection methods</w:t>
      </w:r>
      <w:r w:rsidR="00540ED3">
        <w:t>, and the analysis approach</w:t>
      </w:r>
      <w:r w:rsidR="002C49C1">
        <w:t>. This ensure</w:t>
      </w:r>
      <w:r w:rsidR="00386CED">
        <w:t>d</w:t>
      </w:r>
      <w:r w:rsidR="002C49C1">
        <w:t xml:space="preserve"> that throughout the process, the subjective voice of the FE lecturer </w:t>
      </w:r>
      <w:r w:rsidR="00386CED">
        <w:t>wa</w:t>
      </w:r>
      <w:r w:rsidR="002C49C1">
        <w:t>s</w:t>
      </w:r>
      <w:r w:rsidR="00540ED3">
        <w:t xml:space="preserve"> heard, while also </w:t>
      </w:r>
      <w:r w:rsidR="002C49C1">
        <w:t>guaranteeing</w:t>
      </w:r>
      <w:r w:rsidR="00540ED3">
        <w:t xml:space="preserve"> </w:t>
      </w:r>
      <w:r w:rsidR="000E20B7">
        <w:t xml:space="preserve">a reflexive research process. </w:t>
      </w:r>
      <w:r w:rsidR="00540ED3">
        <w:t xml:space="preserve">Acknowledging both the strengths and weaknesses of </w:t>
      </w:r>
      <w:r w:rsidR="000F340F">
        <w:t xml:space="preserve">the different approaches has enabled a more robust understanding </w:t>
      </w:r>
      <w:r w:rsidR="00386CED">
        <w:t xml:space="preserve">of the process. </w:t>
      </w:r>
      <w:r w:rsidR="00303097">
        <w:t xml:space="preserve">Furthermore, highlighting the </w:t>
      </w:r>
      <w:r w:rsidR="004824FD">
        <w:t xml:space="preserve">researcher's positionality allows for </w:t>
      </w:r>
      <w:r w:rsidR="00CE63B5">
        <w:t xml:space="preserve">a more </w:t>
      </w:r>
      <w:r w:rsidR="00C12195">
        <w:t>transparent</w:t>
      </w:r>
      <w:r w:rsidR="00CE63B5">
        <w:t xml:space="preserve"> </w:t>
      </w:r>
      <w:r w:rsidR="00C12195">
        <w:t xml:space="preserve">process, </w:t>
      </w:r>
      <w:r w:rsidR="00C12195">
        <w:lastRenderedPageBreak/>
        <w:t xml:space="preserve">acknowledging the influence that the researcher will have on the project. Finally, a brief consideration of </w:t>
      </w:r>
      <w:r w:rsidR="00A4094C">
        <w:t xml:space="preserve">ethics was </w:t>
      </w:r>
      <w:r w:rsidR="00755F28">
        <w:t>included to highlight the project's ethical integrity</w:t>
      </w:r>
      <w:r w:rsidR="00636CC4">
        <w:t>.</w:t>
      </w:r>
    </w:p>
    <w:p w14:paraId="1C23E4A3" w14:textId="1394247F" w:rsidR="005E027D" w:rsidRPr="00003F92" w:rsidRDefault="005E027D" w:rsidP="0E9096A0">
      <w:pPr>
        <w:spacing w:line="360" w:lineRule="auto"/>
        <w:rPr>
          <w:sz w:val="28"/>
          <w:szCs w:val="28"/>
          <w:u w:val="single"/>
        </w:rPr>
      </w:pPr>
      <w:r w:rsidRPr="0E9096A0">
        <w:rPr>
          <w:sz w:val="28"/>
          <w:szCs w:val="28"/>
          <w:u w:val="single"/>
        </w:rPr>
        <w:t xml:space="preserve">Data Collection and </w:t>
      </w:r>
      <w:r w:rsidR="00755F28" w:rsidRPr="0E9096A0">
        <w:rPr>
          <w:sz w:val="28"/>
          <w:szCs w:val="28"/>
          <w:u w:val="single"/>
        </w:rPr>
        <w:t>Analysis</w:t>
      </w:r>
    </w:p>
    <w:p w14:paraId="379CAA14" w14:textId="0B9CC0CD" w:rsidR="002D3A0E" w:rsidRDefault="00F679EF" w:rsidP="0E9096A0">
      <w:pPr>
        <w:spacing w:line="360" w:lineRule="auto"/>
      </w:pPr>
      <w:r>
        <w:t>The following chapter will discuss the data and findings. It will reiterate the research question before providing a brief overview of the data collection and analysis. Following this summary, the narrative will address the themes that emerged from the</w:t>
      </w:r>
      <w:r w:rsidR="008B4283">
        <w:t xml:space="preserve"> analysis</w:t>
      </w:r>
      <w:r w:rsidR="002D470F">
        <w:t xml:space="preserve">, providing a </w:t>
      </w:r>
      <w:r w:rsidR="008B4283">
        <w:t>short</w:t>
      </w:r>
      <w:r w:rsidR="002D470F">
        <w:t xml:space="preserve"> commentary on these themes. However</w:t>
      </w:r>
      <w:r>
        <w:t>, further interpretation will be reserved for the discussion chapter.</w:t>
      </w:r>
    </w:p>
    <w:p w14:paraId="3E93878C" w14:textId="77777777" w:rsidR="00DC102D" w:rsidRDefault="00DC102D" w:rsidP="0E9096A0">
      <w:pPr>
        <w:spacing w:line="360" w:lineRule="auto"/>
      </w:pPr>
      <w:r>
        <w:t>Research Question:</w:t>
      </w:r>
    </w:p>
    <w:p w14:paraId="3F2501D3" w14:textId="77777777" w:rsidR="00DC102D" w:rsidRDefault="002D470F" w:rsidP="0E9096A0">
      <w:pPr>
        <w:spacing w:line="360" w:lineRule="auto"/>
      </w:pPr>
      <w:r w:rsidRPr="0E9096A0">
        <w:rPr>
          <w:i/>
          <w:iCs/>
        </w:rPr>
        <w:t>What opportunities and challenges do lecturers face when teaching university-level courses in further education colleges?</w:t>
      </w:r>
      <w:r>
        <w:t xml:space="preserve"> </w:t>
      </w:r>
    </w:p>
    <w:p w14:paraId="66DB2C6C" w14:textId="2A03FCDC" w:rsidR="00DC71A6" w:rsidRDefault="002C6CEF" w:rsidP="0E9096A0">
      <w:pPr>
        <w:spacing w:line="360" w:lineRule="auto"/>
      </w:pPr>
      <w:r>
        <w:t>Using qualitative research methods, f</w:t>
      </w:r>
      <w:r w:rsidR="002D470F">
        <w:t xml:space="preserve">ive participants were interviewed using semi-structured questions, which invited the interviewees to explore their experiences teaching on CBHE programmes. </w:t>
      </w:r>
      <w:r w:rsidR="00581DFB">
        <w:t>Thematic Analysis (Braun and Clarke, 2022) was employed to</w:t>
      </w:r>
      <w:r w:rsidR="002D470F">
        <w:t xml:space="preserve"> analys</w:t>
      </w:r>
      <w:r w:rsidR="0057490D">
        <w:t>e</w:t>
      </w:r>
      <w:r w:rsidR="002D470F">
        <w:t xml:space="preserve"> the participants’ </w:t>
      </w:r>
      <w:r w:rsidR="00C10627">
        <w:t>responses</w:t>
      </w:r>
      <w:r w:rsidR="002D470F">
        <w:t xml:space="preserve"> to identify patterns and themes. Within this analysis, six </w:t>
      </w:r>
      <w:r w:rsidR="00DC102D">
        <w:t xml:space="preserve">distinct themes emerged, each with its own set of </w:t>
      </w:r>
      <w:r w:rsidR="002D470F">
        <w:t xml:space="preserve">subthemes. A discussion of each theme will be provided here; each section will describe the theme, identifying any subthemes that have become evident in the process. Participant quotations will be included </w:t>
      </w:r>
      <w:r w:rsidR="0057490D">
        <w:t>to illustrate the theme</w:t>
      </w:r>
      <w:r w:rsidR="00D36B79">
        <w:t>,</w:t>
      </w:r>
      <w:r w:rsidR="002D470F">
        <w:t xml:space="preserve"> </w:t>
      </w:r>
      <w:r w:rsidR="00D36B79">
        <w:t xml:space="preserve">and, </w:t>
      </w:r>
      <w:r w:rsidR="002D470F">
        <w:t xml:space="preserve">as is ethically appropriate, all participant data </w:t>
      </w:r>
      <w:r w:rsidR="00B218D6">
        <w:t>will be anonymised and aliases will be</w:t>
      </w:r>
      <w:r w:rsidR="002D470F">
        <w:t xml:space="preserve"> used. A brief commentary will be provided, demonstrating how the theme connects to the research question.</w:t>
      </w:r>
    </w:p>
    <w:p w14:paraId="5BC7670A" w14:textId="5B23F195" w:rsidR="0087510D" w:rsidRDefault="005E0EE9" w:rsidP="0E9096A0">
      <w:pPr>
        <w:spacing w:line="360" w:lineRule="auto"/>
        <w:rPr>
          <w:u w:val="single"/>
        </w:rPr>
      </w:pPr>
      <w:r w:rsidRPr="0E9096A0">
        <w:rPr>
          <w:u w:val="single"/>
        </w:rPr>
        <w:t xml:space="preserve">Theme One: </w:t>
      </w:r>
      <w:r w:rsidR="00BC0E5A" w:rsidRPr="0E9096A0">
        <w:rPr>
          <w:u w:val="single"/>
        </w:rPr>
        <w:t>Access to CBHE and Learner Support</w:t>
      </w:r>
      <w:r w:rsidR="0087510D" w:rsidRPr="0E9096A0">
        <w:rPr>
          <w:u w:val="single"/>
        </w:rPr>
        <w:t>.</w:t>
      </w:r>
    </w:p>
    <w:p w14:paraId="5F6ACB1B" w14:textId="583F6143" w:rsidR="00BC0E5A" w:rsidRDefault="00326C9B" w:rsidP="0E9096A0">
      <w:pPr>
        <w:spacing w:line="360" w:lineRule="auto"/>
      </w:pPr>
      <w:r>
        <w:t>A prominent theme that emerged from the analysis of the interviews was the ease of access to CBHE, as well as the college's ethos and lecturer/student relationship. All five interviewees expressed that their learners were non-traditional and that the students themselves had expressed a preference for the teaching and support offered within the college.</w:t>
      </w:r>
      <w:r w:rsidR="00BC0E5A">
        <w:t xml:space="preserve"> </w:t>
      </w:r>
    </w:p>
    <w:p w14:paraId="06B0E27C" w14:textId="38B296CB" w:rsidR="00BC0E5A" w:rsidRPr="000E0AB8" w:rsidRDefault="000E0AB8" w:rsidP="0E9096A0">
      <w:pPr>
        <w:spacing w:line="360" w:lineRule="auto"/>
      </w:pPr>
      <w:r>
        <w:lastRenderedPageBreak/>
        <w:t>Through the process of inductive coding (Braun and Clarke, 2022), this theme emerged from a range of comments during the interview process. Initial codes such as “</w:t>
      </w:r>
      <w:r w:rsidRPr="0E9096A0">
        <w:rPr>
          <w:i/>
          <w:iCs/>
        </w:rPr>
        <w:t>Students like the feel of going to a college, it’s less intimidating</w:t>
      </w:r>
      <w:r>
        <w:t>”; “</w:t>
      </w:r>
      <w:r w:rsidRPr="0E9096A0">
        <w:rPr>
          <w:i/>
          <w:iCs/>
        </w:rPr>
        <w:t>there aren’t many 18 19 year olds that want to study with us</w:t>
      </w:r>
      <w:r>
        <w:t>”; “</w:t>
      </w:r>
      <w:r w:rsidRPr="0E9096A0">
        <w:rPr>
          <w:i/>
          <w:iCs/>
        </w:rPr>
        <w:t xml:space="preserve">We’re not getting A’ Level students who are versed in how to write an essay” </w:t>
      </w:r>
      <w:r>
        <w:t>began to develop into the theme related to access, education, and learning support. During a second cycle of coding, a refined pattern appeared, centred around the general ethos of CBHE and the accessibility of the programmes.</w:t>
      </w:r>
    </w:p>
    <w:p w14:paraId="5E1B31FE" w14:textId="77777777" w:rsidR="00326C9B" w:rsidRPr="00E7563D" w:rsidRDefault="00326C9B" w:rsidP="0E9096A0">
      <w:pPr>
        <w:spacing w:line="360" w:lineRule="auto"/>
        <w:rPr>
          <w:u w:val="single"/>
        </w:rPr>
      </w:pPr>
      <w:r w:rsidRPr="0E9096A0">
        <w:rPr>
          <w:u w:val="single"/>
        </w:rPr>
        <w:t>Subtheme 1.1: Non-traditional learners.</w:t>
      </w:r>
    </w:p>
    <w:p w14:paraId="61C4E6DD" w14:textId="45786898" w:rsidR="00E7563D" w:rsidRDefault="00E7563D" w:rsidP="0E9096A0">
      <w:pPr>
        <w:spacing w:line="360" w:lineRule="auto"/>
      </w:pPr>
      <w:r>
        <w:t xml:space="preserve">The participants acknowledged that their learners were often mature and had followed a non-traditional route to CBHE. </w:t>
      </w:r>
    </w:p>
    <w:p w14:paraId="14425850" w14:textId="51F8FC37" w:rsidR="00E7563D" w:rsidRDefault="00E7563D" w:rsidP="0E9096A0">
      <w:pPr>
        <w:spacing w:line="360" w:lineRule="auto"/>
      </w:pPr>
      <w:r>
        <w:t>“</w:t>
      </w:r>
      <w:r w:rsidRPr="0E9096A0">
        <w:rPr>
          <w:i/>
          <w:iCs/>
        </w:rPr>
        <w:t xml:space="preserve">I do like the aspect that we get non-traditional learners, in terms of creating the future workforce, I think we attract people who maybe wouldn’t do a normal HE course, so I think it’s important that the course attracts a wider social group” </w:t>
      </w:r>
      <w:r>
        <w:t>(Belinda, Health Care lecturer).</w:t>
      </w:r>
    </w:p>
    <w:p w14:paraId="67424600" w14:textId="5C4CFA31" w:rsidR="00E7563D" w:rsidRDefault="00E7563D" w:rsidP="0E9096A0">
      <w:pPr>
        <w:spacing w:line="360" w:lineRule="auto"/>
      </w:pPr>
      <w:r>
        <w:t>“</w:t>
      </w:r>
      <w:r w:rsidRPr="0E9096A0">
        <w:rPr>
          <w:i/>
          <w:iCs/>
        </w:rPr>
        <w:t>You’ve got some (learners) that are looking to retrain essentially and come in from a lifetime out on the tools pretty much..” (</w:t>
      </w:r>
      <w:r>
        <w:t>Christopher, Carpentry lecturer).</w:t>
      </w:r>
    </w:p>
    <w:p w14:paraId="6CE1E404" w14:textId="0450A5BB" w:rsidR="00E7563D" w:rsidRDefault="00E7563D" w:rsidP="0E9096A0">
      <w:pPr>
        <w:spacing w:line="360" w:lineRule="auto"/>
      </w:pPr>
      <w:r>
        <w:t>The participants also acknowledged the wide range of abilities that they see in their learners, often individuals who had previously struggled with education.</w:t>
      </w:r>
    </w:p>
    <w:p w14:paraId="3F4B50E4" w14:textId="55A339ED" w:rsidR="00E7563D" w:rsidRDefault="00E7563D" w:rsidP="0E9096A0">
      <w:pPr>
        <w:spacing w:line="360" w:lineRule="auto"/>
      </w:pPr>
      <w:r w:rsidRPr="0E9096A0">
        <w:rPr>
          <w:i/>
          <w:iCs/>
        </w:rPr>
        <w:t>“I think it’s really rewarding seeing people who have struggled with education in their early lives…and so people who maybe wouldn’t have thought of themselves as capable of doing a degree, and I think they wouldn’t go to university</w:t>
      </w:r>
      <w:r>
        <w:t xml:space="preserve"> (Belinda).</w:t>
      </w:r>
    </w:p>
    <w:p w14:paraId="0C9D36E7" w14:textId="3DB4210A" w:rsidR="00E7563D" w:rsidRDefault="00E7563D" w:rsidP="0E9096A0">
      <w:pPr>
        <w:spacing w:line="360" w:lineRule="auto"/>
        <w:rPr>
          <w:i/>
          <w:iCs/>
        </w:rPr>
      </w:pPr>
      <w:r w:rsidRPr="0E9096A0">
        <w:rPr>
          <w:i/>
          <w:iCs/>
        </w:rPr>
        <w:t>I think HE environments are quite intimidating, especially when you are with people who are very academic….there is a very different understanding of education (here), and there’s a lot of opportunity because there’s comfort” (Lily, Social Care Lecturer).</w:t>
      </w:r>
    </w:p>
    <w:p w14:paraId="440B7621" w14:textId="7546C645" w:rsidR="00E7563D" w:rsidRDefault="00E7563D" w:rsidP="0E9096A0">
      <w:pPr>
        <w:spacing w:line="360" w:lineRule="auto"/>
        <w:rPr>
          <w:u w:val="single"/>
        </w:rPr>
      </w:pPr>
      <w:r w:rsidRPr="0E9096A0">
        <w:rPr>
          <w:u w:val="single"/>
        </w:rPr>
        <w:t>Subtheme 1.2: Support and Learner Experience</w:t>
      </w:r>
    </w:p>
    <w:p w14:paraId="27E6085C" w14:textId="27E0E0DB" w:rsidR="00E7563D" w:rsidRDefault="00E7563D" w:rsidP="0E9096A0">
      <w:pPr>
        <w:spacing w:line="360" w:lineRule="auto"/>
      </w:pPr>
      <w:r>
        <w:t xml:space="preserve">The participants also acknowledged the level of support they provide to learners within their cohorts, arguing that perhaps students wouldn’t receive this level of mentoring in a </w:t>
      </w:r>
      <w:r>
        <w:lastRenderedPageBreak/>
        <w:t xml:space="preserve">traditional </w:t>
      </w:r>
      <w:r w:rsidR="00BC0E5A">
        <w:t>higher education institution (HEI)</w:t>
      </w:r>
      <w:r>
        <w:t>. They also acknowledge that the smaller class sizes often enable a more student-centred focus, with a greater sense of community between cohorts.</w:t>
      </w:r>
    </w:p>
    <w:p w14:paraId="71621B09" w14:textId="31F4B40E" w:rsidR="00E7563D" w:rsidRDefault="00E7563D" w:rsidP="0E9096A0">
      <w:pPr>
        <w:spacing w:line="360" w:lineRule="auto"/>
      </w:pPr>
      <w:r w:rsidRPr="0E9096A0">
        <w:rPr>
          <w:i/>
          <w:iCs/>
        </w:rPr>
        <w:t xml:space="preserve">“I think it attracts people who would feel less confident about their abilities, which is a plus and a minus because </w:t>
      </w:r>
      <w:r w:rsidR="00BC0E5A" w:rsidRPr="0E9096A0">
        <w:rPr>
          <w:i/>
          <w:iCs/>
        </w:rPr>
        <w:t>it means they may</w:t>
      </w:r>
      <w:r w:rsidRPr="0E9096A0">
        <w:rPr>
          <w:i/>
          <w:iCs/>
        </w:rPr>
        <w:t xml:space="preserve"> need a lot more support”.</w:t>
      </w:r>
      <w:r>
        <w:t xml:space="preserve"> (Belinda)</w:t>
      </w:r>
    </w:p>
    <w:p w14:paraId="213FEADC" w14:textId="4123F69F" w:rsidR="00E7563D" w:rsidRDefault="00E7563D" w:rsidP="0E9096A0">
      <w:pPr>
        <w:spacing w:line="360" w:lineRule="auto"/>
      </w:pPr>
      <w:r w:rsidRPr="0E9096A0">
        <w:rPr>
          <w:i/>
          <w:iCs/>
        </w:rPr>
        <w:t>“The camaraderie between groups is lovely. I think that’s down to the way that it is done compared to HE, the peer mentoring side is less formal</w:t>
      </w:r>
      <w:r w:rsidR="00DB4AD6" w:rsidRPr="0E9096A0">
        <w:rPr>
          <w:i/>
          <w:iCs/>
        </w:rPr>
        <w:t>,</w:t>
      </w:r>
      <w:r w:rsidRPr="0E9096A0">
        <w:rPr>
          <w:i/>
          <w:iCs/>
        </w:rPr>
        <w:t xml:space="preserve"> and I think it works.</w:t>
      </w:r>
      <w:r>
        <w:t xml:space="preserve"> (Lily)</w:t>
      </w:r>
    </w:p>
    <w:p w14:paraId="785B74C8" w14:textId="7E4CEB62" w:rsidR="00E7563D" w:rsidRDefault="00E7563D" w:rsidP="0E9096A0">
      <w:pPr>
        <w:spacing w:line="360" w:lineRule="auto"/>
      </w:pPr>
      <w:r w:rsidRPr="0E9096A0">
        <w:rPr>
          <w:i/>
          <w:iCs/>
        </w:rPr>
        <w:t>“I would say that they’re far more intimate classes…I would argue far more student-centred and far more aligned to industry needs”</w:t>
      </w:r>
      <w:r>
        <w:t xml:space="preserve"> (William, Construction Lecturer)</w:t>
      </w:r>
      <w:r w:rsidR="00BC0E5A">
        <w:t>.</w:t>
      </w:r>
    </w:p>
    <w:p w14:paraId="3D3320C7" w14:textId="19467400" w:rsidR="00BC0E5A" w:rsidRDefault="00BC0E5A" w:rsidP="0E9096A0">
      <w:pPr>
        <w:spacing w:line="360" w:lineRule="auto"/>
      </w:pPr>
      <w:r>
        <w:t xml:space="preserve">This theme suggests that learners are applying for CBHE programmes, possibly because they are perceived as less intimidating. Furthermore, prior educational experiences may mean that they do not meet the entry requirements </w:t>
      </w:r>
      <w:r w:rsidR="005B01CB">
        <w:t xml:space="preserve">or expectations </w:t>
      </w:r>
      <w:r>
        <w:t>for traditional HEIs. Consequently, CBHE programmes potentially provide opportunities for non-traditional learners which may not have been possible at a university. This presents both an opportunity and a challenge for the HE in FE lecturer; they can nurture and support learners from the very start of their HE experience and see them graduate in a range of disciplines, but one-to-one mentoring and coaching are potentially significantly higher</w:t>
      </w:r>
      <w:r w:rsidR="000E0AB8">
        <w:t xml:space="preserve"> and more demanding</w:t>
      </w:r>
      <w:r>
        <w:t xml:space="preserve"> due to the limited academic experience of many of the learners.</w:t>
      </w:r>
    </w:p>
    <w:p w14:paraId="565A6623" w14:textId="2F63ABBA" w:rsidR="00BC0E5A" w:rsidRPr="0033577E" w:rsidRDefault="00BC0E5A" w:rsidP="0E9096A0">
      <w:pPr>
        <w:spacing w:line="360" w:lineRule="auto"/>
        <w:rPr>
          <w:u w:val="single"/>
        </w:rPr>
      </w:pPr>
      <w:r w:rsidRPr="0E9096A0">
        <w:rPr>
          <w:u w:val="single"/>
        </w:rPr>
        <w:t xml:space="preserve">Theme Two:  </w:t>
      </w:r>
      <w:r w:rsidR="005B01CB" w:rsidRPr="0E9096A0">
        <w:rPr>
          <w:u w:val="single"/>
        </w:rPr>
        <w:t>The Challenges of the FE Setting for HE Provision</w:t>
      </w:r>
    </w:p>
    <w:p w14:paraId="62152768" w14:textId="26FAAA55" w:rsidR="005B01CB" w:rsidRDefault="005B01CB" w:rsidP="0E9096A0">
      <w:pPr>
        <w:spacing w:line="360" w:lineRule="auto"/>
      </w:pPr>
      <w:r>
        <w:t xml:space="preserve">Several participants mentioned the challenges of teaching </w:t>
      </w:r>
      <w:r w:rsidR="00495E34">
        <w:t>higher education (HE) within the further education (FE)</w:t>
      </w:r>
      <w:r>
        <w:t xml:space="preserve"> environment, noting that on occasion, the facilities and resources were not always suitable. They also highlighted the discrepancies between the policies and procedures of the FE and HE institutions. This theme emerged as interviewees expressed their frustration with the </w:t>
      </w:r>
      <w:r w:rsidR="009C3906">
        <w:t>differences</w:t>
      </w:r>
      <w:r w:rsidR="000B2448">
        <w:t xml:space="preserve"> between HE and FE. As with </w:t>
      </w:r>
      <w:r w:rsidR="00CE1A63">
        <w:t xml:space="preserve">the previous theme, </w:t>
      </w:r>
      <w:r w:rsidR="000B2448">
        <w:t xml:space="preserve">the second cycle of </w:t>
      </w:r>
      <w:r w:rsidR="00F017BC">
        <w:t xml:space="preserve">coding </w:t>
      </w:r>
      <w:r w:rsidR="009C3906">
        <w:t>further developed this theme</w:t>
      </w:r>
      <w:r w:rsidR="00F017BC">
        <w:t>. Interestingly</w:t>
      </w:r>
      <w:r w:rsidR="00CE1A63">
        <w:t>,</w:t>
      </w:r>
      <w:r w:rsidR="00F017BC">
        <w:t xml:space="preserve"> </w:t>
      </w:r>
      <w:r w:rsidR="0033577E">
        <w:t>several subthemes emerged within this thematic section; further questioning of the participants might have yielded additional</w:t>
      </w:r>
      <w:r w:rsidR="007E5A85">
        <w:t xml:space="preserve"> insights into this area.</w:t>
      </w:r>
      <w:r w:rsidR="00B42615">
        <w:t xml:space="preserve"> </w:t>
      </w:r>
    </w:p>
    <w:p w14:paraId="07A1B7CD" w14:textId="242E5C56" w:rsidR="003F1865" w:rsidRPr="00020490" w:rsidRDefault="00AD7B5A" w:rsidP="0E9096A0">
      <w:pPr>
        <w:spacing w:line="360" w:lineRule="auto"/>
        <w:rPr>
          <w:u w:val="single"/>
        </w:rPr>
      </w:pPr>
      <w:r w:rsidRPr="0E9096A0">
        <w:rPr>
          <w:u w:val="single"/>
        </w:rPr>
        <w:lastRenderedPageBreak/>
        <w:t>Sub-theme</w:t>
      </w:r>
      <w:r w:rsidR="0078621B" w:rsidRPr="0E9096A0">
        <w:rPr>
          <w:u w:val="single"/>
        </w:rPr>
        <w:t xml:space="preserve"> 2.1: </w:t>
      </w:r>
      <w:r w:rsidR="00ED4255" w:rsidRPr="0E9096A0">
        <w:rPr>
          <w:u w:val="single"/>
        </w:rPr>
        <w:t>Inadequate resources and facilities</w:t>
      </w:r>
    </w:p>
    <w:p w14:paraId="034AA253" w14:textId="0F680C58" w:rsidR="00661D56" w:rsidRDefault="00493AC6" w:rsidP="0E9096A0">
      <w:pPr>
        <w:spacing w:line="360" w:lineRule="auto"/>
      </w:pPr>
      <w:r>
        <w:t>The lack of study spaces for HE learners was noted by one participant</w:t>
      </w:r>
      <w:r w:rsidR="00607317">
        <w:t>, who stated that shared FE facilities were not always appropriate for HE needs</w:t>
      </w:r>
      <w:r w:rsidR="00267ACC">
        <w:t>.</w:t>
      </w:r>
      <w:r w:rsidR="004A2875">
        <w:t xml:space="preserve"> </w:t>
      </w:r>
    </w:p>
    <w:p w14:paraId="2CECCC56" w14:textId="21A1AB76" w:rsidR="00661D56" w:rsidRPr="002748B2" w:rsidRDefault="00661D56" w:rsidP="0E9096A0">
      <w:pPr>
        <w:spacing w:line="360" w:lineRule="auto"/>
      </w:pPr>
      <w:r>
        <w:t>“</w:t>
      </w:r>
      <w:r w:rsidR="002748B2" w:rsidRPr="0E9096A0">
        <w:rPr>
          <w:i/>
          <w:iCs/>
        </w:rPr>
        <w:t xml:space="preserve">For a student’s perspective, they might want the sort of quieter spaces and </w:t>
      </w:r>
      <w:r w:rsidR="00E1566F" w:rsidRPr="0E9096A0">
        <w:rPr>
          <w:i/>
          <w:iCs/>
        </w:rPr>
        <w:t>things</w:t>
      </w:r>
      <w:r w:rsidR="002748B2" w:rsidRPr="0E9096A0">
        <w:rPr>
          <w:i/>
          <w:iCs/>
        </w:rPr>
        <w:t xml:space="preserve"> to get on with a lot of their research or academic writing”. (Christopher). </w:t>
      </w:r>
      <w:r w:rsidR="002748B2">
        <w:t>This participant</w:t>
      </w:r>
      <w:r w:rsidR="00B20C9F">
        <w:t xml:space="preserve"> explained that many of his learners go off-site</w:t>
      </w:r>
      <w:r w:rsidR="00347C60">
        <w:t>, as the college campus does not always accommodate their</w:t>
      </w:r>
      <w:r w:rsidR="00B20C9F">
        <w:t xml:space="preserve"> needs.</w:t>
      </w:r>
    </w:p>
    <w:p w14:paraId="1A26B097" w14:textId="52449AA0" w:rsidR="00493AC6" w:rsidRDefault="004A2875" w:rsidP="0E9096A0">
      <w:pPr>
        <w:spacing w:line="360" w:lineRule="auto"/>
      </w:pPr>
      <w:r>
        <w:t xml:space="preserve">A second participant also noted the limited </w:t>
      </w:r>
      <w:r w:rsidR="00267ACC">
        <w:t>library resources</w:t>
      </w:r>
      <w:r w:rsidR="00F00711">
        <w:t>.</w:t>
      </w:r>
    </w:p>
    <w:p w14:paraId="08021EC1" w14:textId="76E210F4" w:rsidR="00FD406D" w:rsidRDefault="00930E9A" w:rsidP="0E9096A0">
      <w:pPr>
        <w:spacing w:line="360" w:lineRule="auto"/>
        <w:rPr>
          <w:i/>
          <w:iCs/>
        </w:rPr>
      </w:pPr>
      <w:r>
        <w:t xml:space="preserve">Lily noted the issues with the broad subject area she teaches and acknowledged that an FE library could not </w:t>
      </w:r>
      <w:r w:rsidR="004E60BC">
        <w:t>support it all: “</w:t>
      </w:r>
      <w:r w:rsidR="004E60BC" w:rsidRPr="0E9096A0">
        <w:rPr>
          <w:i/>
          <w:iCs/>
        </w:rPr>
        <w:t>We’ve got students that are looking at substance abuse all the way to dementia and elderly care, and so how can you have resources that support all of that?”</w:t>
      </w:r>
    </w:p>
    <w:p w14:paraId="5344D774" w14:textId="23127371" w:rsidR="00347C60" w:rsidRPr="00020490" w:rsidRDefault="00347C60" w:rsidP="0E9096A0">
      <w:pPr>
        <w:spacing w:line="360" w:lineRule="auto"/>
        <w:rPr>
          <w:u w:val="single"/>
        </w:rPr>
      </w:pPr>
      <w:r w:rsidRPr="0E9096A0">
        <w:rPr>
          <w:u w:val="single"/>
        </w:rPr>
        <w:t xml:space="preserve">Subtheme: 2.2 Lack of support for </w:t>
      </w:r>
      <w:r w:rsidR="00020490" w:rsidRPr="0E9096A0">
        <w:rPr>
          <w:u w:val="single"/>
        </w:rPr>
        <w:t>i</w:t>
      </w:r>
      <w:r w:rsidRPr="0E9096A0">
        <w:rPr>
          <w:u w:val="single"/>
        </w:rPr>
        <w:t>ndividuals</w:t>
      </w:r>
      <w:r w:rsidR="002B7F88" w:rsidRPr="0E9096A0">
        <w:rPr>
          <w:u w:val="single"/>
        </w:rPr>
        <w:t xml:space="preserve"> with learning differences.</w:t>
      </w:r>
    </w:p>
    <w:p w14:paraId="77E99588" w14:textId="4B7A2028" w:rsidR="002B7F88" w:rsidRDefault="009B6AC5" w:rsidP="0E9096A0">
      <w:pPr>
        <w:spacing w:line="360" w:lineRule="auto"/>
        <w:rPr>
          <w:i/>
          <w:iCs/>
        </w:rPr>
      </w:pPr>
      <w:r>
        <w:t xml:space="preserve">Although the lecturers find themselves coaching and mentoring individual students, participants noted the limited human </w:t>
      </w:r>
      <w:r w:rsidR="003323D7">
        <w:t>and financial support for individuals with additional learning needs</w:t>
      </w:r>
      <w:r w:rsidR="00244B27">
        <w:t>. One participant felt that CBHE students were discriminated a</w:t>
      </w:r>
      <w:r w:rsidR="00B63857">
        <w:t>gainst, stating</w:t>
      </w:r>
      <w:r w:rsidR="00EA6445">
        <w:t>,</w:t>
      </w:r>
      <w:r w:rsidR="00B63857">
        <w:t xml:space="preserve"> “</w:t>
      </w:r>
      <w:r w:rsidR="00B63857" w:rsidRPr="0E9096A0">
        <w:rPr>
          <w:i/>
          <w:iCs/>
        </w:rPr>
        <w:t xml:space="preserve">I think it’s borderline criminal that they haven’t got the ability </w:t>
      </w:r>
      <w:r w:rsidR="00EA6445" w:rsidRPr="0E9096A0">
        <w:rPr>
          <w:i/>
          <w:iCs/>
        </w:rPr>
        <w:t>to</w:t>
      </w:r>
      <w:r w:rsidR="00B63857" w:rsidRPr="0E9096A0">
        <w:rPr>
          <w:i/>
          <w:iCs/>
        </w:rPr>
        <w:t xml:space="preserve"> screen for dyslexia</w:t>
      </w:r>
      <w:r w:rsidR="00142CD9" w:rsidRPr="0E9096A0">
        <w:rPr>
          <w:i/>
          <w:iCs/>
        </w:rPr>
        <w:t>, a basic learning difference….it is then almost discrimination” (Lily).</w:t>
      </w:r>
    </w:p>
    <w:p w14:paraId="2AEDAC50" w14:textId="57DB65B4" w:rsidR="00142CD9" w:rsidRDefault="00142CD9" w:rsidP="0E9096A0">
      <w:pPr>
        <w:spacing w:line="360" w:lineRule="auto"/>
      </w:pPr>
      <w:r>
        <w:t>Within this college</w:t>
      </w:r>
      <w:r w:rsidR="007A4C00">
        <w:t>,</w:t>
      </w:r>
      <w:r>
        <w:t xml:space="preserve"> CBHE students do not receive </w:t>
      </w:r>
      <w:r w:rsidR="00EA6445">
        <w:t>automatic</w:t>
      </w:r>
      <w:r>
        <w:t xml:space="preserve"> </w:t>
      </w:r>
      <w:r w:rsidR="007A4C00">
        <w:t>dyslexia screening on entry.</w:t>
      </w:r>
    </w:p>
    <w:p w14:paraId="1F69A9BC" w14:textId="61AC5C8F" w:rsidR="00495E34" w:rsidRPr="00020490" w:rsidRDefault="00495E34" w:rsidP="0E9096A0">
      <w:pPr>
        <w:spacing w:line="360" w:lineRule="auto"/>
        <w:rPr>
          <w:u w:val="single"/>
        </w:rPr>
      </w:pPr>
      <w:r w:rsidRPr="0E9096A0">
        <w:rPr>
          <w:u w:val="single"/>
        </w:rPr>
        <w:t xml:space="preserve">Subtheme: 2.3 </w:t>
      </w:r>
      <w:r w:rsidR="00EB5ABF" w:rsidRPr="0E9096A0">
        <w:rPr>
          <w:u w:val="single"/>
        </w:rPr>
        <w:t>Misaligned FE and HE policies.</w:t>
      </w:r>
    </w:p>
    <w:p w14:paraId="248B19FA" w14:textId="1E6CDDB1" w:rsidR="00EB5ABF" w:rsidRDefault="00EB5ABF" w:rsidP="0E9096A0">
      <w:pPr>
        <w:spacing w:line="360" w:lineRule="auto"/>
      </w:pPr>
      <w:r>
        <w:t xml:space="preserve">This was a significant theme for all of the participants, who noted their frustration with </w:t>
      </w:r>
      <w:r w:rsidR="000A01BA">
        <w:t>policies, indicating that the FE policies are usually written with FE learners in mind, who are usually 16-18</w:t>
      </w:r>
      <w:r w:rsidR="00BA0562">
        <w:t>-</w:t>
      </w:r>
      <w:r w:rsidR="000A01BA">
        <w:t>year</w:t>
      </w:r>
      <w:r w:rsidR="00BA0562">
        <w:t>-</w:t>
      </w:r>
      <w:r w:rsidR="000A01BA">
        <w:t>olds</w:t>
      </w:r>
      <w:r w:rsidR="000D3FEB">
        <w:t>.</w:t>
      </w:r>
    </w:p>
    <w:p w14:paraId="4FE7C811" w14:textId="13DA1B8C" w:rsidR="000A01BA" w:rsidRDefault="00AB1BAA" w:rsidP="0E9096A0">
      <w:pPr>
        <w:spacing w:line="360" w:lineRule="auto"/>
        <w:rPr>
          <w:i/>
          <w:iCs/>
        </w:rPr>
      </w:pPr>
      <w:r>
        <w:t>“</w:t>
      </w:r>
      <w:r w:rsidRPr="0E9096A0">
        <w:rPr>
          <w:i/>
          <w:iCs/>
        </w:rPr>
        <w:t>Our policies are generally written for FE,</w:t>
      </w:r>
      <w:r w:rsidR="001A3F9C" w:rsidRPr="0E9096A0">
        <w:rPr>
          <w:i/>
          <w:iCs/>
        </w:rPr>
        <w:t xml:space="preserve"> and some things don’t always work, and that’s hard if you’ve got departments that are sharing both to have any consistency really with tutors”. </w:t>
      </w:r>
      <w:r w:rsidR="009970A1" w:rsidRPr="0E9096A0">
        <w:rPr>
          <w:i/>
          <w:iCs/>
        </w:rPr>
        <w:t>(</w:t>
      </w:r>
      <w:r w:rsidR="006C2C51" w:rsidRPr="0E9096A0">
        <w:rPr>
          <w:i/>
          <w:iCs/>
        </w:rPr>
        <w:t xml:space="preserve">Violet, </w:t>
      </w:r>
      <w:r w:rsidR="009970A1" w:rsidRPr="0E9096A0">
        <w:rPr>
          <w:i/>
          <w:iCs/>
        </w:rPr>
        <w:t>Teacher-Training</w:t>
      </w:r>
      <w:r w:rsidR="006C2C51" w:rsidRPr="0E9096A0">
        <w:rPr>
          <w:i/>
          <w:iCs/>
        </w:rPr>
        <w:t xml:space="preserve"> tutor</w:t>
      </w:r>
      <w:r w:rsidR="009970A1" w:rsidRPr="0E9096A0">
        <w:rPr>
          <w:i/>
          <w:iCs/>
        </w:rPr>
        <w:t>)</w:t>
      </w:r>
      <w:r w:rsidR="006C2C51" w:rsidRPr="0E9096A0">
        <w:rPr>
          <w:i/>
          <w:iCs/>
        </w:rPr>
        <w:t>.</w:t>
      </w:r>
    </w:p>
    <w:p w14:paraId="2BD6E929" w14:textId="3F1D2ACF" w:rsidR="004E6C37" w:rsidRDefault="004E6C37" w:rsidP="0E9096A0">
      <w:pPr>
        <w:spacing w:line="360" w:lineRule="auto"/>
      </w:pPr>
      <w:r>
        <w:lastRenderedPageBreak/>
        <w:t xml:space="preserve">Furthermore, participants felt that adult HE learners can often feel </w:t>
      </w:r>
      <w:r w:rsidR="00DA5BBA">
        <w:t>infantilised</w:t>
      </w:r>
      <w:r>
        <w:t xml:space="preserve">, and that rules and regulations are </w:t>
      </w:r>
      <w:r w:rsidR="00AB7A30">
        <w:t>frequently</w:t>
      </w:r>
      <w:r>
        <w:t xml:space="preserve"> inappropriate for mature learners.</w:t>
      </w:r>
    </w:p>
    <w:p w14:paraId="0186957D" w14:textId="5A551AD5" w:rsidR="004E6C37" w:rsidRDefault="004E6C37" w:rsidP="0E9096A0">
      <w:pPr>
        <w:spacing w:line="360" w:lineRule="auto"/>
        <w:rPr>
          <w:i/>
          <w:iCs/>
        </w:rPr>
      </w:pPr>
      <w:r>
        <w:t>“</w:t>
      </w:r>
      <w:r w:rsidR="00D641DF" w:rsidRPr="0E9096A0">
        <w:rPr>
          <w:i/>
          <w:iCs/>
        </w:rPr>
        <w:t xml:space="preserve">The whole issue around </w:t>
      </w:r>
      <w:r w:rsidR="006018E8" w:rsidRPr="0E9096A0">
        <w:rPr>
          <w:i/>
          <w:iCs/>
        </w:rPr>
        <w:t xml:space="preserve">not </w:t>
      </w:r>
      <w:r w:rsidR="00D641DF" w:rsidRPr="0E9096A0">
        <w:rPr>
          <w:i/>
          <w:iCs/>
        </w:rPr>
        <w:t>eating and drinking in the classroom was a bit difficult for the students, and they’re not allowed to use the gym without someone else there”. (Belinda).</w:t>
      </w:r>
    </w:p>
    <w:p w14:paraId="69596A4B" w14:textId="75B81BD7" w:rsidR="00AB7A30" w:rsidRDefault="00AB7A30" w:rsidP="0E9096A0">
      <w:pPr>
        <w:spacing w:line="360" w:lineRule="auto"/>
      </w:pPr>
      <w:r>
        <w:t>In addition, within this sub-theme came the issue of lecturer autonomy</w:t>
      </w:r>
      <w:r w:rsidR="00C03F0D">
        <w:t>, one participant felt like the paternalistic feel in an FE college often came through to the staff:</w:t>
      </w:r>
    </w:p>
    <w:p w14:paraId="7A8BECFC" w14:textId="2D5B2A01" w:rsidR="00C03F0D" w:rsidRDefault="00C03F0D" w:rsidP="0E9096A0">
      <w:pPr>
        <w:spacing w:line="360" w:lineRule="auto"/>
      </w:pPr>
      <w:r>
        <w:t>“</w:t>
      </w:r>
      <w:r w:rsidRPr="0E9096A0">
        <w:rPr>
          <w:i/>
          <w:iCs/>
        </w:rPr>
        <w:t xml:space="preserve">We’re </w:t>
      </w:r>
      <w:r w:rsidR="006B45A7" w:rsidRPr="0E9096A0">
        <w:rPr>
          <w:i/>
          <w:iCs/>
        </w:rPr>
        <w:t>told what we’re allowed to do and what we’re not allowed to do, and so there’s less autonomy</w:t>
      </w:r>
      <w:r w:rsidR="00C362F1" w:rsidRPr="0E9096A0">
        <w:rPr>
          <w:i/>
          <w:iCs/>
        </w:rPr>
        <w:t>, I think,</w:t>
      </w:r>
      <w:r w:rsidR="006B45A7" w:rsidRPr="0E9096A0">
        <w:rPr>
          <w:i/>
          <w:iCs/>
        </w:rPr>
        <w:t xml:space="preserve"> </w:t>
      </w:r>
      <w:r w:rsidR="00E83271" w:rsidRPr="0E9096A0">
        <w:rPr>
          <w:i/>
          <w:iCs/>
        </w:rPr>
        <w:t>to make decisions for</w:t>
      </w:r>
      <w:r w:rsidR="00840EED" w:rsidRPr="0E9096A0">
        <w:rPr>
          <w:i/>
          <w:iCs/>
        </w:rPr>
        <w:t xml:space="preserve"> ourselves”. (</w:t>
      </w:r>
      <w:r w:rsidR="00840EED">
        <w:t>Belinda).</w:t>
      </w:r>
    </w:p>
    <w:p w14:paraId="290A58DD" w14:textId="0E366447" w:rsidR="005D49C5" w:rsidRDefault="00571C67" w:rsidP="0E9096A0">
      <w:pPr>
        <w:spacing w:line="360" w:lineRule="auto"/>
      </w:pPr>
      <w:r>
        <w:t>The interviewees were questioned about policies and procedures. Following an analysis of the commentaries, it became apparent that this area posed more challenges than opportunities for the lecturer, emphasising the sometimes uneasy tension between the two distinct institutional frameworks.</w:t>
      </w:r>
    </w:p>
    <w:p w14:paraId="5723BACE" w14:textId="180DF919" w:rsidR="00571C67" w:rsidRPr="0033577E" w:rsidRDefault="008F2C22" w:rsidP="0E9096A0">
      <w:pPr>
        <w:spacing w:line="360" w:lineRule="auto"/>
        <w:rPr>
          <w:u w:val="single"/>
        </w:rPr>
      </w:pPr>
      <w:r w:rsidRPr="0E9096A0">
        <w:rPr>
          <w:u w:val="single"/>
        </w:rPr>
        <w:t>Theme Three: Rewards of Im</w:t>
      </w:r>
      <w:r w:rsidR="00242B1E" w:rsidRPr="0E9096A0">
        <w:rPr>
          <w:u w:val="single"/>
        </w:rPr>
        <w:t>pact and Connections with Industry</w:t>
      </w:r>
    </w:p>
    <w:p w14:paraId="5D33DAD8" w14:textId="32A1474E" w:rsidR="00242B1E" w:rsidRPr="00242B1E" w:rsidRDefault="00F76360" w:rsidP="0E9096A0">
      <w:pPr>
        <w:spacing w:line="360" w:lineRule="auto"/>
      </w:pPr>
      <w:r>
        <w:t>Unlike the previous discussion, this theme emphasises the positive aspects and opportunities that teaching Higher Education (HE) in Further Education (FE) offers. All participants acknowledged the rewards they encountered at this level. The coding process illustrated the transformative impact of CBHE; linking to the first theme, it highlighted the supportive nature of the teaching role while also promoting the industry connections that these roles naturally foster.</w:t>
      </w:r>
    </w:p>
    <w:p w14:paraId="26CF5D08" w14:textId="12DF88DA" w:rsidR="00ED4255" w:rsidRDefault="00860870" w:rsidP="0E9096A0">
      <w:pPr>
        <w:spacing w:line="360" w:lineRule="auto"/>
        <w:rPr>
          <w:u w:val="single"/>
        </w:rPr>
      </w:pPr>
      <w:r w:rsidRPr="0E9096A0">
        <w:rPr>
          <w:u w:val="single"/>
        </w:rPr>
        <w:t xml:space="preserve">Subtheme 3.1: </w:t>
      </w:r>
      <w:r w:rsidR="00E67539" w:rsidRPr="0E9096A0">
        <w:rPr>
          <w:u w:val="single"/>
        </w:rPr>
        <w:t>Transformative Impact on Learners.</w:t>
      </w:r>
    </w:p>
    <w:p w14:paraId="0A8A831D" w14:textId="274AE06A" w:rsidR="00E67539" w:rsidRDefault="00E67539" w:rsidP="0E9096A0">
      <w:pPr>
        <w:spacing w:line="360" w:lineRule="auto"/>
      </w:pPr>
      <w:r>
        <w:t xml:space="preserve">The participants all acknowledged the </w:t>
      </w:r>
      <w:r w:rsidR="00D92CE6">
        <w:t>privilege</w:t>
      </w:r>
      <w:r>
        <w:t xml:space="preserve"> they felt as they witnessed the learners </w:t>
      </w:r>
      <w:r w:rsidR="004858C3">
        <w:t xml:space="preserve">striving towards their qualifications, </w:t>
      </w:r>
      <w:r w:rsidR="004B2C1F">
        <w:t>despite many challenges and adversities on the way:</w:t>
      </w:r>
    </w:p>
    <w:p w14:paraId="0A9D39FB" w14:textId="5EECE75E" w:rsidR="004B2C1F" w:rsidRDefault="006D410D" w:rsidP="0E9096A0">
      <w:pPr>
        <w:spacing w:line="360" w:lineRule="auto"/>
        <w:rPr>
          <w:i/>
          <w:iCs/>
        </w:rPr>
      </w:pPr>
      <w:r>
        <w:t>“</w:t>
      </w:r>
      <w:r w:rsidRPr="0E9096A0">
        <w:rPr>
          <w:i/>
          <w:iCs/>
        </w:rPr>
        <w:t>I feel that there’s much bigger leaps</w:t>
      </w:r>
      <w:r w:rsidR="00FC147E" w:rsidRPr="0E9096A0">
        <w:rPr>
          <w:i/>
          <w:iCs/>
        </w:rPr>
        <w:t xml:space="preserve"> in the FE environment because they do start off at a lower level and I think that has been the most rewarding”</w:t>
      </w:r>
      <w:r w:rsidR="003F65FA" w:rsidRPr="0E9096A0">
        <w:rPr>
          <w:i/>
          <w:iCs/>
        </w:rPr>
        <w:t>.</w:t>
      </w:r>
      <w:r w:rsidR="00FC147E" w:rsidRPr="0E9096A0">
        <w:rPr>
          <w:i/>
          <w:iCs/>
        </w:rPr>
        <w:t xml:space="preserve"> </w:t>
      </w:r>
      <w:r w:rsidR="003F65FA" w:rsidRPr="0E9096A0">
        <w:rPr>
          <w:i/>
          <w:iCs/>
        </w:rPr>
        <w:t>(</w:t>
      </w:r>
      <w:r w:rsidR="00FC147E" w:rsidRPr="0E9096A0">
        <w:rPr>
          <w:i/>
          <w:iCs/>
        </w:rPr>
        <w:t>Lily</w:t>
      </w:r>
      <w:r w:rsidR="003F65FA" w:rsidRPr="0E9096A0">
        <w:rPr>
          <w:i/>
          <w:iCs/>
        </w:rPr>
        <w:t>).</w:t>
      </w:r>
    </w:p>
    <w:p w14:paraId="7751EE62" w14:textId="2EDC0282" w:rsidR="00D92CE6" w:rsidRDefault="00D92CE6" w:rsidP="0E9096A0">
      <w:pPr>
        <w:spacing w:line="360" w:lineRule="auto"/>
        <w:rPr>
          <w:i/>
          <w:iCs/>
        </w:rPr>
      </w:pPr>
      <w:r>
        <w:lastRenderedPageBreak/>
        <w:t xml:space="preserve">Witnessing learners progress from </w:t>
      </w:r>
      <w:r w:rsidR="00880C44">
        <w:t xml:space="preserve">the FE school provision, </w:t>
      </w:r>
      <w:r>
        <w:t>all the way through to the completion of a degree has been a fulfilling journey for Christopher, who notes</w:t>
      </w:r>
      <w:r w:rsidR="00880C44">
        <w:t>,</w:t>
      </w:r>
      <w:r>
        <w:t xml:space="preserve"> “</w:t>
      </w:r>
      <w:r w:rsidR="001D3D3F" w:rsidRPr="0E9096A0">
        <w:rPr>
          <w:i/>
          <w:iCs/>
        </w:rPr>
        <w:t xml:space="preserve">I’ve seen them come through from a </w:t>
      </w:r>
      <w:r w:rsidR="009F7D6C" w:rsidRPr="0E9096A0">
        <w:rPr>
          <w:i/>
          <w:iCs/>
        </w:rPr>
        <w:t>14-year-old</w:t>
      </w:r>
      <w:r w:rsidR="001D3D3F" w:rsidRPr="0E9096A0">
        <w:rPr>
          <w:i/>
          <w:iCs/>
        </w:rPr>
        <w:t xml:space="preserve"> in year 10 all the way through</w:t>
      </w:r>
      <w:r w:rsidR="00880C44" w:rsidRPr="0E9096A0">
        <w:rPr>
          <w:i/>
          <w:iCs/>
        </w:rPr>
        <w:t xml:space="preserve">, it’s amazing”. </w:t>
      </w:r>
    </w:p>
    <w:p w14:paraId="1CFA72C6" w14:textId="062F31A6" w:rsidR="00903260" w:rsidRDefault="00903260" w:rsidP="0E9096A0">
      <w:pPr>
        <w:spacing w:line="360" w:lineRule="auto"/>
        <w:rPr>
          <w:u w:val="single"/>
        </w:rPr>
      </w:pPr>
      <w:r w:rsidRPr="0E9096A0">
        <w:rPr>
          <w:u w:val="single"/>
        </w:rPr>
        <w:t xml:space="preserve">Subtheme 3.2: Industry </w:t>
      </w:r>
      <w:r w:rsidR="00305364" w:rsidRPr="0E9096A0">
        <w:rPr>
          <w:u w:val="single"/>
        </w:rPr>
        <w:t>Links</w:t>
      </w:r>
      <w:r w:rsidRPr="0E9096A0">
        <w:rPr>
          <w:u w:val="single"/>
        </w:rPr>
        <w:t xml:space="preserve"> and </w:t>
      </w:r>
      <w:r w:rsidR="00305364" w:rsidRPr="0E9096A0">
        <w:rPr>
          <w:u w:val="single"/>
        </w:rPr>
        <w:t>the Next Generation of Professionals.</w:t>
      </w:r>
    </w:p>
    <w:p w14:paraId="750AD4CC" w14:textId="30795061" w:rsidR="00860DC2" w:rsidRDefault="004A5260" w:rsidP="0E9096A0">
      <w:pPr>
        <w:spacing w:line="360" w:lineRule="auto"/>
      </w:pPr>
      <w:r>
        <w:t xml:space="preserve">The participants noted how rewarding it was to maintain the links with industry and </w:t>
      </w:r>
      <w:r w:rsidR="00BC11B1">
        <w:t>promote</w:t>
      </w:r>
      <w:r>
        <w:t xml:space="preserve"> th</w:t>
      </w:r>
      <w:r w:rsidR="004550BB">
        <w:t xml:space="preserve">is with the students, ensuring that they </w:t>
      </w:r>
      <w:r w:rsidR="00BC11B1">
        <w:t>can</w:t>
      </w:r>
      <w:r w:rsidR="004550BB">
        <w:t xml:space="preserve"> </w:t>
      </w:r>
      <w:r w:rsidR="00F14997">
        <w:t>continue their industry roles, whilst studying</w:t>
      </w:r>
      <w:r w:rsidR="00860DC2">
        <w:t>:</w:t>
      </w:r>
    </w:p>
    <w:p w14:paraId="4D9A1215" w14:textId="7CC088EE" w:rsidR="00860DC2" w:rsidRDefault="00860DC2" w:rsidP="0E9096A0">
      <w:pPr>
        <w:spacing w:line="360" w:lineRule="auto"/>
        <w:rPr>
          <w:i/>
          <w:iCs/>
        </w:rPr>
      </w:pPr>
      <w:r w:rsidRPr="0E9096A0">
        <w:rPr>
          <w:i/>
          <w:iCs/>
        </w:rPr>
        <w:t xml:space="preserve">“I think the rewarding factor for me </w:t>
      </w:r>
      <w:r w:rsidR="000752F2" w:rsidRPr="0E9096A0">
        <w:rPr>
          <w:i/>
          <w:iCs/>
        </w:rPr>
        <w:t>is because</w:t>
      </w:r>
      <w:r w:rsidRPr="0E9096A0">
        <w:rPr>
          <w:i/>
          <w:iCs/>
        </w:rPr>
        <w:t xml:space="preserve"> we’ve predominantly got part-time students in our area, many of these learners, all of them actually are working in the industry” (William).</w:t>
      </w:r>
      <w:r w:rsidR="001D5300">
        <w:t xml:space="preserve"> He further states that this is “</w:t>
      </w:r>
      <w:r w:rsidR="001D5300" w:rsidRPr="0E9096A0">
        <w:rPr>
          <w:i/>
          <w:iCs/>
        </w:rPr>
        <w:t>future-proofing”</w:t>
      </w:r>
      <w:r w:rsidR="0084448F" w:rsidRPr="0E9096A0">
        <w:rPr>
          <w:i/>
          <w:iCs/>
        </w:rPr>
        <w:t xml:space="preserve"> both the industry and higher education. </w:t>
      </w:r>
    </w:p>
    <w:p w14:paraId="277E7840" w14:textId="138D95AB" w:rsidR="00E01929" w:rsidRDefault="002423D0" w:rsidP="0E9096A0">
      <w:pPr>
        <w:spacing w:line="360" w:lineRule="auto"/>
      </w:pPr>
      <w:r>
        <w:t xml:space="preserve">Violet stated similar thoughts, acknowledging that as </w:t>
      </w:r>
      <w:r w:rsidR="00D95D1D">
        <w:t xml:space="preserve">a teacher-trainer, she </w:t>
      </w:r>
      <w:r w:rsidR="000C275C">
        <w:t>felt that she was “</w:t>
      </w:r>
      <w:r w:rsidR="000C275C" w:rsidRPr="0E9096A0">
        <w:rPr>
          <w:i/>
          <w:iCs/>
        </w:rPr>
        <w:t>getting to make a difference, and actually helping and guiding the people who are going to help the next students</w:t>
      </w:r>
      <w:r w:rsidR="000C275C">
        <w:t xml:space="preserve">”. </w:t>
      </w:r>
    </w:p>
    <w:p w14:paraId="518C3463" w14:textId="6A756FA2" w:rsidR="00BC11B1" w:rsidRDefault="00BC11B1" w:rsidP="0E9096A0">
      <w:pPr>
        <w:spacing w:line="360" w:lineRule="auto"/>
        <w:rPr>
          <w:u w:val="single"/>
        </w:rPr>
      </w:pPr>
      <w:r w:rsidRPr="0E9096A0">
        <w:rPr>
          <w:u w:val="single"/>
        </w:rPr>
        <w:t xml:space="preserve">Subtheme 3.3: </w:t>
      </w:r>
      <w:r w:rsidR="00AC4D61" w:rsidRPr="0E9096A0">
        <w:rPr>
          <w:u w:val="single"/>
        </w:rPr>
        <w:t>Pastoral Care and Support</w:t>
      </w:r>
    </w:p>
    <w:p w14:paraId="195F275D" w14:textId="66BA8421" w:rsidR="00AC4D61" w:rsidRDefault="00AC4D61" w:rsidP="0E9096A0">
      <w:pPr>
        <w:spacing w:line="360" w:lineRule="auto"/>
      </w:pPr>
      <w:r>
        <w:t xml:space="preserve">Humanistic and student-focused teaching emerged as a prominent subtheme, and it was evident that the lecturers placed a high value on this aspect of their roles. </w:t>
      </w:r>
    </w:p>
    <w:p w14:paraId="6EBEC1C2" w14:textId="25F1DC8E" w:rsidR="00AC4D61" w:rsidRPr="00AC4D61" w:rsidRDefault="005A11FE" w:rsidP="0E9096A0">
      <w:pPr>
        <w:spacing w:line="360" w:lineRule="auto"/>
      </w:pPr>
      <w:r>
        <w:t>“</w:t>
      </w:r>
      <w:r w:rsidRPr="0E9096A0">
        <w:rPr>
          <w:i/>
          <w:iCs/>
        </w:rPr>
        <w:t xml:space="preserve">I </w:t>
      </w:r>
      <w:r w:rsidR="00164231" w:rsidRPr="0E9096A0">
        <w:rPr>
          <w:i/>
          <w:iCs/>
        </w:rPr>
        <w:t>feel with all of the considerations that goes with FE, you’re very attuned to pastoral care, and I think that’s a strength for FE institutions”</w:t>
      </w:r>
      <w:r w:rsidR="00164231">
        <w:t xml:space="preserve"> (William). </w:t>
      </w:r>
    </w:p>
    <w:p w14:paraId="6470881A" w14:textId="53712554" w:rsidR="00900E43" w:rsidRDefault="001A7205" w:rsidP="0E9096A0">
      <w:pPr>
        <w:spacing w:line="360" w:lineRule="auto"/>
      </w:pPr>
      <w:r>
        <w:t>This theme provided an opportunity for lecturers to discuss the opportunities of the role. It became clear that all the participants felt their role was rewarding, despite the challenges, and that they felt privileged to support learners in achieving their goals.</w:t>
      </w:r>
    </w:p>
    <w:p w14:paraId="7C71047F" w14:textId="31A6BAD2" w:rsidR="0046312F" w:rsidRDefault="0046312F" w:rsidP="0E9096A0">
      <w:pPr>
        <w:spacing w:line="360" w:lineRule="auto"/>
        <w:rPr>
          <w:u w:val="single"/>
        </w:rPr>
      </w:pPr>
      <w:r w:rsidRPr="0E9096A0">
        <w:rPr>
          <w:u w:val="single"/>
        </w:rPr>
        <w:t>Theme Four: Dual Institutional Challenges</w:t>
      </w:r>
    </w:p>
    <w:p w14:paraId="67245C93" w14:textId="76F7650E" w:rsidR="0046312F" w:rsidRDefault="0046312F" w:rsidP="0E9096A0">
      <w:pPr>
        <w:spacing w:line="360" w:lineRule="auto"/>
      </w:pPr>
      <w:r>
        <w:t>This theme emerged from theme two</w:t>
      </w:r>
      <w:r w:rsidR="006B61E7">
        <w:t>; it</w:t>
      </w:r>
      <w:r>
        <w:t xml:space="preserve"> became </w:t>
      </w:r>
      <w:r w:rsidR="006B61E7">
        <w:t xml:space="preserve">clear that there were further challenges that were not just related to policies and procedures, but there were added complexities of </w:t>
      </w:r>
      <w:r w:rsidR="006B61E7">
        <w:lastRenderedPageBreak/>
        <w:t>working within the two sectors and engaging with the two</w:t>
      </w:r>
      <w:r w:rsidR="00E72CB9">
        <w:t xml:space="preserve"> complex</w:t>
      </w:r>
      <w:r w:rsidR="006B61E7">
        <w:t xml:space="preserve"> institutions. </w:t>
      </w:r>
      <w:r w:rsidR="008744BA">
        <w:t>Aligning to the research question, it became noticeable as a particular challenge for the participants.</w:t>
      </w:r>
    </w:p>
    <w:p w14:paraId="1E7B8B1E" w14:textId="47069508" w:rsidR="008F7D38" w:rsidRDefault="008F7D38" w:rsidP="0E9096A0">
      <w:pPr>
        <w:spacing w:line="360" w:lineRule="auto"/>
        <w:rPr>
          <w:u w:val="single"/>
        </w:rPr>
      </w:pPr>
      <w:r w:rsidRPr="0E9096A0">
        <w:rPr>
          <w:u w:val="single"/>
        </w:rPr>
        <w:t xml:space="preserve">Subtheme 4.1: </w:t>
      </w:r>
      <w:r w:rsidR="00A212AD" w:rsidRPr="0E9096A0">
        <w:rPr>
          <w:u w:val="single"/>
        </w:rPr>
        <w:t>Two Separate Processes</w:t>
      </w:r>
    </w:p>
    <w:p w14:paraId="4DCDC5DD" w14:textId="345893E4" w:rsidR="00A212AD" w:rsidRDefault="00A212AD" w:rsidP="0E9096A0">
      <w:pPr>
        <w:spacing w:line="360" w:lineRule="auto"/>
      </w:pPr>
      <w:r>
        <w:t xml:space="preserve">The dual structure presented challenges for the staff and added </w:t>
      </w:r>
      <w:r w:rsidR="0020798F">
        <w:t xml:space="preserve">a </w:t>
      </w:r>
      <w:r>
        <w:t>layer of complexity</w:t>
      </w:r>
      <w:r w:rsidR="0020798F">
        <w:t xml:space="preserve"> for the</w:t>
      </w:r>
      <w:r w:rsidR="00A15929">
        <w:t xml:space="preserve">ir multiple roles. </w:t>
      </w:r>
    </w:p>
    <w:p w14:paraId="20867510" w14:textId="676F98E9" w:rsidR="00A15929" w:rsidRDefault="00A15929" w:rsidP="0E9096A0">
      <w:pPr>
        <w:spacing w:line="360" w:lineRule="auto"/>
      </w:pPr>
      <w:r w:rsidRPr="0E9096A0">
        <w:rPr>
          <w:i/>
          <w:iCs/>
        </w:rPr>
        <w:t>“Because we’re a partner institution we’re heavily guided by (xxxxx) policies and procedures</w:t>
      </w:r>
      <w:r w:rsidR="00FB6584" w:rsidRPr="0E9096A0">
        <w:rPr>
          <w:i/>
          <w:iCs/>
        </w:rPr>
        <w:t>, which in itself isn’t an issue, but we have an added barrier that we’ve also got our own college policies which sit alongside that, which becomes more onerous</w:t>
      </w:r>
      <w:r w:rsidR="004F2FE8" w:rsidRPr="0E9096A0">
        <w:rPr>
          <w:i/>
          <w:iCs/>
        </w:rPr>
        <w:t>” (</w:t>
      </w:r>
      <w:r w:rsidR="004F2FE8">
        <w:t xml:space="preserve">William). </w:t>
      </w:r>
    </w:p>
    <w:p w14:paraId="1BAD84DA" w14:textId="6F1F320A" w:rsidR="00047D0B" w:rsidRDefault="00047D0B" w:rsidP="0E9096A0">
      <w:pPr>
        <w:spacing w:line="360" w:lineRule="auto"/>
      </w:pPr>
      <w:r>
        <w:t xml:space="preserve">Academic processes became more complicated, particularly if they involved assessment deadlines, plagiarism and attendance: </w:t>
      </w:r>
    </w:p>
    <w:p w14:paraId="29C4DEBC" w14:textId="399DF311" w:rsidR="00047D0B" w:rsidRDefault="00047D0B" w:rsidP="0E9096A0">
      <w:pPr>
        <w:spacing w:line="360" w:lineRule="auto"/>
        <w:rPr>
          <w:i/>
          <w:iCs/>
        </w:rPr>
      </w:pPr>
      <w:r>
        <w:t>“</w:t>
      </w:r>
      <w:r w:rsidR="0003742F" w:rsidRPr="0E9096A0">
        <w:rPr>
          <w:i/>
          <w:iCs/>
        </w:rPr>
        <w:t xml:space="preserve">Plagiarism, for example, is looser in FE, they should be </w:t>
      </w:r>
      <w:r w:rsidR="003405EE" w:rsidRPr="0E9096A0">
        <w:rPr>
          <w:i/>
          <w:iCs/>
        </w:rPr>
        <w:t>tighter</w:t>
      </w:r>
      <w:r w:rsidR="0003742F" w:rsidRPr="0E9096A0">
        <w:rPr>
          <w:i/>
          <w:iCs/>
        </w:rPr>
        <w:t>, but I don’t think they are, and I think it’s a big jump to HE” (Violet).</w:t>
      </w:r>
    </w:p>
    <w:p w14:paraId="5FC3FDA8" w14:textId="1D1CE1DF" w:rsidR="003405EE" w:rsidRDefault="003405EE" w:rsidP="0E9096A0">
      <w:pPr>
        <w:spacing w:line="360" w:lineRule="auto"/>
        <w:rPr>
          <w:u w:val="single"/>
        </w:rPr>
      </w:pPr>
      <w:r w:rsidRPr="0E9096A0">
        <w:rPr>
          <w:u w:val="single"/>
        </w:rPr>
        <w:t>Subtheme 4.2: Accessing and navigating the different IT systems</w:t>
      </w:r>
    </w:p>
    <w:p w14:paraId="60B95519" w14:textId="24311008" w:rsidR="003405EE" w:rsidRDefault="003405EE" w:rsidP="0E9096A0">
      <w:pPr>
        <w:spacing w:line="360" w:lineRule="auto"/>
      </w:pPr>
      <w:r>
        <w:t xml:space="preserve">Again, this was commented on by several participants, who identified the frustrations with </w:t>
      </w:r>
      <w:r w:rsidR="00071AC9">
        <w:t>inputting grades at exam board times, or the di</w:t>
      </w:r>
      <w:r w:rsidR="00CC617D">
        <w:t xml:space="preserve">sconnect between different teaching and assessment platforms. </w:t>
      </w:r>
    </w:p>
    <w:p w14:paraId="1408EF1C" w14:textId="7ED94FED" w:rsidR="00CC617D" w:rsidRDefault="00CC617D" w:rsidP="0E9096A0">
      <w:pPr>
        <w:spacing w:line="360" w:lineRule="auto"/>
      </w:pPr>
      <w:r>
        <w:t>“</w:t>
      </w:r>
      <w:r w:rsidR="004B25C6" w:rsidRPr="0E9096A0">
        <w:rPr>
          <w:i/>
          <w:iCs/>
        </w:rPr>
        <w:t xml:space="preserve">Managing Microsoft Teams is difficult for us, as well as getting onto the university login for journals, that’s really fiddly. </w:t>
      </w:r>
      <w:r w:rsidR="00397E25" w:rsidRPr="0E9096A0">
        <w:rPr>
          <w:i/>
          <w:iCs/>
        </w:rPr>
        <w:t xml:space="preserve">We can’t always access things because they’ve changed their IT systems.” </w:t>
      </w:r>
      <w:r w:rsidR="00397E25">
        <w:t>(Belinda).</w:t>
      </w:r>
    </w:p>
    <w:p w14:paraId="270624F2" w14:textId="4A760EFB" w:rsidR="00397E25" w:rsidRDefault="00300184" w:rsidP="0E9096A0">
      <w:pPr>
        <w:spacing w:line="360" w:lineRule="auto"/>
        <w:rPr>
          <w:i/>
          <w:iCs/>
        </w:rPr>
      </w:pPr>
      <w:r>
        <w:t>“</w:t>
      </w:r>
      <w:r w:rsidRPr="0E9096A0">
        <w:rPr>
          <w:i/>
          <w:iCs/>
        </w:rPr>
        <w:t>It’s just small things like the fact that our partners tend to use a different cloud-based system than us, it would all work so much nice</w:t>
      </w:r>
      <w:r w:rsidR="00AE5A9C" w:rsidRPr="0E9096A0">
        <w:rPr>
          <w:i/>
          <w:iCs/>
        </w:rPr>
        <w:t>r</w:t>
      </w:r>
      <w:r w:rsidRPr="0E9096A0">
        <w:rPr>
          <w:i/>
          <w:iCs/>
        </w:rPr>
        <w:t xml:space="preserve"> if it was on one platform and one common sort of software” (Christopher). </w:t>
      </w:r>
    </w:p>
    <w:p w14:paraId="5B73D6EC" w14:textId="00EE70D6" w:rsidR="007C56CA" w:rsidRDefault="007C56CA" w:rsidP="0E9096A0">
      <w:pPr>
        <w:spacing w:line="360" w:lineRule="auto"/>
        <w:rPr>
          <w:u w:val="single"/>
        </w:rPr>
      </w:pPr>
      <w:r w:rsidRPr="0E9096A0">
        <w:rPr>
          <w:u w:val="single"/>
        </w:rPr>
        <w:t>Subtheme 4.3</w:t>
      </w:r>
      <w:r w:rsidR="00BD418E" w:rsidRPr="0E9096A0">
        <w:rPr>
          <w:u w:val="single"/>
        </w:rPr>
        <w:t>: Inadequate Wider College Support and Understanding</w:t>
      </w:r>
    </w:p>
    <w:p w14:paraId="705D9AF7" w14:textId="202EB8B2" w:rsidR="00BD418E" w:rsidRDefault="00CB1515" w:rsidP="0E9096A0">
      <w:pPr>
        <w:spacing w:line="360" w:lineRule="auto"/>
      </w:pPr>
      <w:r>
        <w:lastRenderedPageBreak/>
        <w:t xml:space="preserve">Due to the </w:t>
      </w:r>
      <w:r w:rsidR="00817E34">
        <w:t xml:space="preserve">differences in policies and procedures, several participants </w:t>
      </w:r>
      <w:r w:rsidR="000661FF">
        <w:t>expressed</w:t>
      </w:r>
      <w:r w:rsidR="00817E34">
        <w:t xml:space="preserve"> </w:t>
      </w:r>
      <w:r w:rsidR="00663C59">
        <w:t>frustration that senior management teams often do not understand their CBHE roles, and they frequently</w:t>
      </w:r>
      <w:r w:rsidR="00667E77">
        <w:t xml:space="preserve"> felt that they received inadequate support.</w:t>
      </w:r>
    </w:p>
    <w:p w14:paraId="036E10D3" w14:textId="2A7F4D90" w:rsidR="00AF44D1" w:rsidRDefault="00AA3F99" w:rsidP="0E9096A0">
      <w:pPr>
        <w:spacing w:line="360" w:lineRule="auto"/>
      </w:pPr>
      <w:r>
        <w:t xml:space="preserve">Violet briefly acknowledges this, stating that </w:t>
      </w:r>
      <w:r w:rsidR="005C73FB">
        <w:t xml:space="preserve">she felt adequately supported by her colleagues </w:t>
      </w:r>
      <w:r w:rsidR="005C73FB" w:rsidRPr="0E9096A0">
        <w:rPr>
          <w:i/>
          <w:iCs/>
        </w:rPr>
        <w:t xml:space="preserve">“but not the wider college”. </w:t>
      </w:r>
    </w:p>
    <w:p w14:paraId="3899F464" w14:textId="132181F0" w:rsidR="005C73FB" w:rsidRDefault="00817E34" w:rsidP="0E9096A0">
      <w:pPr>
        <w:spacing w:line="360" w:lineRule="auto"/>
      </w:pPr>
      <w:r>
        <w:t xml:space="preserve">This theme illustrates additional challenges that CBHE college lecturers encounter in their dual roles. They often find themselves in a no-man's land between the two institutions, </w:t>
      </w:r>
      <w:r w:rsidR="008B03B3">
        <w:t>and note their frustrations with trying to navigate different software systems or seeking support from a college that may not understand CBHE.</w:t>
      </w:r>
      <w:r w:rsidR="009A0718">
        <w:t xml:space="preserve"> </w:t>
      </w:r>
    </w:p>
    <w:p w14:paraId="3C6BFFB6" w14:textId="506A0AC7" w:rsidR="000E6F92" w:rsidRDefault="000E6F92" w:rsidP="0E9096A0">
      <w:pPr>
        <w:spacing w:line="360" w:lineRule="auto"/>
        <w:rPr>
          <w:u w:val="single"/>
        </w:rPr>
      </w:pPr>
      <w:r w:rsidRPr="0E9096A0">
        <w:rPr>
          <w:u w:val="single"/>
        </w:rPr>
        <w:t xml:space="preserve">Theme Five: </w:t>
      </w:r>
      <w:r w:rsidR="000332DA" w:rsidRPr="0E9096A0">
        <w:rPr>
          <w:u w:val="single"/>
        </w:rPr>
        <w:t>Staff Workload</w:t>
      </w:r>
    </w:p>
    <w:p w14:paraId="321D1BC2" w14:textId="4A64666D" w:rsidR="000332DA" w:rsidRDefault="000332DA" w:rsidP="0E9096A0">
      <w:pPr>
        <w:spacing w:line="360" w:lineRule="auto"/>
      </w:pPr>
      <w:r>
        <w:t xml:space="preserve">All participants commented on their workload and course delivery. </w:t>
      </w:r>
      <w:r w:rsidR="00761A21">
        <w:t xml:space="preserve">They were all working across different levels within FE and HE, which created a challenge </w:t>
      </w:r>
      <w:r w:rsidR="007C267F">
        <w:t>in balancing</w:t>
      </w:r>
      <w:r w:rsidR="00761A21">
        <w:t xml:space="preserve"> their roles.</w:t>
      </w:r>
      <w:r w:rsidR="00FA1D4F">
        <w:t xml:space="preserve"> The coding process highlighted the broader concept of </w:t>
      </w:r>
      <w:r w:rsidR="00C027C0">
        <w:t xml:space="preserve">subject expertise, but </w:t>
      </w:r>
      <w:r w:rsidR="002B1299">
        <w:t>as</w:t>
      </w:r>
      <w:r w:rsidR="00A072C8">
        <w:t xml:space="preserve"> </w:t>
      </w:r>
      <w:r w:rsidR="00C027C0">
        <w:t>the theme developed,</w:t>
      </w:r>
      <w:r w:rsidR="00A072C8">
        <w:t xml:space="preserve"> it</w:t>
      </w:r>
      <w:r w:rsidR="00C027C0">
        <w:t xml:space="preserve"> </w:t>
      </w:r>
      <w:r w:rsidR="008E2683">
        <w:t>ultimately</w:t>
      </w:r>
      <w:r w:rsidR="00C027C0">
        <w:t xml:space="preserve"> focus</w:t>
      </w:r>
      <w:r w:rsidR="00A072C8">
        <w:t>ed</w:t>
      </w:r>
      <w:r w:rsidR="00C027C0">
        <w:t xml:space="preserve"> on workload and </w:t>
      </w:r>
      <w:r w:rsidR="008E2683">
        <w:t xml:space="preserve">delivery. </w:t>
      </w:r>
      <w:r w:rsidR="00761A21">
        <w:t xml:space="preserve"> </w:t>
      </w:r>
      <w:r w:rsidR="0085648D">
        <w:t>Rather than an opportunity, this again demonstrated the challenges that CBHE lecturers experience.</w:t>
      </w:r>
    </w:p>
    <w:p w14:paraId="7DA55664" w14:textId="7F09C8F4" w:rsidR="00761A21" w:rsidRDefault="00D849DE" w:rsidP="0E9096A0">
      <w:pPr>
        <w:spacing w:line="360" w:lineRule="auto"/>
      </w:pPr>
      <w:r>
        <w:t xml:space="preserve">Subtheme 5.1: </w:t>
      </w:r>
      <w:r w:rsidR="007C267F">
        <w:t>Balancing Diverse Roles</w:t>
      </w:r>
    </w:p>
    <w:p w14:paraId="43DF2EDE" w14:textId="39552A2C" w:rsidR="00B63628" w:rsidRDefault="0076584A" w:rsidP="0E9096A0">
      <w:pPr>
        <w:spacing w:line="360" w:lineRule="auto"/>
      </w:pPr>
      <w:r>
        <w:t>Balancing</w:t>
      </w:r>
      <w:r w:rsidR="008E2683">
        <w:t xml:space="preserve"> the diverse needs of learners from FE and HE often presented a challenge</w:t>
      </w:r>
      <w:r w:rsidR="0085648D">
        <w:t xml:space="preserve"> for the participants, </w:t>
      </w:r>
      <w:r w:rsidR="000E4AA9">
        <w:t>with one participant acknowledging that the college doesn’t have lecturers solely focused on HE</w:t>
      </w:r>
      <w:r w:rsidR="00E96368">
        <w:t xml:space="preserve">. </w:t>
      </w:r>
    </w:p>
    <w:p w14:paraId="5B9F18C9" w14:textId="36DF0A73" w:rsidR="00E96368" w:rsidRPr="00E96368" w:rsidRDefault="00E96368" w:rsidP="0E9096A0">
      <w:pPr>
        <w:spacing w:line="360" w:lineRule="auto"/>
        <w:rPr>
          <w:i/>
          <w:iCs/>
        </w:rPr>
      </w:pPr>
      <w:r>
        <w:t>He commented, “</w:t>
      </w:r>
      <w:r w:rsidR="00E50E15" w:rsidRPr="0E9096A0">
        <w:rPr>
          <w:i/>
          <w:iCs/>
        </w:rPr>
        <w:t>You’ve</w:t>
      </w:r>
      <w:r w:rsidRPr="0E9096A0">
        <w:rPr>
          <w:i/>
          <w:iCs/>
        </w:rPr>
        <w:t xml:space="preserve"> got one sort of 14</w:t>
      </w:r>
      <w:r w:rsidR="00A072C8" w:rsidRPr="0E9096A0">
        <w:rPr>
          <w:i/>
          <w:iCs/>
        </w:rPr>
        <w:t>-</w:t>
      </w:r>
      <w:r w:rsidRPr="0E9096A0">
        <w:rPr>
          <w:i/>
          <w:iCs/>
        </w:rPr>
        <w:t>to</w:t>
      </w:r>
      <w:r w:rsidR="00A072C8" w:rsidRPr="0E9096A0">
        <w:rPr>
          <w:i/>
          <w:iCs/>
        </w:rPr>
        <w:t>-</w:t>
      </w:r>
      <w:r w:rsidR="0076584A" w:rsidRPr="0E9096A0">
        <w:rPr>
          <w:i/>
          <w:iCs/>
        </w:rPr>
        <w:t>16-year-old</w:t>
      </w:r>
      <w:r w:rsidRPr="0E9096A0">
        <w:rPr>
          <w:i/>
          <w:iCs/>
        </w:rPr>
        <w:t xml:space="preserve"> student group in the morning</w:t>
      </w:r>
      <w:r w:rsidR="00E50E15" w:rsidRPr="0E9096A0">
        <w:rPr>
          <w:i/>
          <w:iCs/>
        </w:rPr>
        <w:t>,</w:t>
      </w:r>
      <w:r w:rsidRPr="0E9096A0">
        <w:rPr>
          <w:i/>
          <w:iCs/>
        </w:rPr>
        <w:t xml:space="preserve"> and then in the next session</w:t>
      </w:r>
      <w:r w:rsidR="00E50E15" w:rsidRPr="0E9096A0">
        <w:rPr>
          <w:i/>
          <w:iCs/>
        </w:rPr>
        <w:t>,</w:t>
      </w:r>
      <w:r w:rsidRPr="0E9096A0">
        <w:rPr>
          <w:i/>
          <w:iCs/>
        </w:rPr>
        <w:t xml:space="preserve"> you’ve got a level six group of students. It’s </w:t>
      </w:r>
      <w:r w:rsidR="00E50E15" w:rsidRPr="0E9096A0">
        <w:rPr>
          <w:i/>
          <w:iCs/>
        </w:rPr>
        <w:t>a very</w:t>
      </w:r>
      <w:r w:rsidRPr="0E9096A0">
        <w:rPr>
          <w:i/>
          <w:iCs/>
        </w:rPr>
        <w:t xml:space="preserve"> different </w:t>
      </w:r>
      <w:r w:rsidR="00E50E15" w:rsidRPr="0E9096A0">
        <w:rPr>
          <w:i/>
          <w:iCs/>
        </w:rPr>
        <w:t>range,</w:t>
      </w:r>
      <w:r w:rsidRPr="0E9096A0">
        <w:rPr>
          <w:i/>
          <w:iCs/>
        </w:rPr>
        <w:t xml:space="preserve"> isn’t it</w:t>
      </w:r>
      <w:r w:rsidR="00E50E15" w:rsidRPr="0E9096A0">
        <w:rPr>
          <w:i/>
          <w:iCs/>
        </w:rPr>
        <w:t>?</w:t>
      </w:r>
      <w:r w:rsidRPr="0E9096A0">
        <w:rPr>
          <w:i/>
          <w:iCs/>
        </w:rPr>
        <w:t xml:space="preserve"> </w:t>
      </w:r>
      <w:r w:rsidR="00E50E15" w:rsidRPr="0E9096A0">
        <w:rPr>
          <w:i/>
          <w:iCs/>
        </w:rPr>
        <w:t xml:space="preserve">You’ve got to go from really bespoke in your resources, I guess, to get those levels correct.” (Christopher). </w:t>
      </w:r>
    </w:p>
    <w:p w14:paraId="142B4FC8" w14:textId="2AC544F8" w:rsidR="00860DC2" w:rsidRDefault="008E4E94" w:rsidP="0E9096A0">
      <w:pPr>
        <w:spacing w:line="360" w:lineRule="auto"/>
        <w:rPr>
          <w:u w:val="single"/>
        </w:rPr>
      </w:pPr>
      <w:r w:rsidRPr="0E9096A0">
        <w:rPr>
          <w:u w:val="single"/>
        </w:rPr>
        <w:t>Subtheme 5.2: Preparation Time</w:t>
      </w:r>
    </w:p>
    <w:p w14:paraId="5599DF59" w14:textId="670B3306" w:rsidR="00C81206" w:rsidRDefault="00C81206" w:rsidP="0E9096A0">
      <w:pPr>
        <w:spacing w:line="360" w:lineRule="auto"/>
      </w:pPr>
      <w:r>
        <w:t xml:space="preserve">Participants noted the significant preparation time, but shared that FE </w:t>
      </w:r>
      <w:r w:rsidR="0052599D">
        <w:t>expectations and contracts don’t always account for this:</w:t>
      </w:r>
    </w:p>
    <w:p w14:paraId="44342528" w14:textId="20B50DFE" w:rsidR="0048666E" w:rsidRDefault="0052599D" w:rsidP="0E9096A0">
      <w:pPr>
        <w:spacing w:line="360" w:lineRule="auto"/>
      </w:pPr>
      <w:r>
        <w:lastRenderedPageBreak/>
        <w:t>“</w:t>
      </w:r>
      <w:r w:rsidRPr="0E9096A0">
        <w:rPr>
          <w:i/>
          <w:iCs/>
        </w:rPr>
        <w:t xml:space="preserve">There’s a lot of preparation for delivery, </w:t>
      </w:r>
      <w:r w:rsidR="007660D2" w:rsidRPr="0E9096A0">
        <w:rPr>
          <w:i/>
          <w:iCs/>
        </w:rPr>
        <w:t xml:space="preserve">without running or managing that programme and I think that’s sometimes not recognised as it would be in a purely HE institution” </w:t>
      </w:r>
      <w:r w:rsidR="007660D2">
        <w:t xml:space="preserve">(William). </w:t>
      </w:r>
    </w:p>
    <w:p w14:paraId="568F3EFD" w14:textId="0A123D5B" w:rsidR="00466BF0" w:rsidRDefault="002A54FE" w:rsidP="0E9096A0">
      <w:pPr>
        <w:spacing w:line="360" w:lineRule="auto"/>
      </w:pPr>
      <w:r>
        <w:t>The challenges of working across levels is evident within this theme</w:t>
      </w:r>
      <w:r w:rsidR="00EE3B37">
        <w:t xml:space="preserve"> and</w:t>
      </w:r>
      <w:r>
        <w:t xml:space="preserve"> having to be flexible within their </w:t>
      </w:r>
      <w:r w:rsidR="00EE3B37">
        <w:t xml:space="preserve">teaching </w:t>
      </w:r>
      <w:r>
        <w:t xml:space="preserve">role was evident, </w:t>
      </w:r>
      <w:r w:rsidR="00EE3B37">
        <w:t xml:space="preserve">but </w:t>
      </w:r>
      <w:r w:rsidR="005D79EF">
        <w:t>lack of recognition from senior management prompted frustration from the participants.</w:t>
      </w:r>
    </w:p>
    <w:p w14:paraId="63C9F8BE" w14:textId="2F8A0640" w:rsidR="0048666E" w:rsidRDefault="0048666E" w:rsidP="0E9096A0">
      <w:pPr>
        <w:spacing w:line="360" w:lineRule="auto"/>
      </w:pPr>
      <w:r>
        <w:t>Theme Six: Subject Expertise and Industry Backgrounds</w:t>
      </w:r>
    </w:p>
    <w:p w14:paraId="79ECB0FB" w14:textId="7767588E" w:rsidR="0048666E" w:rsidRPr="00CF0FDA" w:rsidRDefault="0048666E" w:rsidP="0E9096A0">
      <w:pPr>
        <w:spacing w:line="360" w:lineRule="auto"/>
      </w:pPr>
      <w:r>
        <w:t xml:space="preserve">The final theme noted was </w:t>
      </w:r>
      <w:r w:rsidR="00432CED">
        <w:t>the staff’s teaching approaches, which were consistently</w:t>
      </w:r>
      <w:r>
        <w:t xml:space="preserve"> influenced by their subject expertise and industry backgrounds.</w:t>
      </w:r>
      <w:r w:rsidR="00F446DD">
        <w:t xml:space="preserve"> </w:t>
      </w:r>
      <w:r w:rsidR="00957FA1">
        <w:t>The cod</w:t>
      </w:r>
      <w:r w:rsidR="00432CED">
        <w:t xml:space="preserve">ing process highlighted </w:t>
      </w:r>
      <w:r w:rsidR="00F208FE">
        <w:t>the teaching methods used</w:t>
      </w:r>
      <w:r w:rsidR="005F09F4">
        <w:t>, with the lecturers acknowledging that everything they do relates to the industry practice</w:t>
      </w:r>
      <w:r w:rsidR="00B5599E">
        <w:t xml:space="preserve"> and their experience, “</w:t>
      </w:r>
      <w:r w:rsidR="00B5599E" w:rsidRPr="0E9096A0">
        <w:rPr>
          <w:i/>
          <w:iCs/>
        </w:rPr>
        <w:t xml:space="preserve">you can draw on life experience” or </w:t>
      </w:r>
      <w:r w:rsidR="003140D2" w:rsidRPr="0E9096A0">
        <w:rPr>
          <w:i/>
          <w:iCs/>
        </w:rPr>
        <w:t xml:space="preserve">“it’s aligned to industry needs”. </w:t>
      </w:r>
      <w:r w:rsidR="00CF0FDA">
        <w:t>The second round of coding identified key learner-led teaching practices as well as the importance of Industry connections within their work.</w:t>
      </w:r>
    </w:p>
    <w:p w14:paraId="2FD97A30" w14:textId="474C395A" w:rsidR="0048666E" w:rsidRDefault="008E1CEF" w:rsidP="0E9096A0">
      <w:pPr>
        <w:spacing w:line="360" w:lineRule="auto"/>
      </w:pPr>
      <w:r>
        <w:t>Subtheme 6.1: Learner-Led Teaching Methods</w:t>
      </w:r>
    </w:p>
    <w:p w14:paraId="272A5880" w14:textId="64991E65" w:rsidR="008E1CEF" w:rsidRDefault="008E1CEF" w:rsidP="0E9096A0">
      <w:pPr>
        <w:spacing w:line="360" w:lineRule="auto"/>
      </w:pPr>
      <w:r>
        <w:t>Experiential, learner-led methods were employed by staff. They indicated that they used less didactic methods and more practical, creative methods within their teaching:</w:t>
      </w:r>
    </w:p>
    <w:p w14:paraId="0711F610" w14:textId="7F475027" w:rsidR="008E1CEF" w:rsidRDefault="002A69AC" w:rsidP="0E9096A0">
      <w:pPr>
        <w:spacing w:line="360" w:lineRule="auto"/>
        <w:rPr>
          <w:i/>
          <w:iCs/>
        </w:rPr>
      </w:pPr>
      <w:r>
        <w:t xml:space="preserve">Violet, </w:t>
      </w:r>
      <w:r w:rsidR="003546A4">
        <w:t xml:space="preserve">who </w:t>
      </w:r>
      <w:r>
        <w:t>has a performing arts background notes that she “</w:t>
      </w:r>
      <w:r w:rsidRPr="0E9096A0">
        <w:rPr>
          <w:i/>
          <w:iCs/>
        </w:rPr>
        <w:t xml:space="preserve">is always getting the learners actively engaged in the lesson, more than kind of sitting and just learning theories, it’s more engaging”. </w:t>
      </w:r>
    </w:p>
    <w:p w14:paraId="519BF9AD" w14:textId="39628A13" w:rsidR="003546A4" w:rsidRDefault="003546A4" w:rsidP="0E9096A0">
      <w:pPr>
        <w:spacing w:line="360" w:lineRule="auto"/>
        <w:rPr>
          <w:i/>
          <w:iCs/>
        </w:rPr>
      </w:pPr>
      <w:r>
        <w:t>Belinda also noted a similar teaching method</w:t>
      </w:r>
      <w:r w:rsidR="007401A7">
        <w:t>, commenting that she wouldn’t call her teaching a lecture. She comments: “I want them to learn from each other, so it’s got to be an active learning process;</w:t>
      </w:r>
      <w:r w:rsidR="000356CD" w:rsidRPr="0E9096A0">
        <w:rPr>
          <w:i/>
          <w:iCs/>
        </w:rPr>
        <w:t xml:space="preserve"> the</w:t>
      </w:r>
      <w:r w:rsidR="004A6DD0" w:rsidRPr="0E9096A0">
        <w:rPr>
          <w:i/>
          <w:iCs/>
        </w:rPr>
        <w:t>y’re</w:t>
      </w:r>
      <w:r w:rsidR="000356CD" w:rsidRPr="0E9096A0">
        <w:rPr>
          <w:i/>
          <w:iCs/>
        </w:rPr>
        <w:t xml:space="preserve"> learning from discussion and interaction.”</w:t>
      </w:r>
    </w:p>
    <w:p w14:paraId="48920C06" w14:textId="79C624ED" w:rsidR="00EA09D5" w:rsidRDefault="00EA09D5" w:rsidP="0E9096A0">
      <w:pPr>
        <w:spacing w:line="360" w:lineRule="auto"/>
      </w:pPr>
      <w:r>
        <w:t xml:space="preserve">In addition, the participants were keen to note that they wanted to prepare their learners for industry and </w:t>
      </w:r>
      <w:r w:rsidR="00F02CDE">
        <w:t>that their teaching methods were focused on giving learners experience which they can transfer into the workplace:</w:t>
      </w:r>
    </w:p>
    <w:p w14:paraId="70C9EFE4" w14:textId="03D31E38" w:rsidR="00F02CDE" w:rsidRDefault="00FE4B30" w:rsidP="0E9096A0">
      <w:pPr>
        <w:spacing w:line="360" w:lineRule="auto"/>
        <w:rPr>
          <w:i/>
          <w:iCs/>
        </w:rPr>
      </w:pPr>
      <w:r>
        <w:lastRenderedPageBreak/>
        <w:t>“</w:t>
      </w:r>
      <w:r w:rsidRPr="0E9096A0">
        <w:rPr>
          <w:i/>
          <w:iCs/>
        </w:rPr>
        <w:t xml:space="preserve">So every module that we are </w:t>
      </w:r>
      <w:r w:rsidR="009755BB" w:rsidRPr="0E9096A0">
        <w:rPr>
          <w:i/>
          <w:iCs/>
        </w:rPr>
        <w:t>delivering</w:t>
      </w:r>
      <w:r w:rsidRPr="0E9096A0">
        <w:rPr>
          <w:i/>
          <w:iCs/>
        </w:rPr>
        <w:t xml:space="preserve">, we want it to be suitable and rewarding to the learners because it needs to be something they’re going to use out in industry” (Christopher). </w:t>
      </w:r>
    </w:p>
    <w:p w14:paraId="16AA7B31" w14:textId="43B77548" w:rsidR="00080052" w:rsidRPr="00CF0FDA" w:rsidRDefault="00080052" w:rsidP="0E9096A0">
      <w:pPr>
        <w:spacing w:line="360" w:lineRule="auto"/>
      </w:pPr>
      <w:r>
        <w:t>Subtheme 6.2: Industry Links</w:t>
      </w:r>
    </w:p>
    <w:p w14:paraId="5A421502" w14:textId="3E662A5F" w:rsidR="00080052" w:rsidRDefault="00080052" w:rsidP="0E9096A0">
      <w:pPr>
        <w:spacing w:line="360" w:lineRule="auto"/>
      </w:pPr>
      <w:r>
        <w:t xml:space="preserve">The strong participant links to industry </w:t>
      </w:r>
      <w:r w:rsidR="00D76197">
        <w:t>were</w:t>
      </w:r>
      <w:r>
        <w:t xml:space="preserve"> a key element of the discussions</w:t>
      </w:r>
      <w:r w:rsidR="00D76197">
        <w:t>.</w:t>
      </w:r>
      <w:r>
        <w:t xml:space="preserve"> </w:t>
      </w:r>
      <w:r w:rsidR="00D76197">
        <w:t>In</w:t>
      </w:r>
      <w:r w:rsidR="00F61467">
        <w:t xml:space="preserve"> addition</w:t>
      </w:r>
      <w:r w:rsidR="00D76197">
        <w:t>,</w:t>
      </w:r>
      <w:r w:rsidR="00F61467">
        <w:t xml:space="preserve"> the participants frequently noted the learners who were also currently in a work placement, which enhanced the discussions and practice: </w:t>
      </w:r>
    </w:p>
    <w:p w14:paraId="3E772C4A" w14:textId="31907DE4" w:rsidR="00D12E96" w:rsidRDefault="00D12E96" w:rsidP="0E9096A0">
      <w:pPr>
        <w:spacing w:line="360" w:lineRule="auto"/>
        <w:rPr>
          <w:i/>
          <w:iCs/>
        </w:rPr>
      </w:pPr>
      <w:r>
        <w:t>“</w:t>
      </w:r>
      <w:r w:rsidRPr="0E9096A0">
        <w:rPr>
          <w:i/>
          <w:iCs/>
        </w:rPr>
        <w:t xml:space="preserve">Students have a </w:t>
      </w:r>
      <w:r w:rsidR="00F3596B" w:rsidRPr="0E9096A0">
        <w:rPr>
          <w:i/>
          <w:iCs/>
        </w:rPr>
        <w:t>strong sense of belonging, I guess within the industry”,</w:t>
      </w:r>
      <w:r w:rsidRPr="0E9096A0">
        <w:rPr>
          <w:i/>
          <w:iCs/>
        </w:rPr>
        <w:t xml:space="preserve"> Christopher.</w:t>
      </w:r>
    </w:p>
    <w:p w14:paraId="4DDFA6EE" w14:textId="496442FB" w:rsidR="003603D9" w:rsidRDefault="00747870" w:rsidP="007D4EB7">
      <w:pPr>
        <w:spacing w:line="360" w:lineRule="auto"/>
        <w:rPr>
          <w:i/>
          <w:iCs/>
        </w:rPr>
      </w:pPr>
      <w:r>
        <w:rPr>
          <w:i/>
          <w:iCs/>
        </w:rPr>
        <w:t>“Students are working in industry, they’re normally quite focused on their own pathway (William)</w:t>
      </w:r>
      <w:r w:rsidR="003603D9">
        <w:rPr>
          <w:i/>
          <w:iCs/>
        </w:rPr>
        <w:t xml:space="preserve">. </w:t>
      </w:r>
      <w:r w:rsidR="003603D9">
        <w:t>William also notes the important industry networks that they have, stating</w:t>
      </w:r>
      <w:r w:rsidR="00836576">
        <w:t>,</w:t>
      </w:r>
      <w:r w:rsidR="003603D9">
        <w:t xml:space="preserve"> “</w:t>
      </w:r>
      <w:r w:rsidR="004F2CB2">
        <w:rPr>
          <w:i/>
          <w:iCs/>
        </w:rPr>
        <w:t xml:space="preserve">We’ve got a lot of networks that we collaborate with apprenticeships and those kinds of </w:t>
      </w:r>
      <w:r w:rsidR="00836576">
        <w:rPr>
          <w:i/>
          <w:iCs/>
        </w:rPr>
        <w:t>scenarios. We’ve naturally</w:t>
      </w:r>
      <w:r w:rsidR="004F2CB2">
        <w:rPr>
          <w:i/>
          <w:iCs/>
        </w:rPr>
        <w:t xml:space="preserve"> got those industry partners aware of what we do</w:t>
      </w:r>
      <w:r w:rsidR="00836576">
        <w:rPr>
          <w:i/>
          <w:iCs/>
        </w:rPr>
        <w:t xml:space="preserve">, it’s a good connection to have with industry”. </w:t>
      </w:r>
    </w:p>
    <w:p w14:paraId="786E5E33" w14:textId="54101412" w:rsidR="006D7921" w:rsidRDefault="00AF0BCA" w:rsidP="0E9096A0">
      <w:pPr>
        <w:spacing w:line="360" w:lineRule="auto"/>
      </w:pPr>
      <w:r>
        <w:t>This theme underscores the significance of industry connections and illustrates the opportunities that CBHE offers, directly relating to the research question posed for this project.</w:t>
      </w:r>
    </w:p>
    <w:p w14:paraId="287E794B" w14:textId="23372912" w:rsidR="006D7921" w:rsidRPr="006D7921" w:rsidRDefault="003A317D" w:rsidP="0E9096A0">
      <w:pPr>
        <w:spacing w:line="360" w:lineRule="auto"/>
      </w:pPr>
      <w:r>
        <w:t>These themes highlight both the challenges and opportunities that CBHE presents. They recognise the rewards of teaching</w:t>
      </w:r>
      <w:r w:rsidR="001E32A4">
        <w:t>,</w:t>
      </w:r>
      <w:r>
        <w:t xml:space="preserve"> yet also illustrate the complexities of working within a dual institutional </w:t>
      </w:r>
      <w:r w:rsidR="001E32A4">
        <w:t>framework</w:t>
      </w:r>
      <w:r>
        <w:t>. The participants emphasise the significance of industry connections, but also acknowledge the limited support and understanding within the broader college context. What emerged clearly from the interviews was the enjoyment the participants experienced while teaching, albeit with specific challenges.</w:t>
      </w:r>
    </w:p>
    <w:p w14:paraId="108EC3CD" w14:textId="54D6DA6C" w:rsidR="003F1865" w:rsidRPr="00DD34AD" w:rsidRDefault="003A317D" w:rsidP="0E9096A0">
      <w:pPr>
        <w:spacing w:line="360" w:lineRule="auto"/>
        <w:rPr>
          <w:b/>
          <w:bCs/>
          <w:sz w:val="28"/>
          <w:szCs w:val="28"/>
          <w:u w:val="single"/>
        </w:rPr>
      </w:pPr>
      <w:r w:rsidRPr="0E9096A0">
        <w:rPr>
          <w:sz w:val="28"/>
          <w:szCs w:val="28"/>
          <w:u w:val="single"/>
        </w:rPr>
        <w:t>Discussion</w:t>
      </w:r>
    </w:p>
    <w:p w14:paraId="39732336" w14:textId="4A714033" w:rsidR="003A317D" w:rsidRDefault="00604F76" w:rsidP="0E9096A0">
      <w:pPr>
        <w:spacing w:line="360" w:lineRule="auto"/>
      </w:pPr>
      <w:r>
        <w:t xml:space="preserve">This chapter will now </w:t>
      </w:r>
      <w:r w:rsidR="00286BD3">
        <w:t xml:space="preserve">discuss the </w:t>
      </w:r>
      <w:r w:rsidR="00DB4CC0">
        <w:t xml:space="preserve">connections between the findings in this research and those </w:t>
      </w:r>
      <w:r w:rsidR="00286BD3">
        <w:t xml:space="preserve">published previously. </w:t>
      </w:r>
      <w:r w:rsidR="00E44EB8">
        <w:t xml:space="preserve">It will note any similarities or discrepancies with previous studies and </w:t>
      </w:r>
      <w:r w:rsidR="00A730BE">
        <w:t>highlight implications for practice.</w:t>
      </w:r>
      <w:r w:rsidR="00AC752D">
        <w:t xml:space="preserve"> The research question will be fundamental </w:t>
      </w:r>
      <w:r w:rsidR="00AC752D">
        <w:lastRenderedPageBreak/>
        <w:t>to the chapter</w:t>
      </w:r>
      <w:r w:rsidR="00DE1F21">
        <w:t>,</w:t>
      </w:r>
      <w:r w:rsidR="00AC752D">
        <w:t xml:space="preserve"> and reference to this will be made throughout</w:t>
      </w:r>
      <w:r w:rsidR="00DE1F21">
        <w:t>.</w:t>
      </w:r>
      <w:r w:rsidR="00A730BE">
        <w:t xml:space="preserve"> </w:t>
      </w:r>
      <w:r w:rsidR="0016525A">
        <w:t>Concluding insights will be offered at the end of the chapter.</w:t>
      </w:r>
      <w:r w:rsidR="003C6D39">
        <w:t xml:space="preserve"> </w:t>
      </w:r>
    </w:p>
    <w:p w14:paraId="71048821" w14:textId="4B26B299" w:rsidR="00FD2510" w:rsidRDefault="00FD2510" w:rsidP="0E9096A0">
      <w:pPr>
        <w:spacing w:line="360" w:lineRule="auto"/>
        <w:rPr>
          <w:u w:val="single"/>
        </w:rPr>
      </w:pPr>
      <w:r w:rsidRPr="0E9096A0">
        <w:rPr>
          <w:u w:val="single"/>
        </w:rPr>
        <w:t xml:space="preserve">Theme One </w:t>
      </w:r>
      <w:r w:rsidR="000E594A" w:rsidRPr="0E9096A0">
        <w:rPr>
          <w:u w:val="single"/>
        </w:rPr>
        <w:t>–</w:t>
      </w:r>
      <w:r w:rsidRPr="0E9096A0">
        <w:rPr>
          <w:u w:val="single"/>
        </w:rPr>
        <w:t xml:space="preserve"> </w:t>
      </w:r>
      <w:r w:rsidR="000E594A" w:rsidRPr="0E9096A0">
        <w:rPr>
          <w:u w:val="single"/>
        </w:rPr>
        <w:t>Access to CBHE and Learner Support.</w:t>
      </w:r>
    </w:p>
    <w:p w14:paraId="373616D9" w14:textId="76E2972C" w:rsidR="00CC0C23" w:rsidRPr="003F0A0A" w:rsidRDefault="00424DDD" w:rsidP="0E9096A0">
      <w:pPr>
        <w:spacing w:line="360" w:lineRule="auto"/>
      </w:pPr>
      <w:r>
        <w:t xml:space="preserve">This prominent theme acknowledges the demographics of learners and the support they receive within CBHE. The literature highlights the influence of Widening Participation policies on FE colleges, and previous studies have identified that these governmental strategies have a substantial impact on student demographics within CBHE programmes (Simmons, 2016; Taylor and Bullock, WCPP, 2044). The participants in this study noted on many occasions that their learners were non-traditional, many of whom had industry experience but were seeking to retrain. Moreover, they acknowledged that many of their learners had previously struggled with education, and this was their final opportunity to achieve an award. This somewhat aligns with the barriers noted in Pember et al.'s (2021) paper, which explores the challenges that learners face, </w:t>
      </w:r>
      <w:r w:rsidR="000B1924">
        <w:t>highlighting the</w:t>
      </w:r>
      <w:r>
        <w:t xml:space="preserve"> negative self-beliefs about education and learning</w:t>
      </w:r>
      <w:r w:rsidR="000B1924">
        <w:t xml:space="preserve"> that learners can demonstrate</w:t>
      </w:r>
      <w:r>
        <w:t>. It is worth noting, however, that none of the previous papers acknowledged the learners’ belief that this was their final attempt at learning. However, there may well be f</w:t>
      </w:r>
      <w:r w:rsidR="00E07B4F">
        <w:t>urther qualitative</w:t>
      </w:r>
      <w:r>
        <w:t xml:space="preserve"> studies </w:t>
      </w:r>
      <w:r w:rsidR="00E07B4F">
        <w:t xml:space="preserve">specifically </w:t>
      </w:r>
      <w:r>
        <w:t>focusing</w:t>
      </w:r>
      <w:r w:rsidR="00E07B4F">
        <w:t xml:space="preserve"> </w:t>
      </w:r>
      <w:r>
        <w:t xml:space="preserve">on learners’ reasons for attempting CBHE programmes, and this may be noted </w:t>
      </w:r>
      <w:r w:rsidR="00E07B4F">
        <w:t xml:space="preserve">in that research. The </w:t>
      </w:r>
      <w:r w:rsidR="00D225D4">
        <w:t>literature search for this study focused on lecturing experiences.</w:t>
      </w:r>
    </w:p>
    <w:p w14:paraId="24D20A7D" w14:textId="5E48F5DF" w:rsidR="007D2FB1" w:rsidRDefault="00A47A84" w:rsidP="0E9096A0">
      <w:pPr>
        <w:spacing w:line="360" w:lineRule="auto"/>
      </w:pPr>
      <w:r>
        <w:t xml:space="preserve">A subtheme within this section also identified that </w:t>
      </w:r>
      <w:r w:rsidR="00A76325">
        <w:t xml:space="preserve">many learners </w:t>
      </w:r>
      <w:r w:rsidR="00CD2331">
        <w:t>frequently</w:t>
      </w:r>
      <w:r w:rsidR="00A76325">
        <w:t xml:space="preserve"> had weaker academic skills and thus needed additional tutorial support.</w:t>
      </w:r>
      <w:r w:rsidR="00366460">
        <w:t xml:space="preserve"> This </w:t>
      </w:r>
      <w:r w:rsidR="00010C42">
        <w:t xml:space="preserve">finding is </w:t>
      </w:r>
      <w:r w:rsidR="00B41B6D">
        <w:t xml:space="preserve">also </w:t>
      </w:r>
      <w:r w:rsidR="00010C42">
        <w:t>similar to those reported in previous research, which have noted a</w:t>
      </w:r>
      <w:r w:rsidR="00622FDC">
        <w:t xml:space="preserve"> </w:t>
      </w:r>
      <w:r w:rsidR="00AE73DF">
        <w:t xml:space="preserve">greater need for pastoral and academic mentoring in CBHE (Chowdery, 2013; Simmons, 2016). </w:t>
      </w:r>
      <w:r w:rsidR="004A0272">
        <w:t xml:space="preserve">Additionally, </w:t>
      </w:r>
      <w:r w:rsidR="00662AA3">
        <w:t>th</w:t>
      </w:r>
      <w:r w:rsidR="00286475">
        <w:t xml:space="preserve">e participants acknowledged the smaller class sizes and sense of community between subject-specific cohorts. </w:t>
      </w:r>
      <w:r w:rsidR="004E71D5">
        <w:t xml:space="preserve">They argued that this </w:t>
      </w:r>
      <w:r w:rsidR="00322F1D">
        <w:t>has</w:t>
      </w:r>
      <w:r w:rsidR="004E71D5">
        <w:t xml:space="preserve"> </w:t>
      </w:r>
      <w:r w:rsidR="00AF4A75">
        <w:t>meant</w:t>
      </w:r>
      <w:r w:rsidR="004E71D5">
        <w:t xml:space="preserve"> a more student-</w:t>
      </w:r>
      <w:r w:rsidR="00930162">
        <w:t>centred</w:t>
      </w:r>
      <w:r w:rsidR="004E71D5">
        <w:t xml:space="preserve"> teaching style</w:t>
      </w:r>
      <w:r w:rsidR="00930162">
        <w:t xml:space="preserve">, which enables a curriculum more focused on learner and industry needs. </w:t>
      </w:r>
      <w:r w:rsidR="00432E43">
        <w:t xml:space="preserve">Being more </w:t>
      </w:r>
      <w:r w:rsidR="00FF70B7">
        <w:t xml:space="preserve">connected </w:t>
      </w:r>
      <w:r w:rsidR="00432E43">
        <w:t xml:space="preserve">with industry </w:t>
      </w:r>
      <w:r w:rsidR="0057356A">
        <w:t xml:space="preserve">and allowing </w:t>
      </w:r>
      <w:r w:rsidR="00AF4A75">
        <w:t xml:space="preserve">for </w:t>
      </w:r>
      <w:r w:rsidR="0057356A">
        <w:t xml:space="preserve">flexible study </w:t>
      </w:r>
      <w:r w:rsidR="002D2FDC">
        <w:t>are</w:t>
      </w:r>
      <w:r w:rsidR="0057356A">
        <w:t xml:space="preserve"> significant benefit</w:t>
      </w:r>
      <w:r w:rsidR="002D2FDC">
        <w:t>s</w:t>
      </w:r>
      <w:r w:rsidR="0057356A">
        <w:t xml:space="preserve"> </w:t>
      </w:r>
      <w:r w:rsidR="0057356A">
        <w:lastRenderedPageBreak/>
        <w:t>of CBHE</w:t>
      </w:r>
      <w:r w:rsidR="002D2FDC">
        <w:t>, aligning with the Welsh Government's</w:t>
      </w:r>
      <w:r w:rsidR="00FF70B7">
        <w:t xml:space="preserve"> Wider Participation agenda (Welsh Government, 2015</w:t>
      </w:r>
      <w:r w:rsidR="00CE12AD">
        <w:t xml:space="preserve">, </w:t>
      </w:r>
      <w:r w:rsidR="00CD73B2">
        <w:t>WCPP, 2024).</w:t>
      </w:r>
    </w:p>
    <w:p w14:paraId="13F86614" w14:textId="435818CE" w:rsidR="002D2FDC" w:rsidRDefault="00BD5E43" w:rsidP="0E9096A0">
      <w:pPr>
        <w:spacing w:line="360" w:lineRule="auto"/>
      </w:pPr>
      <w:r>
        <w:t xml:space="preserve">Given these points, it </w:t>
      </w:r>
      <w:r w:rsidR="002D0424">
        <w:t>is suggested</w:t>
      </w:r>
      <w:r>
        <w:t xml:space="preserve"> that CBHE offers opportunities for disadvantaged learners and is a rewarding role for the lecturers </w:t>
      </w:r>
      <w:r w:rsidR="002D0424">
        <w:t>who</w:t>
      </w:r>
      <w:r>
        <w:t xml:space="preserve"> teach within this context</w:t>
      </w:r>
      <w:r w:rsidR="002D0424">
        <w:t>. However,</w:t>
      </w:r>
      <w:r>
        <w:t xml:space="preserve"> </w:t>
      </w:r>
      <w:r w:rsidR="00D51282">
        <w:t xml:space="preserve">as noted by participant </w:t>
      </w:r>
      <w:r w:rsidR="00D51282" w:rsidRPr="0E9096A0">
        <w:rPr>
          <w:i/>
          <w:iCs/>
        </w:rPr>
        <w:t xml:space="preserve">Belinda, </w:t>
      </w:r>
      <w:r>
        <w:t>it can be a double-edged sword</w:t>
      </w:r>
      <w:r w:rsidR="00CF0661">
        <w:t xml:space="preserve">, as </w:t>
      </w:r>
      <w:r w:rsidR="000A2310">
        <w:t>offering support to learners who experience significant difficulties when completing academic assessments can be quite demanding</w:t>
      </w:r>
      <w:r w:rsidR="00D51282">
        <w:t>.</w:t>
      </w:r>
    </w:p>
    <w:p w14:paraId="4CC7DF52" w14:textId="3D9611AB" w:rsidR="0053786B" w:rsidRPr="00FE1FB9" w:rsidRDefault="0053786B" w:rsidP="0E9096A0">
      <w:pPr>
        <w:spacing w:line="360" w:lineRule="auto"/>
        <w:rPr>
          <w:u w:val="single"/>
        </w:rPr>
      </w:pPr>
      <w:r w:rsidRPr="0E9096A0">
        <w:rPr>
          <w:u w:val="single"/>
        </w:rPr>
        <w:t xml:space="preserve">Theme Two </w:t>
      </w:r>
      <w:r w:rsidR="004C08A2" w:rsidRPr="0E9096A0">
        <w:rPr>
          <w:u w:val="single"/>
        </w:rPr>
        <w:t>–</w:t>
      </w:r>
      <w:r w:rsidRPr="0E9096A0">
        <w:rPr>
          <w:u w:val="single"/>
        </w:rPr>
        <w:t xml:space="preserve"> </w:t>
      </w:r>
      <w:r w:rsidR="004C08A2" w:rsidRPr="0E9096A0">
        <w:rPr>
          <w:u w:val="single"/>
        </w:rPr>
        <w:t>The Challenges of the FE Setting for HE provision</w:t>
      </w:r>
    </w:p>
    <w:p w14:paraId="02795D6E" w14:textId="1B6462BA" w:rsidR="004C08A2" w:rsidRDefault="00984F69" w:rsidP="0E9096A0">
      <w:pPr>
        <w:spacing w:line="360" w:lineRule="auto"/>
      </w:pPr>
      <w:r>
        <w:t xml:space="preserve">Several challenges arose within the data, specifically relating to the resources and facilities found within CBHE. In this study, library resources and quiet spaces were identified as </w:t>
      </w:r>
      <w:r w:rsidR="00800833">
        <w:t>key issues, particularly in a busy FE</w:t>
      </w:r>
      <w:r>
        <w:t xml:space="preserve"> college. Only a minimal amount of literature discussed the </w:t>
      </w:r>
      <w:r w:rsidR="00800833">
        <w:t xml:space="preserve">specific </w:t>
      </w:r>
      <w:r>
        <w:t xml:space="preserve">resource needs of CBHE programmes. Bullock and Henry (2022) identified the inconsistencies between colleges and universities, noting that it is almost impossible to provide similar opportunities in CBHE, given the reduced funding they receive. </w:t>
      </w:r>
      <w:r w:rsidR="000A2C67">
        <w:t xml:space="preserve">Both Augar (2019) and </w:t>
      </w:r>
      <w:r>
        <w:t xml:space="preserve">Kinman (2023) briefly acknowledge the reduced funding in FE, stating that this is an issue within the college workplace. </w:t>
      </w:r>
      <w:r w:rsidR="00FD2409">
        <w:t xml:space="preserve">A Welsh Government review (2022) also highlighted the cuts to the FE sector and acknowledged that these have impacted learners, particularly those from </w:t>
      </w:r>
      <w:r w:rsidR="00154DEB">
        <w:t xml:space="preserve">disadvantaged socio-economic groups. </w:t>
      </w:r>
      <w:r>
        <w:t>There is an expectation within the Welsh Government that provisions will be made for HE programmes in FE colleges</w:t>
      </w:r>
      <w:r w:rsidR="004E0ED5">
        <w:t xml:space="preserve"> (Colleges Wales, 2020)</w:t>
      </w:r>
      <w:r>
        <w:t xml:space="preserve">, but it appears that funding is not fully allocated to provide CBHE programmes with the necessary resources required for learners. If CBHE is going to expand, this issue will need further attention. </w:t>
      </w:r>
    </w:p>
    <w:p w14:paraId="17BEADF5" w14:textId="6D62221C" w:rsidR="0026511F" w:rsidRDefault="00365A5A" w:rsidP="0E9096A0">
      <w:pPr>
        <w:spacing w:line="360" w:lineRule="auto"/>
      </w:pPr>
      <w:r>
        <w:t xml:space="preserve">Subthemes two and three identified the misalignment of provision, policies, and procedures, with participants expressing their frustration at the lack of support for learners with additional learning needs. They particularly noted the limited screening processes during </w:t>
      </w:r>
      <w:r w:rsidR="006B5B49">
        <w:t>admission</w:t>
      </w:r>
      <w:r>
        <w:t xml:space="preserve">. Furthermore, they indicated that policies were often created with FE learners in mind, which they felt infantilised their learners. Within Kinman’s (2023) study, it was acknowledged that FE management </w:t>
      </w:r>
      <w:r w:rsidR="002D568D">
        <w:t>frequently</w:t>
      </w:r>
      <w:r>
        <w:t xml:space="preserve"> had similar expectations for FE and HE </w:t>
      </w:r>
      <w:r>
        <w:lastRenderedPageBreak/>
        <w:t>programmes. The participants in that research expressed similar thoughts to the data presented here, asserting that “one size does not fit all</w:t>
      </w:r>
      <w:r w:rsidR="00DA51C4">
        <w:t xml:space="preserve">”. </w:t>
      </w:r>
      <w:r w:rsidR="00466EB6">
        <w:t xml:space="preserve">As with previous comments, </w:t>
      </w:r>
      <w:r w:rsidR="00A42AFF">
        <w:t>the literature exploring the HE in FE context is limited; further examination of the policies and procedures, particularly the administrative frameworks within which CBHE programmes sit</w:t>
      </w:r>
      <w:r w:rsidR="00590E86">
        <w:t>, would provide additional understanding</w:t>
      </w:r>
      <w:r w:rsidR="00477081">
        <w:t xml:space="preserve"> </w:t>
      </w:r>
      <w:r w:rsidR="00590E86">
        <w:t xml:space="preserve">of the </w:t>
      </w:r>
      <w:r w:rsidR="00F36C0C">
        <w:t xml:space="preserve">educational </w:t>
      </w:r>
      <w:r w:rsidR="00590E86">
        <w:t>context.</w:t>
      </w:r>
    </w:p>
    <w:p w14:paraId="2EA8883A" w14:textId="155BCBAD" w:rsidR="00971A37" w:rsidRPr="00FE1FB9" w:rsidRDefault="00971A37" w:rsidP="0E9096A0">
      <w:pPr>
        <w:spacing w:line="360" w:lineRule="auto"/>
        <w:rPr>
          <w:u w:val="single"/>
        </w:rPr>
      </w:pPr>
      <w:r>
        <w:t>T</w:t>
      </w:r>
      <w:r w:rsidRPr="0E9096A0">
        <w:rPr>
          <w:u w:val="single"/>
        </w:rPr>
        <w:t xml:space="preserve">heme Three </w:t>
      </w:r>
      <w:r w:rsidR="00EC6797" w:rsidRPr="0E9096A0">
        <w:rPr>
          <w:u w:val="single"/>
        </w:rPr>
        <w:t>–</w:t>
      </w:r>
      <w:r w:rsidRPr="0E9096A0">
        <w:rPr>
          <w:u w:val="single"/>
        </w:rPr>
        <w:t xml:space="preserve"> </w:t>
      </w:r>
      <w:r w:rsidR="00EC6797" w:rsidRPr="0E9096A0">
        <w:rPr>
          <w:u w:val="single"/>
        </w:rPr>
        <w:t>Rewards of Impact and Connections with Industry</w:t>
      </w:r>
    </w:p>
    <w:p w14:paraId="33963C08" w14:textId="25919858" w:rsidR="00EC6797" w:rsidRDefault="00740F0E" w:rsidP="0E9096A0">
      <w:pPr>
        <w:spacing w:line="360" w:lineRule="auto"/>
      </w:pPr>
      <w:r>
        <w:t>This theme presented more opportunities for the CBHE lecturer; all participants indicated that they felt a real sense of reward and privilege as they supported their learners in achieving the awards.</w:t>
      </w:r>
      <w:r w:rsidR="00056219">
        <w:t xml:space="preserve"> The first subtheme highlighted the transformative impact of CBHE</w:t>
      </w:r>
      <w:r w:rsidR="00A03665">
        <w:t>;</w:t>
      </w:r>
      <w:r w:rsidR="00056219">
        <w:t xml:space="preserve"> </w:t>
      </w:r>
      <w:r w:rsidR="00A03665">
        <w:t>interestingly, much of the literature focused on the challenges of CBHE, and only minimally touched on the rewards of the profession</w:t>
      </w:r>
      <w:r w:rsidR="002F2F84">
        <w:t>, however</w:t>
      </w:r>
      <w:r w:rsidR="00D02B91">
        <w:t xml:space="preserve"> McGhie (2017) did note that CBHE lecturers state that they prefer to remain within the FE context, rather than work in an HEI, </w:t>
      </w:r>
      <w:r w:rsidR="00E4209E">
        <w:t>primarily</w:t>
      </w:r>
      <w:r w:rsidR="00D02B91">
        <w:t xml:space="preserve"> because they appreciate the </w:t>
      </w:r>
      <w:r w:rsidR="00E4209E">
        <w:t xml:space="preserve">professional relationships that they have with their learners. Reay (2018) found similar </w:t>
      </w:r>
      <w:r w:rsidR="006544CD">
        <w:t xml:space="preserve">results, noting that the college context does promote greater engagement with learners. </w:t>
      </w:r>
      <w:r w:rsidR="00A51D48">
        <w:t xml:space="preserve">Although the literature doesn’t specifically explore the rewards, there is an underlying subtext that suggests CBHE lecturers do value their roles and the rewards </w:t>
      </w:r>
      <w:r w:rsidR="008574FA">
        <w:t xml:space="preserve">they can bring. </w:t>
      </w:r>
    </w:p>
    <w:p w14:paraId="753E93BD" w14:textId="399210BE" w:rsidR="003403F4" w:rsidRDefault="00EE1AF2" w:rsidP="0E9096A0">
      <w:pPr>
        <w:spacing w:line="360" w:lineRule="auto"/>
      </w:pPr>
      <w:r>
        <w:t>Industry links were mentioned several times during the data-gathering process. Participants emphasised the importance of maintaining industry connections but also valued the idea that they were supporting the next generation of professionals. The Welsh Government review (2015) highlighted the opportunities that FE presents, acknowledging that there are opportunities for workforce progression. Furthermore, studies reveal that learners often opt to study in CBHE because of the vocational programmes offered (Gill, 2019). Although this study doesn’t specifically explore the le</w:t>
      </w:r>
      <w:r w:rsidR="00974EA8">
        <w:t>arner</w:t>
      </w:r>
      <w:r>
        <w:t xml:space="preserve"> experience, it does provide a bridge between the learners’ requirements and the lecturer’s sense that industry links within their programmes are significant.</w:t>
      </w:r>
    </w:p>
    <w:p w14:paraId="2FF373C2" w14:textId="7084F3EC" w:rsidR="00A51D48" w:rsidRDefault="00582055" w:rsidP="0E9096A0">
      <w:pPr>
        <w:spacing w:line="360" w:lineRule="auto"/>
      </w:pPr>
      <w:r>
        <w:t xml:space="preserve">Furthermore, while linking to </w:t>
      </w:r>
      <w:r w:rsidR="009129FB">
        <w:t xml:space="preserve">Theme One, this theme shifts the </w:t>
      </w:r>
      <w:r>
        <w:t xml:space="preserve">focus from disadvantaged learners to humanistic, student-centred teaching and the benefits it offers. Lecturers are </w:t>
      </w:r>
      <w:r>
        <w:lastRenderedPageBreak/>
        <w:t xml:space="preserve">more attuned to the individual needs of students and, as a result, can provide additional pastoral care. This </w:t>
      </w:r>
      <w:r w:rsidR="009129FB">
        <w:t>aligns with the Widening Participation strategies, which suggest</w:t>
      </w:r>
      <w:r>
        <w:t xml:space="preserve"> that CBHE learners can receive individual support (Trotman, 2023; McEwan et al., 2024). Addressing the needs of learners is a central theme in the data of this study, which also aligns with the literature discussed in the review chapter. Although the participants do not always state that the rewards of the role are opportunities, it suggests that this is a more positive aspect of their position and is potentially the key that keeps them in the</w:t>
      </w:r>
      <w:r w:rsidR="00783623">
        <w:t xml:space="preserve"> profession.</w:t>
      </w:r>
    </w:p>
    <w:p w14:paraId="7260CAB6" w14:textId="2A90F0F8" w:rsidR="00783623" w:rsidRPr="00343467" w:rsidRDefault="008D4E22" w:rsidP="0E9096A0">
      <w:pPr>
        <w:spacing w:line="360" w:lineRule="auto"/>
        <w:rPr>
          <w:u w:val="single"/>
        </w:rPr>
      </w:pPr>
      <w:r w:rsidRPr="0E9096A0">
        <w:rPr>
          <w:u w:val="single"/>
        </w:rPr>
        <w:t>Theme Four – Dual Institutional Challenges</w:t>
      </w:r>
    </w:p>
    <w:p w14:paraId="51E7AC56" w14:textId="428C0394" w:rsidR="000C73BE" w:rsidRDefault="0032684D" w:rsidP="0E9096A0">
      <w:pPr>
        <w:spacing w:line="360" w:lineRule="auto"/>
      </w:pPr>
      <w:r>
        <w:t xml:space="preserve">Difficulties associated with CBHE have been highlighted in the data, with many participants expressing frustration at navigating academic processes that are often not shared across the FEI and HEI. IT software and various policies were mentioned as confusing and frustrating, adding extra pressure on staff. Although the literature did not specify particular challenges, it indicated that pressures on CBHE staff were significant, as they were not only bound by college procedures, including inspections and teaching observations (Estyn, 2024; MEDR, 2025), but were also expected to meet the curriculum and delivery expectations of the HEI (CollegesWales, 2020). The expectations of senior management also contributed to participants' frustration in this study, </w:t>
      </w:r>
      <w:r w:rsidR="0069779B">
        <w:t>as they expressed</w:t>
      </w:r>
      <w:r>
        <w:t xml:space="preserve"> a sense of disappointment that FE management does not always grasp the differences and complexities of higher education. The literature reflects a similar theme, noting that the administrative burden and lack of management understanding faced by CBHE lecturers often </w:t>
      </w:r>
      <w:r w:rsidR="00C9026F">
        <w:t>lead</w:t>
      </w:r>
      <w:r>
        <w:t xml:space="preserve"> to stress, anger, and frustration (Kinman and Wray, 2014; Kinman, 2023; Taylor and Bullock, 2023). Given that the literature has been addressing a similar theme for over a decade without resolution, it suggests that this area warrants further investigation. Furthermore, developing a focused dual institutional model that concentrates on the specific needs of CBHE may present a solution worth exploring. Referring to the research question, it appears that teaching within CBHE is challenging, as dual policies, different processing systems, and </w:t>
      </w:r>
      <w:r w:rsidR="00DD3AD5">
        <w:t xml:space="preserve">a </w:t>
      </w:r>
      <w:r>
        <w:t>lack of understanding from management cause frustration for lecturing staff.</w:t>
      </w:r>
    </w:p>
    <w:p w14:paraId="12F8479E" w14:textId="1FAA3C1B" w:rsidR="00603481" w:rsidRPr="00343467" w:rsidRDefault="00603481" w:rsidP="0E9096A0">
      <w:pPr>
        <w:spacing w:line="360" w:lineRule="auto"/>
        <w:rPr>
          <w:u w:val="single"/>
        </w:rPr>
      </w:pPr>
      <w:r w:rsidRPr="0E9096A0">
        <w:rPr>
          <w:u w:val="single"/>
        </w:rPr>
        <w:lastRenderedPageBreak/>
        <w:t>Theme Five – Staff Workload</w:t>
      </w:r>
    </w:p>
    <w:p w14:paraId="7EF9C2B4" w14:textId="01BA8E0A" w:rsidR="00F96490" w:rsidRDefault="0041535E" w:rsidP="0E9096A0">
      <w:pPr>
        <w:spacing w:line="360" w:lineRule="auto"/>
      </w:pPr>
      <w:r>
        <w:t>Previous discussions have identified concerns regarding elements of the CBHE lecturer role, such as the additional support needs of learners and navigating dual policies and procedures. This theme specifically focused on the curriculum demands of the role. The participants in this study noted that they were all working across FE and HE, and therefore had to demonstrate versatility and flexibility in their teaching. Furthermore, some lecturers had to provide lessons for school-based learners (14-year-olds), thereby increasing the preparation time necessary for their course delivery. The significant workloads experienced by FE and CBHE lecturers have been highlighted in the literature (Kinman and Wray, 2014; Association of Colleges, 2024). Marking, planning, and administration, along with 24 hours of teaching per week for a full-time lecturer, result in a substantial workload. Additionally, CBHE literature has emphasised the disillusionment of lecturers, indicating that considerable educational pressures are prompting many lecturers to leave the profession (UCU, 2022; AoC, 2022). Although FE and HE face similar issues, for the CBHE lecturer, the demands of the two institutional structures, combined with the expectation to teach across the entire level range, add additional challenges.</w:t>
      </w:r>
      <w:r w:rsidR="00A90289">
        <w:t xml:space="preserve"> </w:t>
      </w:r>
    </w:p>
    <w:p w14:paraId="14AD8DBD" w14:textId="73AEEDEE" w:rsidR="00A90289" w:rsidRPr="00811A4B" w:rsidRDefault="00A90289" w:rsidP="0E9096A0">
      <w:pPr>
        <w:spacing w:line="360" w:lineRule="auto"/>
        <w:rPr>
          <w:u w:val="single"/>
        </w:rPr>
      </w:pPr>
      <w:r w:rsidRPr="0E9096A0">
        <w:rPr>
          <w:u w:val="single"/>
        </w:rPr>
        <w:t>Theme Six – Subject Expertise and Industry Backgrounds</w:t>
      </w:r>
    </w:p>
    <w:p w14:paraId="09CC4727" w14:textId="77777777" w:rsidR="00EB70F2" w:rsidRDefault="00A90289" w:rsidP="0E9096A0">
      <w:pPr>
        <w:spacing w:line="360" w:lineRule="auto"/>
      </w:pPr>
      <w:r>
        <w:t xml:space="preserve">This final theme </w:t>
      </w:r>
      <w:r w:rsidR="0015018F">
        <w:t xml:space="preserve">emerged </w:t>
      </w:r>
      <w:r w:rsidR="00E0057E">
        <w:t>from the participants' discussions about their subject expertise and industry connections</w:t>
      </w:r>
      <w:r w:rsidR="0015018F">
        <w:t xml:space="preserve">. </w:t>
      </w:r>
      <w:r w:rsidR="00D17D22">
        <w:t xml:space="preserve">All lecturers within the study acknowledged that they were previously practitioners in their subject area, therefore had the subject knowledge to share with their learners. This also </w:t>
      </w:r>
      <w:r w:rsidR="00EB70F2">
        <w:t xml:space="preserve">emerged in the literature, with several studies indicating that lecturers often progressed to teaching CBHE due to their knowledge and understanding of the profession (Bathmaker and Avis, 2005; Springbett, 2017). </w:t>
      </w:r>
    </w:p>
    <w:p w14:paraId="565212FD" w14:textId="5166E32F" w:rsidR="00726D26" w:rsidRDefault="00132F4B" w:rsidP="0E9096A0">
      <w:pPr>
        <w:spacing w:line="360" w:lineRule="auto"/>
      </w:pPr>
      <w:r>
        <w:t xml:space="preserve">Several participants </w:t>
      </w:r>
      <w:r w:rsidR="00E0057E">
        <w:t>emphasised the importance of preparing their learners for the industry, and thus their lessons were primarily practical</w:t>
      </w:r>
      <w:r w:rsidR="004742B1">
        <w:t xml:space="preserve"> rather than didactic and theory-led.</w:t>
      </w:r>
      <w:r w:rsidR="00E0057E">
        <w:t xml:space="preserve"> Again, the importance of industry links </w:t>
      </w:r>
      <w:r w:rsidR="00322F65">
        <w:t xml:space="preserve">was evident in the discussions, with participants noting that not only do they have strong connections with professionals in the field, but also that many of their learners </w:t>
      </w:r>
      <w:r w:rsidR="00874D2C">
        <w:t xml:space="preserve">work within these industries and are keen to </w:t>
      </w:r>
      <w:r w:rsidR="00874D2C">
        <w:lastRenderedPageBreak/>
        <w:t>develop their skills while doing so</w:t>
      </w:r>
      <w:r w:rsidR="00502450">
        <w:t xml:space="preserve">. </w:t>
      </w:r>
      <w:r w:rsidR="00052121">
        <w:t xml:space="preserve">Interestingly, the literature identified for this study did not </w:t>
      </w:r>
      <w:r w:rsidR="00271B17">
        <w:t xml:space="preserve">specifically </w:t>
      </w:r>
      <w:r w:rsidR="00443489">
        <w:t>highlight the importance of industry</w:t>
      </w:r>
      <w:r w:rsidR="00874D2C">
        <w:t>. However,</w:t>
      </w:r>
      <w:r w:rsidR="00443489">
        <w:t xml:space="preserve"> an initial survey of CBHE in Wales found</w:t>
      </w:r>
      <w:r w:rsidR="00676FFF">
        <w:t xml:space="preserve"> that </w:t>
      </w:r>
      <w:r w:rsidR="009649F3">
        <w:t xml:space="preserve">these </w:t>
      </w:r>
      <w:r w:rsidR="000B3B7C">
        <w:t>programmes were primarily industry-related and vocational.</w:t>
      </w:r>
      <w:r w:rsidR="00C741B4">
        <w:t xml:space="preserve"> The data </w:t>
      </w:r>
      <w:r w:rsidR="00726D26">
        <w:t>suggest that CBHE lecturers are keen to maintain their professional links with industry, and</w:t>
      </w:r>
      <w:r w:rsidR="009649F3">
        <w:t xml:space="preserve"> they </w:t>
      </w:r>
      <w:r w:rsidR="00726D26">
        <w:t xml:space="preserve">also demonstrated a sense of </w:t>
      </w:r>
      <w:r w:rsidR="009A25CD">
        <w:t>pride in this aspect of their role</w:t>
      </w:r>
      <w:r w:rsidR="00726D26">
        <w:t xml:space="preserve">. Continuing these professional links </w:t>
      </w:r>
      <w:r w:rsidR="00FD0697">
        <w:t>provides opportunities for both staff and learners</w:t>
      </w:r>
      <w:r w:rsidR="009B454D">
        <w:t>, as well as alignment</w:t>
      </w:r>
      <w:r w:rsidR="00FD0697">
        <w:t xml:space="preserve"> with the </w:t>
      </w:r>
      <w:r w:rsidR="0058277A">
        <w:t xml:space="preserve">Welsh tertiary agenda </w:t>
      </w:r>
      <w:r w:rsidR="008E1A58" w:rsidRPr="0E9096A0">
        <w:rPr>
          <w:highlight w:val="yellow"/>
        </w:rPr>
        <w:t>(MEDR, 2022).</w:t>
      </w:r>
    </w:p>
    <w:p w14:paraId="13EE8762" w14:textId="7E304B0C" w:rsidR="004742B1" w:rsidRDefault="006B4359" w:rsidP="0E9096A0">
      <w:pPr>
        <w:spacing w:line="360" w:lineRule="auto"/>
        <w:rPr>
          <w:u w:val="single"/>
        </w:rPr>
      </w:pPr>
      <w:r w:rsidRPr="0E9096A0">
        <w:rPr>
          <w:u w:val="single"/>
        </w:rPr>
        <w:t>Insights</w:t>
      </w:r>
    </w:p>
    <w:p w14:paraId="0B0BAD11" w14:textId="77777777" w:rsidR="008D3ACC" w:rsidRDefault="006B4359" w:rsidP="0E9096A0">
      <w:pPr>
        <w:spacing w:line="360" w:lineRule="auto"/>
      </w:pPr>
      <w:r>
        <w:t xml:space="preserve">This discussion has highlighted several opportunities and challenges for the CBHE lecturer. The data </w:t>
      </w:r>
      <w:r w:rsidR="00A90B36">
        <w:t>suggest that lecturers experience a sense of reward and achievement when they support their learners, particularly those who have faced numerous adversities both before and during their time on the programme</w:t>
      </w:r>
      <w:r w:rsidR="0011355B">
        <w:t>. This has also been identified in previous studies on the subject</w:t>
      </w:r>
      <w:r w:rsidR="00551E5A">
        <w:t xml:space="preserve">. </w:t>
      </w:r>
      <w:r w:rsidR="00A90B36">
        <w:t xml:space="preserve">Furthermore, </w:t>
      </w:r>
      <w:r w:rsidR="0011355B">
        <w:t xml:space="preserve">lecturing staff also note the importance of industry links, highlighting </w:t>
      </w:r>
      <w:r w:rsidR="00961EA6">
        <w:t xml:space="preserve">the positive impact this has on </w:t>
      </w:r>
      <w:r w:rsidR="008D3ACC">
        <w:t>learners, while</w:t>
      </w:r>
      <w:r w:rsidR="00961EA6">
        <w:t xml:space="preserve"> acknowledging that they appreciate this too. </w:t>
      </w:r>
    </w:p>
    <w:p w14:paraId="517EEBC9" w14:textId="6DF8BFB2" w:rsidR="006B4359" w:rsidRDefault="00383557" w:rsidP="0E9096A0">
      <w:pPr>
        <w:spacing w:line="360" w:lineRule="auto"/>
      </w:pPr>
      <w:r>
        <w:t xml:space="preserve">Nevertheless, </w:t>
      </w:r>
      <w:r w:rsidR="00BF5FFD">
        <w:t>the CBHE lecturer faces significant challenges, primarily related to their substantial workload and the dual processes they must</w:t>
      </w:r>
      <w:r w:rsidR="004D3686">
        <w:t xml:space="preserve"> navigate between the FEI and HEI. </w:t>
      </w:r>
      <w:r w:rsidR="00A90B36">
        <w:t xml:space="preserve"> </w:t>
      </w:r>
      <w:r w:rsidR="00BF5FFD">
        <w:t xml:space="preserve">Research has consistently demonstrated that </w:t>
      </w:r>
      <w:r w:rsidR="00A30085">
        <w:t xml:space="preserve">teaching in CBHE </w:t>
      </w:r>
      <w:r w:rsidR="0039607E">
        <w:t xml:space="preserve">is </w:t>
      </w:r>
      <w:r w:rsidR="00FB349C">
        <w:t>challenging, and with considerable workloads and reduced funding, these pressures are likely to intensify</w:t>
      </w:r>
      <w:r w:rsidR="0039607E">
        <w:t xml:space="preserve">. </w:t>
      </w:r>
    </w:p>
    <w:p w14:paraId="659BB425" w14:textId="3E9D4FD4" w:rsidR="00605225" w:rsidRPr="00605225" w:rsidRDefault="00605225" w:rsidP="0E9096A0">
      <w:pPr>
        <w:spacing w:line="360" w:lineRule="auto"/>
        <w:rPr>
          <w:sz w:val="28"/>
          <w:szCs w:val="28"/>
          <w:u w:val="single"/>
        </w:rPr>
      </w:pPr>
      <w:r w:rsidRPr="0E9096A0">
        <w:rPr>
          <w:sz w:val="28"/>
          <w:szCs w:val="28"/>
          <w:u w:val="single"/>
        </w:rPr>
        <w:t>Evaluation of the Research Process</w:t>
      </w:r>
    </w:p>
    <w:p w14:paraId="5A2392A3" w14:textId="77777777" w:rsidR="0D9602BC" w:rsidRDefault="0D9602BC" w:rsidP="0E9096A0">
      <w:pPr>
        <w:spacing w:line="360" w:lineRule="auto"/>
        <w:rPr>
          <w:b/>
          <w:bCs/>
          <w:u w:val="single"/>
        </w:rPr>
      </w:pPr>
      <w:r w:rsidRPr="0E9096A0">
        <w:rPr>
          <w:b/>
          <w:bCs/>
          <w:u w:val="single"/>
        </w:rPr>
        <w:t>Issues:</w:t>
      </w:r>
      <w:r>
        <w:br/>
      </w:r>
      <w:r w:rsidRPr="0E9096A0">
        <w:rPr>
          <w:b/>
          <w:bCs/>
          <w:u w:val="single"/>
        </w:rPr>
        <w:t>Triangulation, inexperience of the interviewer</w:t>
      </w:r>
    </w:p>
    <w:p w14:paraId="70504E6A" w14:textId="453A20C9" w:rsidR="361CC968" w:rsidRDefault="361CC968" w:rsidP="0E9096A0">
      <w:pPr>
        <w:spacing w:line="360" w:lineRule="auto"/>
        <w:rPr>
          <w:sz w:val="28"/>
          <w:szCs w:val="28"/>
          <w:u w:val="single"/>
        </w:rPr>
      </w:pPr>
    </w:p>
    <w:p w14:paraId="234EE78C" w14:textId="75CAA7D0" w:rsidR="00DD00D6" w:rsidRPr="00DD34AD" w:rsidRDefault="00DD00D6" w:rsidP="0E9096A0">
      <w:pPr>
        <w:spacing w:line="360" w:lineRule="auto"/>
        <w:rPr>
          <w:sz w:val="28"/>
          <w:szCs w:val="28"/>
          <w:u w:val="single"/>
        </w:rPr>
      </w:pPr>
      <w:r w:rsidRPr="0E9096A0">
        <w:rPr>
          <w:sz w:val="28"/>
          <w:szCs w:val="28"/>
          <w:u w:val="single"/>
        </w:rPr>
        <w:t>Conclusion</w:t>
      </w:r>
    </w:p>
    <w:p w14:paraId="201AC767" w14:textId="77777777" w:rsidR="00BA7024" w:rsidRDefault="00027A58" w:rsidP="0E9096A0">
      <w:pPr>
        <w:spacing w:line="360" w:lineRule="auto"/>
      </w:pPr>
      <w:r>
        <w:t xml:space="preserve">This study set out to understand the opportunities and challenges that CBHE lecturers face in teaching in Wales. Five participants working within one college in Wales were </w:t>
      </w:r>
      <w:r>
        <w:lastRenderedPageBreak/>
        <w:t>interviewed</w:t>
      </w:r>
      <w:r w:rsidR="004E0F07">
        <w:t>,</w:t>
      </w:r>
      <w:r w:rsidR="003A57D2">
        <w:t xml:space="preserve"> and the data </w:t>
      </w:r>
      <w:r w:rsidR="004E0F07">
        <w:t>analysed</w:t>
      </w:r>
      <w:r w:rsidR="00343467">
        <w:t>,</w:t>
      </w:r>
      <w:r w:rsidR="00CF0FDA">
        <w:t xml:space="preserve"> </w:t>
      </w:r>
      <w:r w:rsidR="00343467">
        <w:t>identifying several key themes:</w:t>
      </w:r>
      <w:r w:rsidR="00841C95">
        <w:t xml:space="preserve"> Access to CBHE and Learner support, the challenges of the FE setting for HE provision, </w:t>
      </w:r>
      <w:r w:rsidR="00BA7024">
        <w:t>the rewards of impact and connections with industry, dual institutional challenges, staff workload and subject expertise and industry backgrounds.</w:t>
      </w:r>
    </w:p>
    <w:p w14:paraId="579640F5" w14:textId="22A2392F" w:rsidR="00343467" w:rsidRDefault="00343467" w:rsidP="0E9096A0">
      <w:pPr>
        <w:spacing w:line="360" w:lineRule="auto"/>
      </w:pPr>
      <w:r>
        <w:t xml:space="preserve"> </w:t>
      </w:r>
      <w:r w:rsidR="00EA2DF1">
        <w:t>The findings contribute to a deeper understanding of CBHE</w:t>
      </w:r>
      <w:r w:rsidR="00917C63">
        <w:t xml:space="preserve">, </w:t>
      </w:r>
      <w:r w:rsidR="00EF4214">
        <w:t>with a particular focus</w:t>
      </w:r>
      <w:r w:rsidR="00917C63">
        <w:t xml:space="preserve"> on the </w:t>
      </w:r>
      <w:r w:rsidR="00422744">
        <w:t>Welsh context</w:t>
      </w:r>
      <w:r w:rsidR="00EF4214">
        <w:t>. It</w:t>
      </w:r>
      <w:r w:rsidR="00422744">
        <w:t xml:space="preserve"> suggests that widening participation policies influence </w:t>
      </w:r>
      <w:r w:rsidR="00281B51">
        <w:t xml:space="preserve">the student demographics, which </w:t>
      </w:r>
      <w:r w:rsidR="00815343">
        <w:t>provides both opportunities</w:t>
      </w:r>
      <w:r w:rsidR="0089437C">
        <w:t xml:space="preserve"> and specific challenges for the CBHE lecturer. However, the data highlights the </w:t>
      </w:r>
      <w:r w:rsidR="006533F0">
        <w:t>tension</w:t>
      </w:r>
      <w:r w:rsidR="003C3202">
        <w:t xml:space="preserve">s </w:t>
      </w:r>
      <w:r w:rsidR="00821642">
        <w:t xml:space="preserve">within CBHE, in particular the administrative expectations of the HEI and the FEI. </w:t>
      </w:r>
      <w:r w:rsidR="0099560C">
        <w:t xml:space="preserve">Furthermore, whilst there is an indication that lecturers </w:t>
      </w:r>
      <w:r w:rsidR="00C4267F">
        <w:t>enjoy the rewards of the profession, their workload is substantial.</w:t>
      </w:r>
    </w:p>
    <w:p w14:paraId="7A0A7DF2" w14:textId="4CCC8D01" w:rsidR="00617330" w:rsidRDefault="009C6B2D" w:rsidP="0E9096A0">
      <w:pPr>
        <w:spacing w:line="360" w:lineRule="auto"/>
      </w:pPr>
      <w:r>
        <w:t xml:space="preserve">This research </w:t>
      </w:r>
      <w:r w:rsidR="002B73AC">
        <w:t>offers valuable insights for policymakers and senior management teams in FE and HE</w:t>
      </w:r>
      <w:r>
        <w:t xml:space="preserve">. Given the Welsh Government's agenda to increase </w:t>
      </w:r>
      <w:r w:rsidR="002B73AC">
        <w:t>provision in CBHE, this research highlights the importance of recognising the dual roles of lecturers and supporting staff in creating</w:t>
      </w:r>
      <w:r>
        <w:t xml:space="preserve"> manageable workloads. Furthermore, exploring improved institutional alignment will facilitate smoother systems, thus avoiding the need to navigate dual processes or conflicting policies.</w:t>
      </w:r>
    </w:p>
    <w:p w14:paraId="0D85C56D" w14:textId="69C91E2E" w:rsidR="009C6B2D" w:rsidRDefault="000121AB" w:rsidP="0E9096A0">
      <w:pPr>
        <w:spacing w:line="360" w:lineRule="auto"/>
      </w:pPr>
      <w:r>
        <w:t>The small sample size used in this study limits the generalisability of the findings. However, it provides a rich, contextualised account of lecturer experiences that can inform policy and future research. It is recommended that further research explore CBHE in a broader range of contexts, particularly focusing on experiences in predominantly Welsh-speaking colleges. Furthermore, CBHE is still in its infancy in Wales, and institutional alignment requires further investigation to support the delivery of sustainable and high-quality college-based higher education.</w:t>
      </w:r>
    </w:p>
    <w:p w14:paraId="67FC64D6" w14:textId="5CAB816A" w:rsidR="6CA8353D" w:rsidRPr="004D4AAC" w:rsidRDefault="6CA8353D" w:rsidP="0E9096A0">
      <w:pPr>
        <w:spacing w:line="360" w:lineRule="auto"/>
        <w:rPr>
          <w:u w:val="single"/>
        </w:rPr>
      </w:pPr>
      <w:r w:rsidRPr="0E9096A0">
        <w:rPr>
          <w:u w:val="single"/>
        </w:rPr>
        <w:t>REFERENCES</w:t>
      </w:r>
    </w:p>
    <w:p w14:paraId="080C62AA" w14:textId="1A5FDFA1"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Ametller, J. et al.</w:t>
      </w:r>
      <w:r w:rsidRPr="0E9096A0">
        <w:rPr>
          <w:rFonts w:ascii="Calibri" w:eastAsia="Calibri" w:hAnsi="Calibri" w:cs="Calibri"/>
          <w:i/>
          <w:iCs/>
          <w:color w:val="000000" w:themeColor="text1"/>
          <w:lang w:val="en-GB"/>
        </w:rPr>
        <w:t xml:space="preserve"> (2015) </w:t>
      </w:r>
      <w:r w:rsidRPr="0E9096A0">
        <w:rPr>
          <w:rFonts w:ascii="Calibri" w:eastAsia="Calibri" w:hAnsi="Calibri" w:cs="Calibri"/>
          <w:color w:val="000000" w:themeColor="text1"/>
          <w:lang w:val="en-GB"/>
        </w:rPr>
        <w:t>‘The impact of science curriculum content on students’ subject choices in post-compulsory schooling’,</w:t>
      </w:r>
      <w:r w:rsidRPr="0E9096A0">
        <w:rPr>
          <w:rFonts w:ascii="Calibri" w:eastAsia="Calibri" w:hAnsi="Calibri" w:cs="Calibri"/>
          <w:i/>
          <w:iCs/>
          <w:color w:val="000000" w:themeColor="text1"/>
          <w:lang w:val="en-GB"/>
        </w:rPr>
        <w:t xml:space="preserve"> in. Springer Netherlands. Available at: </w:t>
      </w:r>
      <w:r w:rsidRPr="0E9096A0">
        <w:rPr>
          <w:rFonts w:ascii="Calibri" w:eastAsia="Calibri" w:hAnsi="Calibri" w:cs="Calibri"/>
          <w:i/>
          <w:iCs/>
          <w:lang w:val="en-GB"/>
        </w:rPr>
        <w:t>https://doi.org/10.1007/978-94-007-7793-4_7</w:t>
      </w:r>
      <w:r w:rsidRPr="0E9096A0">
        <w:rPr>
          <w:rFonts w:ascii="Calibri" w:eastAsia="Calibri" w:hAnsi="Calibri" w:cs="Calibri"/>
          <w:i/>
          <w:iCs/>
          <w:color w:val="000000" w:themeColor="text1"/>
          <w:lang w:val="en-GB"/>
        </w:rPr>
        <w:t>.</w:t>
      </w:r>
    </w:p>
    <w:p w14:paraId="2E337D57" w14:textId="1DD1D618" w:rsidR="772E1A4E" w:rsidRDefault="772E1A4E" w:rsidP="0E9096A0">
      <w:pPr>
        <w:spacing w:line="360" w:lineRule="auto"/>
        <w:rPr>
          <w:lang w:val="en-GB"/>
        </w:rPr>
      </w:pPr>
      <w:r w:rsidRPr="0E9096A0">
        <w:rPr>
          <w:lang w:val="en-GB"/>
        </w:rPr>
        <w:lastRenderedPageBreak/>
        <w:t xml:space="preserve">Andrews, T. (2024). Teacher and leader research: The ethics of researching your own practice. </w:t>
      </w:r>
      <w:r w:rsidRPr="0E9096A0">
        <w:rPr>
          <w:i/>
          <w:iCs/>
          <w:lang w:val="en-GB"/>
        </w:rPr>
        <w:t xml:space="preserve">Impact, </w:t>
      </w:r>
      <w:r w:rsidRPr="0E9096A0">
        <w:rPr>
          <w:lang w:val="en-GB"/>
        </w:rPr>
        <w:t>(22).</w:t>
      </w:r>
    </w:p>
    <w:p w14:paraId="35092D1D" w14:textId="2CB848B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Association of Colleges (2023) </w:t>
      </w:r>
      <w:r w:rsidRPr="0E9096A0">
        <w:rPr>
          <w:rFonts w:ascii="Calibri" w:eastAsia="Calibri" w:hAnsi="Calibri" w:cs="Calibri"/>
          <w:i/>
          <w:iCs/>
          <w:color w:val="000000" w:themeColor="text1"/>
          <w:lang w:val="en-GB"/>
        </w:rPr>
        <w:t xml:space="preserve">AOC Mental Health Survey Report.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https://feweek.co.uk/wp-content/uploads/2023/03/AoC-Mental-Health-Survey-Report-2023.pdf</w:t>
      </w:r>
      <w:r w:rsidRPr="0E9096A0">
        <w:rPr>
          <w:rFonts w:ascii="Calibri" w:eastAsia="Calibri" w:hAnsi="Calibri" w:cs="Calibri"/>
          <w:color w:val="000000" w:themeColor="text1"/>
          <w:lang w:val="en-GB"/>
        </w:rPr>
        <w:t xml:space="preserve"> (Accessed 31 May 2025).</w:t>
      </w:r>
    </w:p>
    <w:p w14:paraId="3466200D" w14:textId="7EF2566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Augar, P. (2019) </w:t>
      </w:r>
      <w:r w:rsidRPr="0E9096A0">
        <w:rPr>
          <w:rFonts w:ascii="Calibri" w:eastAsia="Calibri" w:hAnsi="Calibri" w:cs="Calibri"/>
          <w:i/>
          <w:iCs/>
          <w:color w:val="000000" w:themeColor="text1"/>
          <w:lang w:val="en-GB"/>
        </w:rPr>
        <w:t>Review of Post-18 Education and Funding</w:t>
      </w:r>
      <w:r w:rsidRPr="0E9096A0">
        <w:rPr>
          <w:rFonts w:ascii="Calibri" w:eastAsia="Calibri" w:hAnsi="Calibri" w:cs="Calibri"/>
          <w:color w:val="000000" w:themeColor="text1"/>
          <w:lang w:val="en-GB"/>
        </w:rPr>
        <w:t xml:space="preserve">. Department for Education, London. Available at: </w:t>
      </w:r>
      <w:r w:rsidRPr="0E9096A0">
        <w:rPr>
          <w:rFonts w:ascii="Calibri" w:eastAsia="Calibri" w:hAnsi="Calibri" w:cs="Calibri"/>
          <w:lang w:val="en-GB"/>
        </w:rPr>
        <w:t>https://assets.publishing.service.gov.uk/media/5ceeb35740f0b62373577770/Review_of_post_18_education_and_funding.pdf</w:t>
      </w:r>
      <w:r w:rsidRPr="0E9096A0">
        <w:rPr>
          <w:rFonts w:ascii="Calibri" w:eastAsia="Calibri" w:hAnsi="Calibri" w:cs="Calibri"/>
          <w:color w:val="000000" w:themeColor="text1"/>
          <w:lang w:val="en-GB"/>
        </w:rPr>
        <w:t>. Accessed (18 May 2025).</w:t>
      </w:r>
    </w:p>
    <w:p w14:paraId="538568AD" w14:textId="45701679"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Baines, L., Gooch, D., &amp; Ng-Knight, T. (2022</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 xml:space="preserve">Do widening participation interventions change university attitudes in UK school children? A systematic review of the efficacy of UK programmes, and quality of evaluation evidence. </w:t>
      </w:r>
      <w:r w:rsidRPr="0E9096A0">
        <w:rPr>
          <w:rFonts w:ascii="Calibri" w:eastAsia="Calibri" w:hAnsi="Calibri" w:cs="Calibri"/>
          <w:i/>
          <w:iCs/>
          <w:color w:val="000000" w:themeColor="text1"/>
          <w:lang w:val="en-GB"/>
        </w:rPr>
        <w:t xml:space="preserve">Educational Review, 76(3), 628–647. </w:t>
      </w:r>
      <w:r w:rsidRPr="0E9096A0">
        <w:rPr>
          <w:rFonts w:ascii="Calibri" w:eastAsia="Calibri" w:hAnsi="Calibri" w:cs="Calibri"/>
          <w:i/>
          <w:iCs/>
          <w:lang w:val="en-GB"/>
        </w:rPr>
        <w:t>https://doi.org/10.1080/00131911.2022.2077703</w:t>
      </w:r>
      <w:r w:rsidRPr="0E9096A0">
        <w:rPr>
          <w:rFonts w:ascii="Calibri" w:eastAsia="Calibri" w:hAnsi="Calibri" w:cs="Calibri"/>
          <w:i/>
          <w:iCs/>
          <w:color w:val="000000" w:themeColor="text1"/>
          <w:lang w:val="en-GB"/>
        </w:rPr>
        <w:t>.</w:t>
      </w:r>
    </w:p>
    <w:p w14:paraId="58EE323C" w14:textId="54EEAFC8"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Bathmaker, A.-M. and Avis, J</w:t>
      </w:r>
      <w:r w:rsidRPr="0E9096A0">
        <w:rPr>
          <w:rFonts w:ascii="Calibri" w:eastAsia="Calibri" w:hAnsi="Calibri" w:cs="Calibri"/>
          <w:i/>
          <w:iCs/>
          <w:color w:val="000000" w:themeColor="text1"/>
          <w:lang w:val="en-GB"/>
        </w:rPr>
        <w:t xml:space="preserve">. (2005) </w:t>
      </w:r>
      <w:r w:rsidRPr="0E9096A0">
        <w:rPr>
          <w:rFonts w:ascii="Calibri" w:eastAsia="Calibri" w:hAnsi="Calibri" w:cs="Calibri"/>
          <w:color w:val="000000" w:themeColor="text1"/>
          <w:lang w:val="en-GB"/>
        </w:rPr>
        <w:t>‘Becoming a lecturer in further education in England: the construction of professional identity and the role of communities of practice’,</w:t>
      </w:r>
      <w:r w:rsidRPr="0E9096A0">
        <w:rPr>
          <w:rFonts w:ascii="Calibri" w:eastAsia="Calibri" w:hAnsi="Calibri" w:cs="Calibri"/>
          <w:i/>
          <w:iCs/>
          <w:color w:val="000000" w:themeColor="text1"/>
          <w:lang w:val="en-GB"/>
        </w:rPr>
        <w:t xml:space="preserve"> Journal of Education for Teaching : JET, 31(1), pp. 47–62. Available at: </w:t>
      </w:r>
      <w:r w:rsidRPr="0E9096A0">
        <w:rPr>
          <w:rFonts w:ascii="Calibri" w:eastAsia="Calibri" w:hAnsi="Calibri" w:cs="Calibri"/>
          <w:i/>
          <w:iCs/>
          <w:lang w:val="en-GB"/>
        </w:rPr>
        <w:t>https://doi.org/10.1080/02607470500043771</w:t>
      </w:r>
      <w:r w:rsidRPr="0E9096A0">
        <w:rPr>
          <w:rFonts w:ascii="Calibri" w:eastAsia="Calibri" w:hAnsi="Calibri" w:cs="Calibri"/>
          <w:i/>
          <w:iCs/>
          <w:color w:val="000000" w:themeColor="text1"/>
          <w:lang w:val="en-GB"/>
        </w:rPr>
        <w:t>.</w:t>
      </w:r>
    </w:p>
    <w:p w14:paraId="378B1FCC" w14:textId="3C71BAF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Bathmaker, A.-M.</w:t>
      </w:r>
      <w:r w:rsidRPr="0E9096A0">
        <w:rPr>
          <w:rFonts w:ascii="Calibri" w:eastAsia="Calibri" w:hAnsi="Calibri" w:cs="Calibri"/>
          <w:i/>
          <w:iCs/>
          <w:color w:val="000000" w:themeColor="text1"/>
          <w:lang w:val="en-GB"/>
        </w:rPr>
        <w:t xml:space="preserve"> (2016) </w:t>
      </w:r>
      <w:r w:rsidRPr="0E9096A0">
        <w:rPr>
          <w:rFonts w:ascii="Calibri" w:eastAsia="Calibri" w:hAnsi="Calibri" w:cs="Calibri"/>
          <w:color w:val="000000" w:themeColor="text1"/>
          <w:lang w:val="en-GB"/>
        </w:rPr>
        <w:t>‘Higher education in further education: the challenges of providing a distinctive contribution that contributes to widening participation’,</w:t>
      </w:r>
      <w:r w:rsidRPr="0E9096A0">
        <w:rPr>
          <w:rFonts w:ascii="Calibri" w:eastAsia="Calibri" w:hAnsi="Calibri" w:cs="Calibri"/>
          <w:i/>
          <w:iCs/>
          <w:color w:val="000000" w:themeColor="text1"/>
          <w:lang w:val="en-GB"/>
        </w:rPr>
        <w:t xml:space="preserve"> Research in Post-Compulsory Education, 21(1–2), pp. 20–32. Available at: </w:t>
      </w:r>
      <w:r w:rsidRPr="0E9096A0">
        <w:rPr>
          <w:rFonts w:ascii="Calibri" w:eastAsia="Calibri" w:hAnsi="Calibri" w:cs="Calibri"/>
          <w:i/>
          <w:iCs/>
          <w:lang w:val="en-GB"/>
        </w:rPr>
        <w:t>https://doi.org/10.1080/13596748.2015.1125667</w:t>
      </w:r>
      <w:r w:rsidRPr="0E9096A0">
        <w:rPr>
          <w:rFonts w:ascii="Calibri" w:eastAsia="Calibri" w:hAnsi="Calibri" w:cs="Calibri"/>
          <w:i/>
          <w:iCs/>
          <w:color w:val="000000" w:themeColor="text1"/>
          <w:lang w:val="en-GB"/>
        </w:rPr>
        <w:t>.</w:t>
      </w:r>
    </w:p>
    <w:p w14:paraId="4EEB52D8" w14:textId="3A86B86D"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Boddy, C.R. (2016) Sample size for qualitative literature. </w:t>
      </w:r>
      <w:r w:rsidRPr="0E9096A0">
        <w:rPr>
          <w:rFonts w:ascii="Calibri" w:eastAsia="Calibri" w:hAnsi="Calibri" w:cs="Calibri"/>
          <w:i/>
          <w:iCs/>
          <w:color w:val="000000" w:themeColor="text1"/>
          <w:lang w:val="en-GB"/>
        </w:rPr>
        <w:t>Qualitative Research, 19(4), pp. 426-432</w:t>
      </w:r>
    </w:p>
    <w:p w14:paraId="5C46FC00" w14:textId="49D9F90C" w:rsidR="361CC968" w:rsidRDefault="6CA8353D" w:rsidP="0E9096A0">
      <w:pPr>
        <w:spacing w:beforeAutospacing="1" w:afterAutospacing="1"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Bolade-Ogunfodun, Y., Richmond Soga, L. And Laker, B., (2023). Entwined Positionality and Interpretive Frames of Reference: An Autoethnographic Account. </w:t>
      </w:r>
      <w:r w:rsidRPr="0E9096A0">
        <w:rPr>
          <w:rFonts w:ascii="Calibri" w:eastAsia="Calibri" w:hAnsi="Calibri" w:cs="Calibri"/>
          <w:i/>
          <w:iCs/>
          <w:color w:val="000000" w:themeColor="text1"/>
          <w:lang w:val="en-GB"/>
        </w:rPr>
        <w:t xml:space="preserve">Organizational Research Methods, </w:t>
      </w:r>
      <w:r w:rsidRPr="0E9096A0">
        <w:rPr>
          <w:rFonts w:ascii="Calibri" w:eastAsia="Calibri" w:hAnsi="Calibri" w:cs="Calibri"/>
          <w:b/>
          <w:bCs/>
          <w:color w:val="000000" w:themeColor="text1"/>
          <w:lang w:val="en-GB"/>
        </w:rPr>
        <w:t>26</w:t>
      </w:r>
      <w:r w:rsidRPr="0E9096A0">
        <w:rPr>
          <w:rFonts w:ascii="Calibri" w:eastAsia="Calibri" w:hAnsi="Calibri" w:cs="Calibri"/>
          <w:color w:val="000000" w:themeColor="text1"/>
          <w:lang w:val="en-GB"/>
        </w:rPr>
        <w:t>(4), pp. 678-704. </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 xml:space="preserve"> </w:t>
      </w:r>
    </w:p>
    <w:p w14:paraId="36E65800" w14:textId="600D31FC" w:rsidR="6CA8353D" w:rsidRDefault="6CA8353D" w:rsidP="0E9096A0">
      <w:pPr>
        <w:pStyle w:val="paragraph"/>
        <w:spacing w:beforeAutospacing="0" w:afterAutospacing="0"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lastRenderedPageBreak/>
        <w:t>British Educational Research Association (2024) Eth</w:t>
      </w:r>
      <w:r w:rsidRPr="0E9096A0">
        <w:rPr>
          <w:rStyle w:val="Emphasis"/>
          <w:rFonts w:ascii="Calibri" w:eastAsia="Calibri" w:hAnsi="Calibri" w:cs="Calibri"/>
          <w:color w:val="000000" w:themeColor="text1"/>
          <w:lang w:val="en-GB"/>
        </w:rPr>
        <w:t>ical guidelines for educational research</w:t>
      </w:r>
      <w:r w:rsidRPr="0E9096A0">
        <w:rPr>
          <w:rFonts w:ascii="Calibri" w:eastAsia="Calibri" w:hAnsi="Calibri" w:cs="Calibri"/>
          <w:color w:val="000000" w:themeColor="text1"/>
          <w:lang w:val="en-GB"/>
        </w:rPr>
        <w:t>. 5</w:t>
      </w:r>
      <w:r w:rsidRPr="0E9096A0">
        <w:rPr>
          <w:rFonts w:ascii="Calibri" w:eastAsia="Calibri" w:hAnsi="Calibri" w:cs="Calibri"/>
          <w:color w:val="000000" w:themeColor="text1"/>
          <w:vertAlign w:val="superscript"/>
          <w:lang w:val="en-GB"/>
        </w:rPr>
        <w:t>th</w:t>
      </w:r>
      <w:r w:rsidRPr="0E9096A0">
        <w:rPr>
          <w:rFonts w:ascii="Calibri" w:eastAsia="Calibri" w:hAnsi="Calibri" w:cs="Calibri"/>
          <w:color w:val="000000" w:themeColor="text1"/>
          <w:lang w:val="en-GB"/>
        </w:rPr>
        <w:t xml:space="preserve"> Edn. 4th edn. Available at: </w:t>
      </w:r>
      <w:r w:rsidRPr="0E9096A0">
        <w:rPr>
          <w:rFonts w:ascii="Calibri" w:eastAsia="Calibri" w:hAnsi="Calibri" w:cs="Calibri"/>
          <w:lang w:val="en-GB"/>
        </w:rPr>
        <w:t>https://www.bera.ac.uk/publication/ethical-guidelines-for-educational-research-fifth-edition-2024-online</w:t>
      </w:r>
      <w:r w:rsidRPr="0E9096A0">
        <w:rPr>
          <w:rFonts w:ascii="Calibri" w:eastAsia="Calibri" w:hAnsi="Calibri" w:cs="Calibri"/>
          <w:color w:val="000000" w:themeColor="text1"/>
          <w:lang w:val="en-GB"/>
        </w:rPr>
        <w:t xml:space="preserve"> (Accessed: 30 May 2025)</w:t>
      </w:r>
    </w:p>
    <w:p w14:paraId="761E25DF" w14:textId="1C6829F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Braun, V. and Clarke, V. (2006) ‘Using thematic analysis in psychology’, </w:t>
      </w:r>
      <w:r w:rsidRPr="0E9096A0">
        <w:rPr>
          <w:rFonts w:ascii="Calibri" w:eastAsia="Calibri" w:hAnsi="Calibri" w:cs="Calibri"/>
          <w:i/>
          <w:iCs/>
          <w:color w:val="000000" w:themeColor="text1"/>
          <w:lang w:val="en-GB"/>
        </w:rPr>
        <w:t>Qualitative research in psychology</w:t>
      </w:r>
      <w:r w:rsidRPr="0E9096A0">
        <w:rPr>
          <w:rFonts w:ascii="Calibri" w:eastAsia="Calibri" w:hAnsi="Calibri" w:cs="Calibri"/>
          <w:color w:val="000000" w:themeColor="text1"/>
          <w:lang w:val="en-GB"/>
        </w:rPr>
        <w:t xml:space="preserve">, 3(2), pp. 77–101. Available at: </w:t>
      </w:r>
      <w:r w:rsidRPr="0E9096A0">
        <w:rPr>
          <w:rFonts w:ascii="Calibri" w:eastAsia="Calibri" w:hAnsi="Calibri" w:cs="Calibri"/>
          <w:lang w:val="en-GB"/>
        </w:rPr>
        <w:t>https://doi.org/10.1191/1478088706qp063oa</w:t>
      </w:r>
      <w:r w:rsidRPr="0E9096A0">
        <w:rPr>
          <w:rFonts w:ascii="Calibri" w:eastAsia="Calibri" w:hAnsi="Calibri" w:cs="Calibri"/>
          <w:color w:val="000000" w:themeColor="text1"/>
          <w:lang w:val="en-GB"/>
        </w:rPr>
        <w:t>.</w:t>
      </w:r>
    </w:p>
    <w:p w14:paraId="270746AF" w14:textId="1E3D5225"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Braun, V. and Clarke, V., (2013). </w:t>
      </w:r>
      <w:r w:rsidRPr="0E9096A0">
        <w:rPr>
          <w:rFonts w:ascii="Calibri" w:eastAsia="Calibri" w:hAnsi="Calibri" w:cs="Calibri"/>
          <w:i/>
          <w:iCs/>
          <w:color w:val="000000" w:themeColor="text1"/>
          <w:lang w:val="en-GB"/>
        </w:rPr>
        <w:t>Successful qualitative research: a practical guide for beginners</w:t>
      </w:r>
      <w:r w:rsidRPr="0E9096A0">
        <w:rPr>
          <w:rFonts w:ascii="Calibri" w:eastAsia="Calibri" w:hAnsi="Calibri" w:cs="Calibri"/>
          <w:color w:val="000000" w:themeColor="text1"/>
          <w:lang w:val="en-GB"/>
        </w:rPr>
        <w:t>. Los Angeles, California: SAGE. </w:t>
      </w:r>
    </w:p>
    <w:p w14:paraId="48150446" w14:textId="6FFCEDD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Braun, V. and Clarke, V. (2022) </w:t>
      </w:r>
      <w:r w:rsidRPr="0E9096A0">
        <w:rPr>
          <w:rFonts w:ascii="Calibri" w:eastAsia="Calibri" w:hAnsi="Calibri" w:cs="Calibri"/>
          <w:i/>
          <w:iCs/>
          <w:color w:val="000000" w:themeColor="text1"/>
          <w:lang w:val="en-GB"/>
        </w:rPr>
        <w:t>Thematic analysis : a practical guide</w:t>
      </w:r>
      <w:r w:rsidRPr="0E9096A0">
        <w:rPr>
          <w:rFonts w:ascii="Calibri" w:eastAsia="Calibri" w:hAnsi="Calibri" w:cs="Calibri"/>
          <w:color w:val="000000" w:themeColor="text1"/>
          <w:lang w:val="en-GB"/>
        </w:rPr>
        <w:t>. London: SAGE Publications.</w:t>
      </w:r>
    </w:p>
    <w:p w14:paraId="56E00BA7" w14:textId="3483A921"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Buetow, S. (2019) ‘Apophenia, unconscious bias and reflexivity in nursing qualitative research’, </w:t>
      </w:r>
      <w:r w:rsidRPr="0E9096A0">
        <w:rPr>
          <w:rFonts w:ascii="Calibri" w:eastAsia="Calibri" w:hAnsi="Calibri" w:cs="Calibri"/>
          <w:i/>
          <w:iCs/>
          <w:color w:val="000000" w:themeColor="text1"/>
          <w:lang w:val="en-GB"/>
        </w:rPr>
        <w:t>International Journal of Nursing Studies</w:t>
      </w:r>
      <w:r w:rsidRPr="0E9096A0">
        <w:rPr>
          <w:rFonts w:ascii="Calibri" w:eastAsia="Calibri" w:hAnsi="Calibri" w:cs="Calibri"/>
          <w:color w:val="000000" w:themeColor="text1"/>
          <w:lang w:val="en-GB"/>
        </w:rPr>
        <w:t xml:space="preserve">, 89, pp. 8–13. Available at: </w:t>
      </w:r>
      <w:r w:rsidRPr="0E9096A0">
        <w:rPr>
          <w:rFonts w:ascii="Calibri" w:eastAsia="Calibri" w:hAnsi="Calibri" w:cs="Calibri"/>
          <w:lang w:val="en-GB"/>
        </w:rPr>
        <w:t>https://doi.org/10.1016/j.ijnurstu.2018.09.013</w:t>
      </w:r>
      <w:r w:rsidRPr="0E9096A0">
        <w:rPr>
          <w:rFonts w:ascii="Calibri" w:eastAsia="Calibri" w:hAnsi="Calibri" w:cs="Calibri"/>
          <w:color w:val="000000" w:themeColor="text1"/>
          <w:lang w:val="en-GB"/>
        </w:rPr>
        <w:t>.</w:t>
      </w:r>
    </w:p>
    <w:p w14:paraId="3573BE00" w14:textId="0FDC0BCD"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Bullock, J. and Henry, G. (2023) ‘Quality, community and access: an examination of student decision-making to study undergraduate degrees in two further education colleges’, </w:t>
      </w:r>
      <w:r w:rsidRPr="0E9096A0">
        <w:rPr>
          <w:rFonts w:ascii="Calibri" w:eastAsia="Calibri" w:hAnsi="Calibri" w:cs="Calibri"/>
          <w:i/>
          <w:iCs/>
          <w:color w:val="000000" w:themeColor="text1"/>
          <w:lang w:val="en-GB"/>
        </w:rPr>
        <w:t>Journal of further and higher education</w:t>
      </w:r>
      <w:r w:rsidRPr="0E9096A0">
        <w:rPr>
          <w:rFonts w:ascii="Calibri" w:eastAsia="Calibri" w:hAnsi="Calibri" w:cs="Calibri"/>
          <w:color w:val="000000" w:themeColor="text1"/>
          <w:lang w:val="en-GB"/>
        </w:rPr>
        <w:t xml:space="preserve">, 47(2), pp. 280–296. Available at: </w:t>
      </w:r>
      <w:r w:rsidRPr="0E9096A0">
        <w:rPr>
          <w:rFonts w:ascii="Calibri" w:eastAsia="Calibri" w:hAnsi="Calibri" w:cs="Calibri"/>
          <w:lang w:val="en-GB"/>
        </w:rPr>
        <w:t>https://doi.org/10.1080/0309877X.2022.2108692</w:t>
      </w:r>
      <w:r w:rsidRPr="0E9096A0">
        <w:rPr>
          <w:rFonts w:ascii="Calibri" w:eastAsia="Calibri" w:hAnsi="Calibri" w:cs="Calibri"/>
          <w:color w:val="000000" w:themeColor="text1"/>
          <w:lang w:val="en-GB"/>
        </w:rPr>
        <w:t>.</w:t>
      </w:r>
    </w:p>
    <w:p w14:paraId="7BD9D733" w14:textId="76EB43F7"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Carmarthenshire County Council (2025) </w:t>
      </w:r>
      <w:r w:rsidRPr="0E9096A0">
        <w:rPr>
          <w:rFonts w:ascii="Calibri" w:eastAsia="Calibri" w:hAnsi="Calibri" w:cs="Calibri"/>
          <w:i/>
          <w:iCs/>
          <w:color w:val="000000" w:themeColor="text1"/>
          <w:lang w:val="en-GB"/>
        </w:rPr>
        <w:t xml:space="preserve">Further and Higher Education.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https://www.carmarthenshire.gov.wales/council-services/education-schools/bilingual-education/further-and-higher-education/#:~:text=There%20are%20opportunities%20to%20study%20bilingually%20or,they%20go%20into%20the%20world%20of%20work</w:t>
      </w:r>
      <w:r w:rsidRPr="0E9096A0">
        <w:rPr>
          <w:rFonts w:ascii="Calibri" w:eastAsia="Calibri" w:hAnsi="Calibri" w:cs="Calibri"/>
          <w:color w:val="000000" w:themeColor="text1"/>
          <w:lang w:val="en-GB"/>
        </w:rPr>
        <w:t>. (Accessed 25 May 2025)</w:t>
      </w:r>
    </w:p>
    <w:p w14:paraId="157857BD" w14:textId="46E1FAF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Centre for Social Justice (CSJ) (2020) </w:t>
      </w:r>
      <w:r w:rsidRPr="0E9096A0">
        <w:rPr>
          <w:rFonts w:ascii="Calibri" w:eastAsia="Calibri" w:hAnsi="Calibri" w:cs="Calibri"/>
          <w:i/>
          <w:iCs/>
          <w:color w:val="000000" w:themeColor="text1"/>
          <w:lang w:val="en-GB"/>
        </w:rPr>
        <w:t xml:space="preserve">Facing the Facts: Ethnicity and Disadvantage in Britain.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https://www.centreforsocialjustice.org.uk/wp-content/uploads/2020/11/CSJJ8513-Ethnicity-Poverty-Report-FINAL.pdf</w:t>
      </w:r>
      <w:r w:rsidRPr="0E9096A0">
        <w:rPr>
          <w:rFonts w:ascii="Calibri" w:eastAsia="Calibri" w:hAnsi="Calibri" w:cs="Calibri"/>
          <w:color w:val="000000" w:themeColor="text1"/>
          <w:lang w:val="en-GB"/>
        </w:rPr>
        <w:t>. (Accessed 25 May 2025).</w:t>
      </w:r>
    </w:p>
    <w:p w14:paraId="0E4773E8" w14:textId="68ADC77D"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Chowdhry, S. (2014) ‘The Caring Performance and the “blooming student”: exploring the emotional labour of further education lecturers in Scotland’, </w:t>
      </w:r>
      <w:r w:rsidRPr="0E9096A0">
        <w:rPr>
          <w:rFonts w:ascii="Calibri" w:eastAsia="Calibri" w:hAnsi="Calibri" w:cs="Calibri"/>
          <w:i/>
          <w:iCs/>
          <w:color w:val="000000" w:themeColor="text1"/>
          <w:lang w:val="en-GB"/>
        </w:rPr>
        <w:t>Journal of vocational education &amp; training</w:t>
      </w:r>
      <w:r w:rsidRPr="0E9096A0">
        <w:rPr>
          <w:rFonts w:ascii="Calibri" w:eastAsia="Calibri" w:hAnsi="Calibri" w:cs="Calibri"/>
          <w:color w:val="000000" w:themeColor="text1"/>
          <w:lang w:val="en-GB"/>
        </w:rPr>
        <w:t xml:space="preserve">, 66(4), pp. 554–571. Available at: </w:t>
      </w:r>
      <w:r w:rsidRPr="0E9096A0">
        <w:rPr>
          <w:rFonts w:ascii="Calibri" w:eastAsia="Calibri" w:hAnsi="Calibri" w:cs="Calibri"/>
          <w:lang w:val="en-GB"/>
        </w:rPr>
        <w:t>https://doi.org/10.1080/13636820.2014.916738</w:t>
      </w:r>
      <w:r w:rsidRPr="0E9096A0">
        <w:rPr>
          <w:rFonts w:ascii="Calibri" w:eastAsia="Calibri" w:hAnsi="Calibri" w:cs="Calibri"/>
          <w:color w:val="000000" w:themeColor="text1"/>
          <w:lang w:val="en-GB"/>
        </w:rPr>
        <w:t>.</w:t>
      </w:r>
    </w:p>
    <w:p w14:paraId="6D5B9E80" w14:textId="25FE424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CollegesWales (2020) </w:t>
      </w:r>
      <w:r w:rsidRPr="0E9096A0">
        <w:rPr>
          <w:rFonts w:ascii="Calibri" w:eastAsia="Calibri" w:hAnsi="Calibri" w:cs="Calibri"/>
          <w:i/>
          <w:iCs/>
          <w:color w:val="000000" w:themeColor="text1"/>
          <w:lang w:val="en-GB"/>
        </w:rPr>
        <w:t xml:space="preserve">Higher Education in Further Education Institutions Briefing: Challenges and Opportunities for Renewal in Difficult Times.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https://www.colleges.wales/image/publications/briefings/HE%20in%20FEI%27s%20Challenging%20times/200511%20HE%20in%20FE%20briefing%202020%20ENG.pdf</w:t>
      </w:r>
      <w:r w:rsidRPr="0E9096A0">
        <w:rPr>
          <w:rFonts w:ascii="Calibri" w:eastAsia="Calibri" w:hAnsi="Calibri" w:cs="Calibri"/>
          <w:color w:val="000000" w:themeColor="text1"/>
          <w:lang w:val="en-GB"/>
        </w:rPr>
        <w:t xml:space="preserve"> (Accessed: 31 May 2025)</w:t>
      </w:r>
    </w:p>
    <w:p w14:paraId="0D265AF5" w14:textId="13774F0D"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Denscombe, M. (2010) </w:t>
      </w:r>
      <w:r w:rsidRPr="0E9096A0">
        <w:rPr>
          <w:rFonts w:ascii="Calibri" w:eastAsia="Calibri" w:hAnsi="Calibri" w:cs="Calibri"/>
          <w:i/>
          <w:iCs/>
          <w:color w:val="000000" w:themeColor="text1"/>
          <w:lang w:val="en-GB"/>
        </w:rPr>
        <w:t>Ground rules for social research: guidelines for good practice</w:t>
      </w:r>
      <w:r w:rsidRPr="0E9096A0">
        <w:rPr>
          <w:rFonts w:ascii="Calibri" w:eastAsia="Calibri" w:hAnsi="Calibri" w:cs="Calibri"/>
          <w:color w:val="000000" w:themeColor="text1"/>
          <w:lang w:val="en-GB"/>
        </w:rPr>
        <w:t>. 2nd ed. Maidenhead: Open University Press (Open UP study skills). </w:t>
      </w:r>
    </w:p>
    <w:p w14:paraId="4C69F6D7" w14:textId="2A0E6B5B" w:rsidR="004D4AAC" w:rsidRDefault="6CA8353D" w:rsidP="0E9096A0">
      <w:pPr>
        <w:spacing w:after="0"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Denscombe, M. (2021) </w:t>
      </w:r>
      <w:r w:rsidRPr="0E9096A0">
        <w:rPr>
          <w:rFonts w:ascii="Calibri" w:eastAsia="Calibri" w:hAnsi="Calibri" w:cs="Calibri"/>
          <w:i/>
          <w:iCs/>
          <w:color w:val="000000" w:themeColor="text1"/>
          <w:lang w:val="en-GB"/>
        </w:rPr>
        <w:t>The good research guide : research methods for small-scale social research projects</w:t>
      </w:r>
      <w:r w:rsidRPr="0E9096A0">
        <w:rPr>
          <w:rFonts w:ascii="Calibri" w:eastAsia="Calibri" w:hAnsi="Calibri" w:cs="Calibri"/>
          <w:color w:val="000000" w:themeColor="text1"/>
          <w:lang w:val="en-GB"/>
        </w:rPr>
        <w:t>. Seventh edition. London: Open University Press.</w:t>
      </w:r>
    </w:p>
    <w:p w14:paraId="17C5691F" w14:textId="7F5FAB48"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Gray, D.E. (2022) </w:t>
      </w:r>
      <w:r w:rsidRPr="0E9096A0">
        <w:rPr>
          <w:rFonts w:ascii="Calibri" w:eastAsia="Calibri" w:hAnsi="Calibri" w:cs="Calibri"/>
          <w:i/>
          <w:iCs/>
          <w:color w:val="000000" w:themeColor="text1"/>
          <w:lang w:val="en-GB"/>
        </w:rPr>
        <w:t>Doing research in the real world</w:t>
      </w:r>
      <w:r w:rsidRPr="0E9096A0">
        <w:rPr>
          <w:rFonts w:ascii="Calibri" w:eastAsia="Calibri" w:hAnsi="Calibri" w:cs="Calibri"/>
          <w:color w:val="000000" w:themeColor="text1"/>
          <w:lang w:val="en-GB"/>
        </w:rPr>
        <w:t>. 5th edition. London: SAGE. </w:t>
      </w:r>
    </w:p>
    <w:p w14:paraId="14CE4544" w14:textId="298ED48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Department for Education and Skills (2014) </w:t>
      </w:r>
      <w:r w:rsidRPr="0E9096A0">
        <w:rPr>
          <w:rFonts w:ascii="Calibri" w:eastAsia="Calibri" w:hAnsi="Calibri" w:cs="Calibri"/>
          <w:i/>
          <w:iCs/>
          <w:color w:val="000000" w:themeColor="text1"/>
          <w:lang w:val="en-GB"/>
        </w:rPr>
        <w:t>Policy Statement on Skills.</w:t>
      </w:r>
      <w:r w:rsidRPr="0E9096A0">
        <w:rPr>
          <w:rFonts w:ascii="Calibri" w:eastAsia="Calibri" w:hAnsi="Calibri" w:cs="Calibri"/>
          <w:color w:val="000000" w:themeColor="text1"/>
          <w:lang w:val="en-GB"/>
        </w:rPr>
        <w:t xml:space="preserve"> Available at: </w:t>
      </w:r>
      <w:r w:rsidRPr="0E9096A0">
        <w:rPr>
          <w:rFonts w:ascii="Calibri" w:eastAsia="Calibri" w:hAnsi="Calibri" w:cs="Calibri"/>
          <w:i/>
          <w:iCs/>
          <w:color w:val="000000" w:themeColor="text1"/>
          <w:lang w:val="en-GB"/>
        </w:rPr>
        <w:t xml:space="preserve"> </w:t>
      </w:r>
      <w:r w:rsidRPr="0E9096A0">
        <w:rPr>
          <w:rFonts w:ascii="Calibri" w:eastAsia="Calibri" w:hAnsi="Calibri" w:cs="Calibri"/>
          <w:lang w:val="en-GB"/>
        </w:rPr>
        <w:t>https://www.gov.wales/sites/default/files/publications/2018-02/policy-statement-on-skills.pdf</w:t>
      </w:r>
      <w:r w:rsidRPr="0E9096A0">
        <w:rPr>
          <w:rFonts w:ascii="Calibri" w:eastAsia="Calibri" w:hAnsi="Calibri" w:cs="Calibri"/>
          <w:color w:val="000000" w:themeColor="text1"/>
          <w:lang w:val="en-GB"/>
        </w:rPr>
        <w:t xml:space="preserve"> (Accessed 18 May 2025).</w:t>
      </w:r>
    </w:p>
    <w:p w14:paraId="335E46EC" w14:textId="295E657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Careerswales (2025) </w:t>
      </w:r>
      <w:r w:rsidRPr="0E9096A0">
        <w:rPr>
          <w:rFonts w:ascii="Calibri" w:eastAsia="Calibri" w:hAnsi="Calibri" w:cs="Calibri"/>
          <w:i/>
          <w:iCs/>
          <w:color w:val="000000" w:themeColor="text1"/>
          <w:lang w:val="en-GB"/>
        </w:rPr>
        <w:t>Pay and Hours</w:t>
      </w:r>
      <w:r w:rsidRPr="0E9096A0">
        <w:rPr>
          <w:rFonts w:ascii="Calibri" w:eastAsia="Calibri" w:hAnsi="Calibri" w:cs="Calibri"/>
          <w:color w:val="000000" w:themeColor="text1"/>
          <w:lang w:val="en-GB"/>
        </w:rPr>
        <w:t xml:space="preserve"> (Available at: </w:t>
      </w:r>
      <w:r w:rsidRPr="0E9096A0">
        <w:rPr>
          <w:rFonts w:ascii="Calibri" w:eastAsia="Calibri" w:hAnsi="Calibri" w:cs="Calibri"/>
          <w:lang w:val="en-GB"/>
        </w:rPr>
        <w:t>https://careerswales.gov.wales/job-information/further-education-lecturer/pay-and-hours</w:t>
      </w:r>
      <w:r w:rsidRPr="0E9096A0">
        <w:rPr>
          <w:rFonts w:ascii="Calibri" w:eastAsia="Calibri" w:hAnsi="Calibri" w:cs="Calibri"/>
          <w:color w:val="000000" w:themeColor="text1"/>
          <w:lang w:val="en-GB"/>
        </w:rPr>
        <w:t xml:space="preserve"> (Accessed 31 May 2025</w:t>
      </w:r>
    </w:p>
    <w:p w14:paraId="1EA76B07" w14:textId="75B5AA4B"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Education and Training Foundation (2024) </w:t>
      </w:r>
      <w:r w:rsidRPr="0E9096A0">
        <w:rPr>
          <w:rFonts w:ascii="Calibri" w:eastAsia="Calibri" w:hAnsi="Calibri" w:cs="Calibri"/>
          <w:i/>
          <w:iCs/>
          <w:color w:val="000000" w:themeColor="text1"/>
          <w:lang w:val="en-GB"/>
        </w:rPr>
        <w:t xml:space="preserve">How do we motivate our teachers to stay in FE – Could an alternative approach to professional development be part of the solution?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https://www.et-foundation.co.uk/leadership/how-do-we-motivate-our-teachers-to-stay-in-fe-could-an-alternative-approach-to-professional-development-be-part-of-the-solution/</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Accessed: 18 May 2025).</w:t>
      </w:r>
    </w:p>
    <w:p w14:paraId="485F8D8C" w14:textId="270AC6D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Estyn (2024) </w:t>
      </w:r>
      <w:r w:rsidRPr="0E9096A0">
        <w:rPr>
          <w:rFonts w:ascii="Calibri" w:eastAsia="Calibri" w:hAnsi="Calibri" w:cs="Calibri"/>
          <w:i/>
          <w:iCs/>
          <w:color w:val="000000" w:themeColor="text1"/>
          <w:lang w:val="en-GB"/>
        </w:rPr>
        <w:t xml:space="preserve">Our Approach: Further Education.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https://estyn.gov.wales/our-approach-further-education/</w:t>
      </w:r>
      <w:r w:rsidRPr="0E9096A0">
        <w:rPr>
          <w:rFonts w:ascii="Calibri" w:eastAsia="Calibri" w:hAnsi="Calibri" w:cs="Calibri"/>
          <w:color w:val="000000" w:themeColor="text1"/>
          <w:lang w:val="en-GB"/>
        </w:rPr>
        <w:t xml:space="preserve"> (Accessed 31 May 2025).</w:t>
      </w:r>
    </w:p>
    <w:p w14:paraId="72399B07" w14:textId="230DD959"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Feather, D. (2010) ‘A whisper of academic identity: an HE in FE perspective’, </w:t>
      </w:r>
      <w:r w:rsidRPr="0E9096A0">
        <w:rPr>
          <w:rFonts w:ascii="Calibri" w:eastAsia="Calibri" w:hAnsi="Calibri" w:cs="Calibri"/>
          <w:i/>
          <w:iCs/>
          <w:color w:val="000000" w:themeColor="text1"/>
          <w:lang w:val="en-GB"/>
        </w:rPr>
        <w:t>Research in post-compulsory education</w:t>
      </w:r>
      <w:r w:rsidRPr="0E9096A0">
        <w:rPr>
          <w:rFonts w:ascii="Calibri" w:eastAsia="Calibri" w:hAnsi="Calibri" w:cs="Calibri"/>
          <w:color w:val="000000" w:themeColor="text1"/>
          <w:lang w:val="en-GB"/>
        </w:rPr>
        <w:t xml:space="preserve">, 15(2), pp. 189–204. Available at: </w:t>
      </w:r>
      <w:r w:rsidRPr="0E9096A0">
        <w:rPr>
          <w:rFonts w:ascii="Calibri" w:eastAsia="Calibri" w:hAnsi="Calibri" w:cs="Calibri"/>
          <w:lang w:val="en-GB"/>
        </w:rPr>
        <w:t>https://doi.org/10.1080/13596741003790740</w:t>
      </w:r>
      <w:r w:rsidRPr="0E9096A0">
        <w:rPr>
          <w:rFonts w:ascii="Calibri" w:eastAsia="Calibri" w:hAnsi="Calibri" w:cs="Calibri"/>
          <w:color w:val="000000" w:themeColor="text1"/>
          <w:lang w:val="en-GB"/>
        </w:rPr>
        <w:t>.</w:t>
      </w:r>
    </w:p>
    <w:p w14:paraId="65729853" w14:textId="4441DEB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Feather, D. (2016) ‘Defining academic - real or imagined’, </w:t>
      </w:r>
      <w:r w:rsidRPr="0E9096A0">
        <w:rPr>
          <w:rFonts w:ascii="Calibri" w:eastAsia="Calibri" w:hAnsi="Calibri" w:cs="Calibri"/>
          <w:i/>
          <w:iCs/>
          <w:color w:val="000000" w:themeColor="text1"/>
          <w:lang w:val="en-GB"/>
        </w:rPr>
        <w:t>Studies in higher education (Dorchester-on-Thames)</w:t>
      </w:r>
      <w:r w:rsidRPr="0E9096A0">
        <w:rPr>
          <w:rFonts w:ascii="Calibri" w:eastAsia="Calibri" w:hAnsi="Calibri" w:cs="Calibri"/>
          <w:color w:val="000000" w:themeColor="text1"/>
          <w:lang w:val="en-GB"/>
        </w:rPr>
        <w:t xml:space="preserve">, 41(1), pp. 110–123. Available at: </w:t>
      </w:r>
      <w:r w:rsidRPr="0E9096A0">
        <w:rPr>
          <w:rFonts w:ascii="Calibri" w:eastAsia="Calibri" w:hAnsi="Calibri" w:cs="Calibri"/>
          <w:lang w:val="en-GB"/>
        </w:rPr>
        <w:t>https://doi.org/10.1080/03075079.2014.914921</w:t>
      </w:r>
      <w:r w:rsidRPr="0E9096A0">
        <w:rPr>
          <w:rFonts w:ascii="Calibri" w:eastAsia="Calibri" w:hAnsi="Calibri" w:cs="Calibri"/>
          <w:color w:val="000000" w:themeColor="text1"/>
          <w:lang w:val="en-GB"/>
        </w:rPr>
        <w:t>.</w:t>
      </w:r>
    </w:p>
    <w:p w14:paraId="2191C93F" w14:textId="2F844244" w:rsidR="6CA8353D" w:rsidRDefault="6CA8353D" w:rsidP="50EE857F">
      <w:pPr>
        <w:spacing w:line="360" w:lineRule="auto"/>
        <w:rPr>
          <w:rFonts w:ascii="Calibri" w:eastAsia="Calibri" w:hAnsi="Calibri" w:cs="Calibri"/>
          <w:color w:val="000000" w:themeColor="text1"/>
        </w:rPr>
      </w:pPr>
      <w:r w:rsidRPr="50EE857F">
        <w:rPr>
          <w:rFonts w:ascii="Calibri" w:eastAsia="Calibri" w:hAnsi="Calibri" w:cs="Calibri"/>
          <w:color w:val="000000" w:themeColor="text1"/>
        </w:rPr>
        <w:t xml:space="preserve">Finefter-Rosenbluh, I., 2017. Incorporating Perspective Taking in Reflexivity: A Method to Enhance Insider Qualitative Research Processes. </w:t>
      </w:r>
      <w:r w:rsidRPr="50EE857F">
        <w:rPr>
          <w:rFonts w:ascii="Calibri" w:eastAsia="Calibri" w:hAnsi="Calibri" w:cs="Calibri"/>
          <w:i/>
          <w:iCs/>
          <w:color w:val="000000" w:themeColor="text1"/>
        </w:rPr>
        <w:t xml:space="preserve">International journal of qualitative methods, </w:t>
      </w:r>
      <w:r w:rsidRPr="50EE857F">
        <w:rPr>
          <w:rFonts w:ascii="Calibri" w:eastAsia="Calibri" w:hAnsi="Calibri" w:cs="Calibri"/>
          <w:b/>
          <w:bCs/>
          <w:color w:val="000000" w:themeColor="text1"/>
        </w:rPr>
        <w:t>16</w:t>
      </w:r>
      <w:r w:rsidRPr="50EE857F">
        <w:rPr>
          <w:rFonts w:ascii="Calibri" w:eastAsia="Calibri" w:hAnsi="Calibri" w:cs="Calibri"/>
          <w:color w:val="000000" w:themeColor="text1"/>
        </w:rPr>
        <w:t>(1),.</w:t>
      </w:r>
    </w:p>
    <w:p w14:paraId="755AECA4" w14:textId="7AC69A03"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Flick, U. (2018) </w:t>
      </w:r>
      <w:r w:rsidRPr="0E9096A0">
        <w:rPr>
          <w:rFonts w:ascii="Calibri" w:eastAsia="Calibri" w:hAnsi="Calibri" w:cs="Calibri"/>
          <w:i/>
          <w:iCs/>
          <w:color w:val="000000" w:themeColor="text1"/>
          <w:lang w:val="en-GB"/>
        </w:rPr>
        <w:t>An introduction to qualitative research</w:t>
      </w:r>
      <w:r w:rsidRPr="0E9096A0">
        <w:rPr>
          <w:rFonts w:ascii="Calibri" w:eastAsia="Calibri" w:hAnsi="Calibri" w:cs="Calibri"/>
          <w:color w:val="000000" w:themeColor="text1"/>
          <w:lang w:val="en-GB"/>
        </w:rPr>
        <w:t>. Sixth edition. London: SAGE.</w:t>
      </w:r>
    </w:p>
    <w:p w14:paraId="46FE4D15" w14:textId="6606C57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Gill, A. (2019) ‘Student Transition into Higher Education: Exploring BTEC Sport and Exercise Students Forthcoming Transition to Higher Education Taught within a Further Education Setting’ </w:t>
      </w:r>
      <w:r w:rsidRPr="0E9096A0">
        <w:rPr>
          <w:rFonts w:ascii="Calibri" w:eastAsia="Calibri" w:hAnsi="Calibri" w:cs="Calibri"/>
          <w:i/>
          <w:iCs/>
          <w:color w:val="000000" w:themeColor="text1"/>
          <w:lang w:val="en-GB"/>
        </w:rPr>
        <w:t xml:space="preserve">Innovative Practice in Higher Education, </w:t>
      </w:r>
      <w:r w:rsidRPr="0E9096A0">
        <w:rPr>
          <w:rFonts w:ascii="Calibri" w:eastAsia="Calibri" w:hAnsi="Calibri" w:cs="Calibri"/>
          <w:color w:val="000000" w:themeColor="text1"/>
          <w:lang w:val="en-GB"/>
        </w:rPr>
        <w:t>3 (3), pp. 90-112</w:t>
      </w:r>
    </w:p>
    <w:p w14:paraId="4BF3FC85" w14:textId="7DC5CDC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Gill, A.J.G. (2020) ‘The thoughts, feelings and perceptions of sport and exercise students progressing from vocational education and training to academic education’, </w:t>
      </w:r>
      <w:r w:rsidRPr="0E9096A0">
        <w:rPr>
          <w:rFonts w:ascii="Calibri" w:eastAsia="Calibri" w:hAnsi="Calibri" w:cs="Calibri"/>
          <w:i/>
          <w:iCs/>
          <w:color w:val="000000" w:themeColor="text1"/>
          <w:lang w:val="en-GB"/>
        </w:rPr>
        <w:t>Journal of further and higher education</w:t>
      </w:r>
      <w:r w:rsidRPr="0E9096A0">
        <w:rPr>
          <w:rFonts w:ascii="Calibri" w:eastAsia="Calibri" w:hAnsi="Calibri" w:cs="Calibri"/>
          <w:color w:val="000000" w:themeColor="text1"/>
          <w:lang w:val="en-GB"/>
        </w:rPr>
        <w:t xml:space="preserve">, 44(6), pp. 795–808. Available at: </w:t>
      </w:r>
      <w:r w:rsidRPr="0E9096A0">
        <w:rPr>
          <w:rFonts w:ascii="Calibri" w:eastAsia="Calibri" w:hAnsi="Calibri" w:cs="Calibri"/>
          <w:lang w:val="en-GB"/>
        </w:rPr>
        <w:t>https://doi.org/10.1080/0309877X.2019.1605499</w:t>
      </w:r>
      <w:r w:rsidRPr="0E9096A0">
        <w:rPr>
          <w:rFonts w:ascii="Calibri" w:eastAsia="Calibri" w:hAnsi="Calibri" w:cs="Calibri"/>
          <w:color w:val="000000" w:themeColor="text1"/>
          <w:lang w:val="en-GB"/>
        </w:rPr>
        <w:t>.</w:t>
      </w:r>
    </w:p>
    <w:p w14:paraId="5C94BF58" w14:textId="79FB6D97"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Gray, D.E. (2022) </w:t>
      </w:r>
      <w:r w:rsidRPr="0E9096A0">
        <w:rPr>
          <w:rFonts w:ascii="Calibri" w:eastAsia="Calibri" w:hAnsi="Calibri" w:cs="Calibri"/>
          <w:i/>
          <w:iCs/>
          <w:color w:val="000000" w:themeColor="text1"/>
          <w:lang w:val="en-GB"/>
        </w:rPr>
        <w:t>Doing research in the real world</w:t>
      </w:r>
      <w:r w:rsidRPr="0E9096A0">
        <w:rPr>
          <w:rFonts w:ascii="Calibri" w:eastAsia="Calibri" w:hAnsi="Calibri" w:cs="Calibri"/>
          <w:color w:val="000000" w:themeColor="text1"/>
          <w:lang w:val="en-GB"/>
        </w:rPr>
        <w:t>. 5th edition. London: SAGE. </w:t>
      </w:r>
    </w:p>
    <w:p w14:paraId="13EA3DEE" w14:textId="78442F33"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Hazelkorn, E. (2016) </w:t>
      </w:r>
      <w:r w:rsidRPr="0E9096A0">
        <w:rPr>
          <w:rFonts w:ascii="Calibri" w:eastAsia="Calibri" w:hAnsi="Calibri" w:cs="Calibri"/>
          <w:i/>
          <w:iCs/>
          <w:color w:val="000000" w:themeColor="text1"/>
          <w:lang w:val="en-GB"/>
        </w:rPr>
        <w:t xml:space="preserve">Towards 2030: A framework for building a world-class post-compulsory education system for Wales.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https://refworks.proquest.com/library/read/doc:682a174c31e9481730bb67c7/</w:t>
      </w:r>
      <w:r w:rsidRPr="0E9096A0">
        <w:rPr>
          <w:rFonts w:ascii="Calibri" w:eastAsia="Calibri" w:hAnsi="Calibri" w:cs="Calibri"/>
          <w:color w:val="000000" w:themeColor="text1"/>
          <w:lang w:val="en-GB"/>
        </w:rPr>
        <w:t xml:space="preserve"> (Accessed: 18 May 2025)</w:t>
      </w:r>
    </w:p>
    <w:p w14:paraId="3086E91E" w14:textId="1ED9F1AF"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HESA (2023) </w:t>
      </w:r>
      <w:r w:rsidRPr="0E9096A0">
        <w:rPr>
          <w:rFonts w:ascii="Calibri" w:eastAsia="Calibri" w:hAnsi="Calibri" w:cs="Calibri"/>
          <w:i/>
          <w:iCs/>
          <w:color w:val="000000" w:themeColor="text1"/>
          <w:lang w:val="en-GB"/>
        </w:rPr>
        <w:t xml:space="preserve">What Counts as Higher Education in the UK?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https://www.hesa.ac.uk/blog/28-02-2023/what-counts-higher-education-uk</w:t>
      </w:r>
      <w:r w:rsidRPr="0E9096A0">
        <w:rPr>
          <w:rFonts w:ascii="Calibri" w:eastAsia="Calibri" w:hAnsi="Calibri" w:cs="Calibri"/>
          <w:color w:val="000000" w:themeColor="text1"/>
          <w:lang w:val="en-GB"/>
        </w:rPr>
        <w:t>. (Accessed 18 May 2025).</w:t>
      </w:r>
    </w:p>
    <w:p w14:paraId="2C31C42F" w14:textId="3F5C995C"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lastRenderedPageBreak/>
        <w:t xml:space="preserve">Hickson, H. (2016) Becoming a critical narrativist: Using critical reflection and narrative inquiry as a research methodology. </w:t>
      </w:r>
      <w:r w:rsidRPr="0E9096A0">
        <w:rPr>
          <w:rFonts w:ascii="Calibri" w:eastAsia="Calibri" w:hAnsi="Calibri" w:cs="Calibri"/>
          <w:i/>
          <w:iCs/>
          <w:color w:val="000000" w:themeColor="text1"/>
        </w:rPr>
        <w:t xml:space="preserve">Qualitative Social Work: Research and Practice. </w:t>
      </w:r>
      <w:r w:rsidRPr="0E9096A0">
        <w:rPr>
          <w:rFonts w:ascii="Calibri" w:eastAsia="Calibri" w:hAnsi="Calibri" w:cs="Calibri"/>
          <w:color w:val="000000" w:themeColor="text1"/>
        </w:rPr>
        <w:t>15(3) pp380-391. DOI: 10.1177/1473325015617344</w:t>
      </w:r>
    </w:p>
    <w:p w14:paraId="6210BEE9" w14:textId="49267607"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Ide, Y. and Beddoe, l., 2024. Challenging perspectives: Reflexivity as a critical approach to qualitative social work research. Qualitative Social Work, </w:t>
      </w:r>
      <w:r w:rsidRPr="0E9096A0">
        <w:rPr>
          <w:rFonts w:ascii="Calibri" w:eastAsia="Calibri" w:hAnsi="Calibri" w:cs="Calibri"/>
          <w:b/>
          <w:bCs/>
          <w:color w:val="000000" w:themeColor="text1"/>
          <w:lang w:val="en-GB"/>
        </w:rPr>
        <w:t>23</w:t>
      </w:r>
      <w:r w:rsidRPr="0E9096A0">
        <w:rPr>
          <w:rFonts w:ascii="Calibri" w:eastAsia="Calibri" w:hAnsi="Calibri" w:cs="Calibri"/>
          <w:color w:val="000000" w:themeColor="text1"/>
          <w:lang w:val="en-GB"/>
        </w:rPr>
        <w:t>(4), pp. 725–740.</w:t>
      </w:r>
    </w:p>
    <w:p w14:paraId="53BC1B6A" w14:textId="574398B0"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Irani, E., (2019). The Use of Videoconferencing for Qualitative Interviewing: Opportunities, Challenges, and Considerations. </w:t>
      </w:r>
      <w:r w:rsidRPr="0E9096A0">
        <w:rPr>
          <w:rFonts w:ascii="Calibri" w:eastAsia="Calibri" w:hAnsi="Calibri" w:cs="Calibri"/>
          <w:i/>
          <w:iCs/>
          <w:color w:val="000000" w:themeColor="text1"/>
          <w:lang w:val="en-GB"/>
        </w:rPr>
        <w:t>Clinical Nursing Research</w:t>
      </w:r>
      <w:r w:rsidRPr="0E9096A0">
        <w:rPr>
          <w:rFonts w:ascii="Calibri" w:eastAsia="Calibri" w:hAnsi="Calibri" w:cs="Calibri"/>
          <w:color w:val="000000" w:themeColor="text1"/>
          <w:lang w:val="en-GB"/>
        </w:rPr>
        <w:t xml:space="preserve">, 28(1), pp.3–8. </w:t>
      </w:r>
      <w:r w:rsidRPr="0E9096A0">
        <w:rPr>
          <w:rFonts w:ascii="Calibri" w:eastAsia="Calibri" w:hAnsi="Calibri" w:cs="Calibri"/>
          <w:lang w:val="en-GB"/>
        </w:rPr>
        <w:t>https://doi.org/10.1177/1054773818803170</w:t>
      </w:r>
      <w:r w:rsidRPr="0E9096A0">
        <w:rPr>
          <w:rFonts w:ascii="Calibri" w:eastAsia="Calibri" w:hAnsi="Calibri" w:cs="Calibri"/>
          <w:color w:val="000000" w:themeColor="text1"/>
          <w:lang w:val="en-GB"/>
        </w:rPr>
        <w:t>. </w:t>
      </w:r>
    </w:p>
    <w:p w14:paraId="0A8025EC" w14:textId="2C030A51" w:rsidR="361CC968" w:rsidRDefault="6CA8353D" w:rsidP="0E9096A0">
      <w:pPr>
        <w:spacing w:beforeAutospacing="1" w:afterAutospacing="1" w:line="360" w:lineRule="auto"/>
        <w:rPr>
          <w:rFonts w:ascii="Calibri" w:eastAsia="Calibri" w:hAnsi="Calibri" w:cs="Calibri"/>
          <w:color w:val="000000" w:themeColor="text1"/>
          <w:lang w:val="en-GB"/>
        </w:rPr>
      </w:pPr>
      <w:r w:rsidRPr="0E9096A0">
        <w:rPr>
          <w:rFonts w:ascii="Calibri" w:eastAsia="Calibri" w:hAnsi="Calibri" w:cs="Calibri"/>
          <w:color w:val="333333"/>
          <w:lang w:val="en-GB"/>
        </w:rPr>
        <w:t>Jacobson, D., &amp; Mustafa, N. (2019). Social Identity Map: A Reflexivity Tool for Practicing Explicit Positionality in Critical Qualitative Research. </w:t>
      </w:r>
      <w:r w:rsidRPr="0E9096A0">
        <w:rPr>
          <w:rFonts w:ascii="Calibri" w:eastAsia="Calibri" w:hAnsi="Calibri" w:cs="Calibri"/>
          <w:i/>
          <w:iCs/>
          <w:color w:val="333333"/>
          <w:lang w:val="en-GB"/>
        </w:rPr>
        <w:t>International Journal of Qualitative Methods</w:t>
      </w:r>
      <w:r w:rsidRPr="0E9096A0">
        <w:rPr>
          <w:rFonts w:ascii="Calibri" w:eastAsia="Calibri" w:hAnsi="Calibri" w:cs="Calibri"/>
          <w:color w:val="333333"/>
          <w:lang w:val="en-GB"/>
        </w:rPr>
        <w:t>, </w:t>
      </w:r>
      <w:r w:rsidRPr="0E9096A0">
        <w:rPr>
          <w:rFonts w:ascii="Calibri" w:eastAsia="Calibri" w:hAnsi="Calibri" w:cs="Calibri"/>
          <w:i/>
          <w:iCs/>
          <w:color w:val="333333"/>
          <w:lang w:val="en-GB"/>
        </w:rPr>
        <w:t>18</w:t>
      </w:r>
      <w:r w:rsidRPr="0E9096A0">
        <w:rPr>
          <w:rFonts w:ascii="Calibri" w:eastAsia="Calibri" w:hAnsi="Calibri" w:cs="Calibri"/>
          <w:color w:val="333333"/>
          <w:lang w:val="en-GB"/>
        </w:rPr>
        <w:t>. </w:t>
      </w:r>
      <w:r w:rsidRPr="0E9096A0">
        <w:rPr>
          <w:rFonts w:ascii="Calibri" w:eastAsia="Calibri" w:hAnsi="Calibri" w:cs="Calibri"/>
          <w:lang w:val="en-GB"/>
        </w:rPr>
        <w:t>https://doi.org/10.1177/1609406919870075</w:t>
      </w:r>
      <w:r w:rsidRPr="0E9096A0">
        <w:rPr>
          <w:rFonts w:ascii="Calibri" w:eastAsia="Calibri" w:hAnsi="Calibri" w:cs="Calibri"/>
          <w:color w:val="000000" w:themeColor="text1"/>
          <w:lang w:val="en-GB"/>
        </w:rPr>
        <w:t> </w:t>
      </w:r>
    </w:p>
    <w:p w14:paraId="4AFE2FC7" w14:textId="721EB38E"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t xml:space="preserve">Kakilla, C. (2021) </w:t>
      </w:r>
      <w:r w:rsidRPr="0E9096A0">
        <w:rPr>
          <w:rFonts w:ascii="Calibri" w:eastAsia="Calibri" w:hAnsi="Calibri" w:cs="Calibri"/>
          <w:i/>
          <w:iCs/>
          <w:color w:val="000000" w:themeColor="text1"/>
        </w:rPr>
        <w:t xml:space="preserve">Strengths and Weaknesses of Semi-Structured Interviews in Qualitative Research: A Critical Essay. </w:t>
      </w:r>
      <w:r w:rsidRPr="0E9096A0">
        <w:rPr>
          <w:rFonts w:ascii="Calibri" w:eastAsia="Calibri" w:hAnsi="Calibri" w:cs="Calibri"/>
          <w:color w:val="000000" w:themeColor="text1"/>
        </w:rPr>
        <w:t xml:space="preserve">Preprint. </w:t>
      </w:r>
      <w:r w:rsidRPr="0E9096A0">
        <w:rPr>
          <w:rFonts w:ascii="Calibri" w:eastAsia="Calibri" w:hAnsi="Calibri" w:cs="Calibri"/>
        </w:rPr>
        <w:t>https://doi.org/10.20944/preprints202106.0491.v1</w:t>
      </w:r>
    </w:p>
    <w:p w14:paraId="1FCBCD8D" w14:textId="74D3084A"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Khan, T. H., &amp; MacEachen, E. (2022). An Alternative Method of Interviewing: Critical Reflections on Videoconference Interviews for Qualitative Data Collection. International Journal of Qualitative Methods, 21. </w:t>
      </w:r>
      <w:r w:rsidRPr="0E9096A0">
        <w:rPr>
          <w:rFonts w:ascii="Calibri" w:eastAsia="Calibri" w:hAnsi="Calibri" w:cs="Calibri"/>
          <w:lang w:val="en-GB"/>
        </w:rPr>
        <w:t>https://doi.org/10.1177/16094069221090063</w:t>
      </w:r>
    </w:p>
    <w:p w14:paraId="69807777" w14:textId="32A38D3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King, M. </w:t>
      </w:r>
      <w:r w:rsidRPr="0E9096A0">
        <w:rPr>
          <w:rFonts w:ascii="Calibri" w:eastAsia="Calibri" w:hAnsi="Calibri" w:cs="Calibri"/>
          <w:i/>
          <w:iCs/>
          <w:color w:val="000000" w:themeColor="text1"/>
          <w:lang w:val="en-GB"/>
        </w:rPr>
        <w:t>et al.</w:t>
      </w:r>
      <w:r w:rsidRPr="0E9096A0">
        <w:rPr>
          <w:rFonts w:ascii="Calibri" w:eastAsia="Calibri" w:hAnsi="Calibri" w:cs="Calibri"/>
          <w:color w:val="000000" w:themeColor="text1"/>
          <w:lang w:val="en-GB"/>
        </w:rPr>
        <w:t xml:space="preserve"> (2015) ‘The experiences of students studying higher education on a part time basis in English further education colleges’, </w:t>
      </w:r>
      <w:r w:rsidRPr="0E9096A0">
        <w:rPr>
          <w:rFonts w:ascii="Calibri" w:eastAsia="Calibri" w:hAnsi="Calibri" w:cs="Calibri"/>
          <w:i/>
          <w:iCs/>
          <w:color w:val="000000" w:themeColor="text1"/>
          <w:lang w:val="en-GB"/>
        </w:rPr>
        <w:t>Higher education, skills and work-based learning</w:t>
      </w:r>
      <w:r w:rsidRPr="0E9096A0">
        <w:rPr>
          <w:rFonts w:ascii="Calibri" w:eastAsia="Calibri" w:hAnsi="Calibri" w:cs="Calibri"/>
          <w:color w:val="000000" w:themeColor="text1"/>
          <w:lang w:val="en-GB"/>
        </w:rPr>
        <w:t xml:space="preserve">, 5(1), pp. 63–73. Available at: </w:t>
      </w:r>
      <w:r w:rsidRPr="0E9096A0">
        <w:rPr>
          <w:rFonts w:ascii="Calibri" w:eastAsia="Calibri" w:hAnsi="Calibri" w:cs="Calibri"/>
          <w:lang w:val="en-GB"/>
        </w:rPr>
        <w:t>https://doi.org/10.1108/HESWBL-07-2014-0033</w:t>
      </w:r>
      <w:r w:rsidRPr="0E9096A0">
        <w:rPr>
          <w:rFonts w:ascii="Calibri" w:eastAsia="Calibri" w:hAnsi="Calibri" w:cs="Calibri"/>
          <w:color w:val="000000" w:themeColor="text1"/>
          <w:lang w:val="en-GB"/>
        </w:rPr>
        <w:t>.</w:t>
      </w:r>
    </w:p>
    <w:p w14:paraId="4F8729D3" w14:textId="254A3C94"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King, M., and J. Widdowson. 2012. “Inspiring Individuals: Teaching Higher Education in a Further Education College.” Higher Education Academy. Available at: </w:t>
      </w:r>
      <w:r w:rsidRPr="0E9096A0">
        <w:rPr>
          <w:rFonts w:ascii="Calibri" w:eastAsia="Calibri" w:hAnsi="Calibri" w:cs="Calibri"/>
          <w:lang w:val="en-GB"/>
        </w:rPr>
        <w:t>https://www.advance-he.ac.uk/knowledge-hub/inspiring-individuals-teaching-higher-education-further-education-college</w:t>
      </w:r>
      <w:r w:rsidRPr="0E9096A0">
        <w:rPr>
          <w:rFonts w:ascii="Calibri" w:eastAsia="Calibri" w:hAnsi="Calibri" w:cs="Calibri"/>
          <w:color w:val="000000" w:themeColor="text1"/>
          <w:lang w:val="en-GB"/>
        </w:rPr>
        <w:t xml:space="preserve"> (Accessed 31 May 2025).</w:t>
      </w:r>
    </w:p>
    <w:p w14:paraId="5466304A" w14:textId="3EB6FA5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Kinman, G., and S. Wray. 2013. </w:t>
      </w:r>
      <w:r w:rsidRPr="0E9096A0">
        <w:rPr>
          <w:rFonts w:ascii="Calibri" w:eastAsia="Calibri" w:hAnsi="Calibri" w:cs="Calibri"/>
          <w:i/>
          <w:iCs/>
          <w:color w:val="000000" w:themeColor="text1"/>
          <w:lang w:val="en-GB"/>
        </w:rPr>
        <w:t>Further Stress: A Survey of Stress and Well-Being Among Staff in Further Education.</w:t>
      </w:r>
      <w:r w:rsidRPr="0E9096A0">
        <w:rPr>
          <w:rFonts w:ascii="Calibri" w:eastAsia="Calibri" w:hAnsi="Calibri" w:cs="Calibri"/>
          <w:color w:val="000000" w:themeColor="text1"/>
          <w:lang w:val="en-GB"/>
        </w:rPr>
        <w:t xml:space="preserve"> </w:t>
      </w:r>
      <w:r w:rsidRPr="0E9096A0">
        <w:rPr>
          <w:rFonts w:ascii="Calibri" w:eastAsia="Calibri" w:hAnsi="Calibri" w:cs="Calibri"/>
          <w:i/>
          <w:iCs/>
          <w:color w:val="000000" w:themeColor="text1"/>
          <w:lang w:val="en-GB"/>
        </w:rPr>
        <w:t>UCU</w:t>
      </w:r>
      <w:r w:rsidRPr="0E9096A0">
        <w:rPr>
          <w:rFonts w:ascii="Calibri" w:eastAsia="Calibri" w:hAnsi="Calibri" w:cs="Calibri"/>
          <w:color w:val="000000" w:themeColor="text1"/>
          <w:lang w:val="en-GB"/>
        </w:rPr>
        <w:t xml:space="preserve">. Available at: </w:t>
      </w:r>
      <w:r w:rsidRPr="0E9096A0">
        <w:rPr>
          <w:rFonts w:ascii="Calibri" w:eastAsia="Calibri" w:hAnsi="Calibri" w:cs="Calibri"/>
          <w:lang w:val="en-GB"/>
        </w:rPr>
        <w:t>https://www.ucu.org.uk/media/5911/Higher-stress-a-</w:t>
      </w:r>
      <w:r w:rsidRPr="0E9096A0">
        <w:rPr>
          <w:rFonts w:ascii="Calibri" w:eastAsia="Calibri" w:hAnsi="Calibri" w:cs="Calibri"/>
          <w:lang w:val="en-GB"/>
        </w:rPr>
        <w:lastRenderedPageBreak/>
        <w:t>survey-of-stress-and-well-being-among-staff-in-higher-education-Jul-13/pdf/HE_stress_report_July_2013.pdf</w:t>
      </w:r>
      <w:r w:rsidRPr="0E9096A0">
        <w:rPr>
          <w:rFonts w:ascii="Calibri" w:eastAsia="Calibri" w:hAnsi="Calibri" w:cs="Calibri"/>
          <w:color w:val="000000" w:themeColor="text1"/>
          <w:lang w:val="en-GB"/>
        </w:rPr>
        <w:t xml:space="preserve"> (Accessed 31 May 2025).</w:t>
      </w:r>
    </w:p>
    <w:p w14:paraId="652CFEFD" w14:textId="58B3EE5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Kinman, G. (2023) </w:t>
      </w:r>
      <w:r w:rsidRPr="0E9096A0">
        <w:rPr>
          <w:rFonts w:ascii="Calibri" w:eastAsia="Calibri" w:hAnsi="Calibri" w:cs="Calibri"/>
          <w:i/>
          <w:iCs/>
          <w:color w:val="000000" w:themeColor="text1"/>
          <w:lang w:val="en-GB"/>
        </w:rPr>
        <w:t>Workload Survey 2021/22</w:t>
      </w:r>
      <w:r w:rsidRPr="0E9096A0">
        <w:rPr>
          <w:rFonts w:ascii="Calibri" w:eastAsia="Calibri" w:hAnsi="Calibri" w:cs="Calibri"/>
          <w:color w:val="000000" w:themeColor="text1"/>
          <w:lang w:val="en-GB"/>
        </w:rPr>
        <w:t xml:space="preserve">. </w:t>
      </w:r>
      <w:r w:rsidRPr="0E9096A0">
        <w:rPr>
          <w:rFonts w:ascii="Calibri" w:eastAsia="Calibri" w:hAnsi="Calibri" w:cs="Calibri"/>
          <w:i/>
          <w:iCs/>
          <w:color w:val="000000" w:themeColor="text1"/>
          <w:lang w:val="en-GB"/>
        </w:rPr>
        <w:t xml:space="preserve">UCU.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https://www.ucu.org.uk/media/14643/UCU-workload-survey-2021-FE-report/pdf/UCU_Workload_Survey_FE_May24.pdf</w:t>
      </w:r>
      <w:r w:rsidRPr="0E9096A0">
        <w:rPr>
          <w:rFonts w:ascii="Calibri" w:eastAsia="Calibri" w:hAnsi="Calibri" w:cs="Calibri"/>
          <w:color w:val="000000" w:themeColor="text1"/>
          <w:lang w:val="en-GB"/>
        </w:rPr>
        <w:t>. (Accessed 31 May 2025).</w:t>
      </w:r>
    </w:p>
    <w:p w14:paraId="0ABAB38A" w14:textId="46B9CB2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Kinman, G., and S. Wray. 2014. </w:t>
      </w:r>
      <w:r w:rsidRPr="0E9096A0">
        <w:rPr>
          <w:rFonts w:ascii="Calibri" w:eastAsia="Calibri" w:hAnsi="Calibri" w:cs="Calibri"/>
          <w:i/>
          <w:iCs/>
          <w:color w:val="000000" w:themeColor="text1"/>
          <w:lang w:val="en-GB"/>
        </w:rPr>
        <w:t>Taking Its Toll: Rising Stress Levels in Further Education</w:t>
      </w:r>
      <w:r w:rsidRPr="0E9096A0">
        <w:rPr>
          <w:rFonts w:ascii="Calibri" w:eastAsia="Calibri" w:hAnsi="Calibri" w:cs="Calibri"/>
          <w:color w:val="000000" w:themeColor="text1"/>
          <w:lang w:val="en-GB"/>
        </w:rPr>
        <w:t>. London: University and College Union.</w:t>
      </w:r>
    </w:p>
    <w:p w14:paraId="28D4F0F6" w14:textId="04F29884"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Lewis, P., Thornhill, A., &amp; Saunders M. N. K. (2019) </w:t>
      </w:r>
      <w:r w:rsidRPr="0E9096A0">
        <w:rPr>
          <w:rFonts w:ascii="Calibri" w:eastAsia="Calibri" w:hAnsi="Calibri" w:cs="Calibri"/>
          <w:i/>
          <w:iCs/>
          <w:color w:val="000000" w:themeColor="text1"/>
          <w:lang w:val="en-GB"/>
        </w:rPr>
        <w:t>Research methods for business students</w:t>
      </w:r>
      <w:r w:rsidRPr="0E9096A0">
        <w:rPr>
          <w:rFonts w:ascii="Calibri" w:eastAsia="Calibri" w:hAnsi="Calibri" w:cs="Calibri"/>
          <w:color w:val="000000" w:themeColor="text1"/>
          <w:lang w:val="en-GB"/>
        </w:rPr>
        <w:t>. Eighth Edition. New York: Pearson. </w:t>
      </w:r>
    </w:p>
    <w:p w14:paraId="6EF4642D" w14:textId="4071537C"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Manion, L., Morrison, K., &amp; Cohen, L. (2018) </w:t>
      </w:r>
      <w:r w:rsidRPr="0E9096A0">
        <w:rPr>
          <w:rFonts w:ascii="Calibri" w:eastAsia="Calibri" w:hAnsi="Calibri" w:cs="Calibri"/>
          <w:i/>
          <w:iCs/>
          <w:color w:val="000000" w:themeColor="text1"/>
          <w:lang w:val="en-GB"/>
        </w:rPr>
        <w:t>Research methods in education</w:t>
      </w:r>
      <w:r w:rsidRPr="0E9096A0">
        <w:rPr>
          <w:rFonts w:ascii="Calibri" w:eastAsia="Calibri" w:hAnsi="Calibri" w:cs="Calibri"/>
          <w:color w:val="000000" w:themeColor="text1"/>
          <w:lang w:val="en-GB"/>
        </w:rPr>
        <w:t>. Eighth edition. London: Routledge. </w:t>
      </w:r>
    </w:p>
    <w:p w14:paraId="5825EC95" w14:textId="3A60390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McEwen, C. (2024) ‘Advancing inclusive practices in higher education: possibilities and limitations of a social justice professional development course’, </w:t>
      </w:r>
      <w:r w:rsidRPr="0E9096A0">
        <w:rPr>
          <w:rFonts w:ascii="Calibri" w:eastAsia="Calibri" w:hAnsi="Calibri" w:cs="Calibri"/>
          <w:i/>
          <w:iCs/>
          <w:color w:val="000000" w:themeColor="text1"/>
          <w:lang w:val="en-GB"/>
        </w:rPr>
        <w:t>Studies in continuing education.</w:t>
      </w:r>
      <w:r w:rsidRPr="0E9096A0">
        <w:rPr>
          <w:rFonts w:ascii="Calibri" w:eastAsia="Calibri" w:hAnsi="Calibri" w:cs="Calibri"/>
          <w:color w:val="000000" w:themeColor="text1"/>
          <w:lang w:val="en-GB"/>
        </w:rPr>
        <w:t>, pp. 1–17.</w:t>
      </w:r>
    </w:p>
    <w:p w14:paraId="70E74797" w14:textId="6164CD1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McGhie,. L (2017) </w:t>
      </w:r>
      <w:r w:rsidRPr="0E9096A0">
        <w:rPr>
          <w:rFonts w:ascii="Calibri" w:eastAsia="Calibri" w:hAnsi="Calibri" w:cs="Calibri"/>
          <w:i/>
          <w:iCs/>
          <w:color w:val="000000" w:themeColor="text1"/>
          <w:lang w:val="en-GB"/>
        </w:rPr>
        <w:t xml:space="preserve">The Identity of Higher Education Lecturers in Further Education Colleges. </w:t>
      </w:r>
      <w:r w:rsidRPr="0E9096A0">
        <w:rPr>
          <w:rFonts w:ascii="Calibri" w:eastAsia="Calibri" w:hAnsi="Calibri" w:cs="Calibri"/>
          <w:color w:val="000000" w:themeColor="text1"/>
          <w:lang w:val="en-GB"/>
        </w:rPr>
        <w:t xml:space="preserve">Unpublished thesis. University of Keele. </w:t>
      </w:r>
    </w:p>
    <w:p w14:paraId="264D1513" w14:textId="362A405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MEDR (2024)</w:t>
      </w:r>
      <w:r w:rsidRPr="0E9096A0">
        <w:rPr>
          <w:rFonts w:ascii="Calibri" w:eastAsia="Calibri" w:hAnsi="Calibri" w:cs="Calibri"/>
          <w:i/>
          <w:iCs/>
          <w:color w:val="000000" w:themeColor="text1"/>
          <w:lang w:val="en-GB"/>
        </w:rPr>
        <w:t xml:space="preserve">- What We Do.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https://www.medr.cymru/en/what-we-do/</w:t>
      </w:r>
      <w:r w:rsidRPr="0E9096A0">
        <w:rPr>
          <w:rFonts w:ascii="Calibri" w:eastAsia="Calibri" w:hAnsi="Calibri" w:cs="Calibri"/>
          <w:color w:val="000000" w:themeColor="text1"/>
          <w:lang w:val="en-GB"/>
        </w:rPr>
        <w:t xml:space="preserve"> (Accessed: 31 May 2025). </w:t>
      </w:r>
    </w:p>
    <w:p w14:paraId="75DFD188" w14:textId="2BF2E21B"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Ní Chorcora, E., Bray, A. and Banks, J. (2023) ‘A systematic review of widening participation: Exploring the effectiveness of outreach programmes for students in second‐level schools’, </w:t>
      </w:r>
      <w:r w:rsidRPr="0E9096A0">
        <w:rPr>
          <w:rFonts w:ascii="Calibri" w:eastAsia="Calibri" w:hAnsi="Calibri" w:cs="Calibri"/>
          <w:i/>
          <w:iCs/>
          <w:color w:val="000000" w:themeColor="text1"/>
          <w:lang w:val="en-GB"/>
        </w:rPr>
        <w:t>Review of education (Oxford)</w:t>
      </w:r>
      <w:r w:rsidRPr="0E9096A0">
        <w:rPr>
          <w:rFonts w:ascii="Calibri" w:eastAsia="Calibri" w:hAnsi="Calibri" w:cs="Calibri"/>
          <w:color w:val="000000" w:themeColor="text1"/>
          <w:lang w:val="en-GB"/>
        </w:rPr>
        <w:t xml:space="preserve">, 11(2). Available at: </w:t>
      </w:r>
      <w:r w:rsidRPr="0E9096A0">
        <w:rPr>
          <w:rFonts w:ascii="Calibri" w:eastAsia="Calibri" w:hAnsi="Calibri" w:cs="Calibri"/>
          <w:lang w:val="en-GB"/>
        </w:rPr>
        <w:t>https://doi.org/10.1002/rev3.3406</w:t>
      </w:r>
      <w:r w:rsidRPr="0E9096A0">
        <w:rPr>
          <w:rFonts w:ascii="Calibri" w:eastAsia="Calibri" w:hAnsi="Calibri" w:cs="Calibri"/>
          <w:color w:val="000000" w:themeColor="text1"/>
          <w:lang w:val="en-GB"/>
        </w:rPr>
        <w:t>.</w:t>
      </w:r>
    </w:p>
    <w:p w14:paraId="14EEFFC7" w14:textId="61CC6225"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t xml:space="preserve">Nowell, L.S., Norris, J.M., White, D.E. &amp; Moules, N.J. (2017) . </w:t>
      </w:r>
      <w:r w:rsidRPr="0E9096A0">
        <w:rPr>
          <w:rFonts w:ascii="Calibri" w:eastAsia="Calibri" w:hAnsi="Calibri" w:cs="Calibri"/>
          <w:i/>
          <w:iCs/>
          <w:color w:val="000000" w:themeColor="text1"/>
        </w:rPr>
        <w:t xml:space="preserve">International Journal of Qualitative Studies. </w:t>
      </w:r>
      <w:r w:rsidRPr="0E9096A0">
        <w:rPr>
          <w:rFonts w:ascii="Calibri" w:eastAsia="Calibri" w:hAnsi="Calibri" w:cs="Calibri"/>
          <w:color w:val="000000" w:themeColor="text1"/>
        </w:rPr>
        <w:t xml:space="preserve">16(1), pp 1-13 </w:t>
      </w:r>
      <w:r w:rsidRPr="0E9096A0">
        <w:rPr>
          <w:rFonts w:ascii="Calibri" w:eastAsia="Calibri" w:hAnsi="Calibri" w:cs="Calibri"/>
        </w:rPr>
        <w:t>https://doi.org/10.1177/1609406917733847</w:t>
      </w:r>
    </w:p>
    <w:p w14:paraId="1F4D3DF4" w14:textId="40DA30C6"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Olmos-Vega, F., Stalmeijer, R.E., Varpio, L. And Kahlke, R., 2023. A practical guide to reflexivity in qualitative research: AMEE Guide No. 149. </w:t>
      </w:r>
      <w:r w:rsidRPr="0E9096A0">
        <w:rPr>
          <w:rFonts w:ascii="Calibri" w:eastAsia="Calibri" w:hAnsi="Calibri" w:cs="Calibri"/>
          <w:i/>
          <w:iCs/>
          <w:color w:val="000000" w:themeColor="text1"/>
          <w:lang w:val="en-GB"/>
        </w:rPr>
        <w:t xml:space="preserve">Medical teacher, </w:t>
      </w:r>
      <w:r w:rsidRPr="0E9096A0">
        <w:rPr>
          <w:rFonts w:ascii="Calibri" w:eastAsia="Calibri" w:hAnsi="Calibri" w:cs="Calibri"/>
          <w:b/>
          <w:bCs/>
          <w:color w:val="000000" w:themeColor="text1"/>
          <w:lang w:val="en-GB"/>
        </w:rPr>
        <w:t>45</w:t>
      </w:r>
      <w:r w:rsidRPr="0E9096A0">
        <w:rPr>
          <w:rFonts w:ascii="Calibri" w:eastAsia="Calibri" w:hAnsi="Calibri" w:cs="Calibri"/>
          <w:color w:val="000000" w:themeColor="text1"/>
          <w:lang w:val="en-GB"/>
        </w:rPr>
        <w:t>(3), pp. 241–251.</w:t>
      </w:r>
    </w:p>
    <w:p w14:paraId="42100A94" w14:textId="2B2579CE"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lastRenderedPageBreak/>
        <w:t xml:space="preserve">Ostapenko-Denton, A. (2019) </w:t>
      </w:r>
      <w:r w:rsidRPr="0E9096A0">
        <w:rPr>
          <w:rFonts w:ascii="Calibri" w:eastAsia="Calibri" w:hAnsi="Calibri" w:cs="Calibri"/>
          <w:i/>
          <w:iCs/>
          <w:color w:val="000000" w:themeColor="text1"/>
          <w:lang w:val="en-GB"/>
        </w:rPr>
        <w:t xml:space="preserve">A Study into Perceptions of Professionalism for Lecturers in One Further Education College in the South West. </w:t>
      </w:r>
      <w:r w:rsidRPr="0E9096A0">
        <w:rPr>
          <w:rFonts w:ascii="Calibri" w:eastAsia="Calibri" w:hAnsi="Calibri" w:cs="Calibri"/>
          <w:color w:val="000000" w:themeColor="text1"/>
          <w:lang w:val="en-GB"/>
        </w:rPr>
        <w:t>Unpublished thesis. University of Exeter.</w:t>
      </w:r>
    </w:p>
    <w:p w14:paraId="0D4CFE70" w14:textId="77777777" w:rsidR="007454AD" w:rsidRPr="007454AD" w:rsidRDefault="007454AD" w:rsidP="007454AD">
      <w:pPr>
        <w:spacing w:line="360" w:lineRule="auto"/>
        <w:rPr>
          <w:rFonts w:ascii="Calibri" w:eastAsia="Calibri" w:hAnsi="Calibri" w:cs="Calibri"/>
          <w:color w:val="000000" w:themeColor="text1"/>
        </w:rPr>
      </w:pPr>
      <w:r w:rsidRPr="007454AD">
        <w:rPr>
          <w:rFonts w:ascii="Calibri" w:eastAsia="Calibri" w:hAnsi="Calibri" w:cs="Calibri"/>
          <w:color w:val="000000" w:themeColor="text1"/>
        </w:rPr>
        <w:t>Pember, S., Tilley, H., Price, J., Gomes, L.P. (2021). Supporting the Welsh Lifelong</w:t>
      </w:r>
    </w:p>
    <w:p w14:paraId="5DC9CA1B" w14:textId="77777777" w:rsidR="007454AD" w:rsidRPr="007454AD" w:rsidRDefault="007454AD" w:rsidP="007454AD">
      <w:pPr>
        <w:spacing w:line="360" w:lineRule="auto"/>
        <w:rPr>
          <w:rFonts w:ascii="Calibri" w:eastAsia="Calibri" w:hAnsi="Calibri" w:cs="Calibri"/>
          <w:color w:val="000000" w:themeColor="text1"/>
        </w:rPr>
      </w:pPr>
      <w:r w:rsidRPr="007454AD">
        <w:rPr>
          <w:rFonts w:ascii="Calibri" w:eastAsia="Calibri" w:hAnsi="Calibri" w:cs="Calibri"/>
          <w:color w:val="000000" w:themeColor="text1"/>
        </w:rPr>
        <w:t>Learning system. Wales Centre for Public Policy. Retrieved from https://www.</w:t>
      </w:r>
    </w:p>
    <w:p w14:paraId="30A4F024" w14:textId="34C8513B" w:rsidR="007454AD" w:rsidRDefault="007454AD" w:rsidP="007454AD">
      <w:pPr>
        <w:spacing w:line="360" w:lineRule="auto"/>
        <w:rPr>
          <w:rFonts w:ascii="Calibri" w:eastAsia="Calibri" w:hAnsi="Calibri" w:cs="Calibri"/>
          <w:color w:val="000000" w:themeColor="text1"/>
        </w:rPr>
      </w:pPr>
      <w:r w:rsidRPr="007454AD">
        <w:rPr>
          <w:rFonts w:ascii="Calibri" w:eastAsia="Calibri" w:hAnsi="Calibri" w:cs="Calibri"/>
          <w:color w:val="000000" w:themeColor="text1"/>
        </w:rPr>
        <w:t>wcpp.org.uk/publication/supporting-the-welsh-lifelong-learning-system/</w:t>
      </w:r>
      <w:r>
        <w:rPr>
          <w:rFonts w:ascii="Calibri" w:eastAsia="Calibri" w:hAnsi="Calibri" w:cs="Calibri"/>
          <w:color w:val="000000" w:themeColor="text1"/>
        </w:rPr>
        <w:t xml:space="preserve"> (Accessed 25 May 2025).</w:t>
      </w:r>
    </w:p>
    <w:p w14:paraId="03D40336" w14:textId="0A00980D" w:rsidR="6CA8353D" w:rsidRDefault="62625190" w:rsidP="004D4AAC">
      <w:pPr>
        <w:spacing w:after="240" w:line="360" w:lineRule="auto"/>
        <w:rPr>
          <w:rFonts w:ascii="Calibri" w:eastAsia="Calibri" w:hAnsi="Calibri" w:cs="Calibri"/>
          <w:color w:val="000000" w:themeColor="text1"/>
          <w:lang w:val="en-GB"/>
        </w:rPr>
      </w:pPr>
      <w:r w:rsidRPr="50EE857F">
        <w:rPr>
          <w:rFonts w:ascii="Calibri" w:eastAsia="Calibri" w:hAnsi="Calibri" w:cs="Calibri"/>
          <w:color w:val="000000" w:themeColor="text1"/>
          <w:lang w:val="en-GB"/>
        </w:rPr>
        <w:t xml:space="preserve">Pennacchia, J.; Jones, E. &amp; Aldridge, F. (2018). </w:t>
      </w:r>
      <w:r w:rsidRPr="50EE857F">
        <w:rPr>
          <w:rFonts w:ascii="Calibri" w:eastAsia="Calibri" w:hAnsi="Calibri" w:cs="Calibri"/>
          <w:i/>
          <w:iCs/>
          <w:color w:val="000000" w:themeColor="text1"/>
          <w:lang w:val="en-GB"/>
        </w:rPr>
        <w:t>Barriers to Learning for Disadvantaged Groups: Report of Qualitative Findings.</w:t>
      </w:r>
      <w:r w:rsidR="21CAEF6F" w:rsidRPr="50EE857F">
        <w:rPr>
          <w:rFonts w:ascii="Calibri" w:eastAsia="Calibri" w:hAnsi="Calibri" w:cs="Calibri"/>
          <w:i/>
          <w:iCs/>
          <w:color w:val="000000" w:themeColor="text1"/>
          <w:lang w:val="en-GB"/>
        </w:rPr>
        <w:t xml:space="preserve"> </w:t>
      </w:r>
      <w:r w:rsidR="21CAEF6F" w:rsidRPr="50EE857F">
        <w:rPr>
          <w:rFonts w:ascii="Calibri" w:eastAsia="Calibri" w:hAnsi="Calibri" w:cs="Calibri"/>
          <w:color w:val="000000" w:themeColor="text1"/>
          <w:lang w:val="en-GB"/>
        </w:rPr>
        <w:t xml:space="preserve">Department for Education, London. Available at: </w:t>
      </w:r>
      <w:r w:rsidR="21CAEF6F" w:rsidRPr="004D4AAC">
        <w:rPr>
          <w:rFonts w:ascii="Calibri" w:eastAsia="Calibri" w:hAnsi="Calibri" w:cs="Calibri"/>
          <w:lang w:val="en-GB"/>
        </w:rPr>
        <w:t>https://assets.publishing.service.gov.uk/media/5b7d2ea2ed915d14d88482d6/Barriers_to_learning_-_Qualitative_report.pdf</w:t>
      </w:r>
      <w:r w:rsidR="21CAEF6F" w:rsidRPr="50EE857F">
        <w:rPr>
          <w:rFonts w:ascii="Calibri" w:eastAsia="Calibri" w:hAnsi="Calibri" w:cs="Calibri"/>
          <w:lang w:val="en-GB"/>
        </w:rPr>
        <w:t xml:space="preserve"> (Accessed 25 May 2025).</w:t>
      </w:r>
    </w:p>
    <w:p w14:paraId="0EBF8241" w14:textId="7EF66EF1" w:rsidR="6CA8353D" w:rsidRDefault="6CA8353D" w:rsidP="0E9096A0">
      <w:pPr>
        <w:spacing w:line="360" w:lineRule="auto"/>
        <w:rPr>
          <w:rFonts w:ascii="Calibri" w:eastAsia="Calibri" w:hAnsi="Calibri" w:cs="Calibri"/>
          <w:color w:val="000000" w:themeColor="text1"/>
          <w:lang w:val="en-GB"/>
        </w:rPr>
      </w:pPr>
      <w:r w:rsidRPr="0E9096A0">
        <w:rPr>
          <w:rStyle w:val="normaltextrun"/>
          <w:rFonts w:ascii="Calibri" w:eastAsia="Calibri" w:hAnsi="Calibri" w:cs="Calibri"/>
          <w:color w:val="000000" w:themeColor="text1"/>
          <w:sz w:val="24"/>
          <w:szCs w:val="24"/>
          <w:lang w:val="en-GB"/>
        </w:rPr>
        <w:t xml:space="preserve">Punch, K. and Oancea, A., (2014). </w:t>
      </w:r>
      <w:r w:rsidRPr="0E9096A0">
        <w:rPr>
          <w:rStyle w:val="normaltextrun"/>
          <w:rFonts w:ascii="Calibri" w:eastAsia="Calibri" w:hAnsi="Calibri" w:cs="Calibri"/>
          <w:i/>
          <w:iCs/>
          <w:color w:val="000000" w:themeColor="text1"/>
          <w:sz w:val="24"/>
          <w:szCs w:val="24"/>
          <w:lang w:val="en-GB"/>
        </w:rPr>
        <w:t>Introduction to research methods in education</w:t>
      </w:r>
      <w:r w:rsidRPr="0E9096A0">
        <w:rPr>
          <w:rStyle w:val="normaltextrun"/>
          <w:rFonts w:ascii="Calibri" w:eastAsia="Calibri" w:hAnsi="Calibri" w:cs="Calibri"/>
          <w:color w:val="000000" w:themeColor="text1"/>
          <w:sz w:val="24"/>
          <w:szCs w:val="24"/>
          <w:lang w:val="en-GB"/>
        </w:rPr>
        <w:t>. 2nd edition. ed. London; SAGE Publications Ltd. </w:t>
      </w:r>
    </w:p>
    <w:p w14:paraId="2E29C467" w14:textId="77777777" w:rsidR="00AB12F8"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QAA (2022) </w:t>
      </w:r>
      <w:r w:rsidRPr="0E9096A0">
        <w:rPr>
          <w:rFonts w:ascii="Calibri" w:eastAsia="Calibri" w:hAnsi="Calibri" w:cs="Calibri"/>
          <w:i/>
          <w:iCs/>
          <w:color w:val="000000" w:themeColor="text1"/>
          <w:lang w:val="en-GB"/>
        </w:rPr>
        <w:t xml:space="preserve">QAA Glossary.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https://www.qaa.ac.uk/glossary</w:t>
      </w:r>
      <w:r w:rsidRPr="0E9096A0">
        <w:rPr>
          <w:rFonts w:ascii="Calibri" w:eastAsia="Calibri" w:hAnsi="Calibri" w:cs="Calibri"/>
          <w:color w:val="000000" w:themeColor="text1"/>
          <w:lang w:val="en-GB"/>
        </w:rPr>
        <w:t>. (Accessed: 18 May 2025).</w:t>
      </w:r>
    </w:p>
    <w:p w14:paraId="19D55970" w14:textId="0FF7BD67" w:rsidR="6CA8353D" w:rsidRDefault="00AB12F8" w:rsidP="0E9096A0">
      <w:pPr>
        <w:spacing w:line="360" w:lineRule="auto"/>
        <w:rPr>
          <w:rFonts w:ascii="Calibri" w:eastAsia="Calibri" w:hAnsi="Calibri" w:cs="Calibri"/>
          <w:color w:val="000000" w:themeColor="text1"/>
          <w:lang w:val="en-GB"/>
        </w:rPr>
      </w:pPr>
      <w:r w:rsidRPr="00AB12F8">
        <w:rPr>
          <w:rFonts w:ascii="Calibri" w:eastAsia="Calibri" w:hAnsi="Calibri" w:cs="Calibri"/>
          <w:color w:val="000000" w:themeColor="text1"/>
          <w:highlight w:val="yellow"/>
          <w:lang w:val="en-GB"/>
        </w:rPr>
        <w:t>REAY</w:t>
      </w:r>
    </w:p>
    <w:p w14:paraId="64894880" w14:textId="77777777" w:rsidR="00AB12F8" w:rsidRDefault="00AB12F8" w:rsidP="0E9096A0">
      <w:pPr>
        <w:spacing w:line="360" w:lineRule="auto"/>
        <w:rPr>
          <w:rFonts w:ascii="Calibri" w:eastAsia="Calibri" w:hAnsi="Calibri" w:cs="Calibri"/>
          <w:color w:val="000000" w:themeColor="text1"/>
        </w:rPr>
      </w:pPr>
    </w:p>
    <w:p w14:paraId="527D8EE9" w14:textId="2564A8E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Rocks, E. and Lavender, P. (2018) ‘Exploring transformative journeys through a higher education programme in a further education college’, </w:t>
      </w:r>
      <w:r w:rsidRPr="0E9096A0">
        <w:rPr>
          <w:rFonts w:ascii="Calibri" w:eastAsia="Calibri" w:hAnsi="Calibri" w:cs="Calibri"/>
          <w:i/>
          <w:iCs/>
          <w:color w:val="000000" w:themeColor="text1"/>
          <w:lang w:val="en-GB"/>
        </w:rPr>
        <w:t>Education &amp; training (London)</w:t>
      </w:r>
      <w:r w:rsidRPr="0E9096A0">
        <w:rPr>
          <w:rFonts w:ascii="Calibri" w:eastAsia="Calibri" w:hAnsi="Calibri" w:cs="Calibri"/>
          <w:color w:val="000000" w:themeColor="text1"/>
          <w:lang w:val="en-GB"/>
        </w:rPr>
        <w:t xml:space="preserve">, 60(6), pp. 584–595. Available at: </w:t>
      </w:r>
      <w:r w:rsidRPr="0E9096A0">
        <w:rPr>
          <w:rFonts w:ascii="Calibri" w:eastAsia="Calibri" w:hAnsi="Calibri" w:cs="Calibri"/>
          <w:lang w:val="en-GB"/>
        </w:rPr>
        <w:t>https://doi.org/10.1108/ET-02-2018-0047</w:t>
      </w:r>
      <w:r w:rsidRPr="0E9096A0">
        <w:rPr>
          <w:rFonts w:ascii="Calibri" w:eastAsia="Calibri" w:hAnsi="Calibri" w:cs="Calibri"/>
          <w:color w:val="000000" w:themeColor="text1"/>
          <w:lang w:val="en-GB"/>
        </w:rPr>
        <w:t>.</w:t>
      </w:r>
    </w:p>
    <w:p w14:paraId="5383A7E4" w14:textId="79642894"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Saldana, J. Qualitative Data Analysis Strategies in Leavy, P. (ed.) (2020) </w:t>
      </w:r>
      <w:r w:rsidRPr="0E9096A0">
        <w:rPr>
          <w:rFonts w:ascii="Calibri" w:eastAsia="Calibri" w:hAnsi="Calibri" w:cs="Calibri"/>
          <w:i/>
          <w:iCs/>
          <w:color w:val="000000" w:themeColor="text1"/>
          <w:lang w:val="en-GB"/>
        </w:rPr>
        <w:t>The Oxford Handbook of qualitative research</w:t>
      </w:r>
      <w:r w:rsidRPr="0E9096A0">
        <w:rPr>
          <w:rFonts w:ascii="Calibri" w:eastAsia="Calibri" w:hAnsi="Calibri" w:cs="Calibri"/>
          <w:color w:val="000000" w:themeColor="text1"/>
          <w:lang w:val="en-GB"/>
        </w:rPr>
        <w:t>. Second edition. New York: Oxford University Press.</w:t>
      </w:r>
    </w:p>
    <w:p w14:paraId="4992C14D" w14:textId="4A25071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Simmons, R. (2016) ‘Liberal studies and critical pedagogy in further education colleges: “where their eyes would be opened” (sometimes)’, </w:t>
      </w:r>
      <w:r w:rsidRPr="0E9096A0">
        <w:rPr>
          <w:rFonts w:ascii="Calibri" w:eastAsia="Calibri" w:hAnsi="Calibri" w:cs="Calibri"/>
          <w:i/>
          <w:iCs/>
          <w:color w:val="000000" w:themeColor="text1"/>
          <w:lang w:val="en-GB"/>
        </w:rPr>
        <w:t>Oxford review of education</w:t>
      </w:r>
      <w:r w:rsidRPr="0E9096A0">
        <w:rPr>
          <w:rFonts w:ascii="Calibri" w:eastAsia="Calibri" w:hAnsi="Calibri" w:cs="Calibri"/>
          <w:color w:val="000000" w:themeColor="text1"/>
          <w:lang w:val="en-GB"/>
        </w:rPr>
        <w:t xml:space="preserve">, 42(6), pp. 692–706. Available at: </w:t>
      </w:r>
      <w:r w:rsidRPr="0E9096A0">
        <w:rPr>
          <w:rFonts w:ascii="Calibri" w:eastAsia="Calibri" w:hAnsi="Calibri" w:cs="Calibri"/>
          <w:lang w:val="en-GB"/>
        </w:rPr>
        <w:t>https://doi.org/10.1080/03054985.2016.1226790</w:t>
      </w:r>
      <w:r w:rsidRPr="0E9096A0">
        <w:rPr>
          <w:rFonts w:ascii="Calibri" w:eastAsia="Calibri" w:hAnsi="Calibri" w:cs="Calibri"/>
          <w:color w:val="000000" w:themeColor="text1"/>
          <w:lang w:val="en-GB"/>
        </w:rPr>
        <w:t xml:space="preserve">. </w:t>
      </w:r>
    </w:p>
    <w:p w14:paraId="2BE05ED3" w14:textId="1688D84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Simmons, J. &amp; Lee, J, (2013) </w:t>
      </w:r>
      <w:r w:rsidRPr="0E9096A0">
        <w:rPr>
          <w:rFonts w:ascii="Calibri" w:eastAsia="Calibri" w:hAnsi="Calibri" w:cs="Calibri"/>
          <w:i/>
          <w:iCs/>
          <w:color w:val="000000" w:themeColor="text1"/>
          <w:lang w:val="en-GB"/>
        </w:rPr>
        <w:t xml:space="preserve">Capturing an HE ethos in college higher education practice. </w:t>
      </w:r>
      <w:r w:rsidRPr="0E9096A0">
        <w:rPr>
          <w:rFonts w:ascii="Calibri" w:eastAsia="Calibri" w:hAnsi="Calibri" w:cs="Calibri"/>
          <w:color w:val="000000" w:themeColor="text1"/>
          <w:lang w:val="en-GB"/>
        </w:rPr>
        <w:t xml:space="preserve">QAA. Available at: </w:t>
      </w:r>
      <w:r w:rsidRPr="0E9096A0">
        <w:rPr>
          <w:rFonts w:ascii="Calibri" w:eastAsia="Calibri" w:hAnsi="Calibri" w:cs="Calibri"/>
          <w:lang w:val="en-GB"/>
        </w:rPr>
        <w:t>https://core.ac.uk/reader/19438500</w:t>
      </w:r>
      <w:r w:rsidRPr="0E9096A0">
        <w:rPr>
          <w:rFonts w:ascii="Calibri" w:eastAsia="Calibri" w:hAnsi="Calibri" w:cs="Calibri"/>
          <w:color w:val="000000" w:themeColor="text1"/>
          <w:lang w:val="en-GB"/>
        </w:rPr>
        <w:t xml:space="preserve"> (Accessed 31 May 2025).</w:t>
      </w:r>
    </w:p>
    <w:p w14:paraId="359C5EA4" w14:textId="0E43069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Springbett, O. (2018) ‘The professional identities of teacher educators in three further education colleges: an entanglement of discourse and practice’, </w:t>
      </w:r>
      <w:r w:rsidRPr="0E9096A0">
        <w:rPr>
          <w:rFonts w:ascii="Calibri" w:eastAsia="Calibri" w:hAnsi="Calibri" w:cs="Calibri"/>
          <w:i/>
          <w:iCs/>
          <w:color w:val="000000" w:themeColor="text1"/>
          <w:lang w:val="en-GB"/>
        </w:rPr>
        <w:t>Journal of education for teaching : JET</w:t>
      </w:r>
      <w:r w:rsidRPr="0E9096A0">
        <w:rPr>
          <w:rFonts w:ascii="Calibri" w:eastAsia="Calibri" w:hAnsi="Calibri" w:cs="Calibri"/>
          <w:color w:val="000000" w:themeColor="text1"/>
          <w:lang w:val="en-GB"/>
        </w:rPr>
        <w:t xml:space="preserve">, 44(2), pp. 149–161. Available at: </w:t>
      </w:r>
      <w:r w:rsidRPr="0E9096A0">
        <w:rPr>
          <w:rFonts w:ascii="Calibri" w:eastAsia="Calibri" w:hAnsi="Calibri" w:cs="Calibri"/>
          <w:lang w:val="en-GB"/>
        </w:rPr>
        <w:t>https://doi.org/10.1080/02607476.2017.1370481</w:t>
      </w:r>
      <w:r w:rsidRPr="0E9096A0">
        <w:rPr>
          <w:rFonts w:ascii="Calibri" w:eastAsia="Calibri" w:hAnsi="Calibri" w:cs="Calibri"/>
          <w:color w:val="000000" w:themeColor="text1"/>
          <w:lang w:val="en-GB"/>
        </w:rPr>
        <w:t>.</w:t>
      </w:r>
    </w:p>
    <w:p w14:paraId="469BC0AB" w14:textId="7A4F3D58"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t xml:space="preserve">Takahashi, A.R.W. &amp; Araujo, L. (2019) Case Study Research: Opening up research opportunities. </w:t>
      </w:r>
      <w:r w:rsidRPr="0E9096A0">
        <w:rPr>
          <w:rFonts w:ascii="Calibri" w:eastAsia="Calibri" w:hAnsi="Calibri" w:cs="Calibri"/>
          <w:i/>
          <w:iCs/>
          <w:color w:val="000000" w:themeColor="text1"/>
        </w:rPr>
        <w:t xml:space="preserve">RAUSP Management Journal. </w:t>
      </w:r>
      <w:r w:rsidRPr="0E9096A0">
        <w:rPr>
          <w:rFonts w:ascii="Calibri" w:eastAsia="Calibri" w:hAnsi="Calibri" w:cs="Calibri"/>
          <w:color w:val="000000" w:themeColor="text1"/>
        </w:rPr>
        <w:t>3(1) pp100-111. DOI 10.1108/RAUSP-05-2019-0109</w:t>
      </w:r>
    </w:p>
    <w:p w14:paraId="5EF58C5F" w14:textId="0368924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Taylor, O. and Bullock, J. (2024) ‘An exploration of the experiences of higher education lecturers in a further education setting’, </w:t>
      </w:r>
      <w:r w:rsidRPr="0E9096A0">
        <w:rPr>
          <w:rFonts w:ascii="Calibri" w:eastAsia="Calibri" w:hAnsi="Calibri" w:cs="Calibri"/>
          <w:i/>
          <w:iCs/>
          <w:color w:val="000000" w:themeColor="text1"/>
          <w:lang w:val="en-GB"/>
        </w:rPr>
        <w:t>Journal of further and higher education</w:t>
      </w:r>
      <w:r w:rsidRPr="0E9096A0">
        <w:rPr>
          <w:rFonts w:ascii="Calibri" w:eastAsia="Calibri" w:hAnsi="Calibri" w:cs="Calibri"/>
          <w:color w:val="000000" w:themeColor="text1"/>
          <w:lang w:val="en-GB"/>
        </w:rPr>
        <w:t xml:space="preserve">, 48(8), pp. 757–772. Available at: </w:t>
      </w:r>
      <w:r w:rsidRPr="0E9096A0">
        <w:rPr>
          <w:rFonts w:ascii="Calibri" w:eastAsia="Calibri" w:hAnsi="Calibri" w:cs="Calibri"/>
          <w:lang w:val="en-GB"/>
        </w:rPr>
        <w:t>https://doi.org/10.1080/0309877X.2024.2400935</w:t>
      </w:r>
      <w:r w:rsidRPr="0E9096A0">
        <w:rPr>
          <w:rFonts w:ascii="Calibri" w:eastAsia="Calibri" w:hAnsi="Calibri" w:cs="Calibri"/>
          <w:color w:val="000000" w:themeColor="text1"/>
          <w:lang w:val="en-GB"/>
        </w:rPr>
        <w:t>.</w:t>
      </w:r>
    </w:p>
    <w:p w14:paraId="3CAF14A6" w14:textId="48CC15D3"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Tertiary Education and Research (Wales) Act 2022. Available at: </w:t>
      </w:r>
      <w:r w:rsidRPr="0E9096A0">
        <w:rPr>
          <w:rFonts w:ascii="Calibri" w:eastAsia="Calibri" w:hAnsi="Calibri" w:cs="Calibri"/>
          <w:lang w:val="en-GB"/>
        </w:rPr>
        <w:t>https://www.legislation.gov.uk/asc/2022/1/contents</w:t>
      </w:r>
      <w:r w:rsidRPr="0E9096A0">
        <w:rPr>
          <w:rFonts w:ascii="Calibri" w:eastAsia="Calibri" w:hAnsi="Calibri" w:cs="Calibri"/>
          <w:color w:val="000000" w:themeColor="text1"/>
          <w:lang w:val="en-GB"/>
        </w:rPr>
        <w:t xml:space="preserve"> (Accessed 25 May 2025).</w:t>
      </w:r>
    </w:p>
    <w:p w14:paraId="573DBF51" w14:textId="6FAF0E08"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Thomas G., (2023). </w:t>
      </w:r>
      <w:r w:rsidRPr="0E9096A0">
        <w:rPr>
          <w:rFonts w:ascii="Calibri" w:eastAsia="Calibri" w:hAnsi="Calibri" w:cs="Calibri"/>
          <w:i/>
          <w:iCs/>
          <w:color w:val="000000" w:themeColor="text1"/>
          <w:lang w:val="en-GB"/>
        </w:rPr>
        <w:t>How to do your research project: a guide for students</w:t>
      </w:r>
      <w:r w:rsidRPr="0E9096A0">
        <w:rPr>
          <w:rFonts w:ascii="Calibri" w:eastAsia="Calibri" w:hAnsi="Calibri" w:cs="Calibri"/>
          <w:color w:val="000000" w:themeColor="text1"/>
          <w:lang w:val="en-GB"/>
        </w:rPr>
        <w:t>. 4th edition. ed. London ; SAGE. </w:t>
      </w:r>
    </w:p>
    <w:p w14:paraId="59DF651D" w14:textId="4FFF9E4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Trotman, J. (2023) </w:t>
      </w:r>
      <w:r w:rsidRPr="0E9096A0">
        <w:rPr>
          <w:rFonts w:ascii="Calibri" w:eastAsia="Calibri" w:hAnsi="Calibri" w:cs="Calibri"/>
          <w:i/>
          <w:iCs/>
          <w:color w:val="000000" w:themeColor="text1"/>
          <w:lang w:val="en-GB"/>
        </w:rPr>
        <w:t xml:space="preserve">Higher Education in Further Education: A bridge to widening participation?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https://www.bera.ac.uk/blog/higher-education-in-further-education-a-bridge-to-widening-participation</w:t>
      </w:r>
      <w:r w:rsidRPr="0E9096A0">
        <w:rPr>
          <w:rFonts w:ascii="Calibri" w:eastAsia="Calibri" w:hAnsi="Calibri" w:cs="Calibri"/>
          <w:color w:val="000000" w:themeColor="text1"/>
          <w:lang w:val="en-GB"/>
        </w:rPr>
        <w:t xml:space="preserve"> (Accessed 25 May 2025).</w:t>
      </w:r>
    </w:p>
    <w:p w14:paraId="608DB21F" w14:textId="18CEB58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University and College Union (2022) </w:t>
      </w:r>
      <w:r w:rsidRPr="0E9096A0">
        <w:rPr>
          <w:rFonts w:ascii="Calibri" w:eastAsia="Calibri" w:hAnsi="Calibri" w:cs="Calibri"/>
          <w:i/>
          <w:iCs/>
          <w:color w:val="000000" w:themeColor="text1"/>
          <w:lang w:val="en-GB"/>
        </w:rPr>
        <w:t xml:space="preserve">UK higher education: A workforce in crisis.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ucu.org.uk/media/12532/UK-higher-education---a-workforce-in-crisis/pdf/UK_HE_Report_24_Mar22.pdf#:~:text=Three%20in%20five%20members%20(60%)%20told%20us,the%20sector%20in%20the%20next%20five%20years.&amp;text=More%20than%20three%20in%20five%20(61%)%20of,five%20years%20over%20cuts%20to%20USS%20pensions</w:t>
      </w:r>
      <w:r w:rsidRPr="0E9096A0">
        <w:rPr>
          <w:rFonts w:ascii="Calibri" w:eastAsia="Calibri" w:hAnsi="Calibri" w:cs="Calibri"/>
          <w:color w:val="000000" w:themeColor="text1"/>
          <w:lang w:val="en-GB"/>
        </w:rPr>
        <w:t>. (Accessed 30 May 2025).</w:t>
      </w:r>
    </w:p>
    <w:p w14:paraId="3179F8AD" w14:textId="0F4C3531" w:rsidR="6CA8353D" w:rsidRDefault="6CA8353D" w:rsidP="50EE857F">
      <w:pPr>
        <w:spacing w:line="360" w:lineRule="auto"/>
        <w:rPr>
          <w:rFonts w:ascii="Calibri" w:eastAsia="Calibri" w:hAnsi="Calibri" w:cs="Calibri"/>
          <w:color w:val="000000" w:themeColor="text1"/>
        </w:rPr>
      </w:pPr>
      <w:r w:rsidRPr="50EE857F">
        <w:rPr>
          <w:rFonts w:ascii="Calibri" w:eastAsia="Calibri" w:hAnsi="Calibri" w:cs="Calibri"/>
          <w:color w:val="000000" w:themeColor="text1"/>
          <w:lang w:val="en-GB"/>
        </w:rPr>
        <w:t xml:space="preserve">Wales Centre for Public Policy (2024) </w:t>
      </w:r>
      <w:r w:rsidRPr="50EE857F">
        <w:rPr>
          <w:rFonts w:ascii="Calibri" w:eastAsia="Calibri" w:hAnsi="Calibri" w:cs="Calibri"/>
          <w:i/>
          <w:iCs/>
          <w:color w:val="000000" w:themeColor="text1"/>
          <w:lang w:val="en-GB"/>
        </w:rPr>
        <w:t xml:space="preserve">Widening Participation in Tertiary Education: Education Review and Reflections for Wales. </w:t>
      </w:r>
      <w:r w:rsidRPr="50EE857F">
        <w:rPr>
          <w:rFonts w:ascii="Calibri" w:eastAsia="Calibri" w:hAnsi="Calibri" w:cs="Calibri"/>
          <w:color w:val="000000" w:themeColor="text1"/>
          <w:lang w:val="en-GB"/>
        </w:rPr>
        <w:t>Available at:</w:t>
      </w:r>
      <w:r w:rsidR="092D8520" w:rsidRPr="50EE857F">
        <w:rPr>
          <w:rFonts w:ascii="Calibri" w:eastAsia="Calibri" w:hAnsi="Calibri" w:cs="Calibri"/>
          <w:color w:val="000000" w:themeColor="text1"/>
          <w:lang w:val="en-GB"/>
        </w:rPr>
        <w:t xml:space="preserve"> https://wcpp.org.uk/wp-</w:t>
      </w:r>
      <w:r w:rsidR="092D8520" w:rsidRPr="50EE857F">
        <w:rPr>
          <w:rFonts w:ascii="Calibri" w:eastAsia="Calibri" w:hAnsi="Calibri" w:cs="Calibri"/>
          <w:color w:val="000000" w:themeColor="text1"/>
          <w:lang w:val="en-GB"/>
        </w:rPr>
        <w:lastRenderedPageBreak/>
        <w:t>content/uploads/2024/10/Evidence-Review-Widening-Participation-in-Tertiary-Education.pdf</w:t>
      </w:r>
      <w:r w:rsidRPr="50EE857F">
        <w:rPr>
          <w:rFonts w:ascii="Calibri" w:eastAsia="Calibri" w:hAnsi="Calibri" w:cs="Calibri"/>
          <w:color w:val="000000" w:themeColor="text1"/>
          <w:lang w:val="en-GB"/>
        </w:rPr>
        <w:t xml:space="preserve">  (Accessed on 18 May 2025)</w:t>
      </w:r>
    </w:p>
    <w:p w14:paraId="3420EE25" w14:textId="3FA6BA0F"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Welsh Government (2015) </w:t>
      </w:r>
      <w:r w:rsidRPr="0E9096A0">
        <w:rPr>
          <w:rFonts w:ascii="Calibri" w:eastAsia="Calibri" w:hAnsi="Calibri" w:cs="Calibri"/>
          <w:i/>
          <w:iCs/>
          <w:color w:val="000000" w:themeColor="text1"/>
          <w:lang w:val="en-GB"/>
        </w:rPr>
        <w:t xml:space="preserve">Review of Higher Education in Further Education Institutions.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https://www.gov.wales/sites/default/files/publications/2018-02/review-of-higher-education-in-further-education-institutions.pdf#:~:text=HE%20in%20FE%20can%20provide%20student%20progression,than%20average%20rates%20of%20participation%20in%20HE</w:t>
      </w:r>
      <w:r w:rsidRPr="0E9096A0">
        <w:rPr>
          <w:rFonts w:ascii="Calibri" w:eastAsia="Calibri" w:hAnsi="Calibri" w:cs="Calibri"/>
          <w:color w:val="000000" w:themeColor="text1"/>
          <w:lang w:val="en-GB"/>
        </w:rPr>
        <w:t>. (Accessed: 25 May 2025)</w:t>
      </w:r>
    </w:p>
    <w:p w14:paraId="1652FA9B" w14:textId="6013325D"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Welsh Government (2022) </w:t>
      </w:r>
      <w:r w:rsidRPr="0E9096A0">
        <w:rPr>
          <w:rFonts w:ascii="Calibri" w:eastAsia="Calibri" w:hAnsi="Calibri" w:cs="Calibri"/>
          <w:i/>
          <w:iCs/>
          <w:color w:val="000000" w:themeColor="text1"/>
          <w:lang w:val="en-GB"/>
        </w:rPr>
        <w:t xml:space="preserve">Analysis of the effects of funding cuts to part-time learners in further education in Wales: 2014 to 2017 (Summary).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https://www.gov.wales/sites/default/files/pdf-versions/2022/11/3/1668588695/analysis-effects-funding-cuts-part-time-learners-further-education-wales-2014-2017-summary.pdf</w:t>
      </w:r>
      <w:r w:rsidRPr="0E9096A0">
        <w:rPr>
          <w:rFonts w:ascii="Calibri" w:eastAsia="Calibri" w:hAnsi="Calibri" w:cs="Calibri"/>
          <w:color w:val="000000" w:themeColor="text1"/>
          <w:lang w:val="en-GB"/>
        </w:rPr>
        <w:t>. (Accessed 25 May 2025).</w:t>
      </w:r>
    </w:p>
    <w:p w14:paraId="416BD1E6" w14:textId="340C4F21"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Welsh Government (2025) </w:t>
      </w:r>
      <w:r w:rsidRPr="0E9096A0">
        <w:rPr>
          <w:rFonts w:ascii="Calibri" w:eastAsia="Calibri" w:hAnsi="Calibri" w:cs="Calibri"/>
          <w:i/>
          <w:iCs/>
          <w:color w:val="000000" w:themeColor="text1"/>
          <w:lang w:val="en-GB"/>
        </w:rPr>
        <w:t xml:space="preserve">Study in Wales.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i/>
          <w:iCs/>
          <w:lang w:val="en-GB"/>
        </w:rPr>
        <w:t>https://www.studyinwales.ac.uk/introduction-further-education-wales</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(Accessed: May 25, 2025).</w:t>
      </w:r>
    </w:p>
    <w:p w14:paraId="297F93DF" w14:textId="25E59BB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Williams, T. (2020) </w:t>
      </w:r>
      <w:r w:rsidRPr="0E9096A0">
        <w:rPr>
          <w:rFonts w:ascii="Calibri" w:eastAsia="Calibri" w:hAnsi="Calibri" w:cs="Calibri"/>
          <w:i/>
          <w:iCs/>
          <w:color w:val="000000" w:themeColor="text1"/>
          <w:lang w:val="en-GB"/>
        </w:rPr>
        <w:t xml:space="preserve">Underrepresented Minority’ considered harmful, racist language.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https://cacm.acm.org/blogcacm/underrepresented-minority-considered-harmful-racist-language/</w:t>
      </w:r>
      <w:r w:rsidRPr="0E9096A0">
        <w:rPr>
          <w:rFonts w:ascii="Calibri" w:eastAsia="Calibri" w:hAnsi="Calibri" w:cs="Calibri"/>
          <w:color w:val="000000" w:themeColor="text1"/>
          <w:lang w:val="en-GB"/>
        </w:rPr>
        <w:t xml:space="preserve"> (Accessed: 25 May 2025)</w:t>
      </w:r>
    </w:p>
    <w:p w14:paraId="7883D3EA" w14:textId="5AE62F8C"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Yin, R. K., (2018). </w:t>
      </w:r>
      <w:r w:rsidRPr="0E9096A0">
        <w:rPr>
          <w:rFonts w:ascii="Calibri" w:eastAsia="Calibri" w:hAnsi="Calibri" w:cs="Calibri"/>
          <w:i/>
          <w:iCs/>
          <w:color w:val="000000" w:themeColor="text1"/>
          <w:lang w:val="en-GB"/>
        </w:rPr>
        <w:t>Case study research and applications: design and methods</w:t>
      </w:r>
      <w:r w:rsidRPr="0E9096A0">
        <w:rPr>
          <w:rFonts w:ascii="Calibri" w:eastAsia="Calibri" w:hAnsi="Calibri" w:cs="Calibri"/>
          <w:color w:val="000000" w:themeColor="text1"/>
          <w:lang w:val="en-GB"/>
        </w:rPr>
        <w:t>. Sixth edition. ed. Los Angeles: Sage.</w:t>
      </w:r>
    </w:p>
    <w:p w14:paraId="3BB67A6B" w14:textId="08655F16" w:rsidR="361CC968" w:rsidRDefault="361CC968" w:rsidP="0E9096A0">
      <w:pPr>
        <w:spacing w:line="360" w:lineRule="auto"/>
        <w:rPr>
          <w:rFonts w:ascii="Aptos" w:eastAsia="Aptos" w:hAnsi="Aptos" w:cs="Aptos"/>
          <w:color w:val="000000" w:themeColor="text1"/>
          <w:sz w:val="22"/>
          <w:szCs w:val="22"/>
        </w:rPr>
      </w:pPr>
    </w:p>
    <w:p w14:paraId="4F4B5A63" w14:textId="6F80906C" w:rsidR="361CC968" w:rsidRDefault="361CC968" w:rsidP="0E9096A0">
      <w:pPr>
        <w:spacing w:line="360" w:lineRule="auto"/>
        <w:rPr>
          <w:rFonts w:ascii="Aptos" w:eastAsia="Aptos" w:hAnsi="Aptos" w:cs="Aptos"/>
          <w:color w:val="000000" w:themeColor="text1"/>
          <w:sz w:val="22"/>
          <w:szCs w:val="22"/>
        </w:rPr>
      </w:pPr>
    </w:p>
    <w:p w14:paraId="1A09AF99" w14:textId="22EB90E2" w:rsidR="361CC968" w:rsidRDefault="361CC968" w:rsidP="0E9096A0">
      <w:pPr>
        <w:spacing w:line="360" w:lineRule="auto"/>
        <w:rPr>
          <w:rFonts w:ascii="Aptos" w:eastAsia="Aptos" w:hAnsi="Aptos" w:cs="Aptos"/>
          <w:color w:val="000000" w:themeColor="text1"/>
          <w:sz w:val="22"/>
          <w:szCs w:val="22"/>
        </w:rPr>
      </w:pPr>
    </w:p>
    <w:p w14:paraId="4D1290AE" w14:textId="6D23DE06" w:rsidR="361CC968" w:rsidRDefault="361CC968" w:rsidP="0E9096A0">
      <w:pPr>
        <w:spacing w:line="360" w:lineRule="auto"/>
        <w:rPr>
          <w:u w:val="single"/>
        </w:rPr>
      </w:pPr>
    </w:p>
    <w:p w14:paraId="6B21AF44" w14:textId="77777777" w:rsidR="003C38A1" w:rsidRPr="0027056A" w:rsidRDefault="003C38A1" w:rsidP="0E9096A0">
      <w:pPr>
        <w:spacing w:line="360" w:lineRule="auto"/>
        <w:rPr>
          <w:lang w:val="en-GB"/>
        </w:rPr>
      </w:pPr>
    </w:p>
    <w:p w14:paraId="02D16306" w14:textId="77777777" w:rsidR="003C38A1" w:rsidRDefault="003C38A1" w:rsidP="0E9096A0">
      <w:pPr>
        <w:spacing w:line="360" w:lineRule="auto"/>
        <w:rPr>
          <w:u w:val="single"/>
        </w:rPr>
      </w:pPr>
    </w:p>
    <w:p w14:paraId="5358DA2E" w14:textId="14A83F7A" w:rsidR="00343467" w:rsidRDefault="00343467" w:rsidP="0E9096A0">
      <w:pPr>
        <w:spacing w:line="360" w:lineRule="auto"/>
      </w:pPr>
    </w:p>
    <w:p w14:paraId="73EE8301" w14:textId="12B6EA42" w:rsidR="00343467" w:rsidRPr="00FE1FB9" w:rsidRDefault="00343467" w:rsidP="0E9096A0">
      <w:pPr>
        <w:spacing w:line="360" w:lineRule="auto"/>
        <w:rPr>
          <w:u w:val="single"/>
        </w:rPr>
      </w:pPr>
    </w:p>
    <w:p w14:paraId="4D96B0E6" w14:textId="2024C510" w:rsidR="00343467" w:rsidRPr="00FE1FB9" w:rsidRDefault="00343467" w:rsidP="0E9096A0">
      <w:pPr>
        <w:spacing w:line="360" w:lineRule="auto"/>
        <w:rPr>
          <w:u w:val="single"/>
        </w:rPr>
      </w:pPr>
    </w:p>
    <w:p w14:paraId="7976C91B" w14:textId="290D5780" w:rsidR="00343467" w:rsidRDefault="00343467" w:rsidP="0E9096A0">
      <w:pPr>
        <w:spacing w:line="360" w:lineRule="auto"/>
        <w:rPr>
          <w:u w:val="single"/>
        </w:rPr>
      </w:pPr>
    </w:p>
    <w:p w14:paraId="4886863C" w14:textId="5D0E0E16" w:rsidR="00027A58" w:rsidRPr="00027A58" w:rsidRDefault="00027A58" w:rsidP="0E9096A0">
      <w:pPr>
        <w:spacing w:line="360" w:lineRule="auto"/>
      </w:pPr>
    </w:p>
    <w:p w14:paraId="3BC36628" w14:textId="77777777" w:rsidR="00DD00D6" w:rsidRPr="00DD00D6" w:rsidRDefault="00DD00D6" w:rsidP="0E9096A0">
      <w:pPr>
        <w:spacing w:line="360" w:lineRule="auto"/>
        <w:rPr>
          <w:u w:val="single"/>
        </w:rPr>
      </w:pPr>
    </w:p>
    <w:p w14:paraId="3E4661DE" w14:textId="77777777" w:rsidR="001A63C7" w:rsidRPr="0075516C" w:rsidRDefault="001A63C7" w:rsidP="0E9096A0">
      <w:pPr>
        <w:spacing w:line="360" w:lineRule="auto"/>
      </w:pPr>
    </w:p>
    <w:p w14:paraId="66493E4E" w14:textId="5DE09ADE" w:rsidR="003F1865" w:rsidRDefault="003F1865" w:rsidP="0E9096A0">
      <w:pPr>
        <w:spacing w:line="360" w:lineRule="auto"/>
      </w:pPr>
    </w:p>
    <w:p w14:paraId="29226A03" w14:textId="77777777" w:rsidR="003F1865" w:rsidRDefault="003F1865" w:rsidP="0E9096A0">
      <w:pPr>
        <w:spacing w:line="360" w:lineRule="auto"/>
      </w:pPr>
    </w:p>
    <w:p w14:paraId="2F1EF9F7" w14:textId="77777777" w:rsidR="003F1865" w:rsidRPr="00E7563D" w:rsidRDefault="003F1865" w:rsidP="0E9096A0">
      <w:pPr>
        <w:spacing w:line="360" w:lineRule="auto"/>
      </w:pPr>
    </w:p>
    <w:p w14:paraId="767ACDFC" w14:textId="77777777" w:rsidR="00E7563D" w:rsidRPr="00E7563D" w:rsidRDefault="00E7563D" w:rsidP="0E9096A0">
      <w:pPr>
        <w:spacing w:line="360" w:lineRule="auto"/>
        <w:rPr>
          <w:u w:val="single"/>
        </w:rPr>
      </w:pPr>
    </w:p>
    <w:p w14:paraId="7B88EAEA" w14:textId="77777777" w:rsidR="00E7563D" w:rsidRPr="00E7563D" w:rsidRDefault="00E7563D" w:rsidP="0E9096A0">
      <w:pPr>
        <w:spacing w:line="360" w:lineRule="auto"/>
        <w:rPr>
          <w:i/>
          <w:iCs/>
        </w:rPr>
      </w:pPr>
    </w:p>
    <w:p w14:paraId="4F2E9AE4" w14:textId="77777777" w:rsidR="00E7563D" w:rsidRPr="00E7563D" w:rsidRDefault="00E7563D" w:rsidP="0E9096A0">
      <w:pPr>
        <w:spacing w:line="360" w:lineRule="auto"/>
      </w:pPr>
    </w:p>
    <w:p w14:paraId="0BE9898C" w14:textId="77777777" w:rsidR="00E7563D" w:rsidRDefault="00E7563D" w:rsidP="0E9096A0">
      <w:pPr>
        <w:spacing w:line="360" w:lineRule="auto"/>
      </w:pPr>
    </w:p>
    <w:p w14:paraId="204DE075" w14:textId="2AC1BA6B" w:rsidR="004D07EB" w:rsidRPr="00C4665F" w:rsidRDefault="004D07EB" w:rsidP="0E9096A0">
      <w:pPr>
        <w:spacing w:line="360" w:lineRule="auto"/>
      </w:pPr>
    </w:p>
    <w:p w14:paraId="13D637B5" w14:textId="77777777" w:rsidR="005E027D" w:rsidRDefault="005E027D" w:rsidP="0E9096A0">
      <w:pPr>
        <w:spacing w:line="360" w:lineRule="auto"/>
      </w:pPr>
    </w:p>
    <w:p w14:paraId="547748FC" w14:textId="6CEB76BF" w:rsidR="00CF3A1D" w:rsidRPr="00493076" w:rsidRDefault="00CF3A1D" w:rsidP="0E9096A0">
      <w:pPr>
        <w:spacing w:line="360" w:lineRule="auto"/>
      </w:pPr>
    </w:p>
    <w:p w14:paraId="76AF6818" w14:textId="77777777" w:rsidR="007B01CF" w:rsidRDefault="007B01CF" w:rsidP="0E9096A0">
      <w:pPr>
        <w:spacing w:line="360" w:lineRule="auto"/>
      </w:pPr>
    </w:p>
    <w:p w14:paraId="1EC5C718" w14:textId="77777777" w:rsidR="00DB4650" w:rsidRPr="00A0433D" w:rsidRDefault="00DB4650" w:rsidP="0E9096A0">
      <w:pPr>
        <w:spacing w:line="360" w:lineRule="auto"/>
        <w:rPr>
          <w:lang w:val="en-GB"/>
        </w:rPr>
      </w:pPr>
    </w:p>
    <w:p w14:paraId="27C0C4BB" w14:textId="77777777" w:rsidR="002476B1" w:rsidRPr="00BB5A8F" w:rsidRDefault="002476B1" w:rsidP="0E9096A0">
      <w:pPr>
        <w:spacing w:line="360" w:lineRule="auto"/>
        <w:rPr>
          <w:rFonts w:ascii="Calibri" w:eastAsia="Times New Roman" w:hAnsi="Calibri" w:cs="Calibri"/>
          <w:lang w:eastAsia="en-GB"/>
        </w:rPr>
      </w:pPr>
    </w:p>
    <w:p w14:paraId="3B418869" w14:textId="77777777" w:rsidR="00835731" w:rsidRDefault="00835731" w:rsidP="0E9096A0">
      <w:pPr>
        <w:spacing w:line="360" w:lineRule="auto"/>
      </w:pPr>
    </w:p>
    <w:p w14:paraId="5577A775" w14:textId="77777777" w:rsidR="00560EAB" w:rsidRDefault="00560EAB" w:rsidP="0E9096A0">
      <w:pPr>
        <w:spacing w:line="360" w:lineRule="auto"/>
      </w:pPr>
    </w:p>
    <w:p w14:paraId="580AEA37" w14:textId="77777777" w:rsidR="007E5E3B" w:rsidRDefault="007E5E3B" w:rsidP="0E9096A0">
      <w:pPr>
        <w:spacing w:line="360" w:lineRule="auto"/>
      </w:pPr>
    </w:p>
    <w:p w14:paraId="019C73BD" w14:textId="77777777" w:rsidR="007C4E0C" w:rsidRDefault="007C4E0C" w:rsidP="0E9096A0">
      <w:pPr>
        <w:spacing w:line="360" w:lineRule="auto"/>
      </w:pPr>
    </w:p>
    <w:p w14:paraId="3814FD6F" w14:textId="2A49F428" w:rsidR="004F753C" w:rsidRDefault="004F753C" w:rsidP="0E9096A0">
      <w:pPr>
        <w:spacing w:line="360" w:lineRule="auto"/>
      </w:pPr>
    </w:p>
    <w:p w14:paraId="1165F8F6" w14:textId="555DF8B1" w:rsidR="001773F6" w:rsidRPr="001773F6" w:rsidRDefault="001773F6" w:rsidP="0E9096A0">
      <w:pPr>
        <w:spacing w:line="360" w:lineRule="auto"/>
        <w:rPr>
          <w:lang w:val="en-GB"/>
        </w:rPr>
      </w:pPr>
      <w:r w:rsidRPr="0E9096A0">
        <w:rPr>
          <w:rFonts w:ascii="Arial" w:hAnsi="Arial" w:cs="Arial"/>
          <w:lang w:val="en-GB"/>
        </w:rPr>
        <w:t> </w:t>
      </w:r>
      <w:r w:rsidRPr="0E9096A0">
        <w:rPr>
          <w:lang w:val="en-GB"/>
        </w:rPr>
        <w:t> </w:t>
      </w:r>
    </w:p>
    <w:p w14:paraId="550AAAEC" w14:textId="77777777" w:rsidR="001773F6" w:rsidRDefault="001773F6" w:rsidP="0E9096A0">
      <w:pPr>
        <w:spacing w:line="360" w:lineRule="auto"/>
      </w:pPr>
    </w:p>
    <w:p w14:paraId="50240533" w14:textId="77777777" w:rsidR="0012660B" w:rsidRDefault="0012660B" w:rsidP="0E9096A0">
      <w:pPr>
        <w:spacing w:line="360" w:lineRule="auto"/>
      </w:pPr>
    </w:p>
    <w:p w14:paraId="7FEC4D53" w14:textId="77777777" w:rsidR="0034763A" w:rsidRDefault="0034763A" w:rsidP="0E9096A0">
      <w:pPr>
        <w:spacing w:line="360" w:lineRule="auto"/>
      </w:pPr>
    </w:p>
    <w:p w14:paraId="7C302AFE" w14:textId="77777777" w:rsidR="00C85D6D" w:rsidRDefault="00C85D6D" w:rsidP="0E9096A0">
      <w:pPr>
        <w:spacing w:line="360" w:lineRule="auto"/>
      </w:pPr>
    </w:p>
    <w:sectPr w:rsidR="00C85D6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3A672" w14:textId="77777777" w:rsidR="00965DFC" w:rsidRDefault="00965DFC" w:rsidP="009D0D15">
      <w:pPr>
        <w:spacing w:after="0" w:line="240" w:lineRule="auto"/>
      </w:pPr>
      <w:r>
        <w:separator/>
      </w:r>
    </w:p>
  </w:endnote>
  <w:endnote w:type="continuationSeparator" w:id="0">
    <w:p w14:paraId="4DA017B2" w14:textId="77777777" w:rsidR="00965DFC" w:rsidRDefault="00965DFC" w:rsidP="009D0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9673730"/>
      <w:docPartObj>
        <w:docPartGallery w:val="Page Numbers (Bottom of Page)"/>
        <w:docPartUnique/>
      </w:docPartObj>
    </w:sdtPr>
    <w:sdtEndPr/>
    <w:sdtContent>
      <w:p w14:paraId="33FCFCAE" w14:textId="03DE81A2" w:rsidR="009D0D15" w:rsidRDefault="009D0D15">
        <w:pPr>
          <w:pStyle w:val="Footer"/>
          <w:jc w:val="center"/>
        </w:pPr>
        <w:r>
          <w:fldChar w:fldCharType="begin"/>
        </w:r>
        <w:r>
          <w:instrText>PAGE   \* MERGEFORMAT</w:instrText>
        </w:r>
        <w:r>
          <w:fldChar w:fldCharType="separate"/>
        </w:r>
        <w:r>
          <w:rPr>
            <w:lang w:val="en-GB"/>
          </w:rPr>
          <w:t>2</w:t>
        </w:r>
        <w:r>
          <w:fldChar w:fldCharType="end"/>
        </w:r>
      </w:p>
    </w:sdtContent>
  </w:sdt>
  <w:p w14:paraId="19EE7584" w14:textId="77777777" w:rsidR="009D0D15" w:rsidRDefault="009D0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D8F5B" w14:textId="77777777" w:rsidR="00965DFC" w:rsidRDefault="00965DFC" w:rsidP="009D0D15">
      <w:pPr>
        <w:spacing w:after="0" w:line="240" w:lineRule="auto"/>
      </w:pPr>
      <w:r>
        <w:separator/>
      </w:r>
    </w:p>
  </w:footnote>
  <w:footnote w:type="continuationSeparator" w:id="0">
    <w:p w14:paraId="1BDF94FD" w14:textId="77777777" w:rsidR="00965DFC" w:rsidRDefault="00965DFC" w:rsidP="009D0D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E9096A0" w14:paraId="42D96802" w14:textId="77777777" w:rsidTr="0E9096A0">
      <w:trPr>
        <w:trHeight w:val="300"/>
      </w:trPr>
      <w:tc>
        <w:tcPr>
          <w:tcW w:w="3120" w:type="dxa"/>
        </w:tcPr>
        <w:p w14:paraId="601AD526" w14:textId="7DB219BE" w:rsidR="0E9096A0" w:rsidRDefault="0E9096A0" w:rsidP="0E9096A0">
          <w:pPr>
            <w:pStyle w:val="Header"/>
            <w:ind w:left="-115"/>
          </w:pPr>
        </w:p>
      </w:tc>
      <w:tc>
        <w:tcPr>
          <w:tcW w:w="3120" w:type="dxa"/>
        </w:tcPr>
        <w:p w14:paraId="22BD76B8" w14:textId="1D11F376" w:rsidR="0E9096A0" w:rsidRDefault="0E9096A0" w:rsidP="0E9096A0">
          <w:pPr>
            <w:pStyle w:val="Header"/>
            <w:jc w:val="center"/>
          </w:pPr>
        </w:p>
      </w:tc>
      <w:tc>
        <w:tcPr>
          <w:tcW w:w="3120" w:type="dxa"/>
        </w:tcPr>
        <w:p w14:paraId="2B477538" w14:textId="10777C23" w:rsidR="0E9096A0" w:rsidRDefault="0E9096A0" w:rsidP="0E9096A0">
          <w:pPr>
            <w:pStyle w:val="Header"/>
            <w:ind w:right="-115"/>
            <w:jc w:val="right"/>
          </w:pPr>
        </w:p>
      </w:tc>
    </w:tr>
  </w:tbl>
  <w:p w14:paraId="7752F773" w14:textId="6A2A3087" w:rsidR="0E9096A0" w:rsidRDefault="0E9096A0" w:rsidP="0E9096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BF1BC4"/>
    <w:multiLevelType w:val="hybridMultilevel"/>
    <w:tmpl w:val="19F66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3516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46258D"/>
    <w:rsid w:val="000001DD"/>
    <w:rsid w:val="00001A7B"/>
    <w:rsid w:val="00003F92"/>
    <w:rsid w:val="00004752"/>
    <w:rsid w:val="00004E33"/>
    <w:rsid w:val="0000633D"/>
    <w:rsid w:val="0000679B"/>
    <w:rsid w:val="000104C3"/>
    <w:rsid w:val="000108DB"/>
    <w:rsid w:val="00010C42"/>
    <w:rsid w:val="00011AA1"/>
    <w:rsid w:val="00011CEF"/>
    <w:rsid w:val="00011F7C"/>
    <w:rsid w:val="000121AB"/>
    <w:rsid w:val="000140A6"/>
    <w:rsid w:val="0001529A"/>
    <w:rsid w:val="000157CD"/>
    <w:rsid w:val="00015913"/>
    <w:rsid w:val="00016A03"/>
    <w:rsid w:val="00017632"/>
    <w:rsid w:val="0001795C"/>
    <w:rsid w:val="00020490"/>
    <w:rsid w:val="000211FC"/>
    <w:rsid w:val="000226E6"/>
    <w:rsid w:val="000227A2"/>
    <w:rsid w:val="00022FDD"/>
    <w:rsid w:val="00024F71"/>
    <w:rsid w:val="0002548D"/>
    <w:rsid w:val="000275B2"/>
    <w:rsid w:val="00027A58"/>
    <w:rsid w:val="00030874"/>
    <w:rsid w:val="00030C6A"/>
    <w:rsid w:val="00030E82"/>
    <w:rsid w:val="000324C6"/>
    <w:rsid w:val="0003258C"/>
    <w:rsid w:val="000328D1"/>
    <w:rsid w:val="00033075"/>
    <w:rsid w:val="000332DA"/>
    <w:rsid w:val="0003334B"/>
    <w:rsid w:val="00034331"/>
    <w:rsid w:val="00034BF6"/>
    <w:rsid w:val="000356CD"/>
    <w:rsid w:val="000359C9"/>
    <w:rsid w:val="000366AA"/>
    <w:rsid w:val="0003742F"/>
    <w:rsid w:val="000378D8"/>
    <w:rsid w:val="00037C84"/>
    <w:rsid w:val="0004130B"/>
    <w:rsid w:val="000423D9"/>
    <w:rsid w:val="0004433F"/>
    <w:rsid w:val="00045B0B"/>
    <w:rsid w:val="00047D0B"/>
    <w:rsid w:val="00050A69"/>
    <w:rsid w:val="00052121"/>
    <w:rsid w:val="00052AA9"/>
    <w:rsid w:val="000535B3"/>
    <w:rsid w:val="00053734"/>
    <w:rsid w:val="00053DD8"/>
    <w:rsid w:val="00054564"/>
    <w:rsid w:val="00056219"/>
    <w:rsid w:val="000562C0"/>
    <w:rsid w:val="00057166"/>
    <w:rsid w:val="0006032B"/>
    <w:rsid w:val="00060E6E"/>
    <w:rsid w:val="000613FB"/>
    <w:rsid w:val="00061B46"/>
    <w:rsid w:val="000628CC"/>
    <w:rsid w:val="000637CF"/>
    <w:rsid w:val="00063DF6"/>
    <w:rsid w:val="00064704"/>
    <w:rsid w:val="000661FF"/>
    <w:rsid w:val="0006700F"/>
    <w:rsid w:val="000676A9"/>
    <w:rsid w:val="00071AC9"/>
    <w:rsid w:val="00072D51"/>
    <w:rsid w:val="00072FAF"/>
    <w:rsid w:val="000741E9"/>
    <w:rsid w:val="000752F2"/>
    <w:rsid w:val="0007553E"/>
    <w:rsid w:val="00075884"/>
    <w:rsid w:val="00080052"/>
    <w:rsid w:val="000810C9"/>
    <w:rsid w:val="000814E9"/>
    <w:rsid w:val="00082CF3"/>
    <w:rsid w:val="0008323B"/>
    <w:rsid w:val="00085FB8"/>
    <w:rsid w:val="00090342"/>
    <w:rsid w:val="00090DDC"/>
    <w:rsid w:val="00090E36"/>
    <w:rsid w:val="00090F73"/>
    <w:rsid w:val="00090FE4"/>
    <w:rsid w:val="000916E2"/>
    <w:rsid w:val="00091F5D"/>
    <w:rsid w:val="00092631"/>
    <w:rsid w:val="000929B8"/>
    <w:rsid w:val="00094262"/>
    <w:rsid w:val="00095169"/>
    <w:rsid w:val="0009644C"/>
    <w:rsid w:val="000965BF"/>
    <w:rsid w:val="000966F9"/>
    <w:rsid w:val="000967EE"/>
    <w:rsid w:val="00096FEC"/>
    <w:rsid w:val="00097F05"/>
    <w:rsid w:val="000A01BA"/>
    <w:rsid w:val="000A02E2"/>
    <w:rsid w:val="000A180B"/>
    <w:rsid w:val="000A2310"/>
    <w:rsid w:val="000A2C67"/>
    <w:rsid w:val="000A3398"/>
    <w:rsid w:val="000A6527"/>
    <w:rsid w:val="000A6C75"/>
    <w:rsid w:val="000A78F6"/>
    <w:rsid w:val="000A7AF9"/>
    <w:rsid w:val="000B1924"/>
    <w:rsid w:val="000B1B3E"/>
    <w:rsid w:val="000B1FA5"/>
    <w:rsid w:val="000B2448"/>
    <w:rsid w:val="000B3B7C"/>
    <w:rsid w:val="000B3BC6"/>
    <w:rsid w:val="000B4C23"/>
    <w:rsid w:val="000B4E72"/>
    <w:rsid w:val="000B5575"/>
    <w:rsid w:val="000B695A"/>
    <w:rsid w:val="000B776C"/>
    <w:rsid w:val="000C0245"/>
    <w:rsid w:val="000C0995"/>
    <w:rsid w:val="000C1741"/>
    <w:rsid w:val="000C1E0B"/>
    <w:rsid w:val="000C275C"/>
    <w:rsid w:val="000C6989"/>
    <w:rsid w:val="000C73BE"/>
    <w:rsid w:val="000C76F7"/>
    <w:rsid w:val="000D0787"/>
    <w:rsid w:val="000D2540"/>
    <w:rsid w:val="000D29B5"/>
    <w:rsid w:val="000D2EEE"/>
    <w:rsid w:val="000D30B3"/>
    <w:rsid w:val="000D31CD"/>
    <w:rsid w:val="000D3278"/>
    <w:rsid w:val="000D32F4"/>
    <w:rsid w:val="000D337D"/>
    <w:rsid w:val="000D3469"/>
    <w:rsid w:val="000D3FEB"/>
    <w:rsid w:val="000D4538"/>
    <w:rsid w:val="000D46C0"/>
    <w:rsid w:val="000D6231"/>
    <w:rsid w:val="000D647C"/>
    <w:rsid w:val="000D7DDD"/>
    <w:rsid w:val="000E0305"/>
    <w:rsid w:val="000E0987"/>
    <w:rsid w:val="000E0AB8"/>
    <w:rsid w:val="000E111C"/>
    <w:rsid w:val="000E20B7"/>
    <w:rsid w:val="000E2348"/>
    <w:rsid w:val="000E2C9E"/>
    <w:rsid w:val="000E3C5B"/>
    <w:rsid w:val="000E41FF"/>
    <w:rsid w:val="000E4AA9"/>
    <w:rsid w:val="000E5913"/>
    <w:rsid w:val="000E594A"/>
    <w:rsid w:val="000E5E9A"/>
    <w:rsid w:val="000E6BB2"/>
    <w:rsid w:val="000E6F92"/>
    <w:rsid w:val="000E7DEF"/>
    <w:rsid w:val="000F0059"/>
    <w:rsid w:val="000F1236"/>
    <w:rsid w:val="000F13C0"/>
    <w:rsid w:val="000F19B1"/>
    <w:rsid w:val="000F340F"/>
    <w:rsid w:val="000F49DD"/>
    <w:rsid w:val="000F4A7D"/>
    <w:rsid w:val="000F5165"/>
    <w:rsid w:val="000F5279"/>
    <w:rsid w:val="000F5ABC"/>
    <w:rsid w:val="000F6161"/>
    <w:rsid w:val="000F6B55"/>
    <w:rsid w:val="000F70F7"/>
    <w:rsid w:val="000F7411"/>
    <w:rsid w:val="000F7B4D"/>
    <w:rsid w:val="000F7F39"/>
    <w:rsid w:val="00104434"/>
    <w:rsid w:val="00104C2A"/>
    <w:rsid w:val="00107A44"/>
    <w:rsid w:val="0011001A"/>
    <w:rsid w:val="001101FA"/>
    <w:rsid w:val="0011355B"/>
    <w:rsid w:val="00114637"/>
    <w:rsid w:val="00116832"/>
    <w:rsid w:val="00117FBD"/>
    <w:rsid w:val="0012029B"/>
    <w:rsid w:val="00120BD4"/>
    <w:rsid w:val="00121746"/>
    <w:rsid w:val="0012221F"/>
    <w:rsid w:val="0012259F"/>
    <w:rsid w:val="00125A64"/>
    <w:rsid w:val="0012660B"/>
    <w:rsid w:val="00127877"/>
    <w:rsid w:val="0013026B"/>
    <w:rsid w:val="00130F7A"/>
    <w:rsid w:val="001310BB"/>
    <w:rsid w:val="00131B4A"/>
    <w:rsid w:val="00131FCE"/>
    <w:rsid w:val="00132D8D"/>
    <w:rsid w:val="00132F4B"/>
    <w:rsid w:val="00132F7B"/>
    <w:rsid w:val="001342A0"/>
    <w:rsid w:val="001351CD"/>
    <w:rsid w:val="00136004"/>
    <w:rsid w:val="0013669D"/>
    <w:rsid w:val="00136E83"/>
    <w:rsid w:val="00140A7D"/>
    <w:rsid w:val="00141595"/>
    <w:rsid w:val="0014230C"/>
    <w:rsid w:val="00142737"/>
    <w:rsid w:val="00142CD9"/>
    <w:rsid w:val="001442F5"/>
    <w:rsid w:val="001445AE"/>
    <w:rsid w:val="00145088"/>
    <w:rsid w:val="00145353"/>
    <w:rsid w:val="00145525"/>
    <w:rsid w:val="00145560"/>
    <w:rsid w:val="00146688"/>
    <w:rsid w:val="00147053"/>
    <w:rsid w:val="0015018F"/>
    <w:rsid w:val="00154395"/>
    <w:rsid w:val="0015449F"/>
    <w:rsid w:val="00154A68"/>
    <w:rsid w:val="00154DEB"/>
    <w:rsid w:val="00157324"/>
    <w:rsid w:val="00162133"/>
    <w:rsid w:val="001637BE"/>
    <w:rsid w:val="00163946"/>
    <w:rsid w:val="00164231"/>
    <w:rsid w:val="00164505"/>
    <w:rsid w:val="0016525A"/>
    <w:rsid w:val="00165573"/>
    <w:rsid w:val="0017063A"/>
    <w:rsid w:val="00171083"/>
    <w:rsid w:val="001717B4"/>
    <w:rsid w:val="0017221C"/>
    <w:rsid w:val="00172237"/>
    <w:rsid w:val="001725C4"/>
    <w:rsid w:val="0017348E"/>
    <w:rsid w:val="00174B8C"/>
    <w:rsid w:val="00174D42"/>
    <w:rsid w:val="001752B7"/>
    <w:rsid w:val="001753D1"/>
    <w:rsid w:val="001773F6"/>
    <w:rsid w:val="001777D6"/>
    <w:rsid w:val="00180C97"/>
    <w:rsid w:val="00180E62"/>
    <w:rsid w:val="00181753"/>
    <w:rsid w:val="00182B21"/>
    <w:rsid w:val="00182F13"/>
    <w:rsid w:val="001832AE"/>
    <w:rsid w:val="00183417"/>
    <w:rsid w:val="0018396D"/>
    <w:rsid w:val="00183FD8"/>
    <w:rsid w:val="00186451"/>
    <w:rsid w:val="0018645E"/>
    <w:rsid w:val="001879AD"/>
    <w:rsid w:val="001902CF"/>
    <w:rsid w:val="001902FF"/>
    <w:rsid w:val="0019062D"/>
    <w:rsid w:val="0019074B"/>
    <w:rsid w:val="00191F9A"/>
    <w:rsid w:val="00192FB6"/>
    <w:rsid w:val="00193C87"/>
    <w:rsid w:val="00194B29"/>
    <w:rsid w:val="0019512A"/>
    <w:rsid w:val="001956EA"/>
    <w:rsid w:val="001966AB"/>
    <w:rsid w:val="00196A75"/>
    <w:rsid w:val="001A03F7"/>
    <w:rsid w:val="001A0867"/>
    <w:rsid w:val="001A2175"/>
    <w:rsid w:val="001A29D0"/>
    <w:rsid w:val="001A2CF7"/>
    <w:rsid w:val="001A3F9C"/>
    <w:rsid w:val="001A4009"/>
    <w:rsid w:val="001A5586"/>
    <w:rsid w:val="001A5F30"/>
    <w:rsid w:val="001A63C7"/>
    <w:rsid w:val="001A6688"/>
    <w:rsid w:val="001A7205"/>
    <w:rsid w:val="001A72D1"/>
    <w:rsid w:val="001B2D42"/>
    <w:rsid w:val="001B328E"/>
    <w:rsid w:val="001B512D"/>
    <w:rsid w:val="001B57AD"/>
    <w:rsid w:val="001B5E62"/>
    <w:rsid w:val="001B6E54"/>
    <w:rsid w:val="001C073D"/>
    <w:rsid w:val="001C10CB"/>
    <w:rsid w:val="001C146B"/>
    <w:rsid w:val="001C1A0D"/>
    <w:rsid w:val="001C26EC"/>
    <w:rsid w:val="001C26FC"/>
    <w:rsid w:val="001C3410"/>
    <w:rsid w:val="001C3CB2"/>
    <w:rsid w:val="001C4B27"/>
    <w:rsid w:val="001C5FA2"/>
    <w:rsid w:val="001C6BA2"/>
    <w:rsid w:val="001C7624"/>
    <w:rsid w:val="001D0329"/>
    <w:rsid w:val="001D1000"/>
    <w:rsid w:val="001D15A7"/>
    <w:rsid w:val="001D1860"/>
    <w:rsid w:val="001D248C"/>
    <w:rsid w:val="001D270C"/>
    <w:rsid w:val="001D3D3F"/>
    <w:rsid w:val="001D3E99"/>
    <w:rsid w:val="001D5300"/>
    <w:rsid w:val="001D6302"/>
    <w:rsid w:val="001D77B0"/>
    <w:rsid w:val="001D7A08"/>
    <w:rsid w:val="001E089E"/>
    <w:rsid w:val="001E0E75"/>
    <w:rsid w:val="001E1067"/>
    <w:rsid w:val="001E1883"/>
    <w:rsid w:val="001E2722"/>
    <w:rsid w:val="001E2BF3"/>
    <w:rsid w:val="001E32A4"/>
    <w:rsid w:val="001E37F0"/>
    <w:rsid w:val="001E41FB"/>
    <w:rsid w:val="001E4AFF"/>
    <w:rsid w:val="001E536F"/>
    <w:rsid w:val="001E57DC"/>
    <w:rsid w:val="001E66D8"/>
    <w:rsid w:val="001F12FD"/>
    <w:rsid w:val="001F1C5A"/>
    <w:rsid w:val="001F1DC0"/>
    <w:rsid w:val="001F2AD7"/>
    <w:rsid w:val="001F2DFF"/>
    <w:rsid w:val="001F3ED3"/>
    <w:rsid w:val="001F46E7"/>
    <w:rsid w:val="001F5881"/>
    <w:rsid w:val="001F6B8E"/>
    <w:rsid w:val="001F7E07"/>
    <w:rsid w:val="002007F3"/>
    <w:rsid w:val="002019A5"/>
    <w:rsid w:val="0020268B"/>
    <w:rsid w:val="002027C3"/>
    <w:rsid w:val="00203BE0"/>
    <w:rsid w:val="00204F25"/>
    <w:rsid w:val="00205938"/>
    <w:rsid w:val="002076F5"/>
    <w:rsid w:val="0020798F"/>
    <w:rsid w:val="00210195"/>
    <w:rsid w:val="002103DD"/>
    <w:rsid w:val="002110F5"/>
    <w:rsid w:val="00211194"/>
    <w:rsid w:val="00211F66"/>
    <w:rsid w:val="00212CB7"/>
    <w:rsid w:val="002130D9"/>
    <w:rsid w:val="00213F37"/>
    <w:rsid w:val="00214115"/>
    <w:rsid w:val="00215F62"/>
    <w:rsid w:val="002171DF"/>
    <w:rsid w:val="0022064C"/>
    <w:rsid w:val="00221DBB"/>
    <w:rsid w:val="00222B0C"/>
    <w:rsid w:val="002239F3"/>
    <w:rsid w:val="00223CEE"/>
    <w:rsid w:val="002242FE"/>
    <w:rsid w:val="00225F6B"/>
    <w:rsid w:val="00226E9B"/>
    <w:rsid w:val="00231ABD"/>
    <w:rsid w:val="00231B0D"/>
    <w:rsid w:val="00232A9B"/>
    <w:rsid w:val="002332C6"/>
    <w:rsid w:val="00233833"/>
    <w:rsid w:val="002345EF"/>
    <w:rsid w:val="00234B60"/>
    <w:rsid w:val="002352DE"/>
    <w:rsid w:val="002368D5"/>
    <w:rsid w:val="00240CE6"/>
    <w:rsid w:val="00240FA1"/>
    <w:rsid w:val="002423D0"/>
    <w:rsid w:val="00242495"/>
    <w:rsid w:val="00242B1E"/>
    <w:rsid w:val="00243593"/>
    <w:rsid w:val="00243D1E"/>
    <w:rsid w:val="002443C2"/>
    <w:rsid w:val="002445C4"/>
    <w:rsid w:val="00244B27"/>
    <w:rsid w:val="002476B1"/>
    <w:rsid w:val="00247F0C"/>
    <w:rsid w:val="00252265"/>
    <w:rsid w:val="00252606"/>
    <w:rsid w:val="0025380A"/>
    <w:rsid w:val="002547B0"/>
    <w:rsid w:val="00257BAE"/>
    <w:rsid w:val="00260749"/>
    <w:rsid w:val="00260B25"/>
    <w:rsid w:val="00260CE6"/>
    <w:rsid w:val="00263DC7"/>
    <w:rsid w:val="0026511F"/>
    <w:rsid w:val="00265335"/>
    <w:rsid w:val="002661D9"/>
    <w:rsid w:val="002664B2"/>
    <w:rsid w:val="0026786F"/>
    <w:rsid w:val="00267ACC"/>
    <w:rsid w:val="0027056A"/>
    <w:rsid w:val="00271B17"/>
    <w:rsid w:val="002725A5"/>
    <w:rsid w:val="00272AE0"/>
    <w:rsid w:val="002736EA"/>
    <w:rsid w:val="00273DD4"/>
    <w:rsid w:val="002748B2"/>
    <w:rsid w:val="002767F6"/>
    <w:rsid w:val="00280722"/>
    <w:rsid w:val="002816FB"/>
    <w:rsid w:val="00281B51"/>
    <w:rsid w:val="00281BDD"/>
    <w:rsid w:val="002821BF"/>
    <w:rsid w:val="002826E7"/>
    <w:rsid w:val="00283417"/>
    <w:rsid w:val="00283B7E"/>
    <w:rsid w:val="00285152"/>
    <w:rsid w:val="00286475"/>
    <w:rsid w:val="00286BD3"/>
    <w:rsid w:val="00287A6C"/>
    <w:rsid w:val="0029192A"/>
    <w:rsid w:val="00292426"/>
    <w:rsid w:val="00293A99"/>
    <w:rsid w:val="002944E7"/>
    <w:rsid w:val="00294924"/>
    <w:rsid w:val="00294A98"/>
    <w:rsid w:val="00294DDB"/>
    <w:rsid w:val="00295D53"/>
    <w:rsid w:val="00296759"/>
    <w:rsid w:val="00297753"/>
    <w:rsid w:val="002A1B68"/>
    <w:rsid w:val="002A3A4B"/>
    <w:rsid w:val="002A40BB"/>
    <w:rsid w:val="002A54FE"/>
    <w:rsid w:val="002A69AC"/>
    <w:rsid w:val="002B02C8"/>
    <w:rsid w:val="002B1299"/>
    <w:rsid w:val="002B131A"/>
    <w:rsid w:val="002B1907"/>
    <w:rsid w:val="002B20E2"/>
    <w:rsid w:val="002B21A1"/>
    <w:rsid w:val="002B3D7F"/>
    <w:rsid w:val="002B3D9B"/>
    <w:rsid w:val="002B3F97"/>
    <w:rsid w:val="002B4E79"/>
    <w:rsid w:val="002B5180"/>
    <w:rsid w:val="002B5927"/>
    <w:rsid w:val="002B6C7A"/>
    <w:rsid w:val="002B6EBD"/>
    <w:rsid w:val="002B73AC"/>
    <w:rsid w:val="002B7F88"/>
    <w:rsid w:val="002C048B"/>
    <w:rsid w:val="002C2556"/>
    <w:rsid w:val="002C2906"/>
    <w:rsid w:val="002C2E4C"/>
    <w:rsid w:val="002C331B"/>
    <w:rsid w:val="002C49C1"/>
    <w:rsid w:val="002C6CEF"/>
    <w:rsid w:val="002C7CEA"/>
    <w:rsid w:val="002D01AF"/>
    <w:rsid w:val="002D0424"/>
    <w:rsid w:val="002D0857"/>
    <w:rsid w:val="002D114B"/>
    <w:rsid w:val="002D20DE"/>
    <w:rsid w:val="002D2639"/>
    <w:rsid w:val="002D2F5F"/>
    <w:rsid w:val="002D2FDC"/>
    <w:rsid w:val="002D3224"/>
    <w:rsid w:val="002D3A0E"/>
    <w:rsid w:val="002D3A67"/>
    <w:rsid w:val="002D470F"/>
    <w:rsid w:val="002D50B9"/>
    <w:rsid w:val="002D568D"/>
    <w:rsid w:val="002D5826"/>
    <w:rsid w:val="002D5EDE"/>
    <w:rsid w:val="002D63D9"/>
    <w:rsid w:val="002D780B"/>
    <w:rsid w:val="002D7928"/>
    <w:rsid w:val="002E2087"/>
    <w:rsid w:val="002E3C25"/>
    <w:rsid w:val="002E3DCE"/>
    <w:rsid w:val="002E4D84"/>
    <w:rsid w:val="002E4D9D"/>
    <w:rsid w:val="002E57F1"/>
    <w:rsid w:val="002E64B7"/>
    <w:rsid w:val="002E7CC9"/>
    <w:rsid w:val="002E7ED6"/>
    <w:rsid w:val="002F0CE6"/>
    <w:rsid w:val="002F12EA"/>
    <w:rsid w:val="002F1790"/>
    <w:rsid w:val="002F20F4"/>
    <w:rsid w:val="002F2788"/>
    <w:rsid w:val="002F2985"/>
    <w:rsid w:val="002F2F84"/>
    <w:rsid w:val="002F34AE"/>
    <w:rsid w:val="002F5EB2"/>
    <w:rsid w:val="002F6346"/>
    <w:rsid w:val="002F6EF3"/>
    <w:rsid w:val="002F7472"/>
    <w:rsid w:val="00300184"/>
    <w:rsid w:val="003010FE"/>
    <w:rsid w:val="00303097"/>
    <w:rsid w:val="00303366"/>
    <w:rsid w:val="00304E29"/>
    <w:rsid w:val="00305364"/>
    <w:rsid w:val="00307F82"/>
    <w:rsid w:val="003117C7"/>
    <w:rsid w:val="00311800"/>
    <w:rsid w:val="00311B15"/>
    <w:rsid w:val="00312E5F"/>
    <w:rsid w:val="003140D2"/>
    <w:rsid w:val="00314490"/>
    <w:rsid w:val="003144F7"/>
    <w:rsid w:val="00315669"/>
    <w:rsid w:val="00315BA5"/>
    <w:rsid w:val="00315EE1"/>
    <w:rsid w:val="00316885"/>
    <w:rsid w:val="00316EB2"/>
    <w:rsid w:val="00317293"/>
    <w:rsid w:val="003177C8"/>
    <w:rsid w:val="00322409"/>
    <w:rsid w:val="00322F1D"/>
    <w:rsid w:val="00322F65"/>
    <w:rsid w:val="0032396F"/>
    <w:rsid w:val="0032399A"/>
    <w:rsid w:val="00323EEB"/>
    <w:rsid w:val="00325A5E"/>
    <w:rsid w:val="00325BA9"/>
    <w:rsid w:val="00325DFF"/>
    <w:rsid w:val="0032684D"/>
    <w:rsid w:val="00326C9B"/>
    <w:rsid w:val="00327835"/>
    <w:rsid w:val="0033024B"/>
    <w:rsid w:val="0033046A"/>
    <w:rsid w:val="00330B1E"/>
    <w:rsid w:val="00331431"/>
    <w:rsid w:val="003317D3"/>
    <w:rsid w:val="00331B43"/>
    <w:rsid w:val="003323D7"/>
    <w:rsid w:val="0033341F"/>
    <w:rsid w:val="0033577E"/>
    <w:rsid w:val="00335928"/>
    <w:rsid w:val="00337FFE"/>
    <w:rsid w:val="00340265"/>
    <w:rsid w:val="003403F4"/>
    <w:rsid w:val="003405EE"/>
    <w:rsid w:val="00342440"/>
    <w:rsid w:val="00343467"/>
    <w:rsid w:val="0034471C"/>
    <w:rsid w:val="00345253"/>
    <w:rsid w:val="0034763A"/>
    <w:rsid w:val="00347C60"/>
    <w:rsid w:val="00347CCD"/>
    <w:rsid w:val="00351DEF"/>
    <w:rsid w:val="00352E96"/>
    <w:rsid w:val="003538FE"/>
    <w:rsid w:val="00353D68"/>
    <w:rsid w:val="003546A4"/>
    <w:rsid w:val="00354FB3"/>
    <w:rsid w:val="003603D9"/>
    <w:rsid w:val="003606E4"/>
    <w:rsid w:val="00360A14"/>
    <w:rsid w:val="00361E58"/>
    <w:rsid w:val="00362C5A"/>
    <w:rsid w:val="00362F56"/>
    <w:rsid w:val="0036454E"/>
    <w:rsid w:val="003645BB"/>
    <w:rsid w:val="0036588A"/>
    <w:rsid w:val="00365897"/>
    <w:rsid w:val="00365A5A"/>
    <w:rsid w:val="00366460"/>
    <w:rsid w:val="00372A99"/>
    <w:rsid w:val="00372C91"/>
    <w:rsid w:val="0037446F"/>
    <w:rsid w:val="0038022E"/>
    <w:rsid w:val="00381625"/>
    <w:rsid w:val="003816C5"/>
    <w:rsid w:val="00381C26"/>
    <w:rsid w:val="00382911"/>
    <w:rsid w:val="003831BA"/>
    <w:rsid w:val="00383557"/>
    <w:rsid w:val="00383DA9"/>
    <w:rsid w:val="0038414F"/>
    <w:rsid w:val="003851AC"/>
    <w:rsid w:val="00385AA2"/>
    <w:rsid w:val="00385FFB"/>
    <w:rsid w:val="00386BA1"/>
    <w:rsid w:val="00386CED"/>
    <w:rsid w:val="00390C9F"/>
    <w:rsid w:val="00390D3E"/>
    <w:rsid w:val="003912BB"/>
    <w:rsid w:val="0039134F"/>
    <w:rsid w:val="00392318"/>
    <w:rsid w:val="00393C68"/>
    <w:rsid w:val="00393CD2"/>
    <w:rsid w:val="0039607E"/>
    <w:rsid w:val="00396693"/>
    <w:rsid w:val="003972E8"/>
    <w:rsid w:val="0039768F"/>
    <w:rsid w:val="00397E25"/>
    <w:rsid w:val="003A04DE"/>
    <w:rsid w:val="003A1443"/>
    <w:rsid w:val="003A1ACB"/>
    <w:rsid w:val="003A22BF"/>
    <w:rsid w:val="003A2978"/>
    <w:rsid w:val="003A317D"/>
    <w:rsid w:val="003A57D2"/>
    <w:rsid w:val="003A5EF5"/>
    <w:rsid w:val="003A645F"/>
    <w:rsid w:val="003A70BE"/>
    <w:rsid w:val="003A75A7"/>
    <w:rsid w:val="003B090F"/>
    <w:rsid w:val="003B1A59"/>
    <w:rsid w:val="003B3785"/>
    <w:rsid w:val="003B7E45"/>
    <w:rsid w:val="003C0144"/>
    <w:rsid w:val="003C0568"/>
    <w:rsid w:val="003C2551"/>
    <w:rsid w:val="003C3202"/>
    <w:rsid w:val="003C38A1"/>
    <w:rsid w:val="003C52A1"/>
    <w:rsid w:val="003C54EC"/>
    <w:rsid w:val="003C5656"/>
    <w:rsid w:val="003C6D27"/>
    <w:rsid w:val="003C6D39"/>
    <w:rsid w:val="003C73E5"/>
    <w:rsid w:val="003C7E49"/>
    <w:rsid w:val="003D0356"/>
    <w:rsid w:val="003D0FF0"/>
    <w:rsid w:val="003D1B19"/>
    <w:rsid w:val="003D424C"/>
    <w:rsid w:val="003E04D1"/>
    <w:rsid w:val="003E1017"/>
    <w:rsid w:val="003E246B"/>
    <w:rsid w:val="003E5651"/>
    <w:rsid w:val="003E5DB3"/>
    <w:rsid w:val="003E5DD6"/>
    <w:rsid w:val="003E60A6"/>
    <w:rsid w:val="003E75EE"/>
    <w:rsid w:val="003E7910"/>
    <w:rsid w:val="003E7F18"/>
    <w:rsid w:val="003F06C9"/>
    <w:rsid w:val="003F0873"/>
    <w:rsid w:val="003F0A0A"/>
    <w:rsid w:val="003F14CD"/>
    <w:rsid w:val="003F1865"/>
    <w:rsid w:val="003F2063"/>
    <w:rsid w:val="003F2293"/>
    <w:rsid w:val="003F2C13"/>
    <w:rsid w:val="003F590B"/>
    <w:rsid w:val="003F65FA"/>
    <w:rsid w:val="003F725C"/>
    <w:rsid w:val="003F77B8"/>
    <w:rsid w:val="0040030B"/>
    <w:rsid w:val="00400586"/>
    <w:rsid w:val="00400591"/>
    <w:rsid w:val="00400820"/>
    <w:rsid w:val="0040123D"/>
    <w:rsid w:val="00401EDB"/>
    <w:rsid w:val="004039D3"/>
    <w:rsid w:val="00404084"/>
    <w:rsid w:val="00404F0B"/>
    <w:rsid w:val="00405493"/>
    <w:rsid w:val="00405516"/>
    <w:rsid w:val="00406C32"/>
    <w:rsid w:val="00406E24"/>
    <w:rsid w:val="0040736C"/>
    <w:rsid w:val="00407742"/>
    <w:rsid w:val="004108E1"/>
    <w:rsid w:val="0041204D"/>
    <w:rsid w:val="0041535E"/>
    <w:rsid w:val="004153D5"/>
    <w:rsid w:val="00416024"/>
    <w:rsid w:val="00416057"/>
    <w:rsid w:val="00417976"/>
    <w:rsid w:val="00420AC5"/>
    <w:rsid w:val="00421A48"/>
    <w:rsid w:val="0042201D"/>
    <w:rsid w:val="00422744"/>
    <w:rsid w:val="00422FEA"/>
    <w:rsid w:val="00424DDD"/>
    <w:rsid w:val="00424E09"/>
    <w:rsid w:val="00425139"/>
    <w:rsid w:val="0042589A"/>
    <w:rsid w:val="004261D0"/>
    <w:rsid w:val="00426C67"/>
    <w:rsid w:val="0042703B"/>
    <w:rsid w:val="00427543"/>
    <w:rsid w:val="00427FD8"/>
    <w:rsid w:val="00430083"/>
    <w:rsid w:val="0043129F"/>
    <w:rsid w:val="004316FF"/>
    <w:rsid w:val="004321EC"/>
    <w:rsid w:val="00432CED"/>
    <w:rsid w:val="00432E43"/>
    <w:rsid w:val="00432F82"/>
    <w:rsid w:val="004352B8"/>
    <w:rsid w:val="004359F8"/>
    <w:rsid w:val="00436158"/>
    <w:rsid w:val="004370FA"/>
    <w:rsid w:val="004371F1"/>
    <w:rsid w:val="00440379"/>
    <w:rsid w:val="00441E24"/>
    <w:rsid w:val="00443489"/>
    <w:rsid w:val="00443C8C"/>
    <w:rsid w:val="0044486A"/>
    <w:rsid w:val="00445453"/>
    <w:rsid w:val="00450040"/>
    <w:rsid w:val="004526B8"/>
    <w:rsid w:val="0045463C"/>
    <w:rsid w:val="00454E9A"/>
    <w:rsid w:val="004550BB"/>
    <w:rsid w:val="00456058"/>
    <w:rsid w:val="0045717C"/>
    <w:rsid w:val="004627CE"/>
    <w:rsid w:val="0046290B"/>
    <w:rsid w:val="0046312F"/>
    <w:rsid w:val="00463C91"/>
    <w:rsid w:val="00464306"/>
    <w:rsid w:val="00465378"/>
    <w:rsid w:val="0046550F"/>
    <w:rsid w:val="00466BF0"/>
    <w:rsid w:val="00466EB6"/>
    <w:rsid w:val="00467A8A"/>
    <w:rsid w:val="00470573"/>
    <w:rsid w:val="004706F6"/>
    <w:rsid w:val="00470AA1"/>
    <w:rsid w:val="004719BE"/>
    <w:rsid w:val="004742B1"/>
    <w:rsid w:val="0047445A"/>
    <w:rsid w:val="004749D3"/>
    <w:rsid w:val="00474C5F"/>
    <w:rsid w:val="00475A65"/>
    <w:rsid w:val="004766DD"/>
    <w:rsid w:val="00477081"/>
    <w:rsid w:val="004776F1"/>
    <w:rsid w:val="00480022"/>
    <w:rsid w:val="00480327"/>
    <w:rsid w:val="004806C2"/>
    <w:rsid w:val="00480D5A"/>
    <w:rsid w:val="00481296"/>
    <w:rsid w:val="00481556"/>
    <w:rsid w:val="00481BF2"/>
    <w:rsid w:val="00481D34"/>
    <w:rsid w:val="004824FD"/>
    <w:rsid w:val="00483E1C"/>
    <w:rsid w:val="004853BB"/>
    <w:rsid w:val="004855EC"/>
    <w:rsid w:val="004858C3"/>
    <w:rsid w:val="00485B87"/>
    <w:rsid w:val="0048666E"/>
    <w:rsid w:val="00486994"/>
    <w:rsid w:val="00487891"/>
    <w:rsid w:val="00493076"/>
    <w:rsid w:val="0049330D"/>
    <w:rsid w:val="00493AC6"/>
    <w:rsid w:val="00495ACD"/>
    <w:rsid w:val="00495E34"/>
    <w:rsid w:val="00496775"/>
    <w:rsid w:val="00496F56"/>
    <w:rsid w:val="00497D5E"/>
    <w:rsid w:val="004A0130"/>
    <w:rsid w:val="004A0272"/>
    <w:rsid w:val="004A09E5"/>
    <w:rsid w:val="004A19F2"/>
    <w:rsid w:val="004A2875"/>
    <w:rsid w:val="004A2A9B"/>
    <w:rsid w:val="004A5260"/>
    <w:rsid w:val="004A6DD0"/>
    <w:rsid w:val="004A7278"/>
    <w:rsid w:val="004A7A8C"/>
    <w:rsid w:val="004B0BDC"/>
    <w:rsid w:val="004B1097"/>
    <w:rsid w:val="004B10B4"/>
    <w:rsid w:val="004B1E2F"/>
    <w:rsid w:val="004B236D"/>
    <w:rsid w:val="004B24E8"/>
    <w:rsid w:val="004B25C6"/>
    <w:rsid w:val="004B2C1F"/>
    <w:rsid w:val="004B498C"/>
    <w:rsid w:val="004B4D1E"/>
    <w:rsid w:val="004B69E1"/>
    <w:rsid w:val="004B69FB"/>
    <w:rsid w:val="004B7801"/>
    <w:rsid w:val="004C08A2"/>
    <w:rsid w:val="004C0971"/>
    <w:rsid w:val="004C0C1A"/>
    <w:rsid w:val="004C106F"/>
    <w:rsid w:val="004C135F"/>
    <w:rsid w:val="004C182C"/>
    <w:rsid w:val="004C234B"/>
    <w:rsid w:val="004C3664"/>
    <w:rsid w:val="004C377B"/>
    <w:rsid w:val="004C4DB2"/>
    <w:rsid w:val="004C5EE8"/>
    <w:rsid w:val="004C617B"/>
    <w:rsid w:val="004C64D7"/>
    <w:rsid w:val="004C7A18"/>
    <w:rsid w:val="004D07EB"/>
    <w:rsid w:val="004D1392"/>
    <w:rsid w:val="004D1696"/>
    <w:rsid w:val="004D1834"/>
    <w:rsid w:val="004D2C5F"/>
    <w:rsid w:val="004D3686"/>
    <w:rsid w:val="004D3EE8"/>
    <w:rsid w:val="004D4380"/>
    <w:rsid w:val="004D4AAC"/>
    <w:rsid w:val="004D5340"/>
    <w:rsid w:val="004D6A11"/>
    <w:rsid w:val="004D6F4E"/>
    <w:rsid w:val="004E06A4"/>
    <w:rsid w:val="004E0A21"/>
    <w:rsid w:val="004E0DEE"/>
    <w:rsid w:val="004E0ED5"/>
    <w:rsid w:val="004E0F07"/>
    <w:rsid w:val="004E2C86"/>
    <w:rsid w:val="004E31C6"/>
    <w:rsid w:val="004E5561"/>
    <w:rsid w:val="004E60BC"/>
    <w:rsid w:val="004E6C37"/>
    <w:rsid w:val="004E6CC8"/>
    <w:rsid w:val="004E71D5"/>
    <w:rsid w:val="004F0CBC"/>
    <w:rsid w:val="004F0DAB"/>
    <w:rsid w:val="004F14DE"/>
    <w:rsid w:val="004F1EB9"/>
    <w:rsid w:val="004F2CB2"/>
    <w:rsid w:val="004F2FE8"/>
    <w:rsid w:val="004F3B19"/>
    <w:rsid w:val="004F3E97"/>
    <w:rsid w:val="004F4162"/>
    <w:rsid w:val="004F458B"/>
    <w:rsid w:val="004F4F72"/>
    <w:rsid w:val="004F5178"/>
    <w:rsid w:val="004F6BE6"/>
    <w:rsid w:val="004F6E8C"/>
    <w:rsid w:val="004F7375"/>
    <w:rsid w:val="004F753C"/>
    <w:rsid w:val="00500270"/>
    <w:rsid w:val="00501DB1"/>
    <w:rsid w:val="00502261"/>
    <w:rsid w:val="00502450"/>
    <w:rsid w:val="00505722"/>
    <w:rsid w:val="00507114"/>
    <w:rsid w:val="005112B9"/>
    <w:rsid w:val="00511CD6"/>
    <w:rsid w:val="00513EC3"/>
    <w:rsid w:val="00513F42"/>
    <w:rsid w:val="0051454D"/>
    <w:rsid w:val="0051632D"/>
    <w:rsid w:val="005165C6"/>
    <w:rsid w:val="00516D27"/>
    <w:rsid w:val="005177C0"/>
    <w:rsid w:val="00517C02"/>
    <w:rsid w:val="00517DC9"/>
    <w:rsid w:val="0052060C"/>
    <w:rsid w:val="00520C3B"/>
    <w:rsid w:val="00521086"/>
    <w:rsid w:val="005226D7"/>
    <w:rsid w:val="00522BC8"/>
    <w:rsid w:val="00522D3E"/>
    <w:rsid w:val="00522E7E"/>
    <w:rsid w:val="00522EA5"/>
    <w:rsid w:val="00524713"/>
    <w:rsid w:val="0052496D"/>
    <w:rsid w:val="00524B73"/>
    <w:rsid w:val="0052599D"/>
    <w:rsid w:val="00525CCD"/>
    <w:rsid w:val="00526C1E"/>
    <w:rsid w:val="00527EF2"/>
    <w:rsid w:val="005309A9"/>
    <w:rsid w:val="00530C3C"/>
    <w:rsid w:val="005319DC"/>
    <w:rsid w:val="00531C82"/>
    <w:rsid w:val="00532E56"/>
    <w:rsid w:val="0053454F"/>
    <w:rsid w:val="0053541C"/>
    <w:rsid w:val="005370B0"/>
    <w:rsid w:val="0053786B"/>
    <w:rsid w:val="005401AC"/>
    <w:rsid w:val="00540ED3"/>
    <w:rsid w:val="0054256E"/>
    <w:rsid w:val="00543091"/>
    <w:rsid w:val="00544C3E"/>
    <w:rsid w:val="00546C87"/>
    <w:rsid w:val="00546D95"/>
    <w:rsid w:val="00547195"/>
    <w:rsid w:val="00550DC4"/>
    <w:rsid w:val="00551D6B"/>
    <w:rsid w:val="00551E5A"/>
    <w:rsid w:val="00552FDD"/>
    <w:rsid w:val="005565EB"/>
    <w:rsid w:val="005570CF"/>
    <w:rsid w:val="005579E3"/>
    <w:rsid w:val="00560909"/>
    <w:rsid w:val="00560EAB"/>
    <w:rsid w:val="00562882"/>
    <w:rsid w:val="00564372"/>
    <w:rsid w:val="00564865"/>
    <w:rsid w:val="00565304"/>
    <w:rsid w:val="00565423"/>
    <w:rsid w:val="005675E8"/>
    <w:rsid w:val="005676CC"/>
    <w:rsid w:val="005706EE"/>
    <w:rsid w:val="00570A20"/>
    <w:rsid w:val="00571554"/>
    <w:rsid w:val="00571C67"/>
    <w:rsid w:val="00572316"/>
    <w:rsid w:val="0057356A"/>
    <w:rsid w:val="00573844"/>
    <w:rsid w:val="0057490D"/>
    <w:rsid w:val="0058030A"/>
    <w:rsid w:val="0058110D"/>
    <w:rsid w:val="00581DFB"/>
    <w:rsid w:val="00582055"/>
    <w:rsid w:val="005824D6"/>
    <w:rsid w:val="0058277A"/>
    <w:rsid w:val="00582954"/>
    <w:rsid w:val="0058330B"/>
    <w:rsid w:val="00583E9E"/>
    <w:rsid w:val="00584019"/>
    <w:rsid w:val="0058439B"/>
    <w:rsid w:val="00584571"/>
    <w:rsid w:val="005851B6"/>
    <w:rsid w:val="00585500"/>
    <w:rsid w:val="00585610"/>
    <w:rsid w:val="005859E4"/>
    <w:rsid w:val="00585E89"/>
    <w:rsid w:val="00587281"/>
    <w:rsid w:val="005877F5"/>
    <w:rsid w:val="00590172"/>
    <w:rsid w:val="00590E86"/>
    <w:rsid w:val="00591135"/>
    <w:rsid w:val="005922B9"/>
    <w:rsid w:val="0059245A"/>
    <w:rsid w:val="00594A49"/>
    <w:rsid w:val="00594EB7"/>
    <w:rsid w:val="005954A0"/>
    <w:rsid w:val="0059553A"/>
    <w:rsid w:val="00596577"/>
    <w:rsid w:val="00596684"/>
    <w:rsid w:val="005969C2"/>
    <w:rsid w:val="0059741F"/>
    <w:rsid w:val="005A07AD"/>
    <w:rsid w:val="005A11FE"/>
    <w:rsid w:val="005A121B"/>
    <w:rsid w:val="005A1245"/>
    <w:rsid w:val="005A2BD6"/>
    <w:rsid w:val="005A5B2D"/>
    <w:rsid w:val="005A6AE4"/>
    <w:rsid w:val="005A71C3"/>
    <w:rsid w:val="005A765B"/>
    <w:rsid w:val="005B017F"/>
    <w:rsid w:val="005B01CB"/>
    <w:rsid w:val="005B0341"/>
    <w:rsid w:val="005B0B76"/>
    <w:rsid w:val="005B29F7"/>
    <w:rsid w:val="005B3893"/>
    <w:rsid w:val="005B429E"/>
    <w:rsid w:val="005B5ADB"/>
    <w:rsid w:val="005B6313"/>
    <w:rsid w:val="005B7AC6"/>
    <w:rsid w:val="005B7F9C"/>
    <w:rsid w:val="005C00CF"/>
    <w:rsid w:val="005C0492"/>
    <w:rsid w:val="005C198A"/>
    <w:rsid w:val="005C32B7"/>
    <w:rsid w:val="005C5140"/>
    <w:rsid w:val="005C569D"/>
    <w:rsid w:val="005C6184"/>
    <w:rsid w:val="005C6907"/>
    <w:rsid w:val="005C6D95"/>
    <w:rsid w:val="005C73FB"/>
    <w:rsid w:val="005D2AA2"/>
    <w:rsid w:val="005D3FDB"/>
    <w:rsid w:val="005D4666"/>
    <w:rsid w:val="005D49C5"/>
    <w:rsid w:val="005D4ED1"/>
    <w:rsid w:val="005D5583"/>
    <w:rsid w:val="005D56BA"/>
    <w:rsid w:val="005D62A0"/>
    <w:rsid w:val="005D755A"/>
    <w:rsid w:val="005D79EF"/>
    <w:rsid w:val="005E009D"/>
    <w:rsid w:val="005E027D"/>
    <w:rsid w:val="005E0EE9"/>
    <w:rsid w:val="005E219D"/>
    <w:rsid w:val="005E578C"/>
    <w:rsid w:val="005E6E89"/>
    <w:rsid w:val="005E73D3"/>
    <w:rsid w:val="005E7EA5"/>
    <w:rsid w:val="005F0788"/>
    <w:rsid w:val="005F09F4"/>
    <w:rsid w:val="005F0CF4"/>
    <w:rsid w:val="005F3427"/>
    <w:rsid w:val="005F4A1E"/>
    <w:rsid w:val="005F5487"/>
    <w:rsid w:val="005F5A01"/>
    <w:rsid w:val="005F5DAB"/>
    <w:rsid w:val="005F66F9"/>
    <w:rsid w:val="005F6AAC"/>
    <w:rsid w:val="005F6D1E"/>
    <w:rsid w:val="00600529"/>
    <w:rsid w:val="006012BA"/>
    <w:rsid w:val="006016EE"/>
    <w:rsid w:val="006018E8"/>
    <w:rsid w:val="00603481"/>
    <w:rsid w:val="006036DB"/>
    <w:rsid w:val="00603CFA"/>
    <w:rsid w:val="0060493D"/>
    <w:rsid w:val="00604F76"/>
    <w:rsid w:val="00605225"/>
    <w:rsid w:val="00605F45"/>
    <w:rsid w:val="00607317"/>
    <w:rsid w:val="00612B4B"/>
    <w:rsid w:val="00613C05"/>
    <w:rsid w:val="00613ED4"/>
    <w:rsid w:val="006144BF"/>
    <w:rsid w:val="006149F7"/>
    <w:rsid w:val="00614CC3"/>
    <w:rsid w:val="00615E9B"/>
    <w:rsid w:val="006160B5"/>
    <w:rsid w:val="00617330"/>
    <w:rsid w:val="00617585"/>
    <w:rsid w:val="00617828"/>
    <w:rsid w:val="006211D4"/>
    <w:rsid w:val="00621F1F"/>
    <w:rsid w:val="0062266A"/>
    <w:rsid w:val="00622736"/>
    <w:rsid w:val="00622BFC"/>
    <w:rsid w:val="00622FDC"/>
    <w:rsid w:val="00625768"/>
    <w:rsid w:val="00627784"/>
    <w:rsid w:val="00630D41"/>
    <w:rsid w:val="0063312D"/>
    <w:rsid w:val="00633AA1"/>
    <w:rsid w:val="00633B66"/>
    <w:rsid w:val="00634E80"/>
    <w:rsid w:val="006351F0"/>
    <w:rsid w:val="00635A70"/>
    <w:rsid w:val="006366FC"/>
    <w:rsid w:val="00636CC4"/>
    <w:rsid w:val="00640F6F"/>
    <w:rsid w:val="00641A16"/>
    <w:rsid w:val="006437C3"/>
    <w:rsid w:val="0064588B"/>
    <w:rsid w:val="006470F3"/>
    <w:rsid w:val="0064718C"/>
    <w:rsid w:val="006533F0"/>
    <w:rsid w:val="00653B54"/>
    <w:rsid w:val="00653ECF"/>
    <w:rsid w:val="006544CD"/>
    <w:rsid w:val="00655357"/>
    <w:rsid w:val="00655967"/>
    <w:rsid w:val="00656604"/>
    <w:rsid w:val="006569E2"/>
    <w:rsid w:val="00656D93"/>
    <w:rsid w:val="00660B80"/>
    <w:rsid w:val="00661D56"/>
    <w:rsid w:val="00662AA3"/>
    <w:rsid w:val="00663C59"/>
    <w:rsid w:val="00663FED"/>
    <w:rsid w:val="006652B8"/>
    <w:rsid w:val="00665C0D"/>
    <w:rsid w:val="00665F0C"/>
    <w:rsid w:val="0066782D"/>
    <w:rsid w:val="00667E77"/>
    <w:rsid w:val="00667E7A"/>
    <w:rsid w:val="00670735"/>
    <w:rsid w:val="0067078D"/>
    <w:rsid w:val="006708E1"/>
    <w:rsid w:val="00672B98"/>
    <w:rsid w:val="00673502"/>
    <w:rsid w:val="00674E3E"/>
    <w:rsid w:val="00676975"/>
    <w:rsid w:val="00676FFF"/>
    <w:rsid w:val="006801B4"/>
    <w:rsid w:val="00681334"/>
    <w:rsid w:val="006818A8"/>
    <w:rsid w:val="00681E7A"/>
    <w:rsid w:val="0068316B"/>
    <w:rsid w:val="006831E8"/>
    <w:rsid w:val="006833DE"/>
    <w:rsid w:val="0068435B"/>
    <w:rsid w:val="0068457A"/>
    <w:rsid w:val="0068480B"/>
    <w:rsid w:val="0068595F"/>
    <w:rsid w:val="00687894"/>
    <w:rsid w:val="00687DB0"/>
    <w:rsid w:val="00693E3C"/>
    <w:rsid w:val="00694826"/>
    <w:rsid w:val="006962B8"/>
    <w:rsid w:val="006969C3"/>
    <w:rsid w:val="0069779B"/>
    <w:rsid w:val="006A2558"/>
    <w:rsid w:val="006A3DFF"/>
    <w:rsid w:val="006A4A6F"/>
    <w:rsid w:val="006A55EA"/>
    <w:rsid w:val="006A768D"/>
    <w:rsid w:val="006B0335"/>
    <w:rsid w:val="006B0A48"/>
    <w:rsid w:val="006B1338"/>
    <w:rsid w:val="006B1403"/>
    <w:rsid w:val="006B3BC4"/>
    <w:rsid w:val="006B3E28"/>
    <w:rsid w:val="006B4359"/>
    <w:rsid w:val="006B45A7"/>
    <w:rsid w:val="006B56EA"/>
    <w:rsid w:val="006B5B49"/>
    <w:rsid w:val="006B61E7"/>
    <w:rsid w:val="006B740A"/>
    <w:rsid w:val="006B7E04"/>
    <w:rsid w:val="006C0334"/>
    <w:rsid w:val="006C03A3"/>
    <w:rsid w:val="006C0B8E"/>
    <w:rsid w:val="006C1AC3"/>
    <w:rsid w:val="006C2476"/>
    <w:rsid w:val="006C2C51"/>
    <w:rsid w:val="006C3535"/>
    <w:rsid w:val="006C39EB"/>
    <w:rsid w:val="006C41C9"/>
    <w:rsid w:val="006C4F20"/>
    <w:rsid w:val="006C5FF5"/>
    <w:rsid w:val="006C74FB"/>
    <w:rsid w:val="006C771B"/>
    <w:rsid w:val="006C7EA2"/>
    <w:rsid w:val="006D131E"/>
    <w:rsid w:val="006D239C"/>
    <w:rsid w:val="006D2C14"/>
    <w:rsid w:val="006D3F57"/>
    <w:rsid w:val="006D410D"/>
    <w:rsid w:val="006D5A9C"/>
    <w:rsid w:val="006D778D"/>
    <w:rsid w:val="006D7921"/>
    <w:rsid w:val="006E0A21"/>
    <w:rsid w:val="006E1B77"/>
    <w:rsid w:val="006E2862"/>
    <w:rsid w:val="006E2865"/>
    <w:rsid w:val="006E3DDB"/>
    <w:rsid w:val="006E4ED3"/>
    <w:rsid w:val="006F0721"/>
    <w:rsid w:val="006F0BE1"/>
    <w:rsid w:val="006F1464"/>
    <w:rsid w:val="006F1856"/>
    <w:rsid w:val="006F18D3"/>
    <w:rsid w:val="006F476C"/>
    <w:rsid w:val="006F514C"/>
    <w:rsid w:val="006F5255"/>
    <w:rsid w:val="006F5605"/>
    <w:rsid w:val="006F75EC"/>
    <w:rsid w:val="006F7963"/>
    <w:rsid w:val="007001A1"/>
    <w:rsid w:val="007006E7"/>
    <w:rsid w:val="007007F7"/>
    <w:rsid w:val="00700DA1"/>
    <w:rsid w:val="00701650"/>
    <w:rsid w:val="00701C83"/>
    <w:rsid w:val="00704A5D"/>
    <w:rsid w:val="00704E46"/>
    <w:rsid w:val="0070574C"/>
    <w:rsid w:val="00706262"/>
    <w:rsid w:val="00706857"/>
    <w:rsid w:val="00706CBC"/>
    <w:rsid w:val="00712C4F"/>
    <w:rsid w:val="00712F1B"/>
    <w:rsid w:val="0071463F"/>
    <w:rsid w:val="0071542E"/>
    <w:rsid w:val="007158CD"/>
    <w:rsid w:val="0072034A"/>
    <w:rsid w:val="0072046D"/>
    <w:rsid w:val="007227EB"/>
    <w:rsid w:val="0072399A"/>
    <w:rsid w:val="00724AF6"/>
    <w:rsid w:val="00724C9D"/>
    <w:rsid w:val="00724CBD"/>
    <w:rsid w:val="007252F7"/>
    <w:rsid w:val="00726D26"/>
    <w:rsid w:val="00731B93"/>
    <w:rsid w:val="00732BD2"/>
    <w:rsid w:val="007343DC"/>
    <w:rsid w:val="00735013"/>
    <w:rsid w:val="0073709E"/>
    <w:rsid w:val="007401A7"/>
    <w:rsid w:val="0074036F"/>
    <w:rsid w:val="00740F0E"/>
    <w:rsid w:val="0074412A"/>
    <w:rsid w:val="0074442B"/>
    <w:rsid w:val="0074513F"/>
    <w:rsid w:val="007454AD"/>
    <w:rsid w:val="007458C5"/>
    <w:rsid w:val="00747870"/>
    <w:rsid w:val="00751247"/>
    <w:rsid w:val="00751739"/>
    <w:rsid w:val="00751ED6"/>
    <w:rsid w:val="00754C32"/>
    <w:rsid w:val="0075516C"/>
    <w:rsid w:val="007551BF"/>
    <w:rsid w:val="00755F28"/>
    <w:rsid w:val="00760275"/>
    <w:rsid w:val="00760AA0"/>
    <w:rsid w:val="00761A08"/>
    <w:rsid w:val="00761A21"/>
    <w:rsid w:val="00762AE0"/>
    <w:rsid w:val="007635C2"/>
    <w:rsid w:val="00763D72"/>
    <w:rsid w:val="00764A76"/>
    <w:rsid w:val="00764CDD"/>
    <w:rsid w:val="0076584A"/>
    <w:rsid w:val="007660D2"/>
    <w:rsid w:val="00766D9D"/>
    <w:rsid w:val="00766FC1"/>
    <w:rsid w:val="00767683"/>
    <w:rsid w:val="00770184"/>
    <w:rsid w:val="00770572"/>
    <w:rsid w:val="007719EC"/>
    <w:rsid w:val="00771B48"/>
    <w:rsid w:val="00773A86"/>
    <w:rsid w:val="0077441F"/>
    <w:rsid w:val="00775C26"/>
    <w:rsid w:val="00776320"/>
    <w:rsid w:val="00776C59"/>
    <w:rsid w:val="0078064B"/>
    <w:rsid w:val="0078134A"/>
    <w:rsid w:val="00782323"/>
    <w:rsid w:val="00783623"/>
    <w:rsid w:val="00783A3E"/>
    <w:rsid w:val="00784DD1"/>
    <w:rsid w:val="00785E66"/>
    <w:rsid w:val="0078621B"/>
    <w:rsid w:val="00787592"/>
    <w:rsid w:val="007914C3"/>
    <w:rsid w:val="00791B33"/>
    <w:rsid w:val="00792448"/>
    <w:rsid w:val="007965F8"/>
    <w:rsid w:val="00796B9B"/>
    <w:rsid w:val="007977ED"/>
    <w:rsid w:val="007A05C4"/>
    <w:rsid w:val="007A3BB3"/>
    <w:rsid w:val="007A40A7"/>
    <w:rsid w:val="007A4C00"/>
    <w:rsid w:val="007A642D"/>
    <w:rsid w:val="007A647B"/>
    <w:rsid w:val="007A7939"/>
    <w:rsid w:val="007B01CF"/>
    <w:rsid w:val="007B12CB"/>
    <w:rsid w:val="007B1496"/>
    <w:rsid w:val="007B3759"/>
    <w:rsid w:val="007B3BF7"/>
    <w:rsid w:val="007B3D47"/>
    <w:rsid w:val="007B493E"/>
    <w:rsid w:val="007B4AD3"/>
    <w:rsid w:val="007B536E"/>
    <w:rsid w:val="007B576D"/>
    <w:rsid w:val="007B5849"/>
    <w:rsid w:val="007B5E6F"/>
    <w:rsid w:val="007B767F"/>
    <w:rsid w:val="007C1A76"/>
    <w:rsid w:val="007C1CE0"/>
    <w:rsid w:val="007C267F"/>
    <w:rsid w:val="007C35EE"/>
    <w:rsid w:val="007C3DA2"/>
    <w:rsid w:val="007C460C"/>
    <w:rsid w:val="007C4E0C"/>
    <w:rsid w:val="007C502F"/>
    <w:rsid w:val="007C56CA"/>
    <w:rsid w:val="007C6B17"/>
    <w:rsid w:val="007D0D22"/>
    <w:rsid w:val="007D114F"/>
    <w:rsid w:val="007D2027"/>
    <w:rsid w:val="007D2FB1"/>
    <w:rsid w:val="007D318A"/>
    <w:rsid w:val="007D4EB7"/>
    <w:rsid w:val="007D51D2"/>
    <w:rsid w:val="007D7160"/>
    <w:rsid w:val="007D7911"/>
    <w:rsid w:val="007E0620"/>
    <w:rsid w:val="007E0749"/>
    <w:rsid w:val="007E1670"/>
    <w:rsid w:val="007E203C"/>
    <w:rsid w:val="007E2DD8"/>
    <w:rsid w:val="007E5A85"/>
    <w:rsid w:val="007E5BF5"/>
    <w:rsid w:val="007E5E3B"/>
    <w:rsid w:val="007E687C"/>
    <w:rsid w:val="007E7217"/>
    <w:rsid w:val="007F01B4"/>
    <w:rsid w:val="007F0219"/>
    <w:rsid w:val="007F1DB6"/>
    <w:rsid w:val="007F1E6C"/>
    <w:rsid w:val="007F3750"/>
    <w:rsid w:val="007F46DE"/>
    <w:rsid w:val="007F485F"/>
    <w:rsid w:val="007F588D"/>
    <w:rsid w:val="007F6F1A"/>
    <w:rsid w:val="007F7DDE"/>
    <w:rsid w:val="00800833"/>
    <w:rsid w:val="008045AC"/>
    <w:rsid w:val="008050D9"/>
    <w:rsid w:val="008073DF"/>
    <w:rsid w:val="0081081F"/>
    <w:rsid w:val="00811A4B"/>
    <w:rsid w:val="00811E37"/>
    <w:rsid w:val="0081310B"/>
    <w:rsid w:val="008131F7"/>
    <w:rsid w:val="00813276"/>
    <w:rsid w:val="008133B2"/>
    <w:rsid w:val="008135B4"/>
    <w:rsid w:val="008139CA"/>
    <w:rsid w:val="00813D32"/>
    <w:rsid w:val="00815343"/>
    <w:rsid w:val="00816FE2"/>
    <w:rsid w:val="008177A6"/>
    <w:rsid w:val="00817E34"/>
    <w:rsid w:val="00817FE3"/>
    <w:rsid w:val="00820C8F"/>
    <w:rsid w:val="0082126E"/>
    <w:rsid w:val="0082141F"/>
    <w:rsid w:val="00821642"/>
    <w:rsid w:val="00823E6A"/>
    <w:rsid w:val="00824B8B"/>
    <w:rsid w:val="00825C5D"/>
    <w:rsid w:val="00826783"/>
    <w:rsid w:val="00826BFC"/>
    <w:rsid w:val="00830BB4"/>
    <w:rsid w:val="00831558"/>
    <w:rsid w:val="00832112"/>
    <w:rsid w:val="008327C2"/>
    <w:rsid w:val="00832FCE"/>
    <w:rsid w:val="00833A0C"/>
    <w:rsid w:val="008352F0"/>
    <w:rsid w:val="00835731"/>
    <w:rsid w:val="008358BD"/>
    <w:rsid w:val="00836576"/>
    <w:rsid w:val="00837512"/>
    <w:rsid w:val="0084040B"/>
    <w:rsid w:val="00840EED"/>
    <w:rsid w:val="00841C95"/>
    <w:rsid w:val="0084246E"/>
    <w:rsid w:val="0084268F"/>
    <w:rsid w:val="008435C8"/>
    <w:rsid w:val="008436E1"/>
    <w:rsid w:val="00844262"/>
    <w:rsid w:val="0084448F"/>
    <w:rsid w:val="00845280"/>
    <w:rsid w:val="00845D29"/>
    <w:rsid w:val="008473AE"/>
    <w:rsid w:val="008478BD"/>
    <w:rsid w:val="008513CC"/>
    <w:rsid w:val="00851D80"/>
    <w:rsid w:val="00854572"/>
    <w:rsid w:val="00854B6A"/>
    <w:rsid w:val="008554C2"/>
    <w:rsid w:val="0085596A"/>
    <w:rsid w:val="00855BD6"/>
    <w:rsid w:val="0085648D"/>
    <w:rsid w:val="0085742B"/>
    <w:rsid w:val="008574FA"/>
    <w:rsid w:val="00857608"/>
    <w:rsid w:val="00857821"/>
    <w:rsid w:val="0086033F"/>
    <w:rsid w:val="00860870"/>
    <w:rsid w:val="00860DC2"/>
    <w:rsid w:val="00860EFE"/>
    <w:rsid w:val="008621B8"/>
    <w:rsid w:val="00862B55"/>
    <w:rsid w:val="00862E46"/>
    <w:rsid w:val="00863306"/>
    <w:rsid w:val="00864363"/>
    <w:rsid w:val="0086649D"/>
    <w:rsid w:val="0086680F"/>
    <w:rsid w:val="00866CA6"/>
    <w:rsid w:val="00867083"/>
    <w:rsid w:val="00867BD8"/>
    <w:rsid w:val="00870678"/>
    <w:rsid w:val="00871537"/>
    <w:rsid w:val="008716F3"/>
    <w:rsid w:val="008733C3"/>
    <w:rsid w:val="008744BA"/>
    <w:rsid w:val="00874D2C"/>
    <w:rsid w:val="0087510D"/>
    <w:rsid w:val="00875B6C"/>
    <w:rsid w:val="008760EA"/>
    <w:rsid w:val="00876753"/>
    <w:rsid w:val="00876CD9"/>
    <w:rsid w:val="00876CFB"/>
    <w:rsid w:val="00877E69"/>
    <w:rsid w:val="0088064C"/>
    <w:rsid w:val="00880BEC"/>
    <w:rsid w:val="00880C44"/>
    <w:rsid w:val="0088117D"/>
    <w:rsid w:val="0088147C"/>
    <w:rsid w:val="008815CF"/>
    <w:rsid w:val="00883440"/>
    <w:rsid w:val="00883655"/>
    <w:rsid w:val="00884A40"/>
    <w:rsid w:val="0088565D"/>
    <w:rsid w:val="008861D1"/>
    <w:rsid w:val="00886233"/>
    <w:rsid w:val="00891136"/>
    <w:rsid w:val="008923E8"/>
    <w:rsid w:val="00892EE8"/>
    <w:rsid w:val="00893284"/>
    <w:rsid w:val="0089437C"/>
    <w:rsid w:val="00894ADF"/>
    <w:rsid w:val="00896292"/>
    <w:rsid w:val="00897B49"/>
    <w:rsid w:val="008A0735"/>
    <w:rsid w:val="008A23DC"/>
    <w:rsid w:val="008A24CC"/>
    <w:rsid w:val="008A2708"/>
    <w:rsid w:val="008A43C2"/>
    <w:rsid w:val="008A6762"/>
    <w:rsid w:val="008A6F2B"/>
    <w:rsid w:val="008B03B3"/>
    <w:rsid w:val="008B070E"/>
    <w:rsid w:val="008B14A4"/>
    <w:rsid w:val="008B1B85"/>
    <w:rsid w:val="008B2C04"/>
    <w:rsid w:val="008B2E8E"/>
    <w:rsid w:val="008B4283"/>
    <w:rsid w:val="008B4731"/>
    <w:rsid w:val="008B6D3F"/>
    <w:rsid w:val="008B7144"/>
    <w:rsid w:val="008B7416"/>
    <w:rsid w:val="008C0593"/>
    <w:rsid w:val="008C0BAF"/>
    <w:rsid w:val="008C2261"/>
    <w:rsid w:val="008C3394"/>
    <w:rsid w:val="008C3533"/>
    <w:rsid w:val="008C362D"/>
    <w:rsid w:val="008C3DA8"/>
    <w:rsid w:val="008C47F4"/>
    <w:rsid w:val="008C5204"/>
    <w:rsid w:val="008C6172"/>
    <w:rsid w:val="008C6734"/>
    <w:rsid w:val="008C697F"/>
    <w:rsid w:val="008C7489"/>
    <w:rsid w:val="008D2B00"/>
    <w:rsid w:val="008D2DC1"/>
    <w:rsid w:val="008D360E"/>
    <w:rsid w:val="008D3ACC"/>
    <w:rsid w:val="008D4E22"/>
    <w:rsid w:val="008D5804"/>
    <w:rsid w:val="008D5DC5"/>
    <w:rsid w:val="008E1A58"/>
    <w:rsid w:val="008E1CEF"/>
    <w:rsid w:val="008E2683"/>
    <w:rsid w:val="008E340B"/>
    <w:rsid w:val="008E4792"/>
    <w:rsid w:val="008E4CD9"/>
    <w:rsid w:val="008E4E94"/>
    <w:rsid w:val="008E6A0F"/>
    <w:rsid w:val="008F02D9"/>
    <w:rsid w:val="008F0399"/>
    <w:rsid w:val="008F147B"/>
    <w:rsid w:val="008F282C"/>
    <w:rsid w:val="008F2B1F"/>
    <w:rsid w:val="008F2C22"/>
    <w:rsid w:val="008F515E"/>
    <w:rsid w:val="008F5925"/>
    <w:rsid w:val="008F7AC8"/>
    <w:rsid w:val="008F7D38"/>
    <w:rsid w:val="008F7F51"/>
    <w:rsid w:val="00900165"/>
    <w:rsid w:val="009006F2"/>
    <w:rsid w:val="00900AF0"/>
    <w:rsid w:val="00900E43"/>
    <w:rsid w:val="009018CE"/>
    <w:rsid w:val="0090199F"/>
    <w:rsid w:val="00902849"/>
    <w:rsid w:val="0090286D"/>
    <w:rsid w:val="00903260"/>
    <w:rsid w:val="00903806"/>
    <w:rsid w:val="00905D53"/>
    <w:rsid w:val="0090687A"/>
    <w:rsid w:val="00907BE2"/>
    <w:rsid w:val="00910AED"/>
    <w:rsid w:val="00910B74"/>
    <w:rsid w:val="00910F17"/>
    <w:rsid w:val="009129FB"/>
    <w:rsid w:val="0091508B"/>
    <w:rsid w:val="0091624F"/>
    <w:rsid w:val="00916251"/>
    <w:rsid w:val="0091735E"/>
    <w:rsid w:val="00917BAB"/>
    <w:rsid w:val="00917C63"/>
    <w:rsid w:val="00920528"/>
    <w:rsid w:val="00920589"/>
    <w:rsid w:val="0092095B"/>
    <w:rsid w:val="0092111D"/>
    <w:rsid w:val="00921403"/>
    <w:rsid w:val="009225EA"/>
    <w:rsid w:val="00922F0A"/>
    <w:rsid w:val="00924311"/>
    <w:rsid w:val="0092461A"/>
    <w:rsid w:val="009253DA"/>
    <w:rsid w:val="00925F57"/>
    <w:rsid w:val="00925FBA"/>
    <w:rsid w:val="0092624F"/>
    <w:rsid w:val="009268FB"/>
    <w:rsid w:val="00926A68"/>
    <w:rsid w:val="0092718E"/>
    <w:rsid w:val="00930162"/>
    <w:rsid w:val="00930E9A"/>
    <w:rsid w:val="0093372D"/>
    <w:rsid w:val="00936D74"/>
    <w:rsid w:val="00937165"/>
    <w:rsid w:val="00940292"/>
    <w:rsid w:val="00940F7F"/>
    <w:rsid w:val="0094161F"/>
    <w:rsid w:val="00941752"/>
    <w:rsid w:val="00943670"/>
    <w:rsid w:val="00944446"/>
    <w:rsid w:val="00944596"/>
    <w:rsid w:val="00944C1B"/>
    <w:rsid w:val="00944E94"/>
    <w:rsid w:val="00946A04"/>
    <w:rsid w:val="009475ED"/>
    <w:rsid w:val="0094799B"/>
    <w:rsid w:val="00947CA2"/>
    <w:rsid w:val="00951198"/>
    <w:rsid w:val="009516D1"/>
    <w:rsid w:val="00951AB3"/>
    <w:rsid w:val="00952AAD"/>
    <w:rsid w:val="009530BF"/>
    <w:rsid w:val="0095324A"/>
    <w:rsid w:val="00954137"/>
    <w:rsid w:val="00956982"/>
    <w:rsid w:val="00956AF4"/>
    <w:rsid w:val="009578DF"/>
    <w:rsid w:val="00957AA0"/>
    <w:rsid w:val="00957FA1"/>
    <w:rsid w:val="00960192"/>
    <w:rsid w:val="0096058D"/>
    <w:rsid w:val="009613A4"/>
    <w:rsid w:val="00961532"/>
    <w:rsid w:val="00961EA6"/>
    <w:rsid w:val="009636C1"/>
    <w:rsid w:val="0096498B"/>
    <w:rsid w:val="009649F3"/>
    <w:rsid w:val="00965DFC"/>
    <w:rsid w:val="00966E04"/>
    <w:rsid w:val="00966E54"/>
    <w:rsid w:val="0096782F"/>
    <w:rsid w:val="0097042E"/>
    <w:rsid w:val="00970AB4"/>
    <w:rsid w:val="00971007"/>
    <w:rsid w:val="00971A37"/>
    <w:rsid w:val="009726D9"/>
    <w:rsid w:val="009735DB"/>
    <w:rsid w:val="00974D6D"/>
    <w:rsid w:val="00974EA8"/>
    <w:rsid w:val="009755BB"/>
    <w:rsid w:val="0097573E"/>
    <w:rsid w:val="00975C10"/>
    <w:rsid w:val="009760A6"/>
    <w:rsid w:val="0097653C"/>
    <w:rsid w:val="00976C7C"/>
    <w:rsid w:val="00976EE7"/>
    <w:rsid w:val="00976F4B"/>
    <w:rsid w:val="00976FAD"/>
    <w:rsid w:val="009819CB"/>
    <w:rsid w:val="0098254D"/>
    <w:rsid w:val="00982BE5"/>
    <w:rsid w:val="00982BFF"/>
    <w:rsid w:val="00982F25"/>
    <w:rsid w:val="00983E57"/>
    <w:rsid w:val="00983FF8"/>
    <w:rsid w:val="00984F69"/>
    <w:rsid w:val="00985E07"/>
    <w:rsid w:val="00986CC8"/>
    <w:rsid w:val="0099127C"/>
    <w:rsid w:val="00992C2D"/>
    <w:rsid w:val="00994145"/>
    <w:rsid w:val="00994FCA"/>
    <w:rsid w:val="0099560C"/>
    <w:rsid w:val="00997005"/>
    <w:rsid w:val="009970A1"/>
    <w:rsid w:val="009A0718"/>
    <w:rsid w:val="009A25CD"/>
    <w:rsid w:val="009A2A63"/>
    <w:rsid w:val="009A2A85"/>
    <w:rsid w:val="009A58DB"/>
    <w:rsid w:val="009A5F7A"/>
    <w:rsid w:val="009A644E"/>
    <w:rsid w:val="009A7BE9"/>
    <w:rsid w:val="009B0E95"/>
    <w:rsid w:val="009B1318"/>
    <w:rsid w:val="009B36BC"/>
    <w:rsid w:val="009B454D"/>
    <w:rsid w:val="009B69A3"/>
    <w:rsid w:val="009B6AC5"/>
    <w:rsid w:val="009C04D3"/>
    <w:rsid w:val="009C1D7A"/>
    <w:rsid w:val="009C34E3"/>
    <w:rsid w:val="009C34FD"/>
    <w:rsid w:val="009C385D"/>
    <w:rsid w:val="009C3906"/>
    <w:rsid w:val="009C5830"/>
    <w:rsid w:val="009C69B9"/>
    <w:rsid w:val="009C6A41"/>
    <w:rsid w:val="009C6B2D"/>
    <w:rsid w:val="009C7029"/>
    <w:rsid w:val="009C7D55"/>
    <w:rsid w:val="009CC4F9"/>
    <w:rsid w:val="009D0C09"/>
    <w:rsid w:val="009D0D15"/>
    <w:rsid w:val="009D23CF"/>
    <w:rsid w:val="009D5270"/>
    <w:rsid w:val="009D6727"/>
    <w:rsid w:val="009D7FDF"/>
    <w:rsid w:val="009E227A"/>
    <w:rsid w:val="009E23D0"/>
    <w:rsid w:val="009E2F23"/>
    <w:rsid w:val="009E329E"/>
    <w:rsid w:val="009E453E"/>
    <w:rsid w:val="009E62B1"/>
    <w:rsid w:val="009E7AA7"/>
    <w:rsid w:val="009F2638"/>
    <w:rsid w:val="009F4171"/>
    <w:rsid w:val="009F458E"/>
    <w:rsid w:val="009F7A00"/>
    <w:rsid w:val="009F7D6C"/>
    <w:rsid w:val="00A00757"/>
    <w:rsid w:val="00A01922"/>
    <w:rsid w:val="00A019AB"/>
    <w:rsid w:val="00A02381"/>
    <w:rsid w:val="00A02FA2"/>
    <w:rsid w:val="00A03159"/>
    <w:rsid w:val="00A03665"/>
    <w:rsid w:val="00A0433D"/>
    <w:rsid w:val="00A0532E"/>
    <w:rsid w:val="00A062B0"/>
    <w:rsid w:val="00A06B0F"/>
    <w:rsid w:val="00A06FB7"/>
    <w:rsid w:val="00A072C8"/>
    <w:rsid w:val="00A10C25"/>
    <w:rsid w:val="00A110D0"/>
    <w:rsid w:val="00A11C66"/>
    <w:rsid w:val="00A13334"/>
    <w:rsid w:val="00A13B0B"/>
    <w:rsid w:val="00A14FCF"/>
    <w:rsid w:val="00A153A2"/>
    <w:rsid w:val="00A15929"/>
    <w:rsid w:val="00A15ED7"/>
    <w:rsid w:val="00A15ED9"/>
    <w:rsid w:val="00A1662B"/>
    <w:rsid w:val="00A1665E"/>
    <w:rsid w:val="00A1706B"/>
    <w:rsid w:val="00A20310"/>
    <w:rsid w:val="00A212AD"/>
    <w:rsid w:val="00A21A7C"/>
    <w:rsid w:val="00A22029"/>
    <w:rsid w:val="00A244DF"/>
    <w:rsid w:val="00A24FD3"/>
    <w:rsid w:val="00A25C97"/>
    <w:rsid w:val="00A276C2"/>
    <w:rsid w:val="00A27F47"/>
    <w:rsid w:val="00A30085"/>
    <w:rsid w:val="00A30B7E"/>
    <w:rsid w:val="00A31194"/>
    <w:rsid w:val="00A33775"/>
    <w:rsid w:val="00A34455"/>
    <w:rsid w:val="00A35443"/>
    <w:rsid w:val="00A3604B"/>
    <w:rsid w:val="00A369E2"/>
    <w:rsid w:val="00A36F11"/>
    <w:rsid w:val="00A36FAE"/>
    <w:rsid w:val="00A36FC1"/>
    <w:rsid w:val="00A378DA"/>
    <w:rsid w:val="00A40045"/>
    <w:rsid w:val="00A4094C"/>
    <w:rsid w:val="00A42AFF"/>
    <w:rsid w:val="00A42B3F"/>
    <w:rsid w:val="00A42BC3"/>
    <w:rsid w:val="00A45768"/>
    <w:rsid w:val="00A473D4"/>
    <w:rsid w:val="00A47A84"/>
    <w:rsid w:val="00A47D96"/>
    <w:rsid w:val="00A50B78"/>
    <w:rsid w:val="00A50DF9"/>
    <w:rsid w:val="00A51D48"/>
    <w:rsid w:val="00A524D6"/>
    <w:rsid w:val="00A532B0"/>
    <w:rsid w:val="00A54785"/>
    <w:rsid w:val="00A56976"/>
    <w:rsid w:val="00A600AB"/>
    <w:rsid w:val="00A60A78"/>
    <w:rsid w:val="00A61AED"/>
    <w:rsid w:val="00A6236F"/>
    <w:rsid w:val="00A624EF"/>
    <w:rsid w:val="00A628A3"/>
    <w:rsid w:val="00A62B3E"/>
    <w:rsid w:val="00A62C1D"/>
    <w:rsid w:val="00A62E3A"/>
    <w:rsid w:val="00A62F40"/>
    <w:rsid w:val="00A63E55"/>
    <w:rsid w:val="00A6401F"/>
    <w:rsid w:val="00A6576E"/>
    <w:rsid w:val="00A65E9D"/>
    <w:rsid w:val="00A66EFB"/>
    <w:rsid w:val="00A716E1"/>
    <w:rsid w:val="00A718D6"/>
    <w:rsid w:val="00A71DF0"/>
    <w:rsid w:val="00A730BE"/>
    <w:rsid w:val="00A7346F"/>
    <w:rsid w:val="00A735EB"/>
    <w:rsid w:val="00A7425F"/>
    <w:rsid w:val="00A748F6"/>
    <w:rsid w:val="00A757BD"/>
    <w:rsid w:val="00A76325"/>
    <w:rsid w:val="00A7673C"/>
    <w:rsid w:val="00A76EED"/>
    <w:rsid w:val="00A76FD6"/>
    <w:rsid w:val="00A77981"/>
    <w:rsid w:val="00A77CC0"/>
    <w:rsid w:val="00A800F7"/>
    <w:rsid w:val="00A80E98"/>
    <w:rsid w:val="00A816DC"/>
    <w:rsid w:val="00A82830"/>
    <w:rsid w:val="00A867F7"/>
    <w:rsid w:val="00A86FEA"/>
    <w:rsid w:val="00A87EB7"/>
    <w:rsid w:val="00A9007F"/>
    <w:rsid w:val="00A90289"/>
    <w:rsid w:val="00A90B36"/>
    <w:rsid w:val="00A918DA"/>
    <w:rsid w:val="00A93247"/>
    <w:rsid w:val="00A94FEF"/>
    <w:rsid w:val="00A96B1F"/>
    <w:rsid w:val="00A96B22"/>
    <w:rsid w:val="00A96D8E"/>
    <w:rsid w:val="00AA0A8A"/>
    <w:rsid w:val="00AA144B"/>
    <w:rsid w:val="00AA24AA"/>
    <w:rsid w:val="00AA367C"/>
    <w:rsid w:val="00AA3F99"/>
    <w:rsid w:val="00AA4145"/>
    <w:rsid w:val="00AA4746"/>
    <w:rsid w:val="00AA4990"/>
    <w:rsid w:val="00AA4A06"/>
    <w:rsid w:val="00AA6C33"/>
    <w:rsid w:val="00AA6CEA"/>
    <w:rsid w:val="00AA75B7"/>
    <w:rsid w:val="00AA7736"/>
    <w:rsid w:val="00AA79FC"/>
    <w:rsid w:val="00AB12F8"/>
    <w:rsid w:val="00AB1BAA"/>
    <w:rsid w:val="00AB2F7D"/>
    <w:rsid w:val="00AB3643"/>
    <w:rsid w:val="00AB389C"/>
    <w:rsid w:val="00AB3991"/>
    <w:rsid w:val="00AB6A15"/>
    <w:rsid w:val="00AB7352"/>
    <w:rsid w:val="00AB7A30"/>
    <w:rsid w:val="00AC10C7"/>
    <w:rsid w:val="00AC1506"/>
    <w:rsid w:val="00AC4B24"/>
    <w:rsid w:val="00AC4D61"/>
    <w:rsid w:val="00AC58B3"/>
    <w:rsid w:val="00AC6747"/>
    <w:rsid w:val="00AC69C5"/>
    <w:rsid w:val="00AC69E2"/>
    <w:rsid w:val="00AC6DD7"/>
    <w:rsid w:val="00AC733E"/>
    <w:rsid w:val="00AC752D"/>
    <w:rsid w:val="00AD0219"/>
    <w:rsid w:val="00AD14B4"/>
    <w:rsid w:val="00AD1954"/>
    <w:rsid w:val="00AD1A33"/>
    <w:rsid w:val="00AD1DFC"/>
    <w:rsid w:val="00AD20E5"/>
    <w:rsid w:val="00AD3637"/>
    <w:rsid w:val="00AD3F7A"/>
    <w:rsid w:val="00AD4D8B"/>
    <w:rsid w:val="00AD50C5"/>
    <w:rsid w:val="00AD5600"/>
    <w:rsid w:val="00AD6EA8"/>
    <w:rsid w:val="00AD70A0"/>
    <w:rsid w:val="00AD73E4"/>
    <w:rsid w:val="00AD7B5A"/>
    <w:rsid w:val="00AE03A2"/>
    <w:rsid w:val="00AE049B"/>
    <w:rsid w:val="00AE22AC"/>
    <w:rsid w:val="00AE4350"/>
    <w:rsid w:val="00AE4D7B"/>
    <w:rsid w:val="00AE51A5"/>
    <w:rsid w:val="00AE5A9C"/>
    <w:rsid w:val="00AE5EE7"/>
    <w:rsid w:val="00AE69AC"/>
    <w:rsid w:val="00AE6BD8"/>
    <w:rsid w:val="00AE73DF"/>
    <w:rsid w:val="00AF0162"/>
    <w:rsid w:val="00AF03E1"/>
    <w:rsid w:val="00AF0BCA"/>
    <w:rsid w:val="00AF300D"/>
    <w:rsid w:val="00AF3D8B"/>
    <w:rsid w:val="00AF44D1"/>
    <w:rsid w:val="00AF4A75"/>
    <w:rsid w:val="00AF5CE4"/>
    <w:rsid w:val="00AF617F"/>
    <w:rsid w:val="00B01065"/>
    <w:rsid w:val="00B02390"/>
    <w:rsid w:val="00B04D90"/>
    <w:rsid w:val="00B04E7E"/>
    <w:rsid w:val="00B05959"/>
    <w:rsid w:val="00B10BB8"/>
    <w:rsid w:val="00B10D85"/>
    <w:rsid w:val="00B11002"/>
    <w:rsid w:val="00B12322"/>
    <w:rsid w:val="00B1327F"/>
    <w:rsid w:val="00B13A87"/>
    <w:rsid w:val="00B14921"/>
    <w:rsid w:val="00B14B2D"/>
    <w:rsid w:val="00B156FA"/>
    <w:rsid w:val="00B169D6"/>
    <w:rsid w:val="00B170A7"/>
    <w:rsid w:val="00B170D9"/>
    <w:rsid w:val="00B17EEC"/>
    <w:rsid w:val="00B20C9F"/>
    <w:rsid w:val="00B218D6"/>
    <w:rsid w:val="00B23308"/>
    <w:rsid w:val="00B24BEA"/>
    <w:rsid w:val="00B265A1"/>
    <w:rsid w:val="00B2757A"/>
    <w:rsid w:val="00B30F4F"/>
    <w:rsid w:val="00B33079"/>
    <w:rsid w:val="00B3771F"/>
    <w:rsid w:val="00B37BD7"/>
    <w:rsid w:val="00B404F5"/>
    <w:rsid w:val="00B40B6F"/>
    <w:rsid w:val="00B41B6D"/>
    <w:rsid w:val="00B42615"/>
    <w:rsid w:val="00B43528"/>
    <w:rsid w:val="00B438F7"/>
    <w:rsid w:val="00B44325"/>
    <w:rsid w:val="00B454D3"/>
    <w:rsid w:val="00B45F84"/>
    <w:rsid w:val="00B466A1"/>
    <w:rsid w:val="00B500AE"/>
    <w:rsid w:val="00B50364"/>
    <w:rsid w:val="00B50D01"/>
    <w:rsid w:val="00B520F3"/>
    <w:rsid w:val="00B52689"/>
    <w:rsid w:val="00B53F4C"/>
    <w:rsid w:val="00B54722"/>
    <w:rsid w:val="00B552F4"/>
    <w:rsid w:val="00B5599E"/>
    <w:rsid w:val="00B56600"/>
    <w:rsid w:val="00B57CA8"/>
    <w:rsid w:val="00B60B71"/>
    <w:rsid w:val="00B62337"/>
    <w:rsid w:val="00B63110"/>
    <w:rsid w:val="00B63628"/>
    <w:rsid w:val="00B63857"/>
    <w:rsid w:val="00B6449E"/>
    <w:rsid w:val="00B64986"/>
    <w:rsid w:val="00B649E5"/>
    <w:rsid w:val="00B658FC"/>
    <w:rsid w:val="00B66196"/>
    <w:rsid w:val="00B70298"/>
    <w:rsid w:val="00B70D02"/>
    <w:rsid w:val="00B72137"/>
    <w:rsid w:val="00B72237"/>
    <w:rsid w:val="00B7362A"/>
    <w:rsid w:val="00B744DE"/>
    <w:rsid w:val="00B74966"/>
    <w:rsid w:val="00B74E4D"/>
    <w:rsid w:val="00B75601"/>
    <w:rsid w:val="00B75CD0"/>
    <w:rsid w:val="00B75EEF"/>
    <w:rsid w:val="00B778DF"/>
    <w:rsid w:val="00B80FF1"/>
    <w:rsid w:val="00B83BE3"/>
    <w:rsid w:val="00B842B0"/>
    <w:rsid w:val="00B85A74"/>
    <w:rsid w:val="00B86525"/>
    <w:rsid w:val="00B901FC"/>
    <w:rsid w:val="00B90724"/>
    <w:rsid w:val="00B90CF5"/>
    <w:rsid w:val="00B9207A"/>
    <w:rsid w:val="00B92FA6"/>
    <w:rsid w:val="00B9451B"/>
    <w:rsid w:val="00B94C4B"/>
    <w:rsid w:val="00B9541C"/>
    <w:rsid w:val="00B96537"/>
    <w:rsid w:val="00B966CB"/>
    <w:rsid w:val="00B96844"/>
    <w:rsid w:val="00B97591"/>
    <w:rsid w:val="00BA03CB"/>
    <w:rsid w:val="00BA0562"/>
    <w:rsid w:val="00BA0876"/>
    <w:rsid w:val="00BA0B92"/>
    <w:rsid w:val="00BA1461"/>
    <w:rsid w:val="00BA244D"/>
    <w:rsid w:val="00BA2476"/>
    <w:rsid w:val="00BA2C4C"/>
    <w:rsid w:val="00BA4FA0"/>
    <w:rsid w:val="00BA6C5B"/>
    <w:rsid w:val="00BA7024"/>
    <w:rsid w:val="00BA74B2"/>
    <w:rsid w:val="00BA7780"/>
    <w:rsid w:val="00BA78FE"/>
    <w:rsid w:val="00BA7A4B"/>
    <w:rsid w:val="00BB0058"/>
    <w:rsid w:val="00BB26D7"/>
    <w:rsid w:val="00BB280D"/>
    <w:rsid w:val="00BB2A4F"/>
    <w:rsid w:val="00BB36C1"/>
    <w:rsid w:val="00BB39DA"/>
    <w:rsid w:val="00BB48C2"/>
    <w:rsid w:val="00BB5555"/>
    <w:rsid w:val="00BB67A6"/>
    <w:rsid w:val="00BC055E"/>
    <w:rsid w:val="00BC0D22"/>
    <w:rsid w:val="00BC0E5A"/>
    <w:rsid w:val="00BC11B1"/>
    <w:rsid w:val="00BC1805"/>
    <w:rsid w:val="00BC1B92"/>
    <w:rsid w:val="00BC1C27"/>
    <w:rsid w:val="00BC2F3E"/>
    <w:rsid w:val="00BC3532"/>
    <w:rsid w:val="00BC360E"/>
    <w:rsid w:val="00BC5AC3"/>
    <w:rsid w:val="00BC5F22"/>
    <w:rsid w:val="00BC6C11"/>
    <w:rsid w:val="00BC729B"/>
    <w:rsid w:val="00BC76B1"/>
    <w:rsid w:val="00BC7B44"/>
    <w:rsid w:val="00BC7E58"/>
    <w:rsid w:val="00BD1529"/>
    <w:rsid w:val="00BD1C1F"/>
    <w:rsid w:val="00BD1F20"/>
    <w:rsid w:val="00BD3A6D"/>
    <w:rsid w:val="00BD3DF3"/>
    <w:rsid w:val="00BD418E"/>
    <w:rsid w:val="00BD5829"/>
    <w:rsid w:val="00BD5BFD"/>
    <w:rsid w:val="00BD5E43"/>
    <w:rsid w:val="00BD5EF4"/>
    <w:rsid w:val="00BE10F7"/>
    <w:rsid w:val="00BE159F"/>
    <w:rsid w:val="00BE2A0E"/>
    <w:rsid w:val="00BE2AF4"/>
    <w:rsid w:val="00BE3000"/>
    <w:rsid w:val="00BE32D8"/>
    <w:rsid w:val="00BE3D83"/>
    <w:rsid w:val="00BE52EA"/>
    <w:rsid w:val="00BE5A2B"/>
    <w:rsid w:val="00BE68EF"/>
    <w:rsid w:val="00BE6D2D"/>
    <w:rsid w:val="00BE72D5"/>
    <w:rsid w:val="00BE764F"/>
    <w:rsid w:val="00BE7824"/>
    <w:rsid w:val="00BE7EE7"/>
    <w:rsid w:val="00BF0400"/>
    <w:rsid w:val="00BF1269"/>
    <w:rsid w:val="00BF2715"/>
    <w:rsid w:val="00BF31DC"/>
    <w:rsid w:val="00BF4084"/>
    <w:rsid w:val="00BF540B"/>
    <w:rsid w:val="00BF5D20"/>
    <w:rsid w:val="00BF5FFD"/>
    <w:rsid w:val="00BF6171"/>
    <w:rsid w:val="00C00EFA"/>
    <w:rsid w:val="00C027C0"/>
    <w:rsid w:val="00C03B5B"/>
    <w:rsid w:val="00C03F0D"/>
    <w:rsid w:val="00C04163"/>
    <w:rsid w:val="00C042E1"/>
    <w:rsid w:val="00C05C53"/>
    <w:rsid w:val="00C0720B"/>
    <w:rsid w:val="00C10627"/>
    <w:rsid w:val="00C10DAC"/>
    <w:rsid w:val="00C113F5"/>
    <w:rsid w:val="00C12195"/>
    <w:rsid w:val="00C15694"/>
    <w:rsid w:val="00C160B5"/>
    <w:rsid w:val="00C20059"/>
    <w:rsid w:val="00C249A7"/>
    <w:rsid w:val="00C24C08"/>
    <w:rsid w:val="00C25955"/>
    <w:rsid w:val="00C25ECF"/>
    <w:rsid w:val="00C269A4"/>
    <w:rsid w:val="00C31B32"/>
    <w:rsid w:val="00C3204C"/>
    <w:rsid w:val="00C323C3"/>
    <w:rsid w:val="00C327D4"/>
    <w:rsid w:val="00C32FD1"/>
    <w:rsid w:val="00C348D0"/>
    <w:rsid w:val="00C35AC7"/>
    <w:rsid w:val="00C362F1"/>
    <w:rsid w:val="00C36AB9"/>
    <w:rsid w:val="00C37257"/>
    <w:rsid w:val="00C37977"/>
    <w:rsid w:val="00C4128E"/>
    <w:rsid w:val="00C4267F"/>
    <w:rsid w:val="00C42701"/>
    <w:rsid w:val="00C44F98"/>
    <w:rsid w:val="00C4508F"/>
    <w:rsid w:val="00C457F7"/>
    <w:rsid w:val="00C4665F"/>
    <w:rsid w:val="00C47405"/>
    <w:rsid w:val="00C47C6A"/>
    <w:rsid w:val="00C50762"/>
    <w:rsid w:val="00C50D18"/>
    <w:rsid w:val="00C51D69"/>
    <w:rsid w:val="00C5320A"/>
    <w:rsid w:val="00C53328"/>
    <w:rsid w:val="00C5360C"/>
    <w:rsid w:val="00C56B19"/>
    <w:rsid w:val="00C56F46"/>
    <w:rsid w:val="00C61851"/>
    <w:rsid w:val="00C66849"/>
    <w:rsid w:val="00C672AF"/>
    <w:rsid w:val="00C710E4"/>
    <w:rsid w:val="00C713DF"/>
    <w:rsid w:val="00C7199C"/>
    <w:rsid w:val="00C73362"/>
    <w:rsid w:val="00C73833"/>
    <w:rsid w:val="00C73C56"/>
    <w:rsid w:val="00C73D16"/>
    <w:rsid w:val="00C73E8B"/>
    <w:rsid w:val="00C741B4"/>
    <w:rsid w:val="00C762B3"/>
    <w:rsid w:val="00C7686B"/>
    <w:rsid w:val="00C77A1D"/>
    <w:rsid w:val="00C806DD"/>
    <w:rsid w:val="00C81206"/>
    <w:rsid w:val="00C828C8"/>
    <w:rsid w:val="00C83B5C"/>
    <w:rsid w:val="00C8479A"/>
    <w:rsid w:val="00C84FB2"/>
    <w:rsid w:val="00C853BB"/>
    <w:rsid w:val="00C85D6D"/>
    <w:rsid w:val="00C9026F"/>
    <w:rsid w:val="00C9154C"/>
    <w:rsid w:val="00C91E85"/>
    <w:rsid w:val="00C927BB"/>
    <w:rsid w:val="00C92D36"/>
    <w:rsid w:val="00C955C4"/>
    <w:rsid w:val="00C9640B"/>
    <w:rsid w:val="00C97DC2"/>
    <w:rsid w:val="00CA1645"/>
    <w:rsid w:val="00CA3110"/>
    <w:rsid w:val="00CA3A06"/>
    <w:rsid w:val="00CA49A7"/>
    <w:rsid w:val="00CA60F1"/>
    <w:rsid w:val="00CA6AB3"/>
    <w:rsid w:val="00CB0B2E"/>
    <w:rsid w:val="00CB0EEA"/>
    <w:rsid w:val="00CB12C8"/>
    <w:rsid w:val="00CB1515"/>
    <w:rsid w:val="00CB4F51"/>
    <w:rsid w:val="00CB5484"/>
    <w:rsid w:val="00CC0C23"/>
    <w:rsid w:val="00CC2291"/>
    <w:rsid w:val="00CC4AD8"/>
    <w:rsid w:val="00CC4CDF"/>
    <w:rsid w:val="00CC5D48"/>
    <w:rsid w:val="00CC617D"/>
    <w:rsid w:val="00CC628C"/>
    <w:rsid w:val="00CC68A8"/>
    <w:rsid w:val="00CC6BD9"/>
    <w:rsid w:val="00CD14A0"/>
    <w:rsid w:val="00CD1DCB"/>
    <w:rsid w:val="00CD2331"/>
    <w:rsid w:val="00CD2767"/>
    <w:rsid w:val="00CD28A5"/>
    <w:rsid w:val="00CD3D3B"/>
    <w:rsid w:val="00CD52EB"/>
    <w:rsid w:val="00CD5429"/>
    <w:rsid w:val="00CD5BED"/>
    <w:rsid w:val="00CD60B7"/>
    <w:rsid w:val="00CD62C0"/>
    <w:rsid w:val="00CD73B2"/>
    <w:rsid w:val="00CD740B"/>
    <w:rsid w:val="00CD7C72"/>
    <w:rsid w:val="00CE0171"/>
    <w:rsid w:val="00CE05B8"/>
    <w:rsid w:val="00CE0D3D"/>
    <w:rsid w:val="00CE0D9B"/>
    <w:rsid w:val="00CE12AD"/>
    <w:rsid w:val="00CE12E8"/>
    <w:rsid w:val="00CE1A63"/>
    <w:rsid w:val="00CE23E3"/>
    <w:rsid w:val="00CE38C7"/>
    <w:rsid w:val="00CE400D"/>
    <w:rsid w:val="00CE55C4"/>
    <w:rsid w:val="00CE59AD"/>
    <w:rsid w:val="00CE59D3"/>
    <w:rsid w:val="00CE63B5"/>
    <w:rsid w:val="00CE7C0C"/>
    <w:rsid w:val="00CF0336"/>
    <w:rsid w:val="00CF0661"/>
    <w:rsid w:val="00CF0B8E"/>
    <w:rsid w:val="00CF0FDA"/>
    <w:rsid w:val="00CF1A81"/>
    <w:rsid w:val="00CF23F2"/>
    <w:rsid w:val="00CF27B1"/>
    <w:rsid w:val="00CF2BD5"/>
    <w:rsid w:val="00CF3A1D"/>
    <w:rsid w:val="00CF4088"/>
    <w:rsid w:val="00CF4328"/>
    <w:rsid w:val="00CF5BA9"/>
    <w:rsid w:val="00CF61EE"/>
    <w:rsid w:val="00CF6BD1"/>
    <w:rsid w:val="00D00F4E"/>
    <w:rsid w:val="00D029CB"/>
    <w:rsid w:val="00D02B91"/>
    <w:rsid w:val="00D030FB"/>
    <w:rsid w:val="00D03F2D"/>
    <w:rsid w:val="00D03F58"/>
    <w:rsid w:val="00D04389"/>
    <w:rsid w:val="00D05874"/>
    <w:rsid w:val="00D05A1F"/>
    <w:rsid w:val="00D10A1D"/>
    <w:rsid w:val="00D114F4"/>
    <w:rsid w:val="00D123EC"/>
    <w:rsid w:val="00D12E96"/>
    <w:rsid w:val="00D12F20"/>
    <w:rsid w:val="00D13868"/>
    <w:rsid w:val="00D13DF8"/>
    <w:rsid w:val="00D1561F"/>
    <w:rsid w:val="00D16E7F"/>
    <w:rsid w:val="00D17D22"/>
    <w:rsid w:val="00D17ED2"/>
    <w:rsid w:val="00D210F8"/>
    <w:rsid w:val="00D225D4"/>
    <w:rsid w:val="00D22D8F"/>
    <w:rsid w:val="00D235AD"/>
    <w:rsid w:val="00D26FA3"/>
    <w:rsid w:val="00D27456"/>
    <w:rsid w:val="00D27880"/>
    <w:rsid w:val="00D27DD3"/>
    <w:rsid w:val="00D30B14"/>
    <w:rsid w:val="00D31360"/>
    <w:rsid w:val="00D31DF1"/>
    <w:rsid w:val="00D35EC0"/>
    <w:rsid w:val="00D360E6"/>
    <w:rsid w:val="00D36174"/>
    <w:rsid w:val="00D366DF"/>
    <w:rsid w:val="00D3691B"/>
    <w:rsid w:val="00D36AF0"/>
    <w:rsid w:val="00D36B79"/>
    <w:rsid w:val="00D36E91"/>
    <w:rsid w:val="00D3770C"/>
    <w:rsid w:val="00D37862"/>
    <w:rsid w:val="00D41423"/>
    <w:rsid w:val="00D414DF"/>
    <w:rsid w:val="00D41673"/>
    <w:rsid w:val="00D416CE"/>
    <w:rsid w:val="00D4177D"/>
    <w:rsid w:val="00D44B88"/>
    <w:rsid w:val="00D44F8B"/>
    <w:rsid w:val="00D469AC"/>
    <w:rsid w:val="00D46DE6"/>
    <w:rsid w:val="00D51282"/>
    <w:rsid w:val="00D51EDC"/>
    <w:rsid w:val="00D54139"/>
    <w:rsid w:val="00D55808"/>
    <w:rsid w:val="00D55D2D"/>
    <w:rsid w:val="00D6075A"/>
    <w:rsid w:val="00D609EC"/>
    <w:rsid w:val="00D63D0C"/>
    <w:rsid w:val="00D641DF"/>
    <w:rsid w:val="00D64F1A"/>
    <w:rsid w:val="00D6762D"/>
    <w:rsid w:val="00D67EE3"/>
    <w:rsid w:val="00D712F3"/>
    <w:rsid w:val="00D723B0"/>
    <w:rsid w:val="00D72F59"/>
    <w:rsid w:val="00D73CEF"/>
    <w:rsid w:val="00D746A0"/>
    <w:rsid w:val="00D74A62"/>
    <w:rsid w:val="00D7578C"/>
    <w:rsid w:val="00D76197"/>
    <w:rsid w:val="00D76435"/>
    <w:rsid w:val="00D76DDE"/>
    <w:rsid w:val="00D77AE3"/>
    <w:rsid w:val="00D77E6A"/>
    <w:rsid w:val="00D77EDE"/>
    <w:rsid w:val="00D80FBF"/>
    <w:rsid w:val="00D815AC"/>
    <w:rsid w:val="00D819D6"/>
    <w:rsid w:val="00D81A85"/>
    <w:rsid w:val="00D82C63"/>
    <w:rsid w:val="00D82F36"/>
    <w:rsid w:val="00D8337A"/>
    <w:rsid w:val="00D83AE9"/>
    <w:rsid w:val="00D83B5C"/>
    <w:rsid w:val="00D84292"/>
    <w:rsid w:val="00D843DA"/>
    <w:rsid w:val="00D849DE"/>
    <w:rsid w:val="00D84AB1"/>
    <w:rsid w:val="00D855C1"/>
    <w:rsid w:val="00D86F0E"/>
    <w:rsid w:val="00D86FA6"/>
    <w:rsid w:val="00D92917"/>
    <w:rsid w:val="00D92AB7"/>
    <w:rsid w:val="00D92CE6"/>
    <w:rsid w:val="00D94CCB"/>
    <w:rsid w:val="00D94E8B"/>
    <w:rsid w:val="00D951AB"/>
    <w:rsid w:val="00D95BF3"/>
    <w:rsid w:val="00D95D1D"/>
    <w:rsid w:val="00D9606B"/>
    <w:rsid w:val="00DA0BE1"/>
    <w:rsid w:val="00DA1035"/>
    <w:rsid w:val="00DA1FE2"/>
    <w:rsid w:val="00DA3562"/>
    <w:rsid w:val="00DA3744"/>
    <w:rsid w:val="00DA4182"/>
    <w:rsid w:val="00DA4AA5"/>
    <w:rsid w:val="00DA51C4"/>
    <w:rsid w:val="00DA5BBA"/>
    <w:rsid w:val="00DA693F"/>
    <w:rsid w:val="00DA6C00"/>
    <w:rsid w:val="00DA6D03"/>
    <w:rsid w:val="00DA7A01"/>
    <w:rsid w:val="00DA7D7D"/>
    <w:rsid w:val="00DB12DD"/>
    <w:rsid w:val="00DB202B"/>
    <w:rsid w:val="00DB3126"/>
    <w:rsid w:val="00DB332B"/>
    <w:rsid w:val="00DB3899"/>
    <w:rsid w:val="00DB39AF"/>
    <w:rsid w:val="00DB3F02"/>
    <w:rsid w:val="00DB4650"/>
    <w:rsid w:val="00DB4AD6"/>
    <w:rsid w:val="00DB4CC0"/>
    <w:rsid w:val="00DB4EBE"/>
    <w:rsid w:val="00DB5867"/>
    <w:rsid w:val="00DB5A76"/>
    <w:rsid w:val="00DB7BFD"/>
    <w:rsid w:val="00DB7E00"/>
    <w:rsid w:val="00DC102D"/>
    <w:rsid w:val="00DC1847"/>
    <w:rsid w:val="00DC2494"/>
    <w:rsid w:val="00DC2600"/>
    <w:rsid w:val="00DC338A"/>
    <w:rsid w:val="00DC3EA5"/>
    <w:rsid w:val="00DC4DCF"/>
    <w:rsid w:val="00DC5184"/>
    <w:rsid w:val="00DC6A51"/>
    <w:rsid w:val="00DC71A6"/>
    <w:rsid w:val="00DC71D9"/>
    <w:rsid w:val="00DD00D6"/>
    <w:rsid w:val="00DD0375"/>
    <w:rsid w:val="00DD12DC"/>
    <w:rsid w:val="00DD1AE0"/>
    <w:rsid w:val="00DD2455"/>
    <w:rsid w:val="00DD2C29"/>
    <w:rsid w:val="00DD34AD"/>
    <w:rsid w:val="00DD3AD5"/>
    <w:rsid w:val="00DD5486"/>
    <w:rsid w:val="00DD69C4"/>
    <w:rsid w:val="00DE05CC"/>
    <w:rsid w:val="00DE1F21"/>
    <w:rsid w:val="00DE3A22"/>
    <w:rsid w:val="00DE4453"/>
    <w:rsid w:val="00DE4A01"/>
    <w:rsid w:val="00DE6BE3"/>
    <w:rsid w:val="00DE7974"/>
    <w:rsid w:val="00DF0F28"/>
    <w:rsid w:val="00DF17B5"/>
    <w:rsid w:val="00DF2DC3"/>
    <w:rsid w:val="00DF36BD"/>
    <w:rsid w:val="00DF3E96"/>
    <w:rsid w:val="00DF50AD"/>
    <w:rsid w:val="00DF6069"/>
    <w:rsid w:val="00DF6E0C"/>
    <w:rsid w:val="00DF74AC"/>
    <w:rsid w:val="00DF7845"/>
    <w:rsid w:val="00E0057E"/>
    <w:rsid w:val="00E010D1"/>
    <w:rsid w:val="00E017F8"/>
    <w:rsid w:val="00E01929"/>
    <w:rsid w:val="00E02C01"/>
    <w:rsid w:val="00E039B6"/>
    <w:rsid w:val="00E04ADF"/>
    <w:rsid w:val="00E04E15"/>
    <w:rsid w:val="00E059B9"/>
    <w:rsid w:val="00E05B98"/>
    <w:rsid w:val="00E07B4F"/>
    <w:rsid w:val="00E11232"/>
    <w:rsid w:val="00E11295"/>
    <w:rsid w:val="00E131A3"/>
    <w:rsid w:val="00E13410"/>
    <w:rsid w:val="00E14340"/>
    <w:rsid w:val="00E14BF9"/>
    <w:rsid w:val="00E1566F"/>
    <w:rsid w:val="00E160A5"/>
    <w:rsid w:val="00E16B9C"/>
    <w:rsid w:val="00E17601"/>
    <w:rsid w:val="00E177DB"/>
    <w:rsid w:val="00E2060D"/>
    <w:rsid w:val="00E21864"/>
    <w:rsid w:val="00E21D69"/>
    <w:rsid w:val="00E22ED0"/>
    <w:rsid w:val="00E239EC"/>
    <w:rsid w:val="00E24903"/>
    <w:rsid w:val="00E24ECB"/>
    <w:rsid w:val="00E250A5"/>
    <w:rsid w:val="00E25648"/>
    <w:rsid w:val="00E256D2"/>
    <w:rsid w:val="00E2585A"/>
    <w:rsid w:val="00E30130"/>
    <w:rsid w:val="00E32EE5"/>
    <w:rsid w:val="00E32FDA"/>
    <w:rsid w:val="00E33868"/>
    <w:rsid w:val="00E35866"/>
    <w:rsid w:val="00E35E1C"/>
    <w:rsid w:val="00E36994"/>
    <w:rsid w:val="00E3721F"/>
    <w:rsid w:val="00E37D4C"/>
    <w:rsid w:val="00E4209E"/>
    <w:rsid w:val="00E437DC"/>
    <w:rsid w:val="00E440E8"/>
    <w:rsid w:val="00E44AD3"/>
    <w:rsid w:val="00E44EB8"/>
    <w:rsid w:val="00E45346"/>
    <w:rsid w:val="00E46716"/>
    <w:rsid w:val="00E475F9"/>
    <w:rsid w:val="00E50338"/>
    <w:rsid w:val="00E50345"/>
    <w:rsid w:val="00E50E15"/>
    <w:rsid w:val="00E51598"/>
    <w:rsid w:val="00E517D7"/>
    <w:rsid w:val="00E52876"/>
    <w:rsid w:val="00E52D2F"/>
    <w:rsid w:val="00E53101"/>
    <w:rsid w:val="00E53BE1"/>
    <w:rsid w:val="00E53E51"/>
    <w:rsid w:val="00E555E3"/>
    <w:rsid w:val="00E601B2"/>
    <w:rsid w:val="00E62FF6"/>
    <w:rsid w:val="00E6382A"/>
    <w:rsid w:val="00E63E60"/>
    <w:rsid w:val="00E64713"/>
    <w:rsid w:val="00E64946"/>
    <w:rsid w:val="00E65C59"/>
    <w:rsid w:val="00E66AE0"/>
    <w:rsid w:val="00E6701C"/>
    <w:rsid w:val="00E673C3"/>
    <w:rsid w:val="00E67539"/>
    <w:rsid w:val="00E72C76"/>
    <w:rsid w:val="00E72CB9"/>
    <w:rsid w:val="00E738FF"/>
    <w:rsid w:val="00E752D1"/>
    <w:rsid w:val="00E7563D"/>
    <w:rsid w:val="00E75DFA"/>
    <w:rsid w:val="00E82163"/>
    <w:rsid w:val="00E824C1"/>
    <w:rsid w:val="00E82669"/>
    <w:rsid w:val="00E83271"/>
    <w:rsid w:val="00E84FBC"/>
    <w:rsid w:val="00E85728"/>
    <w:rsid w:val="00E862B3"/>
    <w:rsid w:val="00E86CEC"/>
    <w:rsid w:val="00E86F87"/>
    <w:rsid w:val="00E871E6"/>
    <w:rsid w:val="00E9238A"/>
    <w:rsid w:val="00E92A72"/>
    <w:rsid w:val="00E93200"/>
    <w:rsid w:val="00E96368"/>
    <w:rsid w:val="00E96FEC"/>
    <w:rsid w:val="00EA09D5"/>
    <w:rsid w:val="00EA0A30"/>
    <w:rsid w:val="00EA143C"/>
    <w:rsid w:val="00EA2DF1"/>
    <w:rsid w:val="00EA4E25"/>
    <w:rsid w:val="00EA54F4"/>
    <w:rsid w:val="00EA550D"/>
    <w:rsid w:val="00EA6445"/>
    <w:rsid w:val="00EB007C"/>
    <w:rsid w:val="00EB1F86"/>
    <w:rsid w:val="00EB222C"/>
    <w:rsid w:val="00EB388D"/>
    <w:rsid w:val="00EB3C62"/>
    <w:rsid w:val="00EB43E8"/>
    <w:rsid w:val="00EB50F6"/>
    <w:rsid w:val="00EB5ABF"/>
    <w:rsid w:val="00EB5E8C"/>
    <w:rsid w:val="00EB6117"/>
    <w:rsid w:val="00EB70F2"/>
    <w:rsid w:val="00EB76DC"/>
    <w:rsid w:val="00EB7F7B"/>
    <w:rsid w:val="00EC0885"/>
    <w:rsid w:val="00EC28BE"/>
    <w:rsid w:val="00EC4463"/>
    <w:rsid w:val="00EC48F6"/>
    <w:rsid w:val="00EC6797"/>
    <w:rsid w:val="00EC6855"/>
    <w:rsid w:val="00ED0FE5"/>
    <w:rsid w:val="00ED1460"/>
    <w:rsid w:val="00ED1750"/>
    <w:rsid w:val="00ED37B9"/>
    <w:rsid w:val="00ED4255"/>
    <w:rsid w:val="00ED42DA"/>
    <w:rsid w:val="00ED4CC0"/>
    <w:rsid w:val="00ED4D93"/>
    <w:rsid w:val="00ED6BD4"/>
    <w:rsid w:val="00ED7349"/>
    <w:rsid w:val="00ED735A"/>
    <w:rsid w:val="00EE0A9B"/>
    <w:rsid w:val="00EE0B90"/>
    <w:rsid w:val="00EE0DA6"/>
    <w:rsid w:val="00EE1AF2"/>
    <w:rsid w:val="00EE2F4B"/>
    <w:rsid w:val="00EE3B37"/>
    <w:rsid w:val="00EE3C18"/>
    <w:rsid w:val="00EE40F7"/>
    <w:rsid w:val="00EE4370"/>
    <w:rsid w:val="00EE494B"/>
    <w:rsid w:val="00EE4B47"/>
    <w:rsid w:val="00EE6073"/>
    <w:rsid w:val="00EE60C8"/>
    <w:rsid w:val="00EE740D"/>
    <w:rsid w:val="00EE7DB5"/>
    <w:rsid w:val="00EF1C6B"/>
    <w:rsid w:val="00EF41E0"/>
    <w:rsid w:val="00EF4214"/>
    <w:rsid w:val="00EF480E"/>
    <w:rsid w:val="00EF4D03"/>
    <w:rsid w:val="00EF5B7B"/>
    <w:rsid w:val="00EF63FA"/>
    <w:rsid w:val="00EF6DF4"/>
    <w:rsid w:val="00F001F1"/>
    <w:rsid w:val="00F00711"/>
    <w:rsid w:val="00F0096F"/>
    <w:rsid w:val="00F00A02"/>
    <w:rsid w:val="00F017BC"/>
    <w:rsid w:val="00F02CDE"/>
    <w:rsid w:val="00F03C17"/>
    <w:rsid w:val="00F04812"/>
    <w:rsid w:val="00F04AA8"/>
    <w:rsid w:val="00F052A1"/>
    <w:rsid w:val="00F06613"/>
    <w:rsid w:val="00F06969"/>
    <w:rsid w:val="00F06A4E"/>
    <w:rsid w:val="00F07255"/>
    <w:rsid w:val="00F078EB"/>
    <w:rsid w:val="00F127D5"/>
    <w:rsid w:val="00F12A92"/>
    <w:rsid w:val="00F12FA5"/>
    <w:rsid w:val="00F14997"/>
    <w:rsid w:val="00F150A8"/>
    <w:rsid w:val="00F16B03"/>
    <w:rsid w:val="00F172AE"/>
    <w:rsid w:val="00F175C9"/>
    <w:rsid w:val="00F17FC4"/>
    <w:rsid w:val="00F20053"/>
    <w:rsid w:val="00F20583"/>
    <w:rsid w:val="00F208FE"/>
    <w:rsid w:val="00F22D2B"/>
    <w:rsid w:val="00F22EAB"/>
    <w:rsid w:val="00F22F62"/>
    <w:rsid w:val="00F233F8"/>
    <w:rsid w:val="00F23BF6"/>
    <w:rsid w:val="00F23D0A"/>
    <w:rsid w:val="00F23E04"/>
    <w:rsid w:val="00F242D6"/>
    <w:rsid w:val="00F2466E"/>
    <w:rsid w:val="00F24FBF"/>
    <w:rsid w:val="00F256B3"/>
    <w:rsid w:val="00F26474"/>
    <w:rsid w:val="00F26A0E"/>
    <w:rsid w:val="00F27ADB"/>
    <w:rsid w:val="00F300CC"/>
    <w:rsid w:val="00F302A6"/>
    <w:rsid w:val="00F32F23"/>
    <w:rsid w:val="00F3397C"/>
    <w:rsid w:val="00F33D58"/>
    <w:rsid w:val="00F34509"/>
    <w:rsid w:val="00F34FD1"/>
    <w:rsid w:val="00F3596B"/>
    <w:rsid w:val="00F36C0C"/>
    <w:rsid w:val="00F36EDB"/>
    <w:rsid w:val="00F377B6"/>
    <w:rsid w:val="00F37E94"/>
    <w:rsid w:val="00F4009F"/>
    <w:rsid w:val="00F40927"/>
    <w:rsid w:val="00F4280C"/>
    <w:rsid w:val="00F446DD"/>
    <w:rsid w:val="00F448FD"/>
    <w:rsid w:val="00F46E3F"/>
    <w:rsid w:val="00F47200"/>
    <w:rsid w:val="00F47DBF"/>
    <w:rsid w:val="00F47E20"/>
    <w:rsid w:val="00F51143"/>
    <w:rsid w:val="00F523C7"/>
    <w:rsid w:val="00F535CC"/>
    <w:rsid w:val="00F53CF1"/>
    <w:rsid w:val="00F54956"/>
    <w:rsid w:val="00F55C6B"/>
    <w:rsid w:val="00F55E22"/>
    <w:rsid w:val="00F56033"/>
    <w:rsid w:val="00F56362"/>
    <w:rsid w:val="00F566DE"/>
    <w:rsid w:val="00F56B34"/>
    <w:rsid w:val="00F61467"/>
    <w:rsid w:val="00F621E7"/>
    <w:rsid w:val="00F63D29"/>
    <w:rsid w:val="00F64542"/>
    <w:rsid w:val="00F64778"/>
    <w:rsid w:val="00F6554D"/>
    <w:rsid w:val="00F6612E"/>
    <w:rsid w:val="00F66875"/>
    <w:rsid w:val="00F66F37"/>
    <w:rsid w:val="00F679EF"/>
    <w:rsid w:val="00F67A6C"/>
    <w:rsid w:val="00F70608"/>
    <w:rsid w:val="00F707F9"/>
    <w:rsid w:val="00F70E5A"/>
    <w:rsid w:val="00F714E8"/>
    <w:rsid w:val="00F7204D"/>
    <w:rsid w:val="00F72E04"/>
    <w:rsid w:val="00F74EE9"/>
    <w:rsid w:val="00F76360"/>
    <w:rsid w:val="00F768CF"/>
    <w:rsid w:val="00F77143"/>
    <w:rsid w:val="00F77442"/>
    <w:rsid w:val="00F77A92"/>
    <w:rsid w:val="00F813DC"/>
    <w:rsid w:val="00F81CDA"/>
    <w:rsid w:val="00F82643"/>
    <w:rsid w:val="00F83117"/>
    <w:rsid w:val="00F83258"/>
    <w:rsid w:val="00F84704"/>
    <w:rsid w:val="00F848DD"/>
    <w:rsid w:val="00F865D2"/>
    <w:rsid w:val="00F86ACE"/>
    <w:rsid w:val="00F87A9F"/>
    <w:rsid w:val="00F90212"/>
    <w:rsid w:val="00F902D3"/>
    <w:rsid w:val="00F93318"/>
    <w:rsid w:val="00F9429E"/>
    <w:rsid w:val="00F9632A"/>
    <w:rsid w:val="00F96490"/>
    <w:rsid w:val="00F966D8"/>
    <w:rsid w:val="00FA0ABA"/>
    <w:rsid w:val="00FA0D11"/>
    <w:rsid w:val="00FA1CD7"/>
    <w:rsid w:val="00FA1D4F"/>
    <w:rsid w:val="00FA1D9D"/>
    <w:rsid w:val="00FA2A6A"/>
    <w:rsid w:val="00FA2E72"/>
    <w:rsid w:val="00FA368D"/>
    <w:rsid w:val="00FA4505"/>
    <w:rsid w:val="00FA4FF8"/>
    <w:rsid w:val="00FA5E1E"/>
    <w:rsid w:val="00FA68A5"/>
    <w:rsid w:val="00FA7A61"/>
    <w:rsid w:val="00FB18D1"/>
    <w:rsid w:val="00FB349C"/>
    <w:rsid w:val="00FB389B"/>
    <w:rsid w:val="00FB3EED"/>
    <w:rsid w:val="00FB4057"/>
    <w:rsid w:val="00FB58FD"/>
    <w:rsid w:val="00FB5B8F"/>
    <w:rsid w:val="00FB6584"/>
    <w:rsid w:val="00FB6617"/>
    <w:rsid w:val="00FB6E14"/>
    <w:rsid w:val="00FB7EBC"/>
    <w:rsid w:val="00FC0073"/>
    <w:rsid w:val="00FC00ED"/>
    <w:rsid w:val="00FC147E"/>
    <w:rsid w:val="00FC1DDF"/>
    <w:rsid w:val="00FC2F5E"/>
    <w:rsid w:val="00FC3179"/>
    <w:rsid w:val="00FC326D"/>
    <w:rsid w:val="00FC464F"/>
    <w:rsid w:val="00FC646C"/>
    <w:rsid w:val="00FD0697"/>
    <w:rsid w:val="00FD06F3"/>
    <w:rsid w:val="00FD120A"/>
    <w:rsid w:val="00FD13BD"/>
    <w:rsid w:val="00FD15B7"/>
    <w:rsid w:val="00FD15DE"/>
    <w:rsid w:val="00FD222F"/>
    <w:rsid w:val="00FD2409"/>
    <w:rsid w:val="00FD2510"/>
    <w:rsid w:val="00FD406D"/>
    <w:rsid w:val="00FD4798"/>
    <w:rsid w:val="00FD6642"/>
    <w:rsid w:val="00FD6E5C"/>
    <w:rsid w:val="00FD73F6"/>
    <w:rsid w:val="00FE09A9"/>
    <w:rsid w:val="00FE0DC9"/>
    <w:rsid w:val="00FE0F24"/>
    <w:rsid w:val="00FE1FB9"/>
    <w:rsid w:val="00FE2A76"/>
    <w:rsid w:val="00FE3178"/>
    <w:rsid w:val="00FE31E0"/>
    <w:rsid w:val="00FE43DA"/>
    <w:rsid w:val="00FE4B30"/>
    <w:rsid w:val="00FE5BD4"/>
    <w:rsid w:val="00FE7175"/>
    <w:rsid w:val="00FF0A34"/>
    <w:rsid w:val="00FF0BE0"/>
    <w:rsid w:val="00FF2272"/>
    <w:rsid w:val="00FF28C3"/>
    <w:rsid w:val="00FF3CFC"/>
    <w:rsid w:val="00FF3FA2"/>
    <w:rsid w:val="00FF615D"/>
    <w:rsid w:val="00FF70B7"/>
    <w:rsid w:val="00FF7549"/>
    <w:rsid w:val="00FF7C64"/>
    <w:rsid w:val="01EA511B"/>
    <w:rsid w:val="02B14719"/>
    <w:rsid w:val="0332E7EA"/>
    <w:rsid w:val="03D5EF5C"/>
    <w:rsid w:val="04BFF736"/>
    <w:rsid w:val="056A0CC6"/>
    <w:rsid w:val="0669AB7F"/>
    <w:rsid w:val="078130E0"/>
    <w:rsid w:val="07F71ED0"/>
    <w:rsid w:val="080FCFFE"/>
    <w:rsid w:val="08AA1A43"/>
    <w:rsid w:val="092D8520"/>
    <w:rsid w:val="09E46522"/>
    <w:rsid w:val="0A2BC578"/>
    <w:rsid w:val="0A68B1D7"/>
    <w:rsid w:val="0BC2FA1B"/>
    <w:rsid w:val="0BE6D685"/>
    <w:rsid w:val="0C6868B7"/>
    <w:rsid w:val="0D9602BC"/>
    <w:rsid w:val="0DE4D758"/>
    <w:rsid w:val="0E6CE0CC"/>
    <w:rsid w:val="0E9096A0"/>
    <w:rsid w:val="10A907EE"/>
    <w:rsid w:val="113474ED"/>
    <w:rsid w:val="117616D7"/>
    <w:rsid w:val="117D087A"/>
    <w:rsid w:val="1224D61C"/>
    <w:rsid w:val="126492EC"/>
    <w:rsid w:val="13159D69"/>
    <w:rsid w:val="133BDFEE"/>
    <w:rsid w:val="13603C10"/>
    <w:rsid w:val="140FD45B"/>
    <w:rsid w:val="15537675"/>
    <w:rsid w:val="15B06F8F"/>
    <w:rsid w:val="15D24964"/>
    <w:rsid w:val="1774519C"/>
    <w:rsid w:val="18A3BB60"/>
    <w:rsid w:val="197202E8"/>
    <w:rsid w:val="19A273DF"/>
    <w:rsid w:val="1B311710"/>
    <w:rsid w:val="1E1D2681"/>
    <w:rsid w:val="1EE4AECE"/>
    <w:rsid w:val="21BB2567"/>
    <w:rsid w:val="21CAEF6F"/>
    <w:rsid w:val="2236DC7F"/>
    <w:rsid w:val="2563F176"/>
    <w:rsid w:val="26016837"/>
    <w:rsid w:val="2682A978"/>
    <w:rsid w:val="28C05704"/>
    <w:rsid w:val="2A130068"/>
    <w:rsid w:val="2A3DC354"/>
    <w:rsid w:val="2C18DC52"/>
    <w:rsid w:val="300B81A6"/>
    <w:rsid w:val="305B8A7F"/>
    <w:rsid w:val="30643E71"/>
    <w:rsid w:val="30787E30"/>
    <w:rsid w:val="30D1D802"/>
    <w:rsid w:val="3129C90F"/>
    <w:rsid w:val="3135DD9F"/>
    <w:rsid w:val="3238B250"/>
    <w:rsid w:val="336067E9"/>
    <w:rsid w:val="34A3E913"/>
    <w:rsid w:val="357D7AD6"/>
    <w:rsid w:val="361CC968"/>
    <w:rsid w:val="36626D0E"/>
    <w:rsid w:val="36885DAE"/>
    <w:rsid w:val="39347757"/>
    <w:rsid w:val="3B4DDD83"/>
    <w:rsid w:val="3CA243D5"/>
    <w:rsid w:val="3D3CE062"/>
    <w:rsid w:val="3DAA69AD"/>
    <w:rsid w:val="3DB4062F"/>
    <w:rsid w:val="3DD45F87"/>
    <w:rsid w:val="3E6AF001"/>
    <w:rsid w:val="3FD7D964"/>
    <w:rsid w:val="40CBEC34"/>
    <w:rsid w:val="41610EA2"/>
    <w:rsid w:val="42643F54"/>
    <w:rsid w:val="4277DC1E"/>
    <w:rsid w:val="44A00795"/>
    <w:rsid w:val="4531A7FC"/>
    <w:rsid w:val="456E6D3C"/>
    <w:rsid w:val="45CE9241"/>
    <w:rsid w:val="487B81F6"/>
    <w:rsid w:val="4B2EA5FD"/>
    <w:rsid w:val="4CC40585"/>
    <w:rsid w:val="4CD90090"/>
    <w:rsid w:val="4D23999E"/>
    <w:rsid w:val="4D2BA369"/>
    <w:rsid w:val="4D46258D"/>
    <w:rsid w:val="4F458260"/>
    <w:rsid w:val="4F54F0E1"/>
    <w:rsid w:val="50463217"/>
    <w:rsid w:val="50EE857F"/>
    <w:rsid w:val="5156C692"/>
    <w:rsid w:val="521BA936"/>
    <w:rsid w:val="52F848B1"/>
    <w:rsid w:val="53F04F58"/>
    <w:rsid w:val="5416266E"/>
    <w:rsid w:val="550808AD"/>
    <w:rsid w:val="55B1941E"/>
    <w:rsid w:val="56D2D1F2"/>
    <w:rsid w:val="57C14DAE"/>
    <w:rsid w:val="58776DEC"/>
    <w:rsid w:val="59060579"/>
    <w:rsid w:val="594AF7B2"/>
    <w:rsid w:val="59EAB328"/>
    <w:rsid w:val="5AEC76F1"/>
    <w:rsid w:val="5C1DF369"/>
    <w:rsid w:val="5D0787C2"/>
    <w:rsid w:val="5E659FE8"/>
    <w:rsid w:val="5E91A619"/>
    <w:rsid w:val="601D242F"/>
    <w:rsid w:val="6030D873"/>
    <w:rsid w:val="60FD66BC"/>
    <w:rsid w:val="61070235"/>
    <w:rsid w:val="617A80AB"/>
    <w:rsid w:val="62625190"/>
    <w:rsid w:val="62B113EA"/>
    <w:rsid w:val="633B0B04"/>
    <w:rsid w:val="6528B68D"/>
    <w:rsid w:val="65691C7A"/>
    <w:rsid w:val="659FA8FD"/>
    <w:rsid w:val="670049B3"/>
    <w:rsid w:val="677ADDEB"/>
    <w:rsid w:val="68CA3FBD"/>
    <w:rsid w:val="69CADCBC"/>
    <w:rsid w:val="6A2D11E7"/>
    <w:rsid w:val="6C8A8B52"/>
    <w:rsid w:val="6CA8353D"/>
    <w:rsid w:val="6DBCE176"/>
    <w:rsid w:val="6DC772A1"/>
    <w:rsid w:val="6E54F3A6"/>
    <w:rsid w:val="6EA3251A"/>
    <w:rsid w:val="708B9C52"/>
    <w:rsid w:val="70AC8D60"/>
    <w:rsid w:val="71D113C1"/>
    <w:rsid w:val="72902F48"/>
    <w:rsid w:val="73769CE5"/>
    <w:rsid w:val="73E7DE7C"/>
    <w:rsid w:val="752A2B41"/>
    <w:rsid w:val="754D617B"/>
    <w:rsid w:val="762F3474"/>
    <w:rsid w:val="767975F6"/>
    <w:rsid w:val="770B223E"/>
    <w:rsid w:val="772E1A4E"/>
    <w:rsid w:val="78395F60"/>
    <w:rsid w:val="789DA1DA"/>
    <w:rsid w:val="78D3BDE8"/>
    <w:rsid w:val="79CE54A5"/>
    <w:rsid w:val="79CE69A0"/>
    <w:rsid w:val="7CEFF1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46258D"/>
  <w15:chartTrackingRefBased/>
  <w15:docId w15:val="{B9BEE591-45A5-4722-A197-934AE0E93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4C106F"/>
    <w:pPr>
      <w:spacing w:after="0" w:line="240" w:lineRule="auto"/>
      <w:ind w:left="720"/>
      <w:contextualSpacing/>
    </w:pPr>
    <w:rPr>
      <w:rFonts w:ascii="Calibri" w:eastAsia="Calibri" w:hAnsi="Calibri" w:cs="Times New Roman"/>
      <w:sz w:val="22"/>
      <w:szCs w:val="22"/>
      <w:lang w:val="en-GB" w:eastAsia="en-US"/>
    </w:rPr>
  </w:style>
  <w:style w:type="character" w:styleId="Hyperlink">
    <w:name w:val="Hyperlink"/>
    <w:basedOn w:val="DefaultParagraphFont"/>
    <w:uiPriority w:val="99"/>
    <w:unhideWhenUsed/>
    <w:rsid w:val="008F7AC8"/>
    <w:rPr>
      <w:color w:val="467886" w:themeColor="hyperlink"/>
      <w:u w:val="single"/>
    </w:rPr>
  </w:style>
  <w:style w:type="character" w:styleId="UnresolvedMention">
    <w:name w:val="Unresolved Mention"/>
    <w:basedOn w:val="DefaultParagraphFont"/>
    <w:uiPriority w:val="99"/>
    <w:semiHidden/>
    <w:unhideWhenUsed/>
    <w:rsid w:val="008F7AC8"/>
    <w:rPr>
      <w:color w:val="605E5C"/>
      <w:shd w:val="clear" w:color="auto" w:fill="E1DFDD"/>
    </w:rPr>
  </w:style>
  <w:style w:type="character" w:styleId="FollowedHyperlink">
    <w:name w:val="FollowedHyperlink"/>
    <w:basedOn w:val="DefaultParagraphFont"/>
    <w:uiPriority w:val="99"/>
    <w:semiHidden/>
    <w:unhideWhenUsed/>
    <w:rsid w:val="00EB43E8"/>
    <w:rPr>
      <w:color w:val="96607D" w:themeColor="followedHyperlink"/>
      <w:u w:val="single"/>
    </w:rPr>
  </w:style>
  <w:style w:type="paragraph" w:styleId="Header">
    <w:name w:val="header"/>
    <w:basedOn w:val="Normal"/>
    <w:link w:val="HeaderChar"/>
    <w:uiPriority w:val="99"/>
    <w:unhideWhenUsed/>
    <w:rsid w:val="009D0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D15"/>
  </w:style>
  <w:style w:type="paragraph" w:styleId="Footer">
    <w:name w:val="footer"/>
    <w:basedOn w:val="Normal"/>
    <w:link w:val="FooterChar"/>
    <w:uiPriority w:val="99"/>
    <w:unhideWhenUsed/>
    <w:rsid w:val="009D0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D15"/>
  </w:style>
  <w:style w:type="paragraph" w:customStyle="1" w:styleId="paragraph">
    <w:name w:val="paragraph"/>
    <w:basedOn w:val="Normal"/>
    <w:uiPriority w:val="1"/>
    <w:rsid w:val="361CC968"/>
    <w:pPr>
      <w:spacing w:beforeAutospacing="1" w:afterAutospacing="1" w:line="240" w:lineRule="auto"/>
    </w:pPr>
    <w:rPr>
      <w:lang w:eastAsia="en-GB"/>
    </w:rPr>
  </w:style>
  <w:style w:type="character" w:customStyle="1" w:styleId="normaltextrun">
    <w:name w:val="normaltextrun"/>
    <w:basedOn w:val="DefaultParagraphFont"/>
    <w:uiPriority w:val="1"/>
    <w:rsid w:val="361CC968"/>
    <w:rPr>
      <w:rFonts w:asciiTheme="minorHAnsi" w:eastAsiaTheme="minorEastAsia" w:hAnsiTheme="minorHAnsi" w:cstheme="minorBidi"/>
      <w:sz w:val="22"/>
      <w:szCs w:val="22"/>
    </w:rPr>
  </w:style>
  <w:style w:type="character" w:styleId="Emphasis">
    <w:name w:val="Emphasis"/>
    <w:basedOn w:val="DefaultParagraphFont"/>
    <w:uiPriority w:val="20"/>
    <w:qFormat/>
    <w:rsid w:val="361CC968"/>
    <w:rPr>
      <w:i/>
      <w:i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81297">
      <w:bodyDiv w:val="1"/>
      <w:marLeft w:val="0"/>
      <w:marRight w:val="0"/>
      <w:marTop w:val="0"/>
      <w:marBottom w:val="0"/>
      <w:divBdr>
        <w:top w:val="none" w:sz="0" w:space="0" w:color="auto"/>
        <w:left w:val="none" w:sz="0" w:space="0" w:color="auto"/>
        <w:bottom w:val="none" w:sz="0" w:space="0" w:color="auto"/>
        <w:right w:val="none" w:sz="0" w:space="0" w:color="auto"/>
      </w:divBdr>
      <w:divsChild>
        <w:div w:id="1809123545">
          <w:marLeft w:val="0"/>
          <w:marRight w:val="0"/>
          <w:marTop w:val="0"/>
          <w:marBottom w:val="0"/>
          <w:divBdr>
            <w:top w:val="none" w:sz="0" w:space="0" w:color="auto"/>
            <w:left w:val="none" w:sz="0" w:space="0" w:color="auto"/>
            <w:bottom w:val="none" w:sz="0" w:space="0" w:color="auto"/>
            <w:right w:val="none" w:sz="0" w:space="0" w:color="auto"/>
          </w:divBdr>
          <w:divsChild>
            <w:div w:id="99549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09237">
      <w:bodyDiv w:val="1"/>
      <w:marLeft w:val="0"/>
      <w:marRight w:val="0"/>
      <w:marTop w:val="0"/>
      <w:marBottom w:val="0"/>
      <w:divBdr>
        <w:top w:val="none" w:sz="0" w:space="0" w:color="auto"/>
        <w:left w:val="none" w:sz="0" w:space="0" w:color="auto"/>
        <w:bottom w:val="none" w:sz="0" w:space="0" w:color="auto"/>
        <w:right w:val="none" w:sz="0" w:space="0" w:color="auto"/>
      </w:divBdr>
      <w:divsChild>
        <w:div w:id="435639335">
          <w:marLeft w:val="0"/>
          <w:marRight w:val="0"/>
          <w:marTop w:val="0"/>
          <w:marBottom w:val="0"/>
          <w:divBdr>
            <w:top w:val="none" w:sz="0" w:space="0" w:color="auto"/>
            <w:left w:val="none" w:sz="0" w:space="0" w:color="auto"/>
            <w:bottom w:val="none" w:sz="0" w:space="0" w:color="auto"/>
            <w:right w:val="none" w:sz="0" w:space="0" w:color="auto"/>
          </w:divBdr>
          <w:divsChild>
            <w:div w:id="113109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658276">
      <w:bodyDiv w:val="1"/>
      <w:marLeft w:val="0"/>
      <w:marRight w:val="0"/>
      <w:marTop w:val="0"/>
      <w:marBottom w:val="0"/>
      <w:divBdr>
        <w:top w:val="none" w:sz="0" w:space="0" w:color="auto"/>
        <w:left w:val="none" w:sz="0" w:space="0" w:color="auto"/>
        <w:bottom w:val="none" w:sz="0" w:space="0" w:color="auto"/>
        <w:right w:val="none" w:sz="0" w:space="0" w:color="auto"/>
      </w:divBdr>
      <w:divsChild>
        <w:div w:id="1738939431">
          <w:marLeft w:val="0"/>
          <w:marRight w:val="0"/>
          <w:marTop w:val="0"/>
          <w:marBottom w:val="0"/>
          <w:divBdr>
            <w:top w:val="none" w:sz="0" w:space="0" w:color="auto"/>
            <w:left w:val="none" w:sz="0" w:space="0" w:color="auto"/>
            <w:bottom w:val="none" w:sz="0" w:space="0" w:color="auto"/>
            <w:right w:val="none" w:sz="0" w:space="0" w:color="auto"/>
          </w:divBdr>
          <w:divsChild>
            <w:div w:id="152516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419418">
      <w:bodyDiv w:val="1"/>
      <w:marLeft w:val="0"/>
      <w:marRight w:val="0"/>
      <w:marTop w:val="0"/>
      <w:marBottom w:val="0"/>
      <w:divBdr>
        <w:top w:val="none" w:sz="0" w:space="0" w:color="auto"/>
        <w:left w:val="none" w:sz="0" w:space="0" w:color="auto"/>
        <w:bottom w:val="none" w:sz="0" w:space="0" w:color="auto"/>
        <w:right w:val="none" w:sz="0" w:space="0" w:color="auto"/>
      </w:divBdr>
      <w:divsChild>
        <w:div w:id="1410467497">
          <w:marLeft w:val="0"/>
          <w:marRight w:val="0"/>
          <w:marTop w:val="0"/>
          <w:marBottom w:val="0"/>
          <w:divBdr>
            <w:top w:val="none" w:sz="0" w:space="0" w:color="auto"/>
            <w:left w:val="none" w:sz="0" w:space="0" w:color="auto"/>
            <w:bottom w:val="none" w:sz="0" w:space="0" w:color="auto"/>
            <w:right w:val="none" w:sz="0" w:space="0" w:color="auto"/>
          </w:divBdr>
          <w:divsChild>
            <w:div w:id="29799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415777">
      <w:bodyDiv w:val="1"/>
      <w:marLeft w:val="0"/>
      <w:marRight w:val="0"/>
      <w:marTop w:val="0"/>
      <w:marBottom w:val="0"/>
      <w:divBdr>
        <w:top w:val="none" w:sz="0" w:space="0" w:color="auto"/>
        <w:left w:val="none" w:sz="0" w:space="0" w:color="auto"/>
        <w:bottom w:val="none" w:sz="0" w:space="0" w:color="auto"/>
        <w:right w:val="none" w:sz="0" w:space="0" w:color="auto"/>
      </w:divBdr>
      <w:divsChild>
        <w:div w:id="1542671172">
          <w:marLeft w:val="0"/>
          <w:marRight w:val="0"/>
          <w:marTop w:val="0"/>
          <w:marBottom w:val="0"/>
          <w:divBdr>
            <w:top w:val="none" w:sz="0" w:space="0" w:color="auto"/>
            <w:left w:val="none" w:sz="0" w:space="0" w:color="auto"/>
            <w:bottom w:val="none" w:sz="0" w:space="0" w:color="auto"/>
            <w:right w:val="none" w:sz="0" w:space="0" w:color="auto"/>
          </w:divBdr>
          <w:divsChild>
            <w:div w:id="196164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436710">
      <w:bodyDiv w:val="1"/>
      <w:marLeft w:val="0"/>
      <w:marRight w:val="0"/>
      <w:marTop w:val="0"/>
      <w:marBottom w:val="0"/>
      <w:divBdr>
        <w:top w:val="none" w:sz="0" w:space="0" w:color="auto"/>
        <w:left w:val="none" w:sz="0" w:space="0" w:color="auto"/>
        <w:bottom w:val="none" w:sz="0" w:space="0" w:color="auto"/>
        <w:right w:val="none" w:sz="0" w:space="0" w:color="auto"/>
      </w:divBdr>
      <w:divsChild>
        <w:div w:id="2017612536">
          <w:marLeft w:val="0"/>
          <w:marRight w:val="0"/>
          <w:marTop w:val="0"/>
          <w:marBottom w:val="0"/>
          <w:divBdr>
            <w:top w:val="none" w:sz="0" w:space="0" w:color="auto"/>
            <w:left w:val="none" w:sz="0" w:space="0" w:color="auto"/>
            <w:bottom w:val="none" w:sz="0" w:space="0" w:color="auto"/>
            <w:right w:val="none" w:sz="0" w:space="0" w:color="auto"/>
          </w:divBdr>
        </w:div>
      </w:divsChild>
    </w:div>
    <w:div w:id="913785332">
      <w:bodyDiv w:val="1"/>
      <w:marLeft w:val="0"/>
      <w:marRight w:val="0"/>
      <w:marTop w:val="0"/>
      <w:marBottom w:val="0"/>
      <w:divBdr>
        <w:top w:val="none" w:sz="0" w:space="0" w:color="auto"/>
        <w:left w:val="none" w:sz="0" w:space="0" w:color="auto"/>
        <w:bottom w:val="none" w:sz="0" w:space="0" w:color="auto"/>
        <w:right w:val="none" w:sz="0" w:space="0" w:color="auto"/>
      </w:divBdr>
      <w:divsChild>
        <w:div w:id="145364528">
          <w:marLeft w:val="0"/>
          <w:marRight w:val="0"/>
          <w:marTop w:val="0"/>
          <w:marBottom w:val="0"/>
          <w:divBdr>
            <w:top w:val="none" w:sz="0" w:space="0" w:color="auto"/>
            <w:left w:val="none" w:sz="0" w:space="0" w:color="auto"/>
            <w:bottom w:val="none" w:sz="0" w:space="0" w:color="auto"/>
            <w:right w:val="none" w:sz="0" w:space="0" w:color="auto"/>
          </w:divBdr>
          <w:divsChild>
            <w:div w:id="20638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98288">
      <w:bodyDiv w:val="1"/>
      <w:marLeft w:val="0"/>
      <w:marRight w:val="0"/>
      <w:marTop w:val="0"/>
      <w:marBottom w:val="0"/>
      <w:divBdr>
        <w:top w:val="none" w:sz="0" w:space="0" w:color="auto"/>
        <w:left w:val="none" w:sz="0" w:space="0" w:color="auto"/>
        <w:bottom w:val="none" w:sz="0" w:space="0" w:color="auto"/>
        <w:right w:val="none" w:sz="0" w:space="0" w:color="auto"/>
      </w:divBdr>
      <w:divsChild>
        <w:div w:id="1517038643">
          <w:marLeft w:val="0"/>
          <w:marRight w:val="0"/>
          <w:marTop w:val="0"/>
          <w:marBottom w:val="0"/>
          <w:divBdr>
            <w:top w:val="none" w:sz="0" w:space="0" w:color="auto"/>
            <w:left w:val="none" w:sz="0" w:space="0" w:color="auto"/>
            <w:bottom w:val="none" w:sz="0" w:space="0" w:color="auto"/>
            <w:right w:val="none" w:sz="0" w:space="0" w:color="auto"/>
          </w:divBdr>
          <w:divsChild>
            <w:div w:id="10265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528429">
      <w:bodyDiv w:val="1"/>
      <w:marLeft w:val="0"/>
      <w:marRight w:val="0"/>
      <w:marTop w:val="0"/>
      <w:marBottom w:val="0"/>
      <w:divBdr>
        <w:top w:val="none" w:sz="0" w:space="0" w:color="auto"/>
        <w:left w:val="none" w:sz="0" w:space="0" w:color="auto"/>
        <w:bottom w:val="none" w:sz="0" w:space="0" w:color="auto"/>
        <w:right w:val="none" w:sz="0" w:space="0" w:color="auto"/>
      </w:divBdr>
      <w:divsChild>
        <w:div w:id="380910431">
          <w:marLeft w:val="0"/>
          <w:marRight w:val="0"/>
          <w:marTop w:val="0"/>
          <w:marBottom w:val="0"/>
          <w:divBdr>
            <w:top w:val="none" w:sz="0" w:space="0" w:color="auto"/>
            <w:left w:val="none" w:sz="0" w:space="0" w:color="auto"/>
            <w:bottom w:val="none" w:sz="0" w:space="0" w:color="auto"/>
            <w:right w:val="none" w:sz="0" w:space="0" w:color="auto"/>
          </w:divBdr>
        </w:div>
      </w:divsChild>
    </w:div>
    <w:div w:id="1228954732">
      <w:bodyDiv w:val="1"/>
      <w:marLeft w:val="0"/>
      <w:marRight w:val="0"/>
      <w:marTop w:val="0"/>
      <w:marBottom w:val="0"/>
      <w:divBdr>
        <w:top w:val="none" w:sz="0" w:space="0" w:color="auto"/>
        <w:left w:val="none" w:sz="0" w:space="0" w:color="auto"/>
        <w:bottom w:val="none" w:sz="0" w:space="0" w:color="auto"/>
        <w:right w:val="none" w:sz="0" w:space="0" w:color="auto"/>
      </w:divBdr>
      <w:divsChild>
        <w:div w:id="995305467">
          <w:marLeft w:val="0"/>
          <w:marRight w:val="0"/>
          <w:marTop w:val="0"/>
          <w:marBottom w:val="0"/>
          <w:divBdr>
            <w:top w:val="none" w:sz="0" w:space="0" w:color="auto"/>
            <w:left w:val="none" w:sz="0" w:space="0" w:color="auto"/>
            <w:bottom w:val="none" w:sz="0" w:space="0" w:color="auto"/>
            <w:right w:val="none" w:sz="0" w:space="0" w:color="auto"/>
          </w:divBdr>
          <w:divsChild>
            <w:div w:id="138617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113121">
      <w:bodyDiv w:val="1"/>
      <w:marLeft w:val="0"/>
      <w:marRight w:val="0"/>
      <w:marTop w:val="0"/>
      <w:marBottom w:val="0"/>
      <w:divBdr>
        <w:top w:val="none" w:sz="0" w:space="0" w:color="auto"/>
        <w:left w:val="none" w:sz="0" w:space="0" w:color="auto"/>
        <w:bottom w:val="none" w:sz="0" w:space="0" w:color="auto"/>
        <w:right w:val="none" w:sz="0" w:space="0" w:color="auto"/>
      </w:divBdr>
      <w:divsChild>
        <w:div w:id="870069260">
          <w:marLeft w:val="0"/>
          <w:marRight w:val="0"/>
          <w:marTop w:val="0"/>
          <w:marBottom w:val="0"/>
          <w:divBdr>
            <w:top w:val="none" w:sz="0" w:space="0" w:color="auto"/>
            <w:left w:val="none" w:sz="0" w:space="0" w:color="auto"/>
            <w:bottom w:val="none" w:sz="0" w:space="0" w:color="auto"/>
            <w:right w:val="none" w:sz="0" w:space="0" w:color="auto"/>
          </w:divBdr>
          <w:divsChild>
            <w:div w:id="13252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946063">
      <w:bodyDiv w:val="1"/>
      <w:marLeft w:val="0"/>
      <w:marRight w:val="0"/>
      <w:marTop w:val="0"/>
      <w:marBottom w:val="0"/>
      <w:divBdr>
        <w:top w:val="none" w:sz="0" w:space="0" w:color="auto"/>
        <w:left w:val="none" w:sz="0" w:space="0" w:color="auto"/>
        <w:bottom w:val="none" w:sz="0" w:space="0" w:color="auto"/>
        <w:right w:val="none" w:sz="0" w:space="0" w:color="auto"/>
      </w:divBdr>
      <w:divsChild>
        <w:div w:id="356123077">
          <w:marLeft w:val="0"/>
          <w:marRight w:val="0"/>
          <w:marTop w:val="0"/>
          <w:marBottom w:val="0"/>
          <w:divBdr>
            <w:top w:val="none" w:sz="0" w:space="0" w:color="auto"/>
            <w:left w:val="none" w:sz="0" w:space="0" w:color="auto"/>
            <w:bottom w:val="none" w:sz="0" w:space="0" w:color="auto"/>
            <w:right w:val="none" w:sz="0" w:space="0" w:color="auto"/>
          </w:divBdr>
          <w:divsChild>
            <w:div w:id="131768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19536">
      <w:bodyDiv w:val="1"/>
      <w:marLeft w:val="0"/>
      <w:marRight w:val="0"/>
      <w:marTop w:val="0"/>
      <w:marBottom w:val="0"/>
      <w:divBdr>
        <w:top w:val="none" w:sz="0" w:space="0" w:color="auto"/>
        <w:left w:val="none" w:sz="0" w:space="0" w:color="auto"/>
        <w:bottom w:val="none" w:sz="0" w:space="0" w:color="auto"/>
        <w:right w:val="none" w:sz="0" w:space="0" w:color="auto"/>
      </w:divBdr>
      <w:divsChild>
        <w:div w:id="837037939">
          <w:marLeft w:val="0"/>
          <w:marRight w:val="0"/>
          <w:marTop w:val="0"/>
          <w:marBottom w:val="0"/>
          <w:divBdr>
            <w:top w:val="none" w:sz="0" w:space="0" w:color="auto"/>
            <w:left w:val="none" w:sz="0" w:space="0" w:color="auto"/>
            <w:bottom w:val="none" w:sz="0" w:space="0" w:color="auto"/>
            <w:right w:val="none" w:sz="0" w:space="0" w:color="auto"/>
          </w:divBdr>
          <w:divsChild>
            <w:div w:id="20553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8271">
      <w:bodyDiv w:val="1"/>
      <w:marLeft w:val="0"/>
      <w:marRight w:val="0"/>
      <w:marTop w:val="0"/>
      <w:marBottom w:val="0"/>
      <w:divBdr>
        <w:top w:val="none" w:sz="0" w:space="0" w:color="auto"/>
        <w:left w:val="none" w:sz="0" w:space="0" w:color="auto"/>
        <w:bottom w:val="none" w:sz="0" w:space="0" w:color="auto"/>
        <w:right w:val="none" w:sz="0" w:space="0" w:color="auto"/>
      </w:divBdr>
      <w:divsChild>
        <w:div w:id="1283419500">
          <w:marLeft w:val="0"/>
          <w:marRight w:val="0"/>
          <w:marTop w:val="0"/>
          <w:marBottom w:val="0"/>
          <w:divBdr>
            <w:top w:val="none" w:sz="0" w:space="0" w:color="auto"/>
            <w:left w:val="none" w:sz="0" w:space="0" w:color="auto"/>
            <w:bottom w:val="none" w:sz="0" w:space="0" w:color="auto"/>
            <w:right w:val="none" w:sz="0" w:space="0" w:color="auto"/>
          </w:divBdr>
          <w:divsChild>
            <w:div w:id="126989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dd943c44576a753cd79c8cc289496753">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a92ed10acb656c363d898dcdea8046d"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4E10FE15-872C-494B-A2BF-0847FF77921B}">
  <ds:schemaRefs>
    <ds:schemaRef ds:uri="http://schemas.microsoft.com/sharepoint/v3/contenttype/forms"/>
  </ds:schemaRefs>
</ds:datastoreItem>
</file>

<file path=customXml/itemProps2.xml><?xml version="1.0" encoding="utf-8"?>
<ds:datastoreItem xmlns:ds="http://schemas.openxmlformats.org/officeDocument/2006/customXml" ds:itemID="{70D0CA81-C683-4A7D-99EB-B42631E1AA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905463-FDB5-4EC0-915F-F07A9E0E4130}">
  <ds:schemaRefs>
    <ds:schemaRef ds:uri="http://schemas.openxmlformats.org/officeDocument/2006/bibliography"/>
  </ds:schemaRefs>
</ds:datastoreItem>
</file>

<file path=customXml/itemProps4.xml><?xml version="1.0" encoding="utf-8"?>
<ds:datastoreItem xmlns:ds="http://schemas.openxmlformats.org/officeDocument/2006/customXml" ds:itemID="{13919967-F144-4573-91F8-6F8ABE6DBB5B}">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51</Pages>
  <Words>15008</Words>
  <Characters>85551</Characters>
  <Application>Microsoft Office Word</Application>
  <DocSecurity>0</DocSecurity>
  <Lines>712</Lines>
  <Paragraphs>200</Paragraphs>
  <ScaleCrop>false</ScaleCrop>
  <Company/>
  <LinksUpToDate>false</LinksUpToDate>
  <CharactersWithSpaces>100359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 (2217384)</dc:creator>
  <cp:keywords/>
  <dc:description/>
  <cp:lastModifiedBy>Catherine Slade (2217384)</cp:lastModifiedBy>
  <cp:revision>2</cp:revision>
  <cp:lastPrinted>2025-06-08T17:34:00Z</cp:lastPrinted>
  <dcterms:created xsi:type="dcterms:W3CDTF">2025-06-13T06:48:00Z</dcterms:created>
  <dcterms:modified xsi:type="dcterms:W3CDTF">2025-06-13T06:48:00Z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12a0711217813a76584c65942e96024155fa147aeb002f146d22889541ca9790</vt:lpwstr>
  </property>
  <property fmtid="{D5CDD505-2E9C-101B-9397-08002B2CF9AE}" pid="3" name="ContentTypeId">
    <vt:lpwstr>0x010100BD024FF986E86248B25DDBA3DBF998D1</vt:lpwstr>
  </property>
</Properties>
</file>