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D0440" w14:textId="77777777" w:rsidR="00692944" w:rsidRDefault="00C86320">
      <w:pPr>
        <w:jc w:val="center"/>
        <w:rPr>
          <w:rFonts w:ascii="Arial" w:eastAsia="Arial" w:hAnsi="Arial" w:cs="Arial"/>
          <w:b/>
          <w:bCs/>
          <w:color w:val="000000"/>
          <w:sz w:val="22"/>
          <w:szCs w:val="22"/>
        </w:rPr>
      </w:pPr>
      <w:r>
        <w:rPr>
          <w:rFonts w:ascii="Arial" w:eastAsia="Arial" w:hAnsi="Arial" w:cs="Arial"/>
          <w:b/>
          <w:bCs/>
          <w:noProof/>
          <w:color w:val="000000"/>
          <w:sz w:val="22"/>
          <w:szCs w:val="22"/>
        </w:rPr>
        <w:drawing>
          <wp:inline distT="114300" distB="114300" distL="114300" distR="114300" wp14:anchorId="1D6D5B06" wp14:editId="0749A42A">
            <wp:extent cx="2590800" cy="1041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90800" cy="1041400"/>
                    </a:xfrm>
                    <a:prstGeom prst="rect">
                      <a:avLst/>
                    </a:prstGeom>
                    <a:ln/>
                  </pic:spPr>
                </pic:pic>
              </a:graphicData>
            </a:graphic>
          </wp:inline>
        </w:drawing>
      </w:r>
    </w:p>
    <w:p w14:paraId="5C28D3A1" w14:textId="77777777" w:rsidR="00692944" w:rsidRDefault="00692944">
      <w:pPr>
        <w:jc w:val="center"/>
        <w:rPr>
          <w:rFonts w:ascii="Arial" w:eastAsia="Arial" w:hAnsi="Arial" w:cs="Arial"/>
          <w:b/>
          <w:bCs/>
          <w:color w:val="000000"/>
          <w:sz w:val="32"/>
          <w:szCs w:val="32"/>
        </w:rPr>
      </w:pPr>
    </w:p>
    <w:p w14:paraId="254BB32A" w14:textId="77777777" w:rsidR="00692944" w:rsidRDefault="00C86320">
      <w:pPr>
        <w:jc w:val="center"/>
        <w:rPr>
          <w:rFonts w:ascii="Arial" w:eastAsia="Arial" w:hAnsi="Arial" w:cs="Arial"/>
          <w:b/>
          <w:bCs/>
          <w:color w:val="000000"/>
          <w:sz w:val="32"/>
          <w:szCs w:val="32"/>
        </w:rPr>
      </w:pPr>
      <w:r>
        <w:rPr>
          <w:rFonts w:ascii="Arial" w:eastAsia="Arial" w:hAnsi="Arial" w:cs="Arial"/>
          <w:b/>
          <w:bCs/>
          <w:color w:val="000000"/>
          <w:sz w:val="32"/>
          <w:szCs w:val="32"/>
        </w:rPr>
        <w:t>Programme: BA (Hons) Leadership and Management Skills for the Workplace</w:t>
      </w:r>
    </w:p>
    <w:p w14:paraId="64250668" w14:textId="77777777" w:rsidR="00692944" w:rsidRDefault="00C86320">
      <w:pPr>
        <w:jc w:val="center"/>
        <w:rPr>
          <w:rFonts w:ascii="Arial" w:eastAsia="Arial" w:hAnsi="Arial" w:cs="Arial"/>
          <w:b/>
          <w:bCs/>
          <w:color w:val="000000"/>
          <w:sz w:val="32"/>
          <w:szCs w:val="32"/>
        </w:rPr>
      </w:pPr>
      <w:r>
        <w:rPr>
          <w:rFonts w:ascii="Arial" w:eastAsia="Arial" w:hAnsi="Arial" w:cs="Arial"/>
          <w:b/>
          <w:bCs/>
          <w:color w:val="000000"/>
          <w:sz w:val="32"/>
          <w:szCs w:val="32"/>
        </w:rPr>
        <w:t>Module: Understanding and Engaging Stakeholders</w:t>
      </w:r>
    </w:p>
    <w:p w14:paraId="7B73ADCD" w14:textId="77777777" w:rsidR="00692944" w:rsidRDefault="00C86320">
      <w:pPr>
        <w:jc w:val="center"/>
        <w:rPr>
          <w:rFonts w:ascii="Arial" w:eastAsia="Arial" w:hAnsi="Arial" w:cs="Arial"/>
          <w:b/>
          <w:bCs/>
          <w:color w:val="000000"/>
          <w:sz w:val="32"/>
          <w:szCs w:val="32"/>
        </w:rPr>
      </w:pPr>
      <w:r>
        <w:rPr>
          <w:rFonts w:ascii="Arial" w:eastAsia="Arial" w:hAnsi="Arial" w:cs="Arial"/>
          <w:b/>
          <w:bCs/>
          <w:color w:val="000000"/>
          <w:sz w:val="32"/>
          <w:szCs w:val="32"/>
        </w:rPr>
        <w:t>Module code: LCLM5001</w:t>
      </w:r>
    </w:p>
    <w:p w14:paraId="1FDF9280" w14:textId="77777777" w:rsidR="00692944" w:rsidRDefault="00C86320">
      <w:pPr>
        <w:jc w:val="center"/>
        <w:rPr>
          <w:rFonts w:ascii="Arial" w:eastAsia="Arial" w:hAnsi="Arial" w:cs="Arial"/>
          <w:b/>
          <w:bCs/>
          <w:color w:val="000000"/>
          <w:sz w:val="32"/>
          <w:szCs w:val="32"/>
        </w:rPr>
      </w:pPr>
      <w:r>
        <w:rPr>
          <w:rFonts w:ascii="Arial" w:eastAsia="Arial" w:hAnsi="Arial" w:cs="Arial"/>
          <w:b/>
          <w:bCs/>
          <w:color w:val="000000"/>
          <w:sz w:val="32"/>
          <w:szCs w:val="32"/>
        </w:rPr>
        <w:t>Module Leaders: Alastair Moyes, Nishi Ramsurrun</w:t>
      </w:r>
    </w:p>
    <w:p w14:paraId="5F040A3F" w14:textId="77777777" w:rsidR="00692944" w:rsidRDefault="00692944">
      <w:pPr>
        <w:jc w:val="center"/>
        <w:rPr>
          <w:rFonts w:ascii="Arial" w:eastAsia="Arial" w:hAnsi="Arial" w:cs="Arial"/>
          <w:b/>
          <w:bCs/>
          <w:color w:val="000000"/>
          <w:sz w:val="22"/>
          <w:szCs w:val="22"/>
        </w:rPr>
      </w:pPr>
    </w:p>
    <w:p w14:paraId="3909F33F" w14:textId="77777777" w:rsidR="00692944" w:rsidRDefault="00C86320">
      <w:pPr>
        <w:jc w:val="center"/>
        <w:rPr>
          <w:rFonts w:ascii="Arial" w:eastAsia="Arial" w:hAnsi="Arial" w:cs="Arial"/>
          <w:b/>
          <w:bCs/>
          <w:i/>
          <w:iCs/>
          <w:color w:val="000000"/>
          <w:sz w:val="22"/>
          <w:szCs w:val="22"/>
        </w:rPr>
      </w:pPr>
      <w:r>
        <w:rPr>
          <w:rFonts w:ascii="Arial" w:eastAsia="Arial" w:hAnsi="Arial" w:cs="Arial"/>
          <w:b/>
          <w:bCs/>
          <w:i/>
          <w:iCs/>
          <w:color w:val="000000"/>
          <w:sz w:val="22"/>
          <w:szCs w:val="22"/>
        </w:rPr>
        <w:t>Assignment Title: Understanding the importance of Stakeholder Engagement in successful commencement and completion of project</w:t>
      </w:r>
    </w:p>
    <w:p w14:paraId="4DC581FE" w14:textId="49C7664F" w:rsidR="00692944" w:rsidRDefault="00607FF7">
      <w:pPr>
        <w:jc w:val="center"/>
        <w:rPr>
          <w:rFonts w:ascii="Arial" w:eastAsia="Arial" w:hAnsi="Arial" w:cs="Arial"/>
          <w:b/>
          <w:bCs/>
          <w:color w:val="000000"/>
          <w:sz w:val="22"/>
          <w:szCs w:val="22"/>
        </w:rPr>
      </w:pPr>
      <w:r>
        <w:rPr>
          <w:rFonts w:ascii="Arial" w:eastAsia="Arial" w:hAnsi="Arial" w:cs="Arial"/>
          <w:b/>
          <w:bCs/>
          <w:color w:val="000000"/>
          <w:sz w:val="22"/>
          <w:szCs w:val="22"/>
        </w:rPr>
        <w:t>Student</w:t>
      </w:r>
      <w:r w:rsidR="006A41AE">
        <w:rPr>
          <w:rFonts w:ascii="Arial" w:eastAsia="Arial" w:hAnsi="Arial" w:cs="Arial"/>
          <w:b/>
          <w:bCs/>
          <w:color w:val="000000"/>
          <w:sz w:val="22"/>
          <w:szCs w:val="22"/>
        </w:rPr>
        <w:t xml:space="preserve"> Name: </w:t>
      </w:r>
      <w:proofErr w:type="spellStart"/>
      <w:r w:rsidR="006A41AE">
        <w:rPr>
          <w:rFonts w:ascii="Arial" w:eastAsia="Arial" w:hAnsi="Arial" w:cs="Arial"/>
          <w:b/>
          <w:bCs/>
          <w:color w:val="000000"/>
          <w:sz w:val="22"/>
          <w:szCs w:val="22"/>
        </w:rPr>
        <w:t>Ionela</w:t>
      </w:r>
      <w:proofErr w:type="spellEnd"/>
      <w:r w:rsidR="006A41AE">
        <w:rPr>
          <w:rFonts w:ascii="Arial" w:eastAsia="Arial" w:hAnsi="Arial" w:cs="Arial"/>
          <w:b/>
          <w:bCs/>
          <w:color w:val="000000"/>
          <w:sz w:val="22"/>
          <w:szCs w:val="22"/>
        </w:rPr>
        <w:t xml:space="preserve"> Olivia Lupsa</w:t>
      </w:r>
    </w:p>
    <w:p w14:paraId="2D18B967" w14:textId="0AAF7FAD" w:rsidR="00692944" w:rsidRDefault="00C86320">
      <w:pPr>
        <w:spacing w:before="0" w:after="160"/>
        <w:jc w:val="center"/>
        <w:rPr>
          <w:rFonts w:ascii="Arial" w:eastAsia="Arial" w:hAnsi="Arial" w:cs="Arial"/>
          <w:b/>
          <w:bCs/>
          <w:color w:val="000000"/>
          <w:sz w:val="22"/>
          <w:szCs w:val="22"/>
        </w:rPr>
      </w:pPr>
      <w:r>
        <w:rPr>
          <w:rFonts w:ascii="Arial" w:eastAsia="Arial" w:hAnsi="Arial" w:cs="Arial"/>
          <w:b/>
          <w:bCs/>
          <w:color w:val="000000"/>
          <w:sz w:val="22"/>
          <w:szCs w:val="22"/>
        </w:rPr>
        <w:t xml:space="preserve">Student </w:t>
      </w:r>
      <w:r w:rsidR="006A41AE">
        <w:rPr>
          <w:rFonts w:ascii="Arial" w:eastAsia="Arial" w:hAnsi="Arial" w:cs="Arial"/>
          <w:b/>
          <w:bCs/>
          <w:color w:val="000000"/>
          <w:sz w:val="22"/>
          <w:szCs w:val="22"/>
        </w:rPr>
        <w:t xml:space="preserve"> Id</w:t>
      </w:r>
      <w:r w:rsidR="00D56988">
        <w:rPr>
          <w:rFonts w:ascii="Arial" w:eastAsia="Arial" w:hAnsi="Arial" w:cs="Arial"/>
          <w:b/>
          <w:bCs/>
          <w:color w:val="000000"/>
          <w:sz w:val="22"/>
          <w:szCs w:val="22"/>
        </w:rPr>
        <w:t>:</w:t>
      </w:r>
      <w:r w:rsidR="00056A32">
        <w:rPr>
          <w:rFonts w:ascii="Arial" w:eastAsia="Arial" w:hAnsi="Arial" w:cs="Arial"/>
          <w:b/>
          <w:bCs/>
          <w:color w:val="000000"/>
          <w:sz w:val="22"/>
          <w:szCs w:val="22"/>
        </w:rPr>
        <w:t>2416880</w:t>
      </w:r>
      <w:r>
        <w:br w:type="page"/>
      </w:r>
    </w:p>
    <w:p w14:paraId="288D6CE0" w14:textId="77777777" w:rsidR="00692944" w:rsidRDefault="00C86320">
      <w:pPr>
        <w:jc w:val="center"/>
        <w:rPr>
          <w:rFonts w:ascii="Arial" w:eastAsia="Arial" w:hAnsi="Arial" w:cs="Arial"/>
          <w:b/>
          <w:bCs/>
          <w:color w:val="000000"/>
          <w:sz w:val="22"/>
          <w:szCs w:val="22"/>
        </w:rPr>
      </w:pPr>
      <w:r>
        <w:rPr>
          <w:rFonts w:ascii="Arial" w:eastAsia="Arial" w:hAnsi="Arial" w:cs="Arial"/>
          <w:b/>
          <w:bCs/>
          <w:color w:val="000000"/>
          <w:sz w:val="22"/>
          <w:szCs w:val="22"/>
        </w:rPr>
        <w:t>Table of Contents</w:t>
      </w:r>
    </w:p>
    <w:sdt>
      <w:sdtPr>
        <w:id w:val="-1439880282"/>
        <w:docPartObj>
          <w:docPartGallery w:val="Table of Contents"/>
          <w:docPartUnique/>
        </w:docPartObj>
      </w:sdtPr>
      <w:sdtEndPr/>
      <w:sdtContent>
        <w:p w14:paraId="549699A7" w14:textId="77777777" w:rsidR="00692944" w:rsidRDefault="00C86320">
          <w:pPr>
            <w:pBdr>
              <w:top w:val="nil"/>
              <w:left w:val="nil"/>
              <w:bottom w:val="nil"/>
              <w:right w:val="nil"/>
              <w:between w:val="nil"/>
            </w:pBdr>
            <w:tabs>
              <w:tab w:val="right" w:pos="9350"/>
            </w:tabs>
            <w:spacing w:after="100"/>
            <w:rPr>
              <w:rFonts w:ascii="Arial" w:eastAsia="Arial" w:hAnsi="Arial" w:cs="Arial"/>
              <w:color w:val="000000"/>
              <w:sz w:val="22"/>
              <w:szCs w:val="22"/>
            </w:rPr>
          </w:pPr>
          <w:r>
            <w:fldChar w:fldCharType="begin"/>
          </w:r>
          <w:r>
            <w:instrText xml:space="preserve"> TOC \h \u \z \t "Heading 1,1,Heading 2,2,Heading 3,3,"</w:instrText>
          </w:r>
          <w:r>
            <w:fldChar w:fldCharType="separate"/>
          </w:r>
          <w:hyperlink w:anchor="_heading=h.4zps0j12asoq">
            <w:r w:rsidR="00692944">
              <w:rPr>
                <w:rFonts w:ascii="Arial" w:eastAsia="Arial" w:hAnsi="Arial" w:cs="Arial"/>
                <w:color w:val="000000"/>
                <w:sz w:val="22"/>
                <w:szCs w:val="22"/>
              </w:rPr>
              <w:t>1. Introduction</w:t>
            </w:r>
            <w:r w:rsidR="00692944">
              <w:rPr>
                <w:rFonts w:ascii="Arial" w:eastAsia="Arial" w:hAnsi="Arial" w:cs="Arial"/>
                <w:color w:val="000000"/>
                <w:sz w:val="22"/>
                <w:szCs w:val="22"/>
              </w:rPr>
              <w:tab/>
              <w:t>3</w:t>
            </w:r>
          </w:hyperlink>
        </w:p>
        <w:p w14:paraId="30917210"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ji1sta6ur2d5">
            <w:r>
              <w:rPr>
                <w:rFonts w:ascii="Arial" w:eastAsia="Arial" w:hAnsi="Arial" w:cs="Arial"/>
                <w:color w:val="000000"/>
                <w:sz w:val="22"/>
                <w:szCs w:val="22"/>
              </w:rPr>
              <w:t xml:space="preserve">2. Appraisal of Convatec </w:t>
            </w:r>
            <w:r>
              <w:rPr>
                <w:rFonts w:ascii="Arial" w:eastAsia="Arial" w:hAnsi="Arial" w:cs="Arial"/>
                <w:color w:val="000000"/>
                <w:sz w:val="22"/>
                <w:szCs w:val="22"/>
              </w:rPr>
              <w:tab/>
              <w:t>3</w:t>
            </w:r>
          </w:hyperlink>
        </w:p>
        <w:p w14:paraId="56D193D9"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8leebfrqilvz">
            <w:r>
              <w:rPr>
                <w:rFonts w:ascii="Arial" w:eastAsia="Arial" w:hAnsi="Arial" w:cs="Arial"/>
                <w:color w:val="000000"/>
                <w:sz w:val="22"/>
                <w:szCs w:val="22"/>
              </w:rPr>
              <w:t>3. Internal and external stakeholders</w:t>
            </w:r>
            <w:r>
              <w:rPr>
                <w:rFonts w:ascii="Arial" w:eastAsia="Arial" w:hAnsi="Arial" w:cs="Arial"/>
                <w:color w:val="000000"/>
                <w:sz w:val="22"/>
                <w:szCs w:val="22"/>
              </w:rPr>
              <w:tab/>
              <w:t>5</w:t>
            </w:r>
          </w:hyperlink>
        </w:p>
        <w:p w14:paraId="4121C2F9"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boevahgigmcv">
            <w:r>
              <w:rPr>
                <w:rFonts w:ascii="Arial" w:eastAsia="Arial" w:hAnsi="Arial" w:cs="Arial"/>
                <w:color w:val="000000"/>
                <w:sz w:val="22"/>
                <w:szCs w:val="22"/>
              </w:rPr>
              <w:t>4. Roles, responsibilities, benefits and challenges of key stakeholders</w:t>
            </w:r>
            <w:r>
              <w:rPr>
                <w:rFonts w:ascii="Arial" w:eastAsia="Arial" w:hAnsi="Arial" w:cs="Arial"/>
                <w:color w:val="000000"/>
                <w:sz w:val="22"/>
                <w:szCs w:val="22"/>
              </w:rPr>
              <w:tab/>
              <w:t>7</w:t>
            </w:r>
          </w:hyperlink>
        </w:p>
        <w:p w14:paraId="4741ADD0"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xvo4r3uo581f">
            <w:r>
              <w:rPr>
                <w:rFonts w:ascii="Arial" w:eastAsia="Arial" w:hAnsi="Arial" w:cs="Arial"/>
                <w:color w:val="000000"/>
                <w:sz w:val="22"/>
                <w:szCs w:val="22"/>
              </w:rPr>
              <w:t>5. Stakeholder's matrix, engagement plan, communication plan and RACI matrix</w:t>
            </w:r>
            <w:r>
              <w:rPr>
                <w:rFonts w:ascii="Arial" w:eastAsia="Arial" w:hAnsi="Arial" w:cs="Arial"/>
                <w:color w:val="000000"/>
                <w:sz w:val="22"/>
                <w:szCs w:val="22"/>
              </w:rPr>
              <w:tab/>
              <w:t>8</w:t>
            </w:r>
          </w:hyperlink>
        </w:p>
        <w:p w14:paraId="3DB5D8DB" w14:textId="77777777" w:rsidR="00692944" w:rsidRDefault="00692944">
          <w:pPr>
            <w:pBdr>
              <w:top w:val="nil"/>
              <w:left w:val="nil"/>
              <w:bottom w:val="nil"/>
              <w:right w:val="nil"/>
              <w:between w:val="nil"/>
            </w:pBdr>
            <w:tabs>
              <w:tab w:val="right" w:pos="9350"/>
            </w:tabs>
            <w:spacing w:after="100"/>
            <w:ind w:left="240"/>
            <w:rPr>
              <w:rFonts w:ascii="Arial" w:eastAsia="Arial" w:hAnsi="Arial" w:cs="Arial"/>
              <w:color w:val="000000"/>
              <w:sz w:val="22"/>
              <w:szCs w:val="22"/>
            </w:rPr>
          </w:pPr>
          <w:hyperlink w:anchor="_heading=h.gulxwfb2mf7f">
            <w:r>
              <w:rPr>
                <w:rFonts w:ascii="Arial" w:eastAsia="Arial" w:hAnsi="Arial" w:cs="Arial"/>
                <w:color w:val="000000"/>
                <w:sz w:val="22"/>
                <w:szCs w:val="22"/>
              </w:rPr>
              <w:t>Stakeholder matrix</w:t>
            </w:r>
            <w:r>
              <w:rPr>
                <w:rFonts w:ascii="Arial" w:eastAsia="Arial" w:hAnsi="Arial" w:cs="Arial"/>
                <w:color w:val="000000"/>
                <w:sz w:val="22"/>
                <w:szCs w:val="22"/>
              </w:rPr>
              <w:tab/>
              <w:t>8</w:t>
            </w:r>
          </w:hyperlink>
        </w:p>
        <w:p w14:paraId="044D30AA" w14:textId="77777777" w:rsidR="00692944" w:rsidRDefault="00692944">
          <w:pPr>
            <w:pBdr>
              <w:top w:val="nil"/>
              <w:left w:val="nil"/>
              <w:bottom w:val="nil"/>
              <w:right w:val="nil"/>
              <w:between w:val="nil"/>
            </w:pBdr>
            <w:tabs>
              <w:tab w:val="right" w:pos="9350"/>
            </w:tabs>
            <w:spacing w:after="100"/>
            <w:ind w:left="240"/>
            <w:rPr>
              <w:rFonts w:ascii="Arial" w:eastAsia="Arial" w:hAnsi="Arial" w:cs="Arial"/>
              <w:color w:val="000000"/>
              <w:sz w:val="22"/>
              <w:szCs w:val="22"/>
            </w:rPr>
          </w:pPr>
          <w:hyperlink w:anchor="_heading=h.r7y7iayst3qj">
            <w:r>
              <w:rPr>
                <w:rFonts w:ascii="Arial" w:eastAsia="Arial" w:hAnsi="Arial" w:cs="Arial"/>
                <w:color w:val="000000"/>
                <w:sz w:val="22"/>
                <w:szCs w:val="22"/>
              </w:rPr>
              <w:t>Engagement plan</w:t>
            </w:r>
            <w:r>
              <w:rPr>
                <w:rFonts w:ascii="Arial" w:eastAsia="Arial" w:hAnsi="Arial" w:cs="Arial"/>
                <w:color w:val="000000"/>
                <w:sz w:val="22"/>
                <w:szCs w:val="22"/>
              </w:rPr>
              <w:tab/>
              <w:t>9</w:t>
            </w:r>
          </w:hyperlink>
        </w:p>
        <w:p w14:paraId="20509AD7" w14:textId="77777777" w:rsidR="00692944" w:rsidRDefault="00692944">
          <w:pPr>
            <w:pBdr>
              <w:top w:val="nil"/>
              <w:left w:val="nil"/>
              <w:bottom w:val="nil"/>
              <w:right w:val="nil"/>
              <w:between w:val="nil"/>
            </w:pBdr>
            <w:tabs>
              <w:tab w:val="right" w:pos="9350"/>
            </w:tabs>
            <w:spacing w:after="100"/>
            <w:ind w:left="240"/>
            <w:rPr>
              <w:rFonts w:ascii="Arial" w:eastAsia="Arial" w:hAnsi="Arial" w:cs="Arial"/>
              <w:color w:val="000000"/>
              <w:sz w:val="22"/>
              <w:szCs w:val="22"/>
            </w:rPr>
          </w:pPr>
          <w:hyperlink w:anchor="_heading=h.gvrsv6xsy9kt">
            <w:r>
              <w:rPr>
                <w:rFonts w:ascii="Arial" w:eastAsia="Arial" w:hAnsi="Arial" w:cs="Arial"/>
                <w:color w:val="000000"/>
                <w:sz w:val="22"/>
                <w:szCs w:val="22"/>
              </w:rPr>
              <w:t>Communication plan</w:t>
            </w:r>
            <w:r>
              <w:rPr>
                <w:rFonts w:ascii="Arial" w:eastAsia="Arial" w:hAnsi="Arial" w:cs="Arial"/>
                <w:color w:val="000000"/>
                <w:sz w:val="22"/>
                <w:szCs w:val="22"/>
              </w:rPr>
              <w:tab/>
              <w:t>10</w:t>
            </w:r>
          </w:hyperlink>
        </w:p>
        <w:p w14:paraId="4F50DC9B" w14:textId="77777777" w:rsidR="00692944" w:rsidRDefault="00692944">
          <w:pPr>
            <w:pBdr>
              <w:top w:val="nil"/>
              <w:left w:val="nil"/>
              <w:bottom w:val="nil"/>
              <w:right w:val="nil"/>
              <w:between w:val="nil"/>
            </w:pBdr>
            <w:tabs>
              <w:tab w:val="right" w:pos="9350"/>
            </w:tabs>
            <w:spacing w:after="100"/>
            <w:ind w:left="240"/>
            <w:rPr>
              <w:rFonts w:ascii="Arial" w:eastAsia="Arial" w:hAnsi="Arial" w:cs="Arial"/>
              <w:color w:val="000000"/>
              <w:sz w:val="22"/>
              <w:szCs w:val="22"/>
            </w:rPr>
          </w:pPr>
          <w:hyperlink w:anchor="_heading=h.sfwsyyup2o86">
            <w:r>
              <w:rPr>
                <w:rFonts w:ascii="Arial" w:eastAsia="Arial" w:hAnsi="Arial" w:cs="Arial"/>
                <w:color w:val="000000"/>
                <w:sz w:val="22"/>
                <w:szCs w:val="22"/>
              </w:rPr>
              <w:t>RACI matrix</w:t>
            </w:r>
            <w:r>
              <w:rPr>
                <w:rFonts w:ascii="Arial" w:eastAsia="Arial" w:hAnsi="Arial" w:cs="Arial"/>
                <w:color w:val="000000"/>
                <w:sz w:val="22"/>
                <w:szCs w:val="22"/>
              </w:rPr>
              <w:tab/>
              <w:t>11</w:t>
            </w:r>
          </w:hyperlink>
        </w:p>
        <w:p w14:paraId="6C2C107B"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priwfpbkzfwa">
            <w:r>
              <w:rPr>
                <w:rFonts w:ascii="Arial" w:eastAsia="Arial" w:hAnsi="Arial" w:cs="Arial"/>
                <w:color w:val="000000"/>
                <w:sz w:val="22"/>
                <w:szCs w:val="22"/>
              </w:rPr>
              <w:t>6. Evaluating methods and managing conflicts of stakeholders  using 4C's model</w:t>
            </w:r>
            <w:r>
              <w:rPr>
                <w:rFonts w:ascii="Arial" w:eastAsia="Arial" w:hAnsi="Arial" w:cs="Arial"/>
                <w:color w:val="000000"/>
                <w:sz w:val="22"/>
                <w:szCs w:val="22"/>
              </w:rPr>
              <w:tab/>
              <w:t>12</w:t>
            </w:r>
          </w:hyperlink>
        </w:p>
        <w:p w14:paraId="71812748"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mdoaytco98u3">
            <w:r>
              <w:rPr>
                <w:rFonts w:ascii="Arial" w:eastAsia="Arial" w:hAnsi="Arial" w:cs="Arial"/>
                <w:color w:val="000000"/>
                <w:sz w:val="22"/>
                <w:szCs w:val="22"/>
              </w:rPr>
              <w:t>7. Impact of stakeholder engagement and recommendations for future</w:t>
            </w:r>
            <w:r>
              <w:rPr>
                <w:rFonts w:ascii="Arial" w:eastAsia="Arial" w:hAnsi="Arial" w:cs="Arial"/>
                <w:color w:val="000000"/>
                <w:sz w:val="22"/>
                <w:szCs w:val="22"/>
              </w:rPr>
              <w:tab/>
              <w:t>14</w:t>
            </w:r>
          </w:hyperlink>
        </w:p>
        <w:p w14:paraId="02CCE4E1"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o314wqlu4650">
            <w:r>
              <w:rPr>
                <w:rFonts w:ascii="Arial" w:eastAsia="Arial" w:hAnsi="Arial" w:cs="Arial"/>
                <w:color w:val="000000"/>
                <w:sz w:val="22"/>
                <w:szCs w:val="22"/>
              </w:rPr>
              <w:t>8. Conclusion</w:t>
            </w:r>
            <w:r>
              <w:rPr>
                <w:rFonts w:ascii="Arial" w:eastAsia="Arial" w:hAnsi="Arial" w:cs="Arial"/>
                <w:color w:val="000000"/>
                <w:sz w:val="22"/>
                <w:szCs w:val="22"/>
              </w:rPr>
              <w:tab/>
              <w:t>17</w:t>
            </w:r>
          </w:hyperlink>
        </w:p>
        <w:p w14:paraId="097538A0" w14:textId="77777777" w:rsidR="00692944" w:rsidRDefault="00692944">
          <w:pPr>
            <w:pBdr>
              <w:top w:val="nil"/>
              <w:left w:val="nil"/>
              <w:bottom w:val="nil"/>
              <w:right w:val="nil"/>
              <w:between w:val="nil"/>
            </w:pBdr>
            <w:tabs>
              <w:tab w:val="right" w:pos="9350"/>
            </w:tabs>
            <w:spacing w:after="100"/>
            <w:rPr>
              <w:rFonts w:ascii="Arial" w:eastAsia="Arial" w:hAnsi="Arial" w:cs="Arial"/>
              <w:color w:val="000000"/>
              <w:sz w:val="22"/>
              <w:szCs w:val="22"/>
            </w:rPr>
          </w:pPr>
          <w:hyperlink w:anchor="_heading=h.mxl82v7gf89e">
            <w:r>
              <w:rPr>
                <w:rFonts w:ascii="Arial" w:eastAsia="Arial" w:hAnsi="Arial" w:cs="Arial"/>
                <w:color w:val="000000"/>
                <w:sz w:val="22"/>
                <w:szCs w:val="22"/>
              </w:rPr>
              <w:t>Reference List</w:t>
            </w:r>
            <w:r>
              <w:rPr>
                <w:rFonts w:ascii="Arial" w:eastAsia="Arial" w:hAnsi="Arial" w:cs="Arial"/>
                <w:color w:val="000000"/>
                <w:sz w:val="22"/>
                <w:szCs w:val="22"/>
              </w:rPr>
              <w:tab/>
              <w:t>18</w:t>
            </w:r>
          </w:hyperlink>
        </w:p>
        <w:p w14:paraId="7109FE08" w14:textId="77777777" w:rsidR="00692944" w:rsidRDefault="00C86320">
          <w:pPr>
            <w:rPr>
              <w:rFonts w:ascii="Arial" w:eastAsia="Arial" w:hAnsi="Arial" w:cs="Arial"/>
              <w:color w:val="000000"/>
              <w:sz w:val="22"/>
              <w:szCs w:val="22"/>
            </w:rPr>
          </w:pPr>
          <w:r>
            <w:fldChar w:fldCharType="end"/>
          </w:r>
        </w:p>
      </w:sdtContent>
    </w:sdt>
    <w:p w14:paraId="27637AAD" w14:textId="77777777" w:rsidR="00692944" w:rsidRDefault="00C86320">
      <w:pPr>
        <w:spacing w:before="0" w:after="160"/>
        <w:jc w:val="left"/>
        <w:rPr>
          <w:rFonts w:ascii="Arial" w:eastAsia="Arial" w:hAnsi="Arial" w:cs="Arial"/>
          <w:color w:val="000000"/>
          <w:sz w:val="22"/>
          <w:szCs w:val="22"/>
        </w:rPr>
      </w:pPr>
      <w:r>
        <w:br w:type="page"/>
      </w:r>
    </w:p>
    <w:p w14:paraId="2E65FA44" w14:textId="77777777" w:rsidR="00692944" w:rsidRDefault="00C86320">
      <w:pPr>
        <w:pStyle w:val="Titlu1"/>
        <w:rPr>
          <w:rFonts w:ascii="Arial" w:eastAsia="Arial" w:hAnsi="Arial" w:cs="Arial"/>
          <w:color w:val="000000"/>
          <w:sz w:val="22"/>
          <w:szCs w:val="22"/>
        </w:rPr>
      </w:pPr>
      <w:bookmarkStart w:id="0" w:name="_heading=h.4zps0j12asoq" w:colFirst="0" w:colLast="0"/>
      <w:bookmarkEnd w:id="0"/>
      <w:r>
        <w:rPr>
          <w:rFonts w:ascii="Arial" w:eastAsia="Arial" w:hAnsi="Arial" w:cs="Arial"/>
          <w:color w:val="000000"/>
          <w:sz w:val="22"/>
          <w:szCs w:val="22"/>
        </w:rPr>
        <w:t xml:space="preserve">1. Introduction </w:t>
      </w:r>
    </w:p>
    <w:p w14:paraId="193EDE1E" w14:textId="77777777" w:rsidR="00692944" w:rsidRDefault="00C86320">
      <w:pPr>
        <w:rPr>
          <w:rFonts w:ascii="Arial" w:eastAsia="Arial" w:hAnsi="Arial" w:cs="Arial"/>
          <w:color w:val="000000"/>
          <w:sz w:val="22"/>
          <w:szCs w:val="22"/>
        </w:rPr>
      </w:pP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Group plc is an organisation which has its headquarters in the United Kingdom. It has an international presence of medical products and medical technologies groups. It aims at improving lives through improved healthcare solutions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2025). It mostly specialises in wound care, ostomy care, continence care, and infusion devices. The main goal is to provide "forever caring" solutions for improving patient well-being and health outcomes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2025).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is also making efforts to enter the mar</w:t>
      </w:r>
      <w:r>
        <w:rPr>
          <w:rFonts w:ascii="Arial" w:eastAsia="Arial" w:hAnsi="Arial" w:cs="Arial"/>
          <w:color w:val="000000"/>
          <w:sz w:val="22"/>
          <w:szCs w:val="22"/>
        </w:rPr>
        <w:t xml:space="preserve">ket of wearable health devices. The new device is named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The new device will allow users to make their health manageable by the adoption of real-time analysis of data related to health (Kang and </w:t>
      </w:r>
      <w:proofErr w:type="spellStart"/>
      <w:r>
        <w:rPr>
          <w:rFonts w:ascii="Arial" w:eastAsia="Arial" w:hAnsi="Arial" w:cs="Arial"/>
          <w:color w:val="000000"/>
          <w:sz w:val="22"/>
          <w:szCs w:val="22"/>
        </w:rPr>
        <w:t>Exworthy</w:t>
      </w:r>
      <w:proofErr w:type="spellEnd"/>
      <w:r>
        <w:rPr>
          <w:rFonts w:ascii="Arial" w:eastAsia="Arial" w:hAnsi="Arial" w:cs="Arial"/>
          <w:color w:val="000000"/>
          <w:sz w:val="22"/>
          <w:szCs w:val="22"/>
        </w:rPr>
        <w:t xml:space="preserve">, 2022). It will help to track heart rate, oxygen saturation, and sleep. </w:t>
      </w:r>
    </w:p>
    <w:p w14:paraId="1BDBEF74"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Wearable devices like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demonstrate the new wave of digital healthcare innovation. Wearable devices have enabled preventive treatment and remote health monitoring (George, Shahul and George, 2023). The UK's health system has great support for healthcare technology innovation and ethical approval systems. </w:t>
      </w:r>
      <w:proofErr w:type="spellStart"/>
      <w:r>
        <w:rPr>
          <w:rFonts w:ascii="Arial" w:eastAsia="Arial" w:hAnsi="Arial" w:cs="Arial"/>
          <w:color w:val="000000"/>
          <w:sz w:val="22"/>
          <w:szCs w:val="22"/>
        </w:rPr>
        <w:t>Convatec's</w:t>
      </w:r>
      <w:proofErr w:type="spellEnd"/>
      <w:r>
        <w:rPr>
          <w:rFonts w:ascii="Arial" w:eastAsia="Arial" w:hAnsi="Arial" w:cs="Arial"/>
          <w:color w:val="000000"/>
          <w:sz w:val="22"/>
          <w:szCs w:val="22"/>
        </w:rPr>
        <w:t xml:space="preserve"> emphasis on patient confidence, research, and technological innovation contributes to its sustainability strategy.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focuses on addressing global health needs while ensuring ethical practice and patient s</w:t>
      </w:r>
      <w:r>
        <w:rPr>
          <w:rFonts w:ascii="Arial" w:eastAsia="Arial" w:hAnsi="Arial" w:cs="Arial"/>
          <w:color w:val="000000"/>
          <w:sz w:val="22"/>
          <w:szCs w:val="22"/>
        </w:rPr>
        <w:t xml:space="preserve">afety. The launch of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highlights the goal of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to establish its leadership in the digital health technology sector.</w:t>
      </w:r>
    </w:p>
    <w:p w14:paraId="5F7E04B6" w14:textId="77777777" w:rsidR="00692944" w:rsidRDefault="00C86320">
      <w:pPr>
        <w:pStyle w:val="Titlu1"/>
        <w:rPr>
          <w:rFonts w:ascii="Arial" w:eastAsia="Arial" w:hAnsi="Arial" w:cs="Arial"/>
          <w:sz w:val="22"/>
          <w:szCs w:val="22"/>
        </w:rPr>
      </w:pPr>
      <w:bookmarkStart w:id="1" w:name="_heading=h.ji1sta6ur2d5" w:colFirst="0" w:colLast="0"/>
      <w:bookmarkEnd w:id="1"/>
      <w:r>
        <w:rPr>
          <w:rFonts w:ascii="Arial" w:eastAsia="Arial" w:hAnsi="Arial" w:cs="Arial"/>
          <w:color w:val="000000"/>
          <w:sz w:val="22"/>
          <w:szCs w:val="22"/>
        </w:rPr>
        <w:t xml:space="preserve">2. Appraisal of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w:t>
      </w:r>
    </w:p>
    <w:p w14:paraId="0087B694" w14:textId="77777777" w:rsidR="00692944" w:rsidRDefault="00C86320">
      <w:pPr>
        <w:rPr>
          <w:rFonts w:ascii="Arial" w:eastAsia="Arial" w:hAnsi="Arial" w:cs="Arial"/>
          <w:b/>
          <w:bCs/>
        </w:rPr>
      </w:pPr>
      <w:r>
        <w:rPr>
          <w:rFonts w:ascii="Arial" w:eastAsia="Arial" w:hAnsi="Arial" w:cs="Arial"/>
          <w:b/>
          <w:bCs/>
        </w:rPr>
        <w:t>SWOT Analysis</w:t>
      </w:r>
    </w:p>
    <w:p w14:paraId="7173F3ED"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The SWOT model helps in emphasising the strengths as well as weaknesses and external opportunities and threats (Bhatia et al., 2024). These are highlighted below:</w:t>
      </w:r>
    </w:p>
    <w:p w14:paraId="0861B2BA"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Strengths</w:t>
      </w:r>
    </w:p>
    <w:p w14:paraId="271250AE" w14:textId="77777777" w:rsidR="00692944" w:rsidRDefault="00C86320">
      <w:pPr>
        <w:rPr>
          <w:rFonts w:ascii="Arial" w:eastAsia="Arial" w:hAnsi="Arial" w:cs="Arial"/>
          <w:color w:val="000000"/>
          <w:sz w:val="22"/>
          <w:szCs w:val="22"/>
        </w:rPr>
      </w:pP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has a good brand reputation and trust among healthcare professionals. It has operations in over 90 countries worldwide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2025). Its customer and relationship model guarantees stakeholder loyalty by trust.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quality and compliance enhance its competitive advantage. Its "Forever Caring" philosophy establishes brand identity and moral obligation in the healthcare technology industry. </w:t>
      </w:r>
    </w:p>
    <w:p w14:paraId="04ADE527"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Weaknesses</w:t>
      </w:r>
    </w:p>
    <w:p w14:paraId="1E3CB6A7"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The company has also focused on digital marketing competencies as compared to tech-enabled rivals. The regulatory adoption of wearable health devices is a changing scenario in recent market trends. Meeting UK medical device reform product certification problems (Han et al., 2022). These may postpone the launch or add to the cost of developing. </w:t>
      </w:r>
    </w:p>
    <w:p w14:paraId="1A37E1F6"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Opportunities</w:t>
      </w:r>
    </w:p>
    <w:p w14:paraId="6CE4642B"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The wearable health technology market is growing at a fast rate worldwide.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can take advantage by providing precise, user-friendly, and clinic-trial-tested monitoring. Collaboration with healthcare organisations has the potential to enhance product adoption and credibility among users (Raftery, Hossain and Palmer, 2022). </w:t>
      </w:r>
      <w:proofErr w:type="spellStart"/>
      <w:r>
        <w:rPr>
          <w:rFonts w:ascii="Arial" w:eastAsia="Arial" w:hAnsi="Arial" w:cs="Arial"/>
          <w:color w:val="000000"/>
          <w:sz w:val="22"/>
          <w:szCs w:val="22"/>
        </w:rPr>
        <w:t>Convatec's</w:t>
      </w:r>
      <w:proofErr w:type="spellEnd"/>
      <w:r>
        <w:rPr>
          <w:rFonts w:ascii="Arial" w:eastAsia="Arial" w:hAnsi="Arial" w:cs="Arial"/>
          <w:color w:val="000000"/>
          <w:sz w:val="22"/>
          <w:szCs w:val="22"/>
        </w:rPr>
        <w:t xml:space="preserve"> established record, worldwide reach, and ethical credibility position it as the ideal candidate to take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to market.</w:t>
      </w:r>
    </w:p>
    <w:p w14:paraId="10E3C29B"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Threats</w:t>
      </w:r>
    </w:p>
    <w:p w14:paraId="0CAD66E3"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Wearable technology is very competitive in the current market. Apple, Fitbit, and Garmin are market leaders in this sector. There are many players who have price and innovation issues as entry points (Ma, </w:t>
      </w:r>
      <w:proofErr w:type="spellStart"/>
      <w:r>
        <w:rPr>
          <w:rFonts w:ascii="Arial" w:eastAsia="Arial" w:hAnsi="Arial" w:cs="Arial"/>
          <w:color w:val="000000"/>
          <w:sz w:val="22"/>
          <w:szCs w:val="22"/>
        </w:rPr>
        <w:t>Mananap</w:t>
      </w:r>
      <w:proofErr w:type="spellEnd"/>
      <w:r>
        <w:rPr>
          <w:rFonts w:ascii="Arial" w:eastAsia="Arial" w:hAnsi="Arial" w:cs="Arial"/>
          <w:color w:val="000000"/>
          <w:sz w:val="22"/>
          <w:szCs w:val="22"/>
        </w:rPr>
        <w:t xml:space="preserve"> and Bautista, 2024). Users anticipate secure storage and processing of their personal health information (Jo et al., 2023). </w:t>
      </w:r>
      <w:r>
        <w:rPr>
          <w:rFonts w:ascii="Arial" w:eastAsia="Arial" w:hAnsi="Arial" w:cs="Arial"/>
          <w:sz w:val="22"/>
          <w:szCs w:val="22"/>
        </w:rPr>
        <w:t xml:space="preserve">Cybersecurity and data privacy concerns are also significant issues. </w:t>
      </w:r>
    </w:p>
    <w:p w14:paraId="7350DD3E"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PESTLE Analysis</w:t>
      </w:r>
    </w:p>
    <w:p w14:paraId="00447802"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Political aspects</w:t>
      </w:r>
    </w:p>
    <w:p w14:paraId="5DBC882B" w14:textId="11E11FD3" w:rsidR="00692944" w:rsidRDefault="00C86320">
      <w:pPr>
        <w:rPr>
          <w:rFonts w:ascii="Arial" w:eastAsia="Arial" w:hAnsi="Arial" w:cs="Arial"/>
          <w:b/>
          <w:bCs/>
          <w:color w:val="FF0000"/>
          <w:sz w:val="22"/>
          <w:szCs w:val="22"/>
        </w:rPr>
      </w:pPr>
      <w:r>
        <w:rPr>
          <w:rFonts w:ascii="Arial" w:eastAsia="Arial" w:hAnsi="Arial" w:cs="Arial"/>
          <w:color w:val="FF0000"/>
          <w:sz w:val="22"/>
          <w:szCs w:val="22"/>
        </w:rPr>
        <w:t xml:space="preserve">UK government policy of digital health innovations </w:t>
      </w:r>
      <w:r w:rsidR="00FD2453">
        <w:rPr>
          <w:rFonts w:ascii="Arial" w:eastAsia="Arial" w:hAnsi="Arial" w:cs="Arial"/>
          <w:color w:val="FF0000"/>
          <w:sz w:val="22"/>
          <w:szCs w:val="22"/>
        </w:rPr>
        <w:t>drives</w:t>
      </w:r>
      <w:r>
        <w:rPr>
          <w:rFonts w:ascii="Arial" w:eastAsia="Arial" w:hAnsi="Arial" w:cs="Arial"/>
          <w:color w:val="FF0000"/>
          <w:sz w:val="22"/>
          <w:szCs w:val="22"/>
        </w:rPr>
        <w:t xml:space="preserve"> development (World Health Organisation, 2025). </w:t>
      </w:r>
      <w:proofErr w:type="spellStart"/>
      <w:r>
        <w:rPr>
          <w:rFonts w:ascii="Arial" w:eastAsia="Arial" w:hAnsi="Arial" w:cs="Arial"/>
          <w:color w:val="FF0000"/>
          <w:sz w:val="22"/>
          <w:szCs w:val="22"/>
        </w:rPr>
        <w:t>Convatec</w:t>
      </w:r>
      <w:proofErr w:type="spellEnd"/>
      <w:r>
        <w:rPr>
          <w:rFonts w:ascii="Arial" w:eastAsia="Arial" w:hAnsi="Arial" w:cs="Arial"/>
          <w:color w:val="FF0000"/>
          <w:sz w:val="22"/>
          <w:szCs w:val="22"/>
        </w:rPr>
        <w:t xml:space="preserve"> is able to use its R&amp;D and ethics competencies to design safe, evidence-based products that are compliant with health regulations.</w:t>
      </w:r>
    </w:p>
    <w:p w14:paraId="24C0B03E"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Economic aspects</w:t>
      </w:r>
    </w:p>
    <w:p w14:paraId="0F35FB7D" w14:textId="77777777" w:rsidR="00692944" w:rsidRDefault="00C86320">
      <w:pPr>
        <w:rPr>
          <w:rFonts w:ascii="Arial" w:eastAsia="Arial" w:hAnsi="Arial" w:cs="Arial"/>
          <w:b/>
          <w:bCs/>
          <w:color w:val="FF0000"/>
          <w:sz w:val="22"/>
          <w:szCs w:val="22"/>
        </w:rPr>
      </w:pPr>
      <w:proofErr w:type="spellStart"/>
      <w:r>
        <w:rPr>
          <w:rFonts w:ascii="Arial" w:eastAsia="Arial" w:hAnsi="Arial" w:cs="Arial"/>
          <w:color w:val="FF0000"/>
          <w:sz w:val="22"/>
          <w:szCs w:val="22"/>
        </w:rPr>
        <w:t>Convatec</w:t>
      </w:r>
      <w:proofErr w:type="spellEnd"/>
      <w:r>
        <w:rPr>
          <w:rFonts w:ascii="Arial" w:eastAsia="Arial" w:hAnsi="Arial" w:cs="Arial"/>
          <w:color w:val="FF0000"/>
          <w:sz w:val="22"/>
          <w:szCs w:val="22"/>
        </w:rPr>
        <w:t xml:space="preserve"> faces operational cost complexities and twisted supply chains. New integration of digital health solutions provides massive investment in software and data management (Liu, Shi and Yang, 2022). Its partnership marketing strategy guarantees long-term collaboration and trust between regulators, clinicians, and patients (Christopher, Payne and Ballantyne, 2013). Economic issues, as well as shifts in global supply prices, can even affect the production efficiency and distribution.</w:t>
      </w:r>
    </w:p>
    <w:p w14:paraId="24FDB065"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Social aspects</w:t>
      </w:r>
    </w:p>
    <w:p w14:paraId="3364DF32" w14:textId="77777777" w:rsidR="00692944" w:rsidRDefault="00C86320">
      <w:pPr>
        <w:rPr>
          <w:rFonts w:ascii="Arial" w:eastAsia="Arial" w:hAnsi="Arial" w:cs="Arial"/>
          <w:color w:val="FF0000"/>
          <w:sz w:val="22"/>
          <w:szCs w:val="22"/>
        </w:rPr>
      </w:pPr>
      <w:r>
        <w:rPr>
          <w:rFonts w:ascii="Arial" w:eastAsia="Arial" w:hAnsi="Arial" w:cs="Arial"/>
          <w:color w:val="FF0000"/>
          <w:sz w:val="22"/>
          <w:szCs w:val="22"/>
        </w:rPr>
        <w:t xml:space="preserve">Social factors play an important role in the adoption of </w:t>
      </w:r>
      <w:proofErr w:type="spellStart"/>
      <w:r>
        <w:rPr>
          <w:rFonts w:ascii="Arial" w:eastAsia="Arial" w:hAnsi="Arial" w:cs="Arial"/>
          <w:color w:val="FF0000"/>
          <w:sz w:val="22"/>
          <w:szCs w:val="22"/>
        </w:rPr>
        <w:t>Vitalyn</w:t>
      </w:r>
      <w:proofErr w:type="spellEnd"/>
      <w:r>
        <w:rPr>
          <w:rFonts w:ascii="Arial" w:eastAsia="Arial" w:hAnsi="Arial" w:cs="Arial"/>
          <w:color w:val="FF0000"/>
          <w:sz w:val="22"/>
          <w:szCs w:val="22"/>
        </w:rPr>
        <w:t>, as users increasingly value personal health monitoring, well-being, and preventive care. Growing public awareness of chronic conditions is driving up demand for wearables. Trust, usability, and accessibility are high because patients want trustworthy, easy-to-use technology that will boost confidence in self-management of their health.</w:t>
      </w:r>
    </w:p>
    <w:p w14:paraId="3FD34619"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Technological aspects</w:t>
      </w:r>
    </w:p>
    <w:p w14:paraId="27350B1E" w14:textId="77777777" w:rsidR="00692944" w:rsidRDefault="00C86320">
      <w:pPr>
        <w:rPr>
          <w:rFonts w:ascii="Arial" w:eastAsia="Arial" w:hAnsi="Arial" w:cs="Arial"/>
          <w:b/>
          <w:bCs/>
          <w:color w:val="FF0000"/>
          <w:sz w:val="22"/>
          <w:szCs w:val="22"/>
        </w:rPr>
      </w:pPr>
      <w:r>
        <w:rPr>
          <w:rFonts w:ascii="Arial" w:eastAsia="Arial" w:hAnsi="Arial" w:cs="Arial"/>
          <w:color w:val="FF0000"/>
          <w:sz w:val="22"/>
          <w:szCs w:val="22"/>
        </w:rPr>
        <w:t>Technical adaptation and regulatory alignment are the most crucial challenges. It has strong R&amp;D functions that guarantee medical device innovation (Hu et al., 2025). Users become healthier and conscious and want to use self-monitoring devices (George, Shahul and George, 2023). Open innovation and collaboration with digital health players have the potential to enhance product development.</w:t>
      </w:r>
    </w:p>
    <w:p w14:paraId="38F8562A"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 xml:space="preserve">Legal aspects </w:t>
      </w:r>
    </w:p>
    <w:p w14:paraId="2A0E620D" w14:textId="77777777" w:rsidR="00692944" w:rsidRDefault="00C86320">
      <w:pPr>
        <w:rPr>
          <w:rFonts w:ascii="Arial" w:eastAsia="Arial" w:hAnsi="Arial" w:cs="Arial"/>
          <w:b/>
          <w:bCs/>
          <w:color w:val="FF0000"/>
          <w:sz w:val="22"/>
          <w:szCs w:val="22"/>
        </w:rPr>
      </w:pPr>
      <w:proofErr w:type="spellStart"/>
      <w:r>
        <w:rPr>
          <w:rFonts w:ascii="Arial" w:eastAsia="Arial" w:hAnsi="Arial" w:cs="Arial"/>
          <w:color w:val="FF0000"/>
          <w:sz w:val="22"/>
          <w:szCs w:val="22"/>
        </w:rPr>
        <w:t>Convatec</w:t>
      </w:r>
      <w:proofErr w:type="spellEnd"/>
      <w:r>
        <w:rPr>
          <w:rFonts w:ascii="Arial" w:eastAsia="Arial" w:hAnsi="Arial" w:cs="Arial"/>
          <w:color w:val="FF0000"/>
          <w:sz w:val="22"/>
          <w:szCs w:val="22"/>
        </w:rPr>
        <w:t xml:space="preserve"> adheres to strict medical device certification standards for safety and efficacy. Transparency in communication and working with stakeholders has been critical as the manager of the project. After the launch of monitoring, the need for medical devices is becoming more severe (</w:t>
      </w:r>
      <w:proofErr w:type="spellStart"/>
      <w:r>
        <w:rPr>
          <w:rFonts w:ascii="Arial" w:eastAsia="Arial" w:hAnsi="Arial" w:cs="Arial"/>
          <w:color w:val="FF0000"/>
          <w:sz w:val="22"/>
          <w:szCs w:val="22"/>
        </w:rPr>
        <w:t>Badnjević</w:t>
      </w:r>
      <w:proofErr w:type="spellEnd"/>
      <w:r>
        <w:rPr>
          <w:rFonts w:ascii="Arial" w:eastAsia="Arial" w:hAnsi="Arial" w:cs="Arial"/>
          <w:color w:val="FF0000"/>
          <w:sz w:val="22"/>
          <w:szCs w:val="22"/>
        </w:rPr>
        <w:t xml:space="preserve"> et al., 2022). By utilising judicious strategic management, </w:t>
      </w:r>
      <w:proofErr w:type="spellStart"/>
      <w:r>
        <w:rPr>
          <w:rFonts w:ascii="Arial" w:eastAsia="Arial" w:hAnsi="Arial" w:cs="Arial"/>
          <w:color w:val="FF0000"/>
          <w:sz w:val="22"/>
          <w:szCs w:val="22"/>
        </w:rPr>
        <w:t>Convatec</w:t>
      </w:r>
      <w:proofErr w:type="spellEnd"/>
      <w:r>
        <w:rPr>
          <w:rFonts w:ascii="Arial" w:eastAsia="Arial" w:hAnsi="Arial" w:cs="Arial"/>
          <w:color w:val="FF0000"/>
          <w:sz w:val="22"/>
          <w:szCs w:val="22"/>
        </w:rPr>
        <w:t xml:space="preserve"> can make </w:t>
      </w:r>
      <w:proofErr w:type="spellStart"/>
      <w:r>
        <w:rPr>
          <w:rFonts w:ascii="Arial" w:eastAsia="Arial" w:hAnsi="Arial" w:cs="Arial"/>
          <w:color w:val="FF0000"/>
          <w:sz w:val="22"/>
          <w:szCs w:val="22"/>
        </w:rPr>
        <w:t>Vitalyn</w:t>
      </w:r>
      <w:proofErr w:type="spellEnd"/>
      <w:r>
        <w:rPr>
          <w:rFonts w:ascii="Arial" w:eastAsia="Arial" w:hAnsi="Arial" w:cs="Arial"/>
          <w:color w:val="FF0000"/>
          <w:sz w:val="22"/>
          <w:szCs w:val="22"/>
        </w:rPr>
        <w:t xml:space="preserve"> a dependable wearable health product among global consumers. Data breaches may harm brand trust and cause regulatory fines. </w:t>
      </w:r>
    </w:p>
    <w:p w14:paraId="04D44992"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Environmental aspects</w:t>
      </w:r>
    </w:p>
    <w:p w14:paraId="5F170608" w14:textId="77777777" w:rsidR="00692944" w:rsidRDefault="00C86320">
      <w:pPr>
        <w:rPr>
          <w:rFonts w:ascii="Arial" w:eastAsia="Arial" w:hAnsi="Arial" w:cs="Arial"/>
          <w:color w:val="FF0000"/>
          <w:sz w:val="22"/>
          <w:szCs w:val="22"/>
        </w:rPr>
      </w:pPr>
      <w:r>
        <w:rPr>
          <w:rFonts w:ascii="Arial" w:eastAsia="Arial" w:hAnsi="Arial" w:cs="Arial"/>
          <w:color w:val="FF0000"/>
          <w:sz w:val="22"/>
          <w:szCs w:val="22"/>
        </w:rPr>
        <w:t xml:space="preserve">The environmental factors that influence the operations at </w:t>
      </w:r>
      <w:proofErr w:type="spellStart"/>
      <w:r>
        <w:rPr>
          <w:rFonts w:ascii="Arial" w:eastAsia="Arial" w:hAnsi="Arial" w:cs="Arial"/>
          <w:color w:val="FF0000"/>
          <w:sz w:val="22"/>
          <w:szCs w:val="22"/>
        </w:rPr>
        <w:t>Convatec</w:t>
      </w:r>
      <w:proofErr w:type="spellEnd"/>
      <w:r>
        <w:rPr>
          <w:rFonts w:ascii="Arial" w:eastAsia="Arial" w:hAnsi="Arial" w:cs="Arial"/>
          <w:color w:val="FF0000"/>
          <w:sz w:val="22"/>
          <w:szCs w:val="22"/>
        </w:rPr>
        <w:t xml:space="preserve"> include the expectation of sustainability, responsible sourcing, and waste minimisation. The process of manufacturing wearable devices should ensure material and energy efficiency. With increasing consumer interest in eco-friendly products and the demand by regulators, </w:t>
      </w:r>
      <w:proofErr w:type="spellStart"/>
      <w:r>
        <w:rPr>
          <w:rFonts w:ascii="Arial" w:eastAsia="Arial" w:hAnsi="Arial" w:cs="Arial"/>
          <w:color w:val="FF0000"/>
          <w:sz w:val="22"/>
          <w:szCs w:val="22"/>
        </w:rPr>
        <w:t>Convatec</w:t>
      </w:r>
      <w:proofErr w:type="spellEnd"/>
      <w:r>
        <w:rPr>
          <w:rFonts w:ascii="Arial" w:eastAsia="Arial" w:hAnsi="Arial" w:cs="Arial"/>
          <w:color w:val="FF0000"/>
          <w:sz w:val="22"/>
          <w:szCs w:val="22"/>
        </w:rPr>
        <w:t xml:space="preserve"> should pursue sustainable product production, minimise electronic wastes, and apply green supply chain procedures to help in long-term environmental sustainability.</w:t>
      </w:r>
    </w:p>
    <w:p w14:paraId="114F5041" w14:textId="77777777" w:rsidR="00692944" w:rsidRDefault="00C86320">
      <w:pPr>
        <w:rPr>
          <w:rFonts w:ascii="Arial" w:eastAsia="Arial" w:hAnsi="Arial" w:cs="Arial"/>
          <w:b/>
          <w:bCs/>
          <w:color w:val="FF0000"/>
          <w:sz w:val="22"/>
          <w:szCs w:val="22"/>
        </w:rPr>
      </w:pPr>
      <w:r>
        <w:rPr>
          <w:rFonts w:ascii="Arial" w:eastAsia="Arial" w:hAnsi="Arial" w:cs="Arial"/>
          <w:b/>
          <w:bCs/>
          <w:color w:val="FF0000"/>
          <w:sz w:val="22"/>
          <w:szCs w:val="22"/>
        </w:rPr>
        <w:t>SMART Objectives</w:t>
      </w:r>
    </w:p>
    <w:p w14:paraId="2AC67DF2" w14:textId="77777777" w:rsidR="00692944" w:rsidRDefault="00C86320">
      <w:pPr>
        <w:rPr>
          <w:rFonts w:ascii="Arial" w:eastAsia="Arial" w:hAnsi="Arial" w:cs="Arial"/>
          <w:color w:val="FF0000"/>
          <w:sz w:val="22"/>
          <w:szCs w:val="22"/>
        </w:rPr>
      </w:pPr>
      <w:r>
        <w:rPr>
          <w:rFonts w:ascii="Arial" w:eastAsia="Arial" w:hAnsi="Arial" w:cs="Arial"/>
          <w:b/>
          <w:bCs/>
          <w:color w:val="FF0000"/>
          <w:sz w:val="22"/>
          <w:szCs w:val="22"/>
        </w:rPr>
        <w:t xml:space="preserve">Specific: </w:t>
      </w:r>
      <w:r>
        <w:rPr>
          <w:rFonts w:ascii="Arial" w:eastAsia="Arial" w:hAnsi="Arial" w:cs="Arial"/>
          <w:color w:val="FF0000"/>
          <w:sz w:val="22"/>
          <w:szCs w:val="22"/>
        </w:rPr>
        <w:t xml:space="preserve">To successfully launch </w:t>
      </w:r>
      <w:proofErr w:type="spellStart"/>
      <w:r>
        <w:rPr>
          <w:rFonts w:ascii="Arial" w:eastAsia="Arial" w:hAnsi="Arial" w:cs="Arial"/>
          <w:color w:val="FF0000"/>
          <w:sz w:val="22"/>
          <w:szCs w:val="22"/>
        </w:rPr>
        <w:t>Vitalyn</w:t>
      </w:r>
      <w:proofErr w:type="spellEnd"/>
      <w:r>
        <w:rPr>
          <w:rFonts w:ascii="Arial" w:eastAsia="Arial" w:hAnsi="Arial" w:cs="Arial"/>
          <w:color w:val="FF0000"/>
          <w:sz w:val="22"/>
          <w:szCs w:val="22"/>
        </w:rPr>
        <w:t xml:space="preserve"> as a compliant, </w:t>
      </w:r>
      <w:proofErr w:type="spellStart"/>
      <w:r>
        <w:rPr>
          <w:rFonts w:ascii="Arial" w:eastAsia="Arial" w:hAnsi="Arial" w:cs="Arial"/>
          <w:color w:val="FF0000"/>
          <w:sz w:val="22"/>
          <w:szCs w:val="22"/>
        </w:rPr>
        <w:t>user-centered</w:t>
      </w:r>
      <w:proofErr w:type="spellEnd"/>
      <w:r>
        <w:rPr>
          <w:rFonts w:ascii="Arial" w:eastAsia="Arial" w:hAnsi="Arial" w:cs="Arial"/>
          <w:color w:val="FF0000"/>
          <w:sz w:val="22"/>
          <w:szCs w:val="22"/>
        </w:rPr>
        <w:t xml:space="preserve"> wearable health device in the UK market.</w:t>
      </w:r>
    </w:p>
    <w:p w14:paraId="1BDA6676" w14:textId="77777777" w:rsidR="00692944" w:rsidRDefault="00C86320">
      <w:pPr>
        <w:rPr>
          <w:rFonts w:ascii="Arial" w:eastAsia="Arial" w:hAnsi="Arial" w:cs="Arial"/>
          <w:color w:val="FF0000"/>
          <w:sz w:val="22"/>
          <w:szCs w:val="22"/>
        </w:rPr>
      </w:pPr>
      <w:r>
        <w:rPr>
          <w:rFonts w:ascii="Arial" w:eastAsia="Arial" w:hAnsi="Arial" w:cs="Arial"/>
          <w:b/>
          <w:bCs/>
          <w:color w:val="FF0000"/>
          <w:sz w:val="22"/>
          <w:szCs w:val="22"/>
        </w:rPr>
        <w:t>Measurable</w:t>
      </w:r>
      <w:r>
        <w:rPr>
          <w:rFonts w:ascii="Arial" w:eastAsia="Arial" w:hAnsi="Arial" w:cs="Arial"/>
          <w:color w:val="FF0000"/>
          <w:sz w:val="22"/>
          <w:szCs w:val="22"/>
        </w:rPr>
        <w:t>: To obtain regulatory approval and ensure adoption by five partner healthcare clinics within six months.</w:t>
      </w:r>
    </w:p>
    <w:p w14:paraId="24998387" w14:textId="77777777" w:rsidR="00692944" w:rsidRDefault="00C86320">
      <w:pPr>
        <w:rPr>
          <w:rFonts w:ascii="Arial" w:eastAsia="Arial" w:hAnsi="Arial" w:cs="Arial"/>
          <w:color w:val="FF0000"/>
          <w:sz w:val="22"/>
          <w:szCs w:val="22"/>
        </w:rPr>
      </w:pPr>
      <w:r>
        <w:rPr>
          <w:rFonts w:ascii="Arial" w:eastAsia="Arial" w:hAnsi="Arial" w:cs="Arial"/>
          <w:b/>
          <w:bCs/>
          <w:color w:val="FF0000"/>
          <w:sz w:val="22"/>
          <w:szCs w:val="22"/>
        </w:rPr>
        <w:t>Achievable</w:t>
      </w:r>
      <w:r>
        <w:rPr>
          <w:rFonts w:ascii="Arial" w:eastAsia="Arial" w:hAnsi="Arial" w:cs="Arial"/>
          <w:color w:val="FF0000"/>
          <w:sz w:val="22"/>
          <w:szCs w:val="22"/>
        </w:rPr>
        <w:t>: To utilise strong R&amp;D, stakeholder engagement, and compliance processes to meet the requirements of launch.</w:t>
      </w:r>
    </w:p>
    <w:p w14:paraId="30579089" w14:textId="77777777" w:rsidR="00692944" w:rsidRDefault="00C86320">
      <w:pPr>
        <w:rPr>
          <w:rFonts w:ascii="Arial" w:eastAsia="Arial" w:hAnsi="Arial" w:cs="Arial"/>
          <w:color w:val="FF0000"/>
          <w:sz w:val="22"/>
          <w:szCs w:val="22"/>
        </w:rPr>
      </w:pPr>
      <w:r>
        <w:rPr>
          <w:rFonts w:ascii="Arial" w:eastAsia="Arial" w:hAnsi="Arial" w:cs="Arial"/>
          <w:b/>
          <w:bCs/>
          <w:color w:val="FF0000"/>
          <w:sz w:val="22"/>
          <w:szCs w:val="22"/>
        </w:rPr>
        <w:t>Relevant</w:t>
      </w:r>
      <w:r>
        <w:rPr>
          <w:rFonts w:ascii="Arial" w:eastAsia="Arial" w:hAnsi="Arial" w:cs="Arial"/>
          <w:color w:val="FF0000"/>
          <w:sz w:val="22"/>
          <w:szCs w:val="22"/>
        </w:rPr>
        <w:t xml:space="preserve">: To align with </w:t>
      </w:r>
      <w:proofErr w:type="spellStart"/>
      <w:r>
        <w:rPr>
          <w:rFonts w:ascii="Arial" w:eastAsia="Arial" w:hAnsi="Arial" w:cs="Arial"/>
          <w:color w:val="FF0000"/>
          <w:sz w:val="22"/>
          <w:szCs w:val="22"/>
        </w:rPr>
        <w:t>Convatec's</w:t>
      </w:r>
      <w:proofErr w:type="spellEnd"/>
      <w:r>
        <w:rPr>
          <w:rFonts w:ascii="Arial" w:eastAsia="Arial" w:hAnsi="Arial" w:cs="Arial"/>
          <w:color w:val="FF0000"/>
          <w:sz w:val="22"/>
          <w:szCs w:val="22"/>
        </w:rPr>
        <w:t xml:space="preserve"> mission to advance digital health and improve patient outcomes.</w:t>
      </w:r>
    </w:p>
    <w:p w14:paraId="2A509DFB" w14:textId="77777777" w:rsidR="00692944" w:rsidRDefault="00C86320">
      <w:pPr>
        <w:rPr>
          <w:rFonts w:ascii="Arial" w:eastAsia="Arial" w:hAnsi="Arial" w:cs="Arial"/>
          <w:color w:val="FF0000"/>
          <w:sz w:val="22"/>
          <w:szCs w:val="22"/>
        </w:rPr>
      </w:pPr>
      <w:r>
        <w:rPr>
          <w:rFonts w:ascii="Arial" w:eastAsia="Arial" w:hAnsi="Arial" w:cs="Arial"/>
          <w:b/>
          <w:bCs/>
          <w:color w:val="FF0000"/>
          <w:sz w:val="22"/>
          <w:szCs w:val="22"/>
        </w:rPr>
        <w:t>Time-bound:</w:t>
      </w:r>
      <w:r>
        <w:rPr>
          <w:rFonts w:ascii="Arial" w:eastAsia="Arial" w:hAnsi="Arial" w:cs="Arial"/>
          <w:color w:val="FF0000"/>
          <w:sz w:val="22"/>
          <w:szCs w:val="22"/>
        </w:rPr>
        <w:t xml:space="preserve"> To complete certification, testing, and initial market launch in 12 months.</w:t>
      </w:r>
    </w:p>
    <w:p w14:paraId="71C96139" w14:textId="77777777" w:rsidR="00692944" w:rsidRDefault="00C86320">
      <w:pPr>
        <w:pStyle w:val="Titlu1"/>
        <w:rPr>
          <w:rFonts w:ascii="Arial" w:eastAsia="Arial" w:hAnsi="Arial" w:cs="Arial"/>
          <w:color w:val="000000"/>
          <w:sz w:val="22"/>
          <w:szCs w:val="22"/>
        </w:rPr>
      </w:pPr>
      <w:bookmarkStart w:id="2" w:name="_heading=h.8leebfrqilvz" w:colFirst="0" w:colLast="0"/>
      <w:bookmarkEnd w:id="2"/>
      <w:r>
        <w:rPr>
          <w:rFonts w:ascii="Arial" w:eastAsia="Arial" w:hAnsi="Arial" w:cs="Arial"/>
          <w:color w:val="000000"/>
          <w:sz w:val="22"/>
          <w:szCs w:val="22"/>
        </w:rPr>
        <w:t xml:space="preserve">3. Internal and external stakeholders </w:t>
      </w:r>
    </w:p>
    <w:p w14:paraId="55A3CD01"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Stakeholders are internal and external groups of people that impact or are impacted by the success of the project (Woudstra et al., 2022). Both sides have their own experience, interests, and expectations that need to be dealt with properly.</w:t>
      </w:r>
    </w:p>
    <w:p w14:paraId="07FC7E9A" w14:textId="77777777" w:rsidR="00692944" w:rsidRDefault="00C86320">
      <w:pPr>
        <w:rPr>
          <w:rFonts w:ascii="Arial" w:eastAsia="Arial" w:hAnsi="Arial" w:cs="Arial"/>
          <w:b/>
          <w:bCs/>
          <w:i/>
          <w:iCs/>
          <w:color w:val="000000"/>
          <w:sz w:val="22"/>
          <w:szCs w:val="22"/>
        </w:rPr>
      </w:pPr>
      <w:r>
        <w:rPr>
          <w:rFonts w:ascii="Arial" w:eastAsia="Arial" w:hAnsi="Arial" w:cs="Arial"/>
          <w:b/>
          <w:bCs/>
          <w:i/>
          <w:iCs/>
          <w:color w:val="000000"/>
          <w:sz w:val="22"/>
          <w:szCs w:val="22"/>
        </w:rPr>
        <w:t>Internal Stakeholders</w:t>
      </w:r>
    </w:p>
    <w:p w14:paraId="7C91883F"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Senior Management and Product Development Team</w:t>
      </w:r>
    </w:p>
    <w:p w14:paraId="7624E2D4"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The support of executive leadership guarantees proper finance, regulatory support, and conformity with </w:t>
      </w:r>
      <w:proofErr w:type="spellStart"/>
      <w:r>
        <w:rPr>
          <w:rFonts w:ascii="Arial" w:eastAsia="Arial" w:hAnsi="Arial" w:cs="Arial"/>
          <w:color w:val="000000"/>
          <w:sz w:val="22"/>
          <w:szCs w:val="22"/>
        </w:rPr>
        <w:t>Convatec's</w:t>
      </w:r>
      <w:proofErr w:type="spellEnd"/>
      <w:r>
        <w:rPr>
          <w:rFonts w:ascii="Arial" w:eastAsia="Arial" w:hAnsi="Arial" w:cs="Arial"/>
          <w:color w:val="000000"/>
          <w:sz w:val="22"/>
          <w:szCs w:val="22"/>
        </w:rPr>
        <w:t xml:space="preserve"> purpose of "Forever Caring"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2025). The executive leadership team provides the vision, finance, and strategic direction for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w:t>
      </w:r>
    </w:p>
    <w:p w14:paraId="001EC84B"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This department adopts functionality and design within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It consists of biomedical scientists, engineers, and software developers. Device safety, usability, and accuracy are their areas of expertise (von Behr, Semple and Minshall, 2022). Product reliability and regulatory preparedness are ensured through interdepartmental coordination.</w:t>
      </w:r>
    </w:p>
    <w:p w14:paraId="37F6A0AA"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Research, Innovation Department and HR</w:t>
      </w:r>
    </w:p>
    <w:p w14:paraId="0B7E752D"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The R&amp;D department tests prototypes and makes use of novel sensor technology. There are 28 officers of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along with many correspondents (GOV UK, 2025a). The R&amp;D department also collaborates with research institutions outside and hospitals for trials and data accumulation (Hu et al., 2025). This ensures innovation and medical standards compliance.</w:t>
      </w:r>
    </w:p>
    <w:p w14:paraId="0D61F1ED"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Marketing, Sales Department and Quality Assurance Team</w:t>
      </w:r>
    </w:p>
    <w:p w14:paraId="018ADBE1"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This department creates promotional strategies, branding, and online marketing campaigns. The marketing and sales department informs consumers and healthcare professionals of product benefits (Hashimoto, Motozawa and Mano, 2024). The sales team maintains product inventory and customer visibility. They acquire UK medical device compliance and certification processes (Baines et al., 2023). It is essential for their role to achieve new Medical Device Regulation (MDR) levels and prevent market delay entry.</w:t>
      </w:r>
    </w:p>
    <w:p w14:paraId="472204DB" w14:textId="77777777" w:rsidR="00692944" w:rsidRDefault="00C86320">
      <w:pPr>
        <w:rPr>
          <w:rFonts w:ascii="Arial" w:eastAsia="Arial" w:hAnsi="Arial" w:cs="Arial"/>
          <w:b/>
          <w:bCs/>
          <w:i/>
          <w:iCs/>
          <w:color w:val="000000"/>
          <w:sz w:val="22"/>
          <w:szCs w:val="22"/>
        </w:rPr>
      </w:pPr>
      <w:r>
        <w:rPr>
          <w:rFonts w:ascii="Arial" w:eastAsia="Arial" w:hAnsi="Arial" w:cs="Arial"/>
          <w:b/>
          <w:bCs/>
          <w:i/>
          <w:iCs/>
          <w:color w:val="000000"/>
          <w:sz w:val="22"/>
          <w:szCs w:val="22"/>
        </w:rPr>
        <w:t>External stakeholders</w:t>
      </w:r>
    </w:p>
    <w:p w14:paraId="7F210F49"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Consumers and Patients</w:t>
      </w:r>
    </w:p>
    <w:p w14:paraId="325464FF"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The end-users are the centre stakeholders of the project. The trust and satisfaction of the users are the key drivers of the market (George, Shahul and George, 2023). Their feedback is utilised to improve product usability and design.</w:t>
      </w:r>
    </w:p>
    <w:p w14:paraId="6AB35FAE"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Healthcare Professionals and Clinics</w:t>
      </w:r>
    </w:p>
    <w:p w14:paraId="7E6A7644"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The endorsements of the healthcare professionals shape product credibility and uptake (Prieto-Avalos et al., 2022). Physicians, nurses and healthcare institutions confirm the credibility of the device, which helps in monitoring heart rate, oxygen levels and sleep patterns (</w:t>
      </w:r>
      <w:proofErr w:type="spellStart"/>
      <w:r>
        <w:rPr>
          <w:rFonts w:ascii="Arial" w:eastAsia="Arial" w:hAnsi="Arial" w:cs="Arial"/>
          <w:color w:val="000000"/>
          <w:sz w:val="22"/>
          <w:szCs w:val="22"/>
        </w:rPr>
        <w:t>Alugubelli</w:t>
      </w:r>
      <w:proofErr w:type="spellEnd"/>
      <w:r>
        <w:rPr>
          <w:rFonts w:ascii="Arial" w:eastAsia="Arial" w:hAnsi="Arial" w:cs="Arial"/>
          <w:color w:val="000000"/>
          <w:sz w:val="22"/>
          <w:szCs w:val="22"/>
        </w:rPr>
        <w:t xml:space="preserve">, </w:t>
      </w:r>
      <w:proofErr w:type="spellStart"/>
      <w:r>
        <w:rPr>
          <w:rFonts w:ascii="Arial" w:eastAsia="Arial" w:hAnsi="Arial" w:cs="Arial"/>
          <w:color w:val="000000"/>
          <w:sz w:val="22"/>
          <w:szCs w:val="22"/>
        </w:rPr>
        <w:t>Abuissa</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Roka</w:t>
      </w:r>
      <w:proofErr w:type="spellEnd"/>
      <w:r>
        <w:rPr>
          <w:rFonts w:ascii="Arial" w:eastAsia="Arial" w:hAnsi="Arial" w:cs="Arial"/>
          <w:color w:val="000000"/>
          <w:sz w:val="22"/>
          <w:szCs w:val="22"/>
        </w:rPr>
        <w:t xml:space="preserve">, 2022). This is highly crucial for health benefits. </w:t>
      </w:r>
    </w:p>
    <w:p w14:paraId="554809A9"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Regulatory Bodies</w:t>
      </w:r>
    </w:p>
    <w:p w14:paraId="47A77515"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Organisations like the UK Medicines and Healthcare products Regulatory Agency (MHRA) scrutinise and license the device (GOV UK, 2025b). Their comments ensure safety and ethical compliance for the organisation. </w:t>
      </w:r>
    </w:p>
    <w:p w14:paraId="7E43748D"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Suppliers and Technology Partners</w:t>
      </w:r>
    </w:p>
    <w:p w14:paraId="7CDB41D3"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Engagement with suppliers guarantees quality materials and seamless production (Liu, Shi and Yang, 2022). Off-site vendors provide materials, sensors, and software. </w:t>
      </w:r>
    </w:p>
    <w:p w14:paraId="02793E8E"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Investors and Shareholders</w:t>
      </w:r>
    </w:p>
    <w:p w14:paraId="00618DA7"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Clarity of communication provides confidence and long-term investment (Pawlak, 2017). They finance the venture and anticipate great returns on the new product launch. </w:t>
      </w:r>
    </w:p>
    <w:p w14:paraId="3983FEC3" w14:textId="77777777" w:rsidR="00692944" w:rsidRDefault="00C86320">
      <w:pPr>
        <w:pStyle w:val="Titlu1"/>
        <w:rPr>
          <w:rFonts w:ascii="Arial" w:eastAsia="Arial" w:hAnsi="Arial" w:cs="Arial"/>
          <w:color w:val="000000"/>
          <w:sz w:val="22"/>
          <w:szCs w:val="22"/>
        </w:rPr>
      </w:pPr>
      <w:bookmarkStart w:id="3" w:name="_heading=h.boevahgigmcv" w:colFirst="0" w:colLast="0"/>
      <w:bookmarkEnd w:id="3"/>
      <w:r>
        <w:rPr>
          <w:rFonts w:ascii="Arial" w:eastAsia="Arial" w:hAnsi="Arial" w:cs="Arial"/>
          <w:color w:val="000000"/>
          <w:sz w:val="22"/>
          <w:szCs w:val="22"/>
        </w:rPr>
        <w:t xml:space="preserve">4. Roles, responsibilities, benefits and challenges of key stakeholders </w:t>
      </w:r>
    </w:p>
    <w:p w14:paraId="17D14711"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Stakeholder management must be effective in order to create a success story for the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project. </w:t>
      </w:r>
      <w:r>
        <w:rPr>
          <w:rFonts w:ascii="Arial" w:eastAsia="Arial" w:hAnsi="Arial" w:cs="Arial"/>
          <w:sz w:val="22"/>
          <w:szCs w:val="22"/>
        </w:rPr>
        <w:t>S</w:t>
      </w:r>
      <w:r>
        <w:rPr>
          <w:rFonts w:ascii="Arial" w:eastAsia="Arial" w:hAnsi="Arial" w:cs="Arial"/>
          <w:color w:val="000000"/>
          <w:sz w:val="22"/>
          <w:szCs w:val="22"/>
        </w:rPr>
        <w:t>takeholder</w:t>
      </w:r>
      <w:r>
        <w:rPr>
          <w:rFonts w:ascii="Arial" w:eastAsia="Arial" w:hAnsi="Arial" w:cs="Arial"/>
          <w:sz w:val="22"/>
          <w:szCs w:val="22"/>
        </w:rPr>
        <w:t xml:space="preserve">s </w:t>
      </w:r>
      <w:r>
        <w:rPr>
          <w:rFonts w:ascii="Arial" w:eastAsia="Arial" w:hAnsi="Arial" w:cs="Arial"/>
          <w:color w:val="000000"/>
          <w:sz w:val="22"/>
          <w:szCs w:val="22"/>
        </w:rPr>
        <w:t xml:space="preserve">also encounter challenges at various phases of the project. Open communication ensures cooperation and minimises risks (Pawlak, 2017).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is a global medical products and technologies company, focused on solutions for the management of chronic conditions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2025). Their primary advantage is realising market expansion, profitability, and increased reputation. Senior management is challenged with balancing financial limitations with technological and regulatory requ</w:t>
      </w:r>
      <w:r>
        <w:rPr>
          <w:rFonts w:ascii="Arial" w:eastAsia="Arial" w:hAnsi="Arial" w:cs="Arial"/>
          <w:color w:val="000000"/>
          <w:sz w:val="22"/>
          <w:szCs w:val="22"/>
        </w:rPr>
        <w:t xml:space="preserve">irements (Han et al., 2022). The product development team is primarily concerned with designing, developing, and perfecting the wearable device. Their effort guarantees correct tracking of heart rate, oxygenation, and sleep patterns (Prieto-Avalos et al., 2022). They are rewarded with innovation and professional growth recognition. </w:t>
      </w:r>
    </w:p>
    <w:p w14:paraId="52A024A7"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The challenges include adhering to strict schedules, dealing with complex technology, and ensuring safety in their products (von Behr, Semple and Minshall, 2022). The innovation and research team contributes by data collection, testing, and integrating new scientific information into the device. Interaction with schools and hospitals helps in improvement in performance and reliability (Hu et al., 2025). The major benefit is the creation of new knowledge and further collaboration. Ethical approval processes </w:t>
      </w:r>
      <w:r>
        <w:rPr>
          <w:rFonts w:ascii="Arial" w:eastAsia="Arial" w:hAnsi="Arial" w:cs="Arial"/>
          <w:color w:val="000000"/>
          <w:sz w:val="22"/>
          <w:szCs w:val="22"/>
        </w:rPr>
        <w:t>and maintenance of research integrity are their difficulties (</w:t>
      </w:r>
      <w:proofErr w:type="spellStart"/>
      <w:r>
        <w:rPr>
          <w:rFonts w:ascii="Arial" w:eastAsia="Arial" w:hAnsi="Arial" w:cs="Arial"/>
          <w:color w:val="000000"/>
          <w:sz w:val="22"/>
          <w:szCs w:val="22"/>
        </w:rPr>
        <w:t>Elshenawy</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Aslanpour</w:t>
      </w:r>
      <w:proofErr w:type="spellEnd"/>
      <w:r>
        <w:rPr>
          <w:rFonts w:ascii="Arial" w:eastAsia="Arial" w:hAnsi="Arial" w:cs="Arial"/>
          <w:color w:val="000000"/>
          <w:sz w:val="22"/>
          <w:szCs w:val="22"/>
        </w:rPr>
        <w:t xml:space="preserve">, 2024). The sales and marketing department advertises and markets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by adoption of advertising, branding, and customer outreach initiatives. It teaches the masses and physicians regarding the health and lifestyle benefit of the product (Hashimoto, Motozawa and Mano, 2024). The department has increased brand recognition and cash flow. It is confronted with tough competition and distinguishes the product from other est</w:t>
      </w:r>
      <w:r>
        <w:rPr>
          <w:rFonts w:ascii="Arial" w:eastAsia="Arial" w:hAnsi="Arial" w:cs="Arial"/>
          <w:color w:val="000000"/>
          <w:sz w:val="22"/>
          <w:szCs w:val="22"/>
        </w:rPr>
        <w:t xml:space="preserve">ablished brands like Fitbit or Apple. </w:t>
      </w:r>
    </w:p>
    <w:p w14:paraId="64AAED76"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Regulatory and assurance quality staff ensure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conforms to UK medical device regulations. They document compliance reports, undertake testing for safety, and post-market follow-up on performance (Baines et al., 2023). They enhance brand legality and legitimacy. There are immediate tasks for external stakeholders to carry out. Clinical accuracy must be confirmed, in addition to feedback analysis. The device was advised for patients by healthcare professionals (Chan et al., 2022). They benefit from enhanced patient monitoring but experience integr</w:t>
      </w:r>
      <w:r>
        <w:rPr>
          <w:rFonts w:ascii="Arial" w:eastAsia="Arial" w:hAnsi="Arial" w:cs="Arial"/>
          <w:color w:val="000000"/>
          <w:sz w:val="22"/>
          <w:szCs w:val="22"/>
        </w:rPr>
        <w:t>ation problems with current systems. Regulatory authorities sanction the device and adopt compliance to ensure public safety. Efficient project management requires effective organisation, prioritisation, and budgeting of research activities (</w:t>
      </w:r>
      <w:proofErr w:type="spellStart"/>
      <w:r>
        <w:rPr>
          <w:rFonts w:ascii="Arial" w:eastAsia="Arial" w:hAnsi="Arial" w:cs="Arial"/>
          <w:color w:val="000000"/>
          <w:sz w:val="22"/>
          <w:szCs w:val="22"/>
        </w:rPr>
        <w:t>Abdelsalam</w:t>
      </w:r>
      <w:proofErr w:type="spellEnd"/>
      <w:r>
        <w:rPr>
          <w:rFonts w:ascii="Arial" w:eastAsia="Arial" w:hAnsi="Arial" w:cs="Arial"/>
          <w:color w:val="000000"/>
          <w:sz w:val="22"/>
          <w:szCs w:val="22"/>
        </w:rPr>
        <w:t xml:space="preserve"> </w:t>
      </w:r>
      <w:proofErr w:type="spellStart"/>
      <w:r>
        <w:rPr>
          <w:rFonts w:ascii="Arial" w:eastAsia="Arial" w:hAnsi="Arial" w:cs="Arial"/>
          <w:color w:val="000000"/>
          <w:sz w:val="22"/>
          <w:szCs w:val="22"/>
        </w:rPr>
        <w:t>Elshenawy</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Aslanpour</w:t>
      </w:r>
      <w:proofErr w:type="spellEnd"/>
      <w:r>
        <w:rPr>
          <w:rFonts w:ascii="Arial" w:eastAsia="Arial" w:hAnsi="Arial" w:cs="Arial"/>
          <w:color w:val="000000"/>
          <w:sz w:val="22"/>
          <w:szCs w:val="22"/>
        </w:rPr>
        <w:t xml:space="preserve">, 2024).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must continually check and review </w:t>
      </w:r>
      <w:proofErr w:type="spellStart"/>
      <w:r>
        <w:rPr>
          <w:rFonts w:ascii="Arial" w:eastAsia="Arial" w:hAnsi="Arial" w:cs="Arial"/>
          <w:color w:val="000000"/>
          <w:sz w:val="22"/>
          <w:szCs w:val="22"/>
        </w:rPr>
        <w:t>Vitalyn's</w:t>
      </w:r>
      <w:proofErr w:type="spellEnd"/>
      <w:r>
        <w:rPr>
          <w:rFonts w:ascii="Arial" w:eastAsia="Arial" w:hAnsi="Arial" w:cs="Arial"/>
          <w:color w:val="000000"/>
          <w:sz w:val="22"/>
          <w:szCs w:val="22"/>
        </w:rPr>
        <w:t xml:space="preserve"> safety and performance after the launch.</w:t>
      </w:r>
    </w:p>
    <w:p w14:paraId="0C64BD0F"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They get advantages by maintaining ethical standards but are challenged by keeping up with high-speed innovation (Han et al., 2022). Technology partners and suppliers offer components and software. Technology partners benefit from innovation contracts but are challenged in making timely delivery (Liu, Shi and Yang, 2022). Investors and shareholders fund the project and expect long-term returns. They gain financial growth but face risks from market competition and regulatory uncertainty (Pawlak, 2017). Retai</w:t>
      </w:r>
      <w:r>
        <w:rPr>
          <w:rFonts w:ascii="Arial" w:eastAsia="Arial" w:hAnsi="Arial" w:cs="Arial"/>
          <w:color w:val="000000"/>
          <w:sz w:val="22"/>
          <w:szCs w:val="22"/>
        </w:rPr>
        <w:t>lers and distributors create benefits from increased revenue but encounter logistical and warranty challenges (</w:t>
      </w:r>
      <w:proofErr w:type="spellStart"/>
      <w:r>
        <w:rPr>
          <w:rFonts w:ascii="Arial" w:eastAsia="Arial" w:hAnsi="Arial" w:cs="Arial"/>
          <w:color w:val="000000"/>
          <w:sz w:val="22"/>
          <w:szCs w:val="22"/>
        </w:rPr>
        <w:t>Badnjević</w:t>
      </w:r>
      <w:proofErr w:type="spellEnd"/>
      <w:r>
        <w:rPr>
          <w:rFonts w:ascii="Arial" w:eastAsia="Arial" w:hAnsi="Arial" w:cs="Arial"/>
          <w:color w:val="000000"/>
          <w:sz w:val="22"/>
          <w:szCs w:val="22"/>
        </w:rPr>
        <w:t xml:space="preserve"> et al., 2022). This ensures market availability and service after sales.</w:t>
      </w:r>
    </w:p>
    <w:p w14:paraId="0FB59F3A" w14:textId="77777777" w:rsidR="00692944" w:rsidRDefault="00C86320">
      <w:pPr>
        <w:pStyle w:val="Titlu1"/>
        <w:rPr>
          <w:rFonts w:ascii="Arial" w:eastAsia="Arial" w:hAnsi="Arial" w:cs="Arial"/>
          <w:color w:val="000000"/>
          <w:sz w:val="22"/>
          <w:szCs w:val="22"/>
        </w:rPr>
      </w:pPr>
      <w:bookmarkStart w:id="4" w:name="_heading=h.xvo4r3uo581f" w:colFirst="0" w:colLast="0"/>
      <w:bookmarkEnd w:id="4"/>
      <w:r>
        <w:rPr>
          <w:rFonts w:ascii="Arial" w:eastAsia="Arial" w:hAnsi="Arial" w:cs="Arial"/>
          <w:color w:val="000000"/>
          <w:sz w:val="22"/>
          <w:szCs w:val="22"/>
        </w:rPr>
        <w:t xml:space="preserve">5. Stakeholder's matrix, engagement plan, communication plan and RACI matrix  </w:t>
      </w:r>
    </w:p>
    <w:p w14:paraId="45AA1F14" w14:textId="77777777" w:rsidR="00692944" w:rsidRDefault="00C86320">
      <w:pPr>
        <w:pStyle w:val="Titlu2"/>
        <w:rPr>
          <w:color w:val="000000"/>
          <w:sz w:val="22"/>
          <w:szCs w:val="22"/>
        </w:rPr>
      </w:pPr>
      <w:bookmarkStart w:id="5" w:name="_heading=h.gulxwfb2mf7f" w:colFirst="0" w:colLast="0"/>
      <w:bookmarkEnd w:id="5"/>
      <w:r>
        <w:rPr>
          <w:color w:val="000000"/>
          <w:sz w:val="22"/>
          <w:szCs w:val="22"/>
        </w:rPr>
        <w:t xml:space="preserve">Stakeholder matrix </w:t>
      </w:r>
    </w:p>
    <w:p w14:paraId="2A772626"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The purpose of appropriate stakeholder analysis is related to outlining the key stakeholders along with their requirements (</w:t>
      </w:r>
      <w:proofErr w:type="spellStart"/>
      <w:r>
        <w:rPr>
          <w:rFonts w:ascii="Arial" w:eastAsia="Arial" w:hAnsi="Arial" w:cs="Arial"/>
          <w:color w:val="000000"/>
          <w:sz w:val="22"/>
          <w:szCs w:val="22"/>
        </w:rPr>
        <w:t>Hoory</w:t>
      </w:r>
      <w:proofErr w:type="spellEnd"/>
      <w:r>
        <w:rPr>
          <w:rFonts w:ascii="Arial" w:eastAsia="Arial" w:hAnsi="Arial" w:cs="Arial"/>
          <w:color w:val="000000"/>
          <w:sz w:val="22"/>
          <w:szCs w:val="22"/>
        </w:rPr>
        <w:t xml:space="preserve">, 2025). A stakeholder map can be used for visual interpretation of the ways companies aim to maintain their contact with the stakeholders. </w:t>
      </w:r>
    </w:p>
    <w:tbl>
      <w:tblPr>
        <w:tblStyle w:val="a5"/>
        <w:tblW w:w="8895" w:type="dxa"/>
        <w:tblBorders>
          <w:top w:val="nil"/>
          <w:left w:val="nil"/>
          <w:bottom w:val="nil"/>
          <w:right w:val="nil"/>
          <w:insideH w:val="nil"/>
          <w:insideV w:val="nil"/>
        </w:tblBorders>
        <w:tblLayout w:type="fixed"/>
        <w:tblLook w:val="0600" w:firstRow="0" w:lastRow="0" w:firstColumn="0" w:lastColumn="0" w:noHBand="1" w:noVBand="1"/>
      </w:tblPr>
      <w:tblGrid>
        <w:gridCol w:w="4440"/>
        <w:gridCol w:w="4455"/>
      </w:tblGrid>
      <w:tr w:rsidR="00692944" w14:paraId="0125D378" w14:textId="77777777">
        <w:trPr>
          <w:trHeight w:val="2775"/>
        </w:trPr>
        <w:tc>
          <w:tcPr>
            <w:tcW w:w="444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7FF3827" w14:textId="77777777" w:rsidR="00692944" w:rsidRDefault="00C86320">
            <w:pPr>
              <w:rPr>
                <w:color w:val="000000"/>
                <w:sz w:val="22"/>
                <w:szCs w:val="22"/>
              </w:rPr>
            </w:pPr>
            <w:r>
              <w:rPr>
                <w:color w:val="000000"/>
                <w:sz w:val="22"/>
                <w:szCs w:val="22"/>
              </w:rPr>
              <w:t>Regulatory Bodies</w:t>
            </w:r>
          </w:p>
          <w:p w14:paraId="5519FA6C" w14:textId="77777777" w:rsidR="00692944" w:rsidRDefault="00C86320">
            <w:pPr>
              <w:rPr>
                <w:b/>
                <w:bCs/>
                <w:color w:val="000000"/>
                <w:sz w:val="22"/>
                <w:szCs w:val="22"/>
              </w:rPr>
            </w:pPr>
            <w:r>
              <w:rPr>
                <w:b/>
                <w:bCs/>
                <w:color w:val="000000"/>
                <w:sz w:val="22"/>
                <w:szCs w:val="22"/>
              </w:rPr>
              <w:t>(High power/Low interest)</w:t>
            </w:r>
          </w:p>
        </w:tc>
        <w:tc>
          <w:tcPr>
            <w:tcW w:w="44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0A8DB4C" w14:textId="77777777" w:rsidR="00692944" w:rsidRDefault="00C86320">
            <w:pPr>
              <w:rPr>
                <w:color w:val="000000"/>
                <w:sz w:val="22"/>
                <w:szCs w:val="22"/>
              </w:rPr>
            </w:pPr>
            <w:r>
              <w:rPr>
                <w:color w:val="000000"/>
                <w:sz w:val="22"/>
                <w:szCs w:val="22"/>
              </w:rPr>
              <w:t>Healthcare professionals and clinics, technology partners, suppliers, senior management, product development team, research department, innovation department, HR, Marketing department, Sales department.</w:t>
            </w:r>
          </w:p>
          <w:p w14:paraId="48F1D930" w14:textId="77777777" w:rsidR="00692944" w:rsidRDefault="00C86320">
            <w:pPr>
              <w:rPr>
                <w:b/>
                <w:bCs/>
                <w:color w:val="000000"/>
                <w:sz w:val="22"/>
                <w:szCs w:val="22"/>
              </w:rPr>
            </w:pPr>
            <w:r>
              <w:rPr>
                <w:b/>
                <w:bCs/>
                <w:color w:val="000000"/>
                <w:sz w:val="22"/>
                <w:szCs w:val="22"/>
              </w:rPr>
              <w:t>(High power/High interest)</w:t>
            </w:r>
          </w:p>
        </w:tc>
      </w:tr>
      <w:tr w:rsidR="00692944" w14:paraId="784DF7E2" w14:textId="77777777">
        <w:trPr>
          <w:trHeight w:val="2805"/>
        </w:trPr>
        <w:tc>
          <w:tcPr>
            <w:tcW w:w="44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32E4B95" w14:textId="77777777" w:rsidR="00692944" w:rsidRDefault="00C86320">
            <w:pPr>
              <w:rPr>
                <w:color w:val="000000"/>
                <w:sz w:val="22"/>
                <w:szCs w:val="22"/>
              </w:rPr>
            </w:pPr>
            <w:r>
              <w:rPr>
                <w:color w:val="000000"/>
                <w:sz w:val="22"/>
                <w:szCs w:val="22"/>
              </w:rPr>
              <w:t>None</w:t>
            </w:r>
          </w:p>
          <w:p w14:paraId="42165451" w14:textId="77777777" w:rsidR="00692944" w:rsidRDefault="00C86320">
            <w:pPr>
              <w:rPr>
                <w:b/>
                <w:bCs/>
                <w:color w:val="000000"/>
                <w:sz w:val="22"/>
                <w:szCs w:val="22"/>
              </w:rPr>
            </w:pPr>
            <w:r>
              <w:rPr>
                <w:b/>
                <w:bCs/>
                <w:color w:val="000000"/>
                <w:sz w:val="22"/>
                <w:szCs w:val="22"/>
              </w:rPr>
              <w:t>(Low power/Low interest)</w:t>
            </w:r>
          </w:p>
        </w:tc>
        <w:tc>
          <w:tcPr>
            <w:tcW w:w="4455" w:type="dxa"/>
            <w:tcBorders>
              <w:top w:val="nil"/>
              <w:left w:val="nil"/>
              <w:bottom w:val="single" w:sz="5" w:space="0" w:color="000000"/>
              <w:right w:val="single" w:sz="5" w:space="0" w:color="000000"/>
            </w:tcBorders>
            <w:tcMar>
              <w:top w:w="0" w:type="dxa"/>
              <w:left w:w="100" w:type="dxa"/>
              <w:bottom w:w="0" w:type="dxa"/>
              <w:right w:w="100" w:type="dxa"/>
            </w:tcMar>
          </w:tcPr>
          <w:p w14:paraId="6DAD8DD0" w14:textId="77777777" w:rsidR="00692944" w:rsidRDefault="00C86320">
            <w:pPr>
              <w:rPr>
                <w:color w:val="000000"/>
                <w:sz w:val="22"/>
                <w:szCs w:val="22"/>
              </w:rPr>
            </w:pPr>
            <w:r>
              <w:rPr>
                <w:color w:val="000000"/>
                <w:sz w:val="22"/>
                <w:szCs w:val="22"/>
              </w:rPr>
              <w:t>Patients and consumers</w:t>
            </w:r>
          </w:p>
          <w:p w14:paraId="362659C0" w14:textId="77777777" w:rsidR="00692944" w:rsidRDefault="00C86320">
            <w:pPr>
              <w:rPr>
                <w:b/>
                <w:bCs/>
                <w:color w:val="000000"/>
                <w:sz w:val="22"/>
                <w:szCs w:val="22"/>
              </w:rPr>
            </w:pPr>
            <w:r>
              <w:rPr>
                <w:b/>
                <w:bCs/>
                <w:color w:val="000000"/>
                <w:sz w:val="22"/>
                <w:szCs w:val="22"/>
              </w:rPr>
              <w:t>(Low power/High interest)</w:t>
            </w:r>
          </w:p>
        </w:tc>
      </w:tr>
    </w:tbl>
    <w:p w14:paraId="622B90D6" w14:textId="77777777" w:rsidR="00692944" w:rsidRDefault="00C86320">
      <w:pPr>
        <w:jc w:val="center"/>
        <w:rPr>
          <w:rFonts w:ascii="Arial" w:eastAsia="Arial" w:hAnsi="Arial" w:cs="Arial"/>
          <w:b/>
          <w:bCs/>
          <w:color w:val="000000"/>
          <w:sz w:val="22"/>
          <w:szCs w:val="22"/>
        </w:rPr>
      </w:pPr>
      <w:r>
        <w:rPr>
          <w:rFonts w:ascii="Arial" w:eastAsia="Arial" w:hAnsi="Arial" w:cs="Arial"/>
          <w:b/>
          <w:bCs/>
          <w:color w:val="000000"/>
          <w:sz w:val="22"/>
          <w:szCs w:val="22"/>
        </w:rPr>
        <w:t>Table 1: Stakeholder matrix</w:t>
      </w:r>
    </w:p>
    <w:p w14:paraId="3C6045C6" w14:textId="77777777" w:rsidR="00692944" w:rsidRDefault="00C86320">
      <w:pPr>
        <w:jc w:val="center"/>
        <w:rPr>
          <w:rFonts w:ascii="Arial" w:eastAsia="Arial" w:hAnsi="Arial" w:cs="Arial"/>
          <w:color w:val="000000"/>
          <w:sz w:val="22"/>
          <w:szCs w:val="22"/>
        </w:rPr>
      </w:pPr>
      <w:r>
        <w:rPr>
          <w:rFonts w:ascii="Arial" w:eastAsia="Arial" w:hAnsi="Arial" w:cs="Arial"/>
          <w:color w:val="000000"/>
          <w:sz w:val="22"/>
          <w:szCs w:val="22"/>
        </w:rPr>
        <w:t>(Source: Self–developed)</w:t>
      </w:r>
    </w:p>
    <w:p w14:paraId="54618336" w14:textId="77777777" w:rsidR="00692944" w:rsidRDefault="00C86320">
      <w:pPr>
        <w:pStyle w:val="Titlu2"/>
        <w:rPr>
          <w:color w:val="000000"/>
          <w:sz w:val="22"/>
          <w:szCs w:val="22"/>
        </w:rPr>
      </w:pPr>
      <w:bookmarkStart w:id="6" w:name="_heading=h.r7y7iayst3qj" w:colFirst="0" w:colLast="0"/>
      <w:bookmarkEnd w:id="6"/>
      <w:r>
        <w:rPr>
          <w:color w:val="000000"/>
          <w:sz w:val="22"/>
          <w:szCs w:val="22"/>
        </w:rPr>
        <w:t xml:space="preserve">Engagement plan </w:t>
      </w:r>
    </w:p>
    <w:p w14:paraId="3BF396FE"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Stakeholder engagement has become a widely implemented construct in the research of businesses. As discussed by Kujala </w:t>
      </w:r>
      <w:r>
        <w:rPr>
          <w:rFonts w:ascii="Arial" w:eastAsia="Arial" w:hAnsi="Arial" w:cs="Arial"/>
          <w:i/>
          <w:iCs/>
          <w:color w:val="000000"/>
          <w:sz w:val="22"/>
          <w:szCs w:val="22"/>
        </w:rPr>
        <w:t>et al.</w:t>
      </w:r>
      <w:r>
        <w:rPr>
          <w:rFonts w:ascii="Arial" w:eastAsia="Arial" w:hAnsi="Arial" w:cs="Arial"/>
          <w:color w:val="000000"/>
          <w:sz w:val="22"/>
          <w:szCs w:val="22"/>
        </w:rPr>
        <w:t xml:space="preserve"> (2022), the stakeholder engagement construct helps in understanding the entire potential of the research based on stakeholder engagement. The companies aim to engage their stakeholders to ensure the creation of long-term value in any market. The engagement of internal and external stakeholders of the company is significant to ensure that the new product can be properly launched in the UK market. </w:t>
      </w:r>
    </w:p>
    <w:p w14:paraId="0AF46917" w14:textId="77777777" w:rsidR="00692944" w:rsidRDefault="00692944">
      <w:pPr>
        <w:rPr>
          <w:rFonts w:ascii="Arial" w:eastAsia="Arial" w:hAnsi="Arial" w:cs="Arial"/>
          <w:color w:val="000000"/>
          <w:sz w:val="22"/>
          <w:szCs w:val="22"/>
        </w:rPr>
      </w:pP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92944" w14:paraId="5510FECD" w14:textId="77777777">
        <w:tc>
          <w:tcPr>
            <w:tcW w:w="4514" w:type="dxa"/>
            <w:tcMar>
              <w:top w:w="100" w:type="dxa"/>
              <w:left w:w="100" w:type="dxa"/>
              <w:bottom w:w="100" w:type="dxa"/>
              <w:right w:w="100" w:type="dxa"/>
            </w:tcMar>
          </w:tcPr>
          <w:p w14:paraId="5D705086" w14:textId="77777777" w:rsidR="00692944" w:rsidRDefault="00C86320">
            <w:pPr>
              <w:widowControl w:val="0"/>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 xml:space="preserve">Internal stakeholders engagement </w:t>
            </w:r>
          </w:p>
        </w:tc>
        <w:tc>
          <w:tcPr>
            <w:tcW w:w="4515" w:type="dxa"/>
            <w:tcMar>
              <w:top w:w="100" w:type="dxa"/>
              <w:left w:w="100" w:type="dxa"/>
              <w:bottom w:w="100" w:type="dxa"/>
              <w:right w:w="100" w:type="dxa"/>
            </w:tcMar>
          </w:tcPr>
          <w:p w14:paraId="38CE1539" w14:textId="77777777" w:rsidR="00692944" w:rsidRDefault="00C86320">
            <w:pPr>
              <w:widowControl w:val="0"/>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External stakeholders engagement</w:t>
            </w:r>
          </w:p>
        </w:tc>
      </w:tr>
      <w:tr w:rsidR="00692944" w14:paraId="37C09103" w14:textId="77777777">
        <w:tc>
          <w:tcPr>
            <w:tcW w:w="4514" w:type="dxa"/>
            <w:tcMar>
              <w:top w:w="100" w:type="dxa"/>
              <w:left w:w="100" w:type="dxa"/>
              <w:bottom w:w="100" w:type="dxa"/>
              <w:right w:w="100" w:type="dxa"/>
            </w:tcMar>
          </w:tcPr>
          <w:p w14:paraId="080BE92D" w14:textId="77777777" w:rsidR="00692944" w:rsidRDefault="00C86320">
            <w:pPr>
              <w:numPr>
                <w:ilvl w:val="0"/>
                <w:numId w:val="2"/>
              </w:numPr>
              <w:spacing w:before="0"/>
              <w:rPr>
                <w:i/>
                <w:iCs/>
                <w:color w:val="000000"/>
                <w:sz w:val="22"/>
                <w:szCs w:val="22"/>
              </w:rPr>
            </w:pPr>
            <w:r>
              <w:rPr>
                <w:rFonts w:ascii="Arial" w:eastAsia="Arial" w:hAnsi="Arial" w:cs="Arial"/>
                <w:b/>
                <w:bCs/>
                <w:i/>
                <w:iCs/>
                <w:color w:val="000000"/>
                <w:sz w:val="22"/>
                <w:szCs w:val="22"/>
              </w:rPr>
              <w:t xml:space="preserve">Senior Management and Product Development Team - </w:t>
            </w:r>
            <w:r>
              <w:rPr>
                <w:rFonts w:ascii="Arial" w:eastAsia="Arial" w:hAnsi="Arial" w:cs="Arial"/>
                <w:color w:val="000000"/>
                <w:sz w:val="22"/>
                <w:szCs w:val="22"/>
              </w:rPr>
              <w:t xml:space="preserve">Communicating the vision behind the creation of the new product. </w:t>
            </w:r>
          </w:p>
          <w:p w14:paraId="4BFD09A3" w14:textId="77777777" w:rsidR="00692944" w:rsidRDefault="00C86320">
            <w:pPr>
              <w:numPr>
                <w:ilvl w:val="0"/>
                <w:numId w:val="2"/>
              </w:numPr>
              <w:spacing w:before="0"/>
              <w:rPr>
                <w:b/>
                <w:bCs/>
                <w:i/>
                <w:iCs/>
                <w:color w:val="000000"/>
                <w:sz w:val="22"/>
                <w:szCs w:val="22"/>
              </w:rPr>
            </w:pPr>
            <w:r>
              <w:rPr>
                <w:rFonts w:ascii="Arial" w:eastAsia="Arial" w:hAnsi="Arial" w:cs="Arial"/>
                <w:b/>
                <w:bCs/>
                <w:i/>
                <w:iCs/>
                <w:color w:val="000000"/>
                <w:sz w:val="22"/>
                <w:szCs w:val="22"/>
              </w:rPr>
              <w:t xml:space="preserve">Research, Innovation Department and HR - </w:t>
            </w:r>
            <w:r>
              <w:rPr>
                <w:rFonts w:ascii="Arial" w:eastAsia="Arial" w:hAnsi="Arial" w:cs="Arial"/>
                <w:color w:val="000000"/>
                <w:sz w:val="22"/>
                <w:szCs w:val="22"/>
              </w:rPr>
              <w:t xml:space="preserve">Ensuring that the R&amp;D team is appropriately skilled. </w:t>
            </w:r>
          </w:p>
          <w:p w14:paraId="45678516" w14:textId="77777777" w:rsidR="00692944" w:rsidRDefault="00C86320">
            <w:pPr>
              <w:numPr>
                <w:ilvl w:val="0"/>
                <w:numId w:val="2"/>
              </w:numPr>
              <w:spacing w:before="0"/>
              <w:rPr>
                <w:b/>
                <w:bCs/>
                <w:i/>
                <w:iCs/>
                <w:color w:val="000000"/>
                <w:sz w:val="22"/>
                <w:szCs w:val="22"/>
              </w:rPr>
            </w:pPr>
            <w:r>
              <w:rPr>
                <w:rFonts w:ascii="Arial" w:eastAsia="Arial" w:hAnsi="Arial" w:cs="Arial"/>
                <w:b/>
                <w:bCs/>
                <w:i/>
                <w:iCs/>
                <w:color w:val="000000"/>
                <w:sz w:val="22"/>
                <w:szCs w:val="22"/>
              </w:rPr>
              <w:t xml:space="preserve">Marketing, Sales Department and Quality Assurance Team - </w:t>
            </w:r>
            <w:r>
              <w:rPr>
                <w:rFonts w:ascii="Arial" w:eastAsia="Arial" w:hAnsi="Arial" w:cs="Arial"/>
                <w:color w:val="000000"/>
                <w:sz w:val="22"/>
                <w:szCs w:val="22"/>
              </w:rPr>
              <w:t xml:space="preserve">Setting time-based goals for the teams to ensure that they provide their highest contributions. </w:t>
            </w:r>
          </w:p>
        </w:tc>
        <w:tc>
          <w:tcPr>
            <w:tcW w:w="4515" w:type="dxa"/>
            <w:tcMar>
              <w:top w:w="100" w:type="dxa"/>
              <w:left w:w="100" w:type="dxa"/>
              <w:bottom w:w="100" w:type="dxa"/>
              <w:right w:w="100" w:type="dxa"/>
            </w:tcMar>
          </w:tcPr>
          <w:p w14:paraId="2F6972C9" w14:textId="77777777" w:rsidR="00692944" w:rsidRDefault="00C86320">
            <w:pPr>
              <w:numPr>
                <w:ilvl w:val="0"/>
                <w:numId w:val="1"/>
              </w:numPr>
              <w:spacing w:before="0"/>
              <w:rPr>
                <w:i/>
                <w:iCs/>
                <w:color w:val="000000"/>
                <w:sz w:val="22"/>
                <w:szCs w:val="22"/>
              </w:rPr>
            </w:pPr>
            <w:r>
              <w:rPr>
                <w:rFonts w:ascii="Arial" w:eastAsia="Arial" w:hAnsi="Arial" w:cs="Arial"/>
                <w:b/>
                <w:bCs/>
                <w:i/>
                <w:iCs/>
                <w:color w:val="000000"/>
                <w:sz w:val="22"/>
                <w:szCs w:val="22"/>
              </w:rPr>
              <w:t xml:space="preserve">Consumers and Patients - </w:t>
            </w:r>
            <w:r>
              <w:rPr>
                <w:rFonts w:ascii="Arial" w:eastAsia="Arial" w:hAnsi="Arial" w:cs="Arial"/>
                <w:color w:val="000000"/>
                <w:sz w:val="22"/>
                <w:szCs w:val="22"/>
              </w:rPr>
              <w:t xml:space="preserve">Providing information based on the new product through traditional and digital platforms. </w:t>
            </w:r>
          </w:p>
          <w:p w14:paraId="7B656208" w14:textId="77777777" w:rsidR="00692944" w:rsidRDefault="00C86320">
            <w:pPr>
              <w:numPr>
                <w:ilvl w:val="0"/>
                <w:numId w:val="1"/>
              </w:numPr>
              <w:spacing w:before="0"/>
              <w:rPr>
                <w:i/>
                <w:iCs/>
                <w:color w:val="000000"/>
                <w:sz w:val="22"/>
                <w:szCs w:val="22"/>
              </w:rPr>
            </w:pPr>
            <w:r>
              <w:rPr>
                <w:rFonts w:ascii="Arial" w:eastAsia="Arial" w:hAnsi="Arial" w:cs="Arial"/>
                <w:b/>
                <w:bCs/>
                <w:i/>
                <w:iCs/>
                <w:color w:val="000000"/>
                <w:sz w:val="22"/>
                <w:szCs w:val="22"/>
              </w:rPr>
              <w:t xml:space="preserve">Healthcare Professionals and Clinics - </w:t>
            </w:r>
            <w:r>
              <w:rPr>
                <w:rFonts w:ascii="Arial" w:eastAsia="Arial" w:hAnsi="Arial" w:cs="Arial"/>
                <w:color w:val="000000"/>
                <w:sz w:val="22"/>
                <w:szCs w:val="22"/>
              </w:rPr>
              <w:t xml:space="preserve">Choosing the best clinics to develop partnerships and test the products. </w:t>
            </w:r>
          </w:p>
          <w:p w14:paraId="7B6EC503" w14:textId="77777777" w:rsidR="00692944" w:rsidRDefault="00C86320">
            <w:pPr>
              <w:numPr>
                <w:ilvl w:val="0"/>
                <w:numId w:val="1"/>
              </w:numPr>
              <w:spacing w:before="0"/>
              <w:rPr>
                <w:i/>
                <w:iCs/>
                <w:color w:val="000000"/>
                <w:sz w:val="22"/>
                <w:szCs w:val="22"/>
              </w:rPr>
            </w:pPr>
            <w:r>
              <w:rPr>
                <w:rFonts w:ascii="Arial" w:eastAsia="Arial" w:hAnsi="Arial" w:cs="Arial"/>
                <w:b/>
                <w:bCs/>
                <w:i/>
                <w:iCs/>
                <w:color w:val="000000"/>
                <w:sz w:val="22"/>
                <w:szCs w:val="22"/>
              </w:rPr>
              <w:t xml:space="preserve">Regulatory Bodies - </w:t>
            </w:r>
            <w:r>
              <w:rPr>
                <w:rFonts w:ascii="Arial" w:eastAsia="Arial" w:hAnsi="Arial" w:cs="Arial"/>
                <w:color w:val="000000"/>
                <w:sz w:val="22"/>
                <w:szCs w:val="22"/>
              </w:rPr>
              <w:t xml:space="preserve">Partnering with the regulatory bodies to ensure proper implementation of the regulations. </w:t>
            </w:r>
          </w:p>
          <w:p w14:paraId="63890AE2" w14:textId="77777777" w:rsidR="00692944" w:rsidRDefault="00C86320">
            <w:pPr>
              <w:numPr>
                <w:ilvl w:val="0"/>
                <w:numId w:val="1"/>
              </w:numPr>
              <w:spacing w:before="0"/>
              <w:rPr>
                <w:i/>
                <w:iCs/>
                <w:color w:val="000000"/>
                <w:sz w:val="22"/>
                <w:szCs w:val="22"/>
              </w:rPr>
            </w:pPr>
            <w:r>
              <w:rPr>
                <w:rFonts w:ascii="Arial" w:eastAsia="Arial" w:hAnsi="Arial" w:cs="Arial"/>
                <w:b/>
                <w:bCs/>
                <w:i/>
                <w:iCs/>
                <w:color w:val="000000"/>
                <w:sz w:val="22"/>
                <w:szCs w:val="22"/>
              </w:rPr>
              <w:t xml:space="preserve">Suppliers and Technology Partners - </w:t>
            </w:r>
            <w:r>
              <w:rPr>
                <w:rFonts w:ascii="Arial" w:eastAsia="Arial" w:hAnsi="Arial" w:cs="Arial"/>
                <w:color w:val="000000"/>
                <w:sz w:val="22"/>
                <w:szCs w:val="22"/>
              </w:rPr>
              <w:t xml:space="preserve">Forming partnerships with the local suppliers. </w:t>
            </w:r>
          </w:p>
          <w:p w14:paraId="1B73779D" w14:textId="77777777" w:rsidR="00692944" w:rsidRDefault="00C86320">
            <w:pPr>
              <w:numPr>
                <w:ilvl w:val="0"/>
                <w:numId w:val="1"/>
              </w:numPr>
              <w:spacing w:before="0"/>
              <w:rPr>
                <w:i/>
                <w:iCs/>
                <w:color w:val="000000"/>
                <w:sz w:val="22"/>
                <w:szCs w:val="22"/>
              </w:rPr>
            </w:pPr>
            <w:r>
              <w:rPr>
                <w:rFonts w:ascii="Arial" w:eastAsia="Arial" w:hAnsi="Arial" w:cs="Arial"/>
                <w:b/>
                <w:bCs/>
                <w:i/>
                <w:iCs/>
                <w:color w:val="000000"/>
                <w:sz w:val="22"/>
                <w:szCs w:val="22"/>
              </w:rPr>
              <w:t xml:space="preserve">Investors and Shareholders - </w:t>
            </w:r>
            <w:r>
              <w:rPr>
                <w:rFonts w:ascii="Arial" w:eastAsia="Arial" w:hAnsi="Arial" w:cs="Arial"/>
                <w:color w:val="000000"/>
                <w:sz w:val="22"/>
                <w:szCs w:val="22"/>
              </w:rPr>
              <w:t xml:space="preserve">Providing appropriate information to the shareholders regarding the product's effectiveness. </w:t>
            </w:r>
          </w:p>
        </w:tc>
      </w:tr>
    </w:tbl>
    <w:p w14:paraId="7187E4CC" w14:textId="77777777" w:rsidR="00692944" w:rsidRDefault="00C86320">
      <w:pPr>
        <w:jc w:val="center"/>
        <w:rPr>
          <w:rFonts w:ascii="Arial" w:eastAsia="Arial" w:hAnsi="Arial" w:cs="Arial"/>
          <w:b/>
          <w:bCs/>
          <w:color w:val="000000"/>
          <w:sz w:val="22"/>
          <w:szCs w:val="22"/>
        </w:rPr>
      </w:pPr>
      <w:r>
        <w:rPr>
          <w:rFonts w:ascii="Arial" w:eastAsia="Arial" w:hAnsi="Arial" w:cs="Arial"/>
          <w:b/>
          <w:bCs/>
          <w:color w:val="000000"/>
          <w:sz w:val="22"/>
          <w:szCs w:val="22"/>
        </w:rPr>
        <w:t xml:space="preserve">Table 2: Stakeholder engagement </w:t>
      </w:r>
    </w:p>
    <w:p w14:paraId="0561559B" w14:textId="77777777" w:rsidR="00692944" w:rsidRDefault="00C86320">
      <w:pPr>
        <w:jc w:val="center"/>
        <w:rPr>
          <w:rFonts w:ascii="Arial" w:eastAsia="Arial" w:hAnsi="Arial" w:cs="Arial"/>
          <w:color w:val="000000"/>
          <w:sz w:val="22"/>
          <w:szCs w:val="22"/>
        </w:rPr>
      </w:pPr>
      <w:r>
        <w:rPr>
          <w:rFonts w:ascii="Arial" w:eastAsia="Arial" w:hAnsi="Arial" w:cs="Arial"/>
          <w:color w:val="000000"/>
          <w:sz w:val="22"/>
          <w:szCs w:val="22"/>
        </w:rPr>
        <w:t>(Source: Self–developed)</w:t>
      </w:r>
    </w:p>
    <w:p w14:paraId="021DD994" w14:textId="77777777" w:rsidR="00692944" w:rsidRDefault="00C86320">
      <w:pPr>
        <w:pStyle w:val="Titlu2"/>
        <w:rPr>
          <w:color w:val="000000"/>
          <w:sz w:val="22"/>
          <w:szCs w:val="22"/>
        </w:rPr>
      </w:pPr>
      <w:bookmarkStart w:id="7" w:name="_heading=h.gvrsv6xsy9kt" w:colFirst="0" w:colLast="0"/>
      <w:bookmarkEnd w:id="7"/>
      <w:r>
        <w:rPr>
          <w:color w:val="000000"/>
          <w:sz w:val="22"/>
          <w:szCs w:val="22"/>
        </w:rPr>
        <w:t xml:space="preserve">Communication plan   </w:t>
      </w:r>
    </w:p>
    <w:p w14:paraId="4E30B411"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The effective communication strategies used as part of stakeholder engagement can encourage two-way communication among organisations and stakeholders (De Luca et al., 2022). The company can develop appropriate communication with the internal stakeholders by arranging for formal weekly meetings. Digital platforms like social media platforms and emails can also be used by the company to communicate with external stakeholders. </w:t>
      </w:r>
    </w:p>
    <w:p w14:paraId="3D78DDF3" w14:textId="77777777" w:rsidR="00692944" w:rsidRDefault="00C86320">
      <w:pPr>
        <w:pStyle w:val="Titlu2"/>
        <w:rPr>
          <w:color w:val="000000"/>
          <w:sz w:val="22"/>
          <w:szCs w:val="22"/>
        </w:rPr>
      </w:pPr>
      <w:bookmarkStart w:id="8" w:name="_heading=h.sfwsyyup2o86" w:colFirst="0" w:colLast="0"/>
      <w:bookmarkEnd w:id="8"/>
      <w:r>
        <w:rPr>
          <w:color w:val="000000"/>
          <w:sz w:val="22"/>
          <w:szCs w:val="22"/>
        </w:rPr>
        <w:t xml:space="preserve">RACI matrix </w:t>
      </w:r>
    </w:p>
    <w:p w14:paraId="60E781BA"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A RACI chart is mainly a responsibility-based matrix or tool which helps in defining and clarifying the responsibilities and roles of the team members. Four significant parts of the matrix include responsible, accountable, consulted and informed (Atlassian, n.d.). The internal and external stakeholders of the company can be divided into four groups according to the roles that they can play in the organisation. </w:t>
      </w:r>
    </w:p>
    <w:tbl>
      <w:tblPr>
        <w:tblStyle w:val="a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92944" w14:paraId="635CCE5D" w14:textId="77777777">
        <w:tc>
          <w:tcPr>
            <w:tcW w:w="4514" w:type="dxa"/>
            <w:tcMar>
              <w:top w:w="100" w:type="dxa"/>
              <w:left w:w="100" w:type="dxa"/>
              <w:bottom w:w="100" w:type="dxa"/>
              <w:right w:w="100" w:type="dxa"/>
            </w:tcMar>
          </w:tcPr>
          <w:p w14:paraId="2C689D3B" w14:textId="77777777" w:rsidR="00692944" w:rsidRDefault="00C86320">
            <w:pPr>
              <w:widowControl w:val="0"/>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Roles of stakeholders</w:t>
            </w:r>
          </w:p>
        </w:tc>
        <w:tc>
          <w:tcPr>
            <w:tcW w:w="4515" w:type="dxa"/>
            <w:tcMar>
              <w:top w:w="100" w:type="dxa"/>
              <w:left w:w="100" w:type="dxa"/>
              <w:bottom w:w="100" w:type="dxa"/>
              <w:right w:w="100" w:type="dxa"/>
            </w:tcMar>
          </w:tcPr>
          <w:p w14:paraId="4464A00C" w14:textId="77777777" w:rsidR="00692944" w:rsidRDefault="00C86320">
            <w:pPr>
              <w:widowControl w:val="0"/>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Name of the stakeholders</w:t>
            </w:r>
          </w:p>
        </w:tc>
      </w:tr>
      <w:tr w:rsidR="00692944" w14:paraId="0D32164D" w14:textId="77777777">
        <w:tc>
          <w:tcPr>
            <w:tcW w:w="4514" w:type="dxa"/>
            <w:tcMar>
              <w:top w:w="100" w:type="dxa"/>
              <w:left w:w="100" w:type="dxa"/>
              <w:bottom w:w="100" w:type="dxa"/>
              <w:right w:w="100" w:type="dxa"/>
            </w:tcMar>
          </w:tcPr>
          <w:p w14:paraId="7A65B619" w14:textId="77777777" w:rsidR="00692944" w:rsidRDefault="00C86320">
            <w:pPr>
              <w:widowControl w:val="0"/>
              <w:pBdr>
                <w:top w:val="nil"/>
                <w:left w:val="nil"/>
                <w:bottom w:val="nil"/>
                <w:right w:val="nil"/>
                <w:between w:val="nil"/>
              </w:pBdr>
              <w:rPr>
                <w:rFonts w:ascii="Arial" w:eastAsia="Arial" w:hAnsi="Arial" w:cs="Arial"/>
                <w:b/>
                <w:bCs/>
                <w:i/>
                <w:iCs/>
                <w:color w:val="000000"/>
                <w:sz w:val="22"/>
                <w:szCs w:val="22"/>
              </w:rPr>
            </w:pPr>
            <w:r>
              <w:rPr>
                <w:rFonts w:ascii="Arial" w:eastAsia="Arial" w:hAnsi="Arial" w:cs="Arial"/>
                <w:b/>
                <w:bCs/>
                <w:i/>
                <w:iCs/>
                <w:color w:val="000000"/>
                <w:sz w:val="22"/>
                <w:szCs w:val="22"/>
              </w:rPr>
              <w:t xml:space="preserve">R - Responsible </w:t>
            </w:r>
          </w:p>
        </w:tc>
        <w:tc>
          <w:tcPr>
            <w:tcW w:w="4515" w:type="dxa"/>
            <w:tcMar>
              <w:top w:w="100" w:type="dxa"/>
              <w:left w:w="100" w:type="dxa"/>
              <w:bottom w:w="100" w:type="dxa"/>
              <w:right w:w="100" w:type="dxa"/>
            </w:tcMar>
          </w:tcPr>
          <w:p w14:paraId="2B07E800" w14:textId="77777777" w:rsidR="00692944" w:rsidRDefault="00C86320">
            <w:pPr>
              <w:widowControl w:val="0"/>
              <w:numPr>
                <w:ilvl w:val="0"/>
                <w:numId w:val="4"/>
              </w:numPr>
              <w:pBdr>
                <w:top w:val="nil"/>
                <w:left w:val="nil"/>
                <w:bottom w:val="nil"/>
                <w:right w:val="nil"/>
                <w:between w:val="nil"/>
              </w:pBdr>
              <w:spacing w:before="0"/>
              <w:rPr>
                <w:rFonts w:ascii="Arial" w:eastAsia="Arial" w:hAnsi="Arial" w:cs="Arial"/>
                <w:color w:val="000000"/>
                <w:sz w:val="22"/>
                <w:szCs w:val="22"/>
              </w:rPr>
            </w:pPr>
            <w:r>
              <w:rPr>
                <w:rFonts w:ascii="Arial" w:eastAsia="Arial" w:hAnsi="Arial" w:cs="Arial"/>
                <w:color w:val="000000"/>
                <w:sz w:val="22"/>
                <w:szCs w:val="22"/>
              </w:rPr>
              <w:t>Research, innovation department and HR.</w:t>
            </w:r>
          </w:p>
          <w:p w14:paraId="695C18D8" w14:textId="77777777" w:rsidR="00692944" w:rsidRDefault="00C86320">
            <w:pPr>
              <w:widowControl w:val="0"/>
              <w:numPr>
                <w:ilvl w:val="0"/>
                <w:numId w:val="4"/>
              </w:numPr>
              <w:pBdr>
                <w:top w:val="nil"/>
                <w:left w:val="nil"/>
                <w:bottom w:val="nil"/>
                <w:right w:val="nil"/>
                <w:between w:val="nil"/>
              </w:pBdr>
              <w:spacing w:before="0"/>
              <w:rPr>
                <w:rFonts w:ascii="Arial" w:eastAsia="Arial" w:hAnsi="Arial" w:cs="Arial"/>
                <w:color w:val="000000"/>
                <w:sz w:val="22"/>
                <w:szCs w:val="22"/>
              </w:rPr>
            </w:pPr>
            <w:r>
              <w:rPr>
                <w:rFonts w:ascii="Arial" w:eastAsia="Arial" w:hAnsi="Arial" w:cs="Arial"/>
                <w:color w:val="000000"/>
                <w:sz w:val="22"/>
                <w:szCs w:val="22"/>
              </w:rPr>
              <w:t xml:space="preserve">Marketing, quality assurance and sales department. </w:t>
            </w:r>
          </w:p>
        </w:tc>
      </w:tr>
      <w:tr w:rsidR="00692944" w14:paraId="69247BF2" w14:textId="77777777">
        <w:tc>
          <w:tcPr>
            <w:tcW w:w="4514" w:type="dxa"/>
            <w:tcMar>
              <w:top w:w="100" w:type="dxa"/>
              <w:left w:w="100" w:type="dxa"/>
              <w:bottom w:w="100" w:type="dxa"/>
              <w:right w:w="100" w:type="dxa"/>
            </w:tcMar>
          </w:tcPr>
          <w:p w14:paraId="558E36CD" w14:textId="77777777" w:rsidR="00692944" w:rsidRDefault="00C86320">
            <w:pPr>
              <w:widowControl w:val="0"/>
              <w:pBdr>
                <w:top w:val="nil"/>
                <w:left w:val="nil"/>
                <w:bottom w:val="nil"/>
                <w:right w:val="nil"/>
                <w:between w:val="nil"/>
              </w:pBdr>
              <w:rPr>
                <w:rFonts w:ascii="Arial" w:eastAsia="Arial" w:hAnsi="Arial" w:cs="Arial"/>
                <w:b/>
                <w:bCs/>
                <w:i/>
                <w:iCs/>
                <w:color w:val="000000"/>
                <w:sz w:val="22"/>
                <w:szCs w:val="22"/>
              </w:rPr>
            </w:pPr>
            <w:r>
              <w:rPr>
                <w:rFonts w:ascii="Arial" w:eastAsia="Arial" w:hAnsi="Arial" w:cs="Arial"/>
                <w:b/>
                <w:bCs/>
                <w:i/>
                <w:iCs/>
                <w:color w:val="000000"/>
                <w:sz w:val="22"/>
                <w:szCs w:val="22"/>
              </w:rPr>
              <w:t xml:space="preserve">A - Accountable </w:t>
            </w:r>
          </w:p>
        </w:tc>
        <w:tc>
          <w:tcPr>
            <w:tcW w:w="4515" w:type="dxa"/>
            <w:tcMar>
              <w:top w:w="100" w:type="dxa"/>
              <w:left w:w="100" w:type="dxa"/>
              <w:bottom w:w="100" w:type="dxa"/>
              <w:right w:w="100" w:type="dxa"/>
            </w:tcMar>
          </w:tcPr>
          <w:p w14:paraId="4BD94478" w14:textId="77777777" w:rsidR="00692944" w:rsidRDefault="00C86320">
            <w:pPr>
              <w:widowControl w:val="0"/>
              <w:numPr>
                <w:ilvl w:val="0"/>
                <w:numId w:val="3"/>
              </w:numPr>
              <w:spacing w:before="0"/>
              <w:rPr>
                <w:rFonts w:ascii="Arial" w:eastAsia="Arial" w:hAnsi="Arial" w:cs="Arial"/>
                <w:color w:val="000000"/>
                <w:sz w:val="22"/>
                <w:szCs w:val="22"/>
              </w:rPr>
            </w:pPr>
            <w:r>
              <w:rPr>
                <w:rFonts w:ascii="Arial" w:eastAsia="Arial" w:hAnsi="Arial" w:cs="Arial"/>
                <w:color w:val="000000"/>
                <w:sz w:val="22"/>
                <w:szCs w:val="22"/>
              </w:rPr>
              <w:t>Senior management and product development team.</w:t>
            </w:r>
          </w:p>
        </w:tc>
      </w:tr>
      <w:tr w:rsidR="00692944" w14:paraId="39A7A99C" w14:textId="77777777">
        <w:tc>
          <w:tcPr>
            <w:tcW w:w="4514" w:type="dxa"/>
            <w:tcMar>
              <w:top w:w="100" w:type="dxa"/>
              <w:left w:w="100" w:type="dxa"/>
              <w:bottom w:w="100" w:type="dxa"/>
              <w:right w:w="100" w:type="dxa"/>
            </w:tcMar>
          </w:tcPr>
          <w:p w14:paraId="37B3D047" w14:textId="77777777" w:rsidR="00692944" w:rsidRDefault="00C86320">
            <w:pPr>
              <w:widowControl w:val="0"/>
              <w:pBdr>
                <w:top w:val="nil"/>
                <w:left w:val="nil"/>
                <w:bottom w:val="nil"/>
                <w:right w:val="nil"/>
                <w:between w:val="nil"/>
              </w:pBdr>
              <w:rPr>
                <w:rFonts w:ascii="Arial" w:eastAsia="Arial" w:hAnsi="Arial" w:cs="Arial"/>
                <w:b/>
                <w:bCs/>
                <w:i/>
                <w:iCs/>
                <w:color w:val="000000"/>
                <w:sz w:val="22"/>
                <w:szCs w:val="22"/>
              </w:rPr>
            </w:pPr>
            <w:r>
              <w:rPr>
                <w:rFonts w:ascii="Arial" w:eastAsia="Arial" w:hAnsi="Arial" w:cs="Arial"/>
                <w:b/>
                <w:bCs/>
                <w:i/>
                <w:iCs/>
                <w:color w:val="000000"/>
                <w:sz w:val="22"/>
                <w:szCs w:val="22"/>
              </w:rPr>
              <w:t>C - Consulted</w:t>
            </w:r>
          </w:p>
        </w:tc>
        <w:tc>
          <w:tcPr>
            <w:tcW w:w="4515" w:type="dxa"/>
            <w:tcMar>
              <w:top w:w="100" w:type="dxa"/>
              <w:left w:w="100" w:type="dxa"/>
              <w:bottom w:w="100" w:type="dxa"/>
              <w:right w:w="100" w:type="dxa"/>
            </w:tcMar>
          </w:tcPr>
          <w:p w14:paraId="0849F3B6" w14:textId="77777777" w:rsidR="00692944" w:rsidRDefault="00C86320">
            <w:pPr>
              <w:widowControl w:val="0"/>
              <w:numPr>
                <w:ilvl w:val="0"/>
                <w:numId w:val="5"/>
              </w:numPr>
              <w:pBdr>
                <w:top w:val="nil"/>
                <w:left w:val="nil"/>
                <w:bottom w:val="nil"/>
                <w:right w:val="nil"/>
                <w:between w:val="nil"/>
              </w:pBdr>
              <w:spacing w:before="0"/>
              <w:rPr>
                <w:rFonts w:ascii="Arial" w:eastAsia="Arial" w:hAnsi="Arial" w:cs="Arial"/>
                <w:color w:val="000000"/>
                <w:sz w:val="22"/>
                <w:szCs w:val="22"/>
              </w:rPr>
            </w:pPr>
            <w:r>
              <w:rPr>
                <w:rFonts w:ascii="Arial" w:eastAsia="Arial" w:hAnsi="Arial" w:cs="Arial"/>
                <w:color w:val="000000"/>
                <w:sz w:val="22"/>
                <w:szCs w:val="22"/>
              </w:rPr>
              <w:t xml:space="preserve">Clinics and healthcare professionals. </w:t>
            </w:r>
          </w:p>
          <w:p w14:paraId="18173E46" w14:textId="77777777" w:rsidR="00692944" w:rsidRDefault="00C86320">
            <w:pPr>
              <w:widowControl w:val="0"/>
              <w:numPr>
                <w:ilvl w:val="0"/>
                <w:numId w:val="5"/>
              </w:numPr>
              <w:pBdr>
                <w:top w:val="nil"/>
                <w:left w:val="nil"/>
                <w:bottom w:val="nil"/>
                <w:right w:val="nil"/>
                <w:between w:val="nil"/>
              </w:pBdr>
              <w:spacing w:before="0"/>
              <w:rPr>
                <w:rFonts w:ascii="Arial" w:eastAsia="Arial" w:hAnsi="Arial" w:cs="Arial"/>
                <w:color w:val="000000"/>
                <w:sz w:val="22"/>
                <w:szCs w:val="22"/>
              </w:rPr>
            </w:pPr>
            <w:r>
              <w:rPr>
                <w:rFonts w:ascii="Arial" w:eastAsia="Arial" w:hAnsi="Arial" w:cs="Arial"/>
                <w:color w:val="000000"/>
                <w:sz w:val="22"/>
                <w:szCs w:val="22"/>
              </w:rPr>
              <w:t xml:space="preserve">Technology partners and suppliers. </w:t>
            </w:r>
          </w:p>
          <w:p w14:paraId="4EBCBCE6" w14:textId="77777777" w:rsidR="00692944" w:rsidRDefault="00C86320">
            <w:pPr>
              <w:widowControl w:val="0"/>
              <w:numPr>
                <w:ilvl w:val="0"/>
                <w:numId w:val="5"/>
              </w:numPr>
              <w:pBdr>
                <w:top w:val="nil"/>
                <w:left w:val="nil"/>
                <w:bottom w:val="nil"/>
                <w:right w:val="nil"/>
                <w:between w:val="nil"/>
              </w:pBdr>
              <w:spacing w:before="0"/>
              <w:rPr>
                <w:rFonts w:ascii="Arial" w:eastAsia="Arial" w:hAnsi="Arial" w:cs="Arial"/>
                <w:color w:val="000000"/>
                <w:sz w:val="22"/>
                <w:szCs w:val="22"/>
              </w:rPr>
            </w:pPr>
            <w:r>
              <w:rPr>
                <w:rFonts w:ascii="Arial" w:eastAsia="Arial" w:hAnsi="Arial" w:cs="Arial"/>
                <w:color w:val="000000"/>
                <w:sz w:val="22"/>
                <w:szCs w:val="22"/>
              </w:rPr>
              <w:t xml:space="preserve">Shareholders and investors. </w:t>
            </w:r>
          </w:p>
        </w:tc>
      </w:tr>
      <w:tr w:rsidR="00692944" w14:paraId="32089261" w14:textId="77777777">
        <w:tc>
          <w:tcPr>
            <w:tcW w:w="4514" w:type="dxa"/>
            <w:tcMar>
              <w:top w:w="100" w:type="dxa"/>
              <w:left w:w="100" w:type="dxa"/>
              <w:bottom w:w="100" w:type="dxa"/>
              <w:right w:w="100" w:type="dxa"/>
            </w:tcMar>
          </w:tcPr>
          <w:p w14:paraId="70228848" w14:textId="77777777" w:rsidR="00692944" w:rsidRDefault="00C86320">
            <w:pPr>
              <w:widowControl w:val="0"/>
              <w:pBdr>
                <w:top w:val="nil"/>
                <w:left w:val="nil"/>
                <w:bottom w:val="nil"/>
                <w:right w:val="nil"/>
                <w:between w:val="nil"/>
              </w:pBdr>
              <w:rPr>
                <w:rFonts w:ascii="Arial" w:eastAsia="Arial" w:hAnsi="Arial" w:cs="Arial"/>
                <w:b/>
                <w:bCs/>
                <w:i/>
                <w:iCs/>
                <w:color w:val="000000"/>
                <w:sz w:val="22"/>
                <w:szCs w:val="22"/>
              </w:rPr>
            </w:pPr>
            <w:r>
              <w:rPr>
                <w:rFonts w:ascii="Arial" w:eastAsia="Arial" w:hAnsi="Arial" w:cs="Arial"/>
                <w:b/>
                <w:bCs/>
                <w:i/>
                <w:iCs/>
                <w:color w:val="000000"/>
                <w:sz w:val="22"/>
                <w:szCs w:val="22"/>
              </w:rPr>
              <w:t>I - Informed</w:t>
            </w:r>
          </w:p>
        </w:tc>
        <w:tc>
          <w:tcPr>
            <w:tcW w:w="4515" w:type="dxa"/>
            <w:tcMar>
              <w:top w:w="100" w:type="dxa"/>
              <w:left w:w="100" w:type="dxa"/>
              <w:bottom w:w="100" w:type="dxa"/>
              <w:right w:w="100" w:type="dxa"/>
            </w:tcMar>
          </w:tcPr>
          <w:p w14:paraId="77D31E5A" w14:textId="77777777" w:rsidR="00692944" w:rsidRDefault="00C86320">
            <w:pPr>
              <w:widowControl w:val="0"/>
              <w:numPr>
                <w:ilvl w:val="0"/>
                <w:numId w:val="6"/>
              </w:numPr>
              <w:pBdr>
                <w:top w:val="nil"/>
                <w:left w:val="nil"/>
                <w:bottom w:val="nil"/>
                <w:right w:val="nil"/>
                <w:between w:val="nil"/>
              </w:pBdr>
              <w:spacing w:before="0"/>
              <w:rPr>
                <w:rFonts w:ascii="Arial" w:eastAsia="Arial" w:hAnsi="Arial" w:cs="Arial"/>
                <w:color w:val="000000"/>
                <w:sz w:val="22"/>
                <w:szCs w:val="22"/>
              </w:rPr>
            </w:pPr>
            <w:r>
              <w:rPr>
                <w:rFonts w:ascii="Arial" w:eastAsia="Arial" w:hAnsi="Arial" w:cs="Arial"/>
                <w:color w:val="000000"/>
                <w:sz w:val="22"/>
                <w:szCs w:val="22"/>
              </w:rPr>
              <w:t xml:space="preserve">Regulatory bodies. </w:t>
            </w:r>
          </w:p>
          <w:p w14:paraId="7940479F" w14:textId="77777777" w:rsidR="00692944" w:rsidRDefault="00C86320">
            <w:pPr>
              <w:widowControl w:val="0"/>
              <w:numPr>
                <w:ilvl w:val="0"/>
                <w:numId w:val="6"/>
              </w:numPr>
              <w:pBdr>
                <w:top w:val="nil"/>
                <w:left w:val="nil"/>
                <w:bottom w:val="nil"/>
                <w:right w:val="nil"/>
                <w:between w:val="nil"/>
              </w:pBdr>
              <w:spacing w:before="0"/>
              <w:rPr>
                <w:rFonts w:ascii="Arial" w:eastAsia="Arial" w:hAnsi="Arial" w:cs="Arial"/>
                <w:color w:val="000000"/>
                <w:sz w:val="22"/>
                <w:szCs w:val="22"/>
              </w:rPr>
            </w:pPr>
            <w:r>
              <w:rPr>
                <w:rFonts w:ascii="Arial" w:eastAsia="Arial" w:hAnsi="Arial" w:cs="Arial"/>
                <w:color w:val="000000"/>
                <w:sz w:val="22"/>
                <w:szCs w:val="22"/>
              </w:rPr>
              <w:t xml:space="preserve">Patients and consumers. </w:t>
            </w:r>
          </w:p>
        </w:tc>
      </w:tr>
    </w:tbl>
    <w:p w14:paraId="0DE45135" w14:textId="77777777" w:rsidR="00692944" w:rsidRDefault="00C86320">
      <w:pPr>
        <w:jc w:val="center"/>
        <w:rPr>
          <w:rFonts w:ascii="Arial" w:eastAsia="Arial" w:hAnsi="Arial" w:cs="Arial"/>
          <w:b/>
          <w:bCs/>
          <w:color w:val="000000"/>
          <w:sz w:val="22"/>
          <w:szCs w:val="22"/>
        </w:rPr>
      </w:pPr>
      <w:r>
        <w:rPr>
          <w:rFonts w:ascii="Arial" w:eastAsia="Arial" w:hAnsi="Arial" w:cs="Arial"/>
          <w:b/>
          <w:bCs/>
          <w:color w:val="000000"/>
          <w:sz w:val="22"/>
          <w:szCs w:val="22"/>
        </w:rPr>
        <w:t>Table 3: RACI Matrix</w:t>
      </w:r>
    </w:p>
    <w:p w14:paraId="0B0C1A0D" w14:textId="77777777" w:rsidR="00692944" w:rsidRDefault="00C86320">
      <w:pPr>
        <w:jc w:val="center"/>
        <w:rPr>
          <w:rFonts w:ascii="Arial" w:eastAsia="Arial" w:hAnsi="Arial" w:cs="Arial"/>
          <w:color w:val="000000"/>
          <w:sz w:val="22"/>
          <w:szCs w:val="22"/>
        </w:rPr>
      </w:pPr>
      <w:r>
        <w:rPr>
          <w:rFonts w:ascii="Arial" w:eastAsia="Arial" w:hAnsi="Arial" w:cs="Arial"/>
          <w:color w:val="000000"/>
          <w:sz w:val="22"/>
          <w:szCs w:val="22"/>
        </w:rPr>
        <w:t>(Source: Self–developed)</w:t>
      </w:r>
    </w:p>
    <w:p w14:paraId="6A50163F" w14:textId="77777777" w:rsidR="00692944" w:rsidRDefault="00C86320">
      <w:pPr>
        <w:pStyle w:val="Titlu1"/>
        <w:rPr>
          <w:rFonts w:ascii="Arial" w:eastAsia="Arial" w:hAnsi="Arial" w:cs="Arial"/>
          <w:color w:val="000000"/>
          <w:sz w:val="22"/>
          <w:szCs w:val="22"/>
        </w:rPr>
      </w:pPr>
      <w:bookmarkStart w:id="9" w:name="_heading=h.priwfpbkzfwa" w:colFirst="0" w:colLast="0"/>
      <w:bookmarkEnd w:id="9"/>
      <w:r>
        <w:rPr>
          <w:rFonts w:ascii="Arial" w:eastAsia="Arial" w:hAnsi="Arial" w:cs="Arial"/>
          <w:color w:val="000000"/>
          <w:sz w:val="22"/>
          <w:szCs w:val="22"/>
        </w:rPr>
        <w:t>6. Evaluating methods and managing conflicts of stakeholders using 4C's model</w:t>
      </w:r>
    </w:p>
    <w:p w14:paraId="1D727190"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It is important to use a systematic and participative process of stakeholder engagement for the project manager of </w:t>
      </w:r>
      <w:proofErr w:type="spellStart"/>
      <w:r>
        <w:rPr>
          <w:rFonts w:ascii="Arial" w:eastAsia="Arial" w:hAnsi="Arial" w:cs="Arial"/>
          <w:color w:val="000000"/>
          <w:sz w:val="22"/>
          <w:szCs w:val="22"/>
        </w:rPr>
        <w:t>Convatec's</w:t>
      </w:r>
      <w:proofErr w:type="spellEnd"/>
      <w:r>
        <w:rPr>
          <w:rFonts w:ascii="Arial" w:eastAsia="Arial" w:hAnsi="Arial" w:cs="Arial"/>
          <w:color w:val="000000"/>
          <w:sz w:val="22"/>
          <w:szCs w:val="22"/>
        </w:rPr>
        <w:t xml:space="preserve">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project. The goal is to involve, inform, and engage internal and external stakeholders during the product development and launch process. Successful engagement creates innovation, trust, and project success (Woudstra et al., 2022). Stakeholders will need to be aligned with </w:t>
      </w:r>
      <w:proofErr w:type="spellStart"/>
      <w:r>
        <w:rPr>
          <w:rFonts w:ascii="Arial" w:eastAsia="Arial" w:hAnsi="Arial" w:cs="Arial"/>
          <w:color w:val="000000"/>
          <w:sz w:val="22"/>
          <w:szCs w:val="22"/>
        </w:rPr>
        <w:t>Convatec's</w:t>
      </w:r>
      <w:proofErr w:type="spellEnd"/>
      <w:r>
        <w:rPr>
          <w:rFonts w:ascii="Arial" w:eastAsia="Arial" w:hAnsi="Arial" w:cs="Arial"/>
          <w:color w:val="000000"/>
          <w:sz w:val="22"/>
          <w:szCs w:val="22"/>
        </w:rPr>
        <w:t xml:space="preserve"> goal of enhancing lives through groundbreaking healthcare solutions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2025). The 4Cs model of communication, coordination, cooperation, and collaboration presents a helpful framework to facilitate en</w:t>
      </w:r>
      <w:r>
        <w:rPr>
          <w:rFonts w:ascii="Arial" w:eastAsia="Arial" w:hAnsi="Arial" w:cs="Arial"/>
          <w:color w:val="000000"/>
          <w:sz w:val="22"/>
          <w:szCs w:val="22"/>
        </w:rPr>
        <w:t>gagement and resolve conflicts successfully (Jimenez et al., 2021). The analysis is provided below:</w:t>
      </w:r>
    </w:p>
    <w:p w14:paraId="4A7B72C2"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Communication</w:t>
      </w:r>
    </w:p>
    <w:p w14:paraId="7CEE6752"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Open, transparent, and timely communication forms the foundation of stakeholder communication. It creates all groups aware of their project role, goals, and expected results (Pawlak, 2017). Regular team meetings, progress reports, and web-based performance tracking dashboards will form internal communication. Stakeholder briefing, newsletters, and ethical review feedback sessions will form external communication. Virtual conference calls will connect cross-functional groups and outside partners, with ongoin</w:t>
      </w:r>
      <w:r>
        <w:rPr>
          <w:rFonts w:ascii="Arial" w:eastAsia="Arial" w:hAnsi="Arial" w:cs="Arial"/>
          <w:color w:val="000000"/>
          <w:sz w:val="22"/>
          <w:szCs w:val="22"/>
        </w:rPr>
        <w:t xml:space="preserve">g information sharing (Liu, Shi and Yang, 2022). Effective communication reduces misunderstanding, maintains expectations, and creates trust among the stakeholders (Christopher, Payne and Ballantyne, 2013). The communication strategy will be virtual and off-line communications. </w:t>
      </w:r>
    </w:p>
    <w:p w14:paraId="60FEB5BD"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For the internal stakeholders, the communications plan will comprise marketing, regulatory, and development department reports. Timetable delivery shall be monitored to facilitate readiness to market. In addition to this, regulatory agencies will be updated on design evolution and safety test </w:t>
      </w:r>
      <w:r>
        <w:rPr>
          <w:rFonts w:ascii="Arial" w:eastAsia="Arial" w:hAnsi="Arial" w:cs="Arial"/>
          <w:sz w:val="22"/>
          <w:szCs w:val="22"/>
        </w:rPr>
        <w:t>outcomes each</w:t>
      </w:r>
      <w:r>
        <w:rPr>
          <w:rFonts w:ascii="Arial" w:eastAsia="Arial" w:hAnsi="Arial" w:cs="Arial"/>
          <w:color w:val="000000"/>
          <w:sz w:val="22"/>
          <w:szCs w:val="22"/>
        </w:rPr>
        <w:t xml:space="preserve"> time (Han et al., 2022). Open communications provide assurance for approval on time and credibility. Open communications respond to communication ethical principles embraced in health research (</w:t>
      </w:r>
      <w:proofErr w:type="spellStart"/>
      <w:r>
        <w:rPr>
          <w:rFonts w:ascii="Arial" w:eastAsia="Arial" w:hAnsi="Arial" w:cs="Arial"/>
          <w:color w:val="000000"/>
          <w:sz w:val="22"/>
          <w:szCs w:val="22"/>
        </w:rPr>
        <w:t>Elshenawy</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Aslanpour</w:t>
      </w:r>
      <w:proofErr w:type="spellEnd"/>
      <w:r>
        <w:rPr>
          <w:rFonts w:ascii="Arial" w:eastAsia="Arial" w:hAnsi="Arial" w:cs="Arial"/>
          <w:color w:val="000000"/>
          <w:sz w:val="22"/>
          <w:szCs w:val="22"/>
        </w:rPr>
        <w:t xml:space="preserve">, 2024). Health professionals and patients will learn about the advantages, simplicity of use, and ethical safeguarding of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Motivated employees drive a good organisational culture and are to work towards shared objectives. This discourages staff turnover and improves team </w:t>
      </w:r>
      <w:r>
        <w:rPr>
          <w:rFonts w:ascii="Arial" w:eastAsia="Arial" w:hAnsi="Arial" w:cs="Arial"/>
          <w:color w:val="000000"/>
          <w:sz w:val="22"/>
          <w:szCs w:val="22"/>
        </w:rPr>
        <w:t>performance.</w:t>
      </w:r>
    </w:p>
    <w:p w14:paraId="268F04BB"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Coordination</w:t>
      </w:r>
    </w:p>
    <w:p w14:paraId="57B53114"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Coordination guarantees that internal departments along with external agencies work towards one objective (Gooding et al., 2022). As a project manager, one must share a cooperative project calendar and unified reporting system. This avoids duplicated effort and improves accountability (Raftery, Hossain and Palmer, 2022). Coordination tools such as project planning software, Gantt charts, and cloud collaboration tools will be utilised to monitor progress. Adoption of hardware, software, and clinical validati</w:t>
      </w:r>
      <w:r>
        <w:rPr>
          <w:rFonts w:ascii="Arial" w:eastAsia="Arial" w:hAnsi="Arial" w:cs="Arial"/>
          <w:color w:val="000000"/>
          <w:sz w:val="22"/>
          <w:szCs w:val="22"/>
        </w:rPr>
        <w:t xml:space="preserve">on must be implemented, which are necessary for projects such as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(von Behr, </w:t>
      </w:r>
      <w:proofErr w:type="spellStart"/>
      <w:r>
        <w:rPr>
          <w:rFonts w:ascii="Arial" w:eastAsia="Arial" w:hAnsi="Arial" w:cs="Arial"/>
          <w:color w:val="000000"/>
          <w:sz w:val="22"/>
          <w:szCs w:val="22"/>
        </w:rPr>
        <w:t>Semple</w:t>
      </w:r>
      <w:proofErr w:type="spellEnd"/>
      <w:r>
        <w:rPr>
          <w:rFonts w:ascii="Arial" w:eastAsia="Arial" w:hAnsi="Arial" w:cs="Arial"/>
          <w:color w:val="000000"/>
          <w:sz w:val="22"/>
          <w:szCs w:val="22"/>
        </w:rPr>
        <w:t xml:space="preserve"> and Minshall, 2022). Effective coordination will also incorporate the supplier and logistics department. Production schedules and quality levels will be communicated with supply partners. Quality and regulatory departments will align certification procedures and documents to avoid delays (Baines et al., 2023). Joint coordination sessions among R&amp;D and marketing departments of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will have product </w:t>
      </w:r>
      <w:r>
        <w:rPr>
          <w:rFonts w:ascii="Arial" w:eastAsia="Arial" w:hAnsi="Arial" w:cs="Arial"/>
          <w:sz w:val="22"/>
          <w:szCs w:val="22"/>
        </w:rPr>
        <w:t>characteristics</w:t>
      </w:r>
      <w:r>
        <w:rPr>
          <w:rFonts w:ascii="Arial" w:eastAsia="Arial" w:hAnsi="Arial" w:cs="Arial"/>
          <w:sz w:val="22"/>
          <w:szCs w:val="22"/>
        </w:rPr>
        <w:t xml:space="preserve"> that match</w:t>
      </w:r>
      <w:r>
        <w:rPr>
          <w:rFonts w:ascii="Arial" w:eastAsia="Arial" w:hAnsi="Arial" w:cs="Arial"/>
          <w:color w:val="000000"/>
          <w:sz w:val="22"/>
          <w:szCs w:val="22"/>
        </w:rPr>
        <w:t xml:space="preserve"> the needs of customers and marketing communications (Hashimoto, Motozawa and Mano, 2024). Coordination among global markets will provide uniformity in the market and compliance with ethical standards. </w:t>
      </w:r>
    </w:p>
    <w:p w14:paraId="5D28C07A"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Cooperation</w:t>
      </w:r>
    </w:p>
    <w:p w14:paraId="7F6CFDF4"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Placing high values on good relations based on respect and shared accountability is a significant sharing. The stakeholders need to know that results are dependent on teamwork. One should use open communication and shared responsibility of the issues as a project manager. It will involve making a stakeholder relationship map that documents their interest, level of influence, and impact (Pawlak, 2017). Internal collaboration increases motivation and ensures compliance with the project (Christopher, Payne and</w:t>
      </w:r>
      <w:r>
        <w:rPr>
          <w:rFonts w:ascii="Arial" w:eastAsia="Arial" w:hAnsi="Arial" w:cs="Arial"/>
          <w:color w:val="000000"/>
          <w:sz w:val="22"/>
          <w:szCs w:val="22"/>
        </w:rPr>
        <w:t xml:space="preserve"> Ballantyne, 2013). They will be promoted based on performance, incentive programs, and cross-functional learning workshops. </w:t>
      </w:r>
    </w:p>
    <w:p w14:paraId="13578097"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External collaboration will consist of incorporating healthcare professionals and patient groups in advance of the testing stage. Their input will assist in streamlining the design and making it more user-friendly (George, Shahul and George, 2023). The regulatory bodies will be engaged as allies in safety assurance and not as barriers to approval. This collaborative approach facilitates compliance management seamlessly and minimises regulatory confrontation (Han et al., 2022). Suppliers and technology provi</w:t>
      </w:r>
      <w:r>
        <w:rPr>
          <w:rFonts w:ascii="Arial" w:eastAsia="Arial" w:hAnsi="Arial" w:cs="Arial"/>
          <w:color w:val="000000"/>
          <w:sz w:val="22"/>
          <w:szCs w:val="22"/>
        </w:rPr>
        <w:t xml:space="preserve">ders will be motivated to collaborate and share innovative approaches to problems through open innovation practices (Liu, Shi and Yang, 2022). Mutual benefit among all stakeholders guarantees cooperation and guarantees </w:t>
      </w:r>
      <w:proofErr w:type="spellStart"/>
      <w:r>
        <w:rPr>
          <w:rFonts w:ascii="Arial" w:eastAsia="Arial" w:hAnsi="Arial" w:cs="Arial"/>
          <w:color w:val="000000"/>
          <w:sz w:val="22"/>
          <w:szCs w:val="22"/>
        </w:rPr>
        <w:t>Convatec's</w:t>
      </w:r>
      <w:proofErr w:type="spellEnd"/>
      <w:r>
        <w:rPr>
          <w:rFonts w:ascii="Arial" w:eastAsia="Arial" w:hAnsi="Arial" w:cs="Arial"/>
          <w:color w:val="000000"/>
          <w:sz w:val="22"/>
          <w:szCs w:val="22"/>
        </w:rPr>
        <w:t xml:space="preserve"> long-term, sustainable, and ethical business vision. </w:t>
      </w:r>
    </w:p>
    <w:p w14:paraId="1EECD994"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 xml:space="preserve">Collaboration </w:t>
      </w:r>
    </w:p>
    <w:p w14:paraId="7F63C97F"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Collaboration is the highest form of stakeholder participation. Collaboration turns relationships into strategic partnerships in which all the stakeholders are involved in innovation, decision-making, and problem-solving (Hu et al., 2025). In the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project, collaboration will be obtained by collaborative design workshops, clinical trial partnerships, and ongoing product improvement meetings. A participatory design method will be applied to gather feedback from health professionals and patients (Woudstra et al., 2022). Shared feedback loops will permit modifications to product features from real-world data. Research institutions and universities promote scientific legitimacy and provide compliance with ethical research (</w:t>
      </w:r>
      <w:proofErr w:type="spellStart"/>
      <w:r>
        <w:rPr>
          <w:rFonts w:ascii="Arial" w:eastAsia="Arial" w:hAnsi="Arial" w:cs="Arial"/>
          <w:color w:val="000000"/>
          <w:sz w:val="22"/>
          <w:szCs w:val="22"/>
        </w:rPr>
        <w:t>Elshenawy</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Aslanpour</w:t>
      </w:r>
      <w:proofErr w:type="spellEnd"/>
      <w:r>
        <w:rPr>
          <w:rFonts w:ascii="Arial" w:eastAsia="Arial" w:hAnsi="Arial" w:cs="Arial"/>
          <w:color w:val="000000"/>
          <w:sz w:val="22"/>
          <w:szCs w:val="22"/>
        </w:rPr>
        <w:t>,</w:t>
      </w:r>
      <w:r>
        <w:rPr>
          <w:rFonts w:ascii="Arial" w:eastAsia="Arial" w:hAnsi="Arial" w:cs="Arial"/>
          <w:color w:val="000000"/>
          <w:sz w:val="22"/>
          <w:szCs w:val="22"/>
        </w:rPr>
        <w:t xml:space="preserve"> 2024). These collaborations will also be engaged to drive evidence-based advancements.</w:t>
      </w:r>
    </w:p>
    <w:p w14:paraId="3235F8F6" w14:textId="77777777" w:rsidR="00692944" w:rsidRDefault="00C86320">
      <w:pPr>
        <w:pStyle w:val="Titlu1"/>
        <w:rPr>
          <w:rFonts w:ascii="Arial" w:eastAsia="Arial" w:hAnsi="Arial" w:cs="Arial"/>
          <w:color w:val="000000"/>
          <w:sz w:val="22"/>
          <w:szCs w:val="22"/>
        </w:rPr>
      </w:pPr>
      <w:bookmarkStart w:id="10" w:name="_heading=h.mdoaytco98u3" w:colFirst="0" w:colLast="0"/>
      <w:bookmarkEnd w:id="10"/>
      <w:r>
        <w:rPr>
          <w:rFonts w:ascii="Arial" w:eastAsia="Arial" w:hAnsi="Arial" w:cs="Arial"/>
          <w:color w:val="000000"/>
          <w:sz w:val="22"/>
          <w:szCs w:val="22"/>
        </w:rPr>
        <w:t xml:space="preserve">7. Impact of stakeholder engagement and recommendations for future </w:t>
      </w:r>
    </w:p>
    <w:p w14:paraId="5B9CB787"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Impact of stakeholder engagement</w:t>
      </w:r>
    </w:p>
    <w:p w14:paraId="26399ECB"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Stakeholder inclusion </w:t>
      </w:r>
      <w:r>
        <w:rPr>
          <w:rFonts w:ascii="Arial" w:eastAsia="Arial" w:hAnsi="Arial" w:cs="Arial"/>
          <w:b/>
          <w:bCs/>
          <w:color w:val="000000"/>
          <w:sz w:val="22"/>
          <w:szCs w:val="22"/>
        </w:rPr>
        <w:t>maximises transparency</w:t>
      </w:r>
      <w:r>
        <w:rPr>
          <w:rFonts w:ascii="Arial" w:eastAsia="Arial" w:hAnsi="Arial" w:cs="Arial"/>
          <w:color w:val="000000"/>
          <w:sz w:val="22"/>
          <w:szCs w:val="22"/>
        </w:rPr>
        <w:t xml:space="preserve">, which enhances ethical culture and minimises internal conflict. External stakeholders like suppliers might show various conflicting priorities in marketing and design of products (Pawlak, 2017). Involvement of such stakeholders strengthens the reputation and compliance levels of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Working with regulators guarantees legal compliance and public trust. Frequent communication with suppliers, healthcare facilities, and patients fosters confidence and corporate ethics (</w:t>
      </w:r>
      <w:proofErr w:type="spellStart"/>
      <w:r>
        <w:rPr>
          <w:rFonts w:ascii="Arial" w:eastAsia="Arial" w:hAnsi="Arial" w:cs="Arial"/>
          <w:color w:val="000000"/>
          <w:sz w:val="22"/>
          <w:szCs w:val="22"/>
        </w:rPr>
        <w:t>Elshenawy</w:t>
      </w:r>
      <w:proofErr w:type="spellEnd"/>
      <w:r>
        <w:rPr>
          <w:rFonts w:ascii="Arial" w:eastAsia="Arial" w:hAnsi="Arial" w:cs="Arial"/>
          <w:color w:val="000000"/>
          <w:sz w:val="22"/>
          <w:szCs w:val="22"/>
        </w:rPr>
        <w:t xml:space="preserve"> an</w:t>
      </w:r>
      <w:r>
        <w:rPr>
          <w:rFonts w:ascii="Arial" w:eastAsia="Arial" w:hAnsi="Arial" w:cs="Arial"/>
          <w:color w:val="000000"/>
          <w:sz w:val="22"/>
          <w:szCs w:val="22"/>
        </w:rPr>
        <w:t xml:space="preserve">d </w:t>
      </w:r>
      <w:proofErr w:type="spellStart"/>
      <w:r>
        <w:rPr>
          <w:rFonts w:ascii="Arial" w:eastAsia="Arial" w:hAnsi="Arial" w:cs="Arial"/>
          <w:color w:val="000000"/>
          <w:sz w:val="22"/>
          <w:szCs w:val="22"/>
        </w:rPr>
        <w:t>Aslanpour</w:t>
      </w:r>
      <w:proofErr w:type="spellEnd"/>
      <w:r>
        <w:rPr>
          <w:rFonts w:ascii="Arial" w:eastAsia="Arial" w:hAnsi="Arial" w:cs="Arial"/>
          <w:color w:val="000000"/>
          <w:sz w:val="22"/>
          <w:szCs w:val="22"/>
        </w:rPr>
        <w:t xml:space="preserve">, 2024). Such involvement provides the brand reputation of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as a safe and ethical health innovator. In addition to this, stakeholder interaction allows early identification of risks, preventing costs or damage to reputation. Effective engagement of stakeholders helps in contributing to increased profitability and growth in the financial market. Happy customers help create positive word of mouth promoting and reseat business. On the other hand, </w:t>
      </w:r>
      <w:r>
        <w:rPr>
          <w:rFonts w:ascii="Arial" w:eastAsia="Arial" w:hAnsi="Arial" w:cs="Arial"/>
          <w:b/>
          <w:bCs/>
          <w:color w:val="000000"/>
          <w:sz w:val="22"/>
          <w:szCs w:val="22"/>
        </w:rPr>
        <w:t>effective operations</w:t>
      </w:r>
      <w:r>
        <w:rPr>
          <w:rFonts w:ascii="Arial" w:eastAsia="Arial" w:hAnsi="Arial" w:cs="Arial"/>
          <w:color w:val="000000"/>
          <w:sz w:val="22"/>
          <w:szCs w:val="22"/>
        </w:rPr>
        <w:t xml:space="preserve"> minimise wastage and exp</w:t>
      </w:r>
      <w:r>
        <w:rPr>
          <w:rFonts w:ascii="Arial" w:eastAsia="Arial" w:hAnsi="Arial" w:cs="Arial"/>
          <w:color w:val="000000"/>
          <w:sz w:val="22"/>
          <w:szCs w:val="22"/>
        </w:rPr>
        <w:t xml:space="preserve">enditure. Investors also get confidence through clear stakeholder management, contributing to sustainable financial returns. </w:t>
      </w:r>
    </w:p>
    <w:p w14:paraId="0B8DA90B"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Stakeholder engagement helps in long-term stability, growth through innovation, and sustainability in a competitive healthcare device sector (Baines et al., 2023). Investors also feel confident through clear stakeholder management, contributing to sustainable financial returns. Generally, stakeholder engagement aids long-term stability, growth through innovation, and sustainability in a competitive healthcare sector. But there are issues that can be a factor in performance. Competing interests, communicatio</w:t>
      </w:r>
      <w:r>
        <w:rPr>
          <w:rFonts w:ascii="Arial" w:eastAsia="Arial" w:hAnsi="Arial" w:cs="Arial"/>
          <w:color w:val="000000"/>
          <w:sz w:val="22"/>
          <w:szCs w:val="22"/>
        </w:rPr>
        <w:t xml:space="preserve">n failure, and limited resources can lead to conflict between departments or partners (Han et al., 2022). Setting expectations among the regulators, suppliers, and internal teams entails proper coordination.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is a global medical products and technologies company focused on therapies for the management of chronic conditions, leading in advanced wound care, stoma care, continence and critical care, and infusion devices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2023). Employee engagement is crucial as they feel more valued by the or</w:t>
      </w:r>
      <w:r>
        <w:rPr>
          <w:rFonts w:ascii="Arial" w:eastAsia="Arial" w:hAnsi="Arial" w:cs="Arial"/>
          <w:color w:val="000000"/>
          <w:sz w:val="22"/>
          <w:szCs w:val="22"/>
        </w:rPr>
        <w:t>ganisation (Christopher, Payne and Ballantyne, 2013). Thus, regular monitoring, discussion, and performance evaluation are critical in sustaining the positive effect of stakeholder engagement.</w:t>
      </w:r>
    </w:p>
    <w:p w14:paraId="549AAF8F"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Consumers and patients receive real-time information about their health and enjoy enhanced self-care (George, Shahul and George, 2023). Their greatest challenge is maintaining privacy and confidence in data protection (Jo et al., 2023). Challenges include working around constant policy revisions and moving across complex approval timelines (Han et al., 2022). The human resources department facilitates recruitment, training, and staff motivation during the project. It enforces positive working relationships </w:t>
      </w:r>
      <w:r>
        <w:rPr>
          <w:rFonts w:ascii="Arial" w:eastAsia="Arial" w:hAnsi="Arial" w:cs="Arial"/>
          <w:color w:val="000000"/>
          <w:sz w:val="22"/>
          <w:szCs w:val="22"/>
        </w:rPr>
        <w:t>among departments and upholds a friendly work environment (Christopher, Payne and Ballantyne, 2013). HR takes advantage of capability enhancement and workforce harmony but can experience difficulties in workload and resistance to change. Stakeholders play an important role in the progress of the project. Human resource management handles recruitment, training, and employee motivation at the time of the project. It maintains positive working relations among departments and provides a friendly work atmosphere</w:t>
      </w:r>
      <w:r>
        <w:rPr>
          <w:rFonts w:ascii="Arial" w:eastAsia="Arial" w:hAnsi="Arial" w:cs="Arial"/>
          <w:color w:val="000000"/>
          <w:sz w:val="22"/>
          <w:szCs w:val="22"/>
        </w:rPr>
        <w:t xml:space="preserve"> (Christopher, Payne and Ballantyne, 2013). HR utilises capability building and harmony within the workforce but it can face issues like workload and resistance to change.</w:t>
      </w:r>
    </w:p>
    <w:p w14:paraId="4D4DF35D" w14:textId="77777777" w:rsidR="00692944" w:rsidRDefault="00C86320">
      <w:pPr>
        <w:rPr>
          <w:rFonts w:ascii="Arial" w:eastAsia="Arial" w:hAnsi="Arial" w:cs="Arial"/>
          <w:b/>
          <w:bCs/>
          <w:color w:val="000000"/>
          <w:sz w:val="22"/>
          <w:szCs w:val="22"/>
        </w:rPr>
      </w:pPr>
      <w:r>
        <w:rPr>
          <w:rFonts w:ascii="Arial" w:eastAsia="Arial" w:hAnsi="Arial" w:cs="Arial"/>
          <w:b/>
          <w:bCs/>
          <w:color w:val="000000"/>
          <w:sz w:val="22"/>
          <w:szCs w:val="22"/>
        </w:rPr>
        <w:t>Recommendations for Future</w:t>
      </w:r>
    </w:p>
    <w:p w14:paraId="427E1EA3"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To adopt stakeholder involvement and future performances,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w:t>
      </w:r>
      <w:r>
        <w:rPr>
          <w:rFonts w:ascii="Arial" w:eastAsia="Arial" w:hAnsi="Arial" w:cs="Arial"/>
          <w:sz w:val="22"/>
          <w:szCs w:val="22"/>
        </w:rPr>
        <w:t>needs</w:t>
      </w:r>
      <w:r>
        <w:rPr>
          <w:rFonts w:ascii="Arial" w:eastAsia="Arial" w:hAnsi="Arial" w:cs="Arial"/>
          <w:color w:val="000000"/>
          <w:sz w:val="22"/>
          <w:szCs w:val="22"/>
        </w:rPr>
        <w:t xml:space="preserve"> to have an organised and technology-driven stakeholder involvement program. Stakeholder handling can integrate correspondence, feedback, and document exchange in one location by utilising digital tools. This would </w:t>
      </w:r>
      <w:r>
        <w:rPr>
          <w:rFonts w:ascii="Arial" w:eastAsia="Arial" w:hAnsi="Arial" w:cs="Arial"/>
          <w:sz w:val="22"/>
          <w:szCs w:val="22"/>
        </w:rPr>
        <w:t>help</w:t>
      </w:r>
      <w:r>
        <w:rPr>
          <w:rFonts w:ascii="Arial" w:eastAsia="Arial" w:hAnsi="Arial" w:cs="Arial"/>
          <w:color w:val="000000"/>
          <w:sz w:val="22"/>
          <w:szCs w:val="22"/>
        </w:rPr>
        <w:t xml:space="preserve"> transparency, decision-making efficiency, and credibility in the quality of updates provided to stakeholders.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should also create a receipt for a professional development of leaders and others in an organisation committed to the principles of principled engagement of st</w:t>
      </w:r>
      <w:r>
        <w:rPr>
          <w:rFonts w:ascii="Arial" w:eastAsia="Arial" w:hAnsi="Arial" w:cs="Arial"/>
          <w:color w:val="000000"/>
          <w:sz w:val="22"/>
          <w:szCs w:val="22"/>
        </w:rPr>
        <w:t xml:space="preserve">akeholders. Things like stakeholder's communication, emotional intelligence, and conflict management are fundamental skills in properly collaborating and working toward resolving disagreements constructively. Seminars and workshops can support </w:t>
      </w:r>
      <w:r>
        <w:rPr>
          <w:rFonts w:ascii="Arial" w:eastAsia="Arial" w:hAnsi="Arial" w:cs="Arial"/>
          <w:sz w:val="22"/>
          <w:szCs w:val="22"/>
        </w:rPr>
        <w:t>and promote</w:t>
      </w:r>
      <w:r>
        <w:rPr>
          <w:rFonts w:ascii="Arial" w:eastAsia="Arial" w:hAnsi="Arial" w:cs="Arial"/>
          <w:color w:val="000000"/>
          <w:sz w:val="22"/>
          <w:szCs w:val="22"/>
        </w:rPr>
        <w:t xml:space="preserve"> a culture of transparency, respect for one another, and accountability of other colleagues. These recommendations would build a work environment that is transparent and will not promote situations that generate issues internal to the organisation. </w:t>
      </w:r>
    </w:p>
    <w:p w14:paraId="7B6A239C"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Enhancing collaborations that involve and include healthcare and research facilities will continue to assure adoption of innovation (Dembski, 2022). Planning and organising development initiatives would ultimately accelerate the time of product development and increase the opportunity to provide scientific credibility to use. It can also </w:t>
      </w:r>
      <w:r>
        <w:rPr>
          <w:rFonts w:ascii="Arial" w:eastAsia="Arial" w:hAnsi="Arial" w:cs="Arial"/>
          <w:sz w:val="22"/>
          <w:szCs w:val="22"/>
        </w:rPr>
        <w:t>promote physical use</w:t>
      </w:r>
      <w:r>
        <w:rPr>
          <w:rFonts w:ascii="Arial" w:eastAsia="Arial" w:hAnsi="Arial" w:cs="Arial"/>
          <w:color w:val="000000"/>
          <w:sz w:val="22"/>
          <w:szCs w:val="22"/>
        </w:rPr>
        <w:t xml:space="preserve"> of </w:t>
      </w:r>
      <w:r>
        <w:rPr>
          <w:rFonts w:ascii="Arial" w:eastAsia="Arial" w:hAnsi="Arial" w:cs="Arial"/>
          <w:sz w:val="22"/>
          <w:szCs w:val="22"/>
        </w:rPr>
        <w:t>physical health with</w:t>
      </w:r>
      <w:r>
        <w:rPr>
          <w:rFonts w:ascii="Arial" w:eastAsia="Arial" w:hAnsi="Arial" w:cs="Arial"/>
          <w:color w:val="000000"/>
          <w:sz w:val="22"/>
          <w:szCs w:val="22"/>
        </w:rPr>
        <w:t xml:space="preserve"> </w:t>
      </w:r>
      <w:r>
        <w:rPr>
          <w:rFonts w:ascii="Arial" w:eastAsia="Arial" w:hAnsi="Arial" w:cs="Arial"/>
          <w:sz w:val="22"/>
          <w:szCs w:val="22"/>
        </w:rPr>
        <w:t>residents</w:t>
      </w:r>
      <w:r>
        <w:rPr>
          <w:rFonts w:ascii="Arial" w:eastAsia="Arial" w:hAnsi="Arial" w:cs="Arial"/>
          <w:color w:val="000000"/>
          <w:sz w:val="22"/>
          <w:szCs w:val="22"/>
        </w:rPr>
        <w:t xml:space="preserve"> and care for individuals. Additionally, this would also have the potential to </w:t>
      </w:r>
      <w:r>
        <w:rPr>
          <w:rFonts w:ascii="Arial" w:eastAsia="Arial" w:hAnsi="Arial" w:cs="Arial"/>
          <w:sz w:val="22"/>
          <w:szCs w:val="22"/>
        </w:rPr>
        <w:t>address</w:t>
      </w:r>
      <w:r>
        <w:rPr>
          <w:rFonts w:ascii="Arial" w:eastAsia="Arial" w:hAnsi="Arial" w:cs="Arial"/>
          <w:color w:val="000000"/>
          <w:sz w:val="22"/>
          <w:szCs w:val="22"/>
        </w:rPr>
        <w:t xml:space="preserve"> problems by incorporating academic partners and hospitals engaged in trials and collecting data. Devices in clinical environments and potentially clinical practice are important. </w:t>
      </w:r>
    </w:p>
    <w:p w14:paraId="31E5140E" w14:textId="77777777" w:rsidR="00692944" w:rsidRDefault="00C86320">
      <w:pPr>
        <w:pStyle w:val="Titlu1"/>
        <w:rPr>
          <w:rFonts w:ascii="Arial" w:eastAsia="Arial" w:hAnsi="Arial" w:cs="Arial"/>
          <w:color w:val="000000"/>
          <w:sz w:val="22"/>
          <w:szCs w:val="22"/>
        </w:rPr>
      </w:pPr>
      <w:bookmarkStart w:id="11" w:name="_heading=h.o314wqlu4650" w:colFirst="0" w:colLast="0"/>
      <w:bookmarkEnd w:id="11"/>
      <w:r>
        <w:rPr>
          <w:rFonts w:ascii="Arial" w:eastAsia="Arial" w:hAnsi="Arial" w:cs="Arial"/>
          <w:color w:val="000000"/>
          <w:sz w:val="22"/>
          <w:szCs w:val="22"/>
        </w:rPr>
        <w:t xml:space="preserve">8. Conclusion </w:t>
      </w:r>
    </w:p>
    <w:p w14:paraId="3C3F24A5"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The development of a new health technology that tracks pulse, oxygen, and sleep patterns, called </w:t>
      </w:r>
      <w:proofErr w:type="spellStart"/>
      <w:r>
        <w:rPr>
          <w:rFonts w:ascii="Arial" w:eastAsia="Arial" w:hAnsi="Arial" w:cs="Arial"/>
          <w:color w:val="000000"/>
          <w:sz w:val="22"/>
          <w:szCs w:val="22"/>
        </w:rPr>
        <w:t>Vitalyn</w:t>
      </w:r>
      <w:proofErr w:type="spellEnd"/>
      <w:r>
        <w:rPr>
          <w:rFonts w:ascii="Arial" w:eastAsia="Arial" w:hAnsi="Arial" w:cs="Arial"/>
          <w:color w:val="000000"/>
          <w:sz w:val="22"/>
          <w:szCs w:val="22"/>
        </w:rPr>
        <w:t xml:space="preserve">, is an important development for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This is important to its expanding focus on innovation and patient </w:t>
      </w:r>
      <w:proofErr w:type="spellStart"/>
      <w:r>
        <w:rPr>
          <w:rFonts w:ascii="Arial" w:eastAsia="Arial" w:hAnsi="Arial" w:cs="Arial"/>
          <w:color w:val="000000"/>
          <w:sz w:val="22"/>
          <w:szCs w:val="22"/>
        </w:rPr>
        <w:t>centered</w:t>
      </w:r>
      <w:proofErr w:type="spellEnd"/>
      <w:r>
        <w:rPr>
          <w:rFonts w:ascii="Arial" w:eastAsia="Arial" w:hAnsi="Arial" w:cs="Arial"/>
          <w:color w:val="000000"/>
          <w:sz w:val="22"/>
          <w:szCs w:val="22"/>
        </w:rPr>
        <w:t xml:space="preserve"> health solutions. The initiative highlights the value of partnership management as success in the medical technology space. Through collaboration, communication, and trust,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is able to align internal and external interests to achieve a successful launch. The involvement of employees, suppliers, regulators, and physicians validates the technology to be reliable, safe, and sal</w:t>
      </w:r>
      <w:r>
        <w:rPr>
          <w:rFonts w:ascii="Arial" w:eastAsia="Arial" w:hAnsi="Arial" w:cs="Arial"/>
          <w:color w:val="000000"/>
          <w:sz w:val="22"/>
          <w:szCs w:val="22"/>
        </w:rPr>
        <w:t xml:space="preserve">eable. Additionally, stakeholder involvement at an early stage to improve the development and design process has improved the quality of technology and improved customer satisfaction. </w:t>
      </w:r>
    </w:p>
    <w:p w14:paraId="5D6D9353"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Additionally,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should broaden and define stakeholder engagement into long term purpose with strategic goals focused on sustainable development and corporate social responsibility (CSR). Thinking and particular objective for stakeholder engagement to the strategic goal of the organisation supports </w:t>
      </w: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in demonstrating their ethical responsibility. Employee engagement is critical to productivity overall. When internal teams participate in project planning and decision-making, they show higher commitment and cr</w:t>
      </w:r>
      <w:r>
        <w:rPr>
          <w:rFonts w:ascii="Arial" w:eastAsia="Arial" w:hAnsi="Arial" w:cs="Arial"/>
          <w:color w:val="000000"/>
          <w:sz w:val="22"/>
          <w:szCs w:val="22"/>
        </w:rPr>
        <w:t>eativity.</w:t>
      </w:r>
    </w:p>
    <w:p w14:paraId="4FB9B8A2" w14:textId="77777777" w:rsidR="00692944" w:rsidRDefault="00C86320">
      <w:pPr>
        <w:spacing w:before="0" w:after="160"/>
        <w:jc w:val="left"/>
        <w:rPr>
          <w:rFonts w:ascii="Arial" w:eastAsia="Arial" w:hAnsi="Arial" w:cs="Arial"/>
          <w:b/>
          <w:bCs/>
          <w:color w:val="000000"/>
          <w:sz w:val="22"/>
          <w:szCs w:val="22"/>
        </w:rPr>
      </w:pPr>
      <w:bookmarkStart w:id="12" w:name="_heading=h.mxl82v7gf89e" w:colFirst="0" w:colLast="0"/>
      <w:bookmarkEnd w:id="12"/>
      <w:r>
        <w:br w:type="page"/>
      </w:r>
    </w:p>
    <w:p w14:paraId="22ED04C2" w14:textId="77777777" w:rsidR="00692944" w:rsidRDefault="00C86320">
      <w:pPr>
        <w:pStyle w:val="Titlu1"/>
        <w:rPr>
          <w:rFonts w:ascii="Arial" w:eastAsia="Arial" w:hAnsi="Arial" w:cs="Arial"/>
          <w:color w:val="000000"/>
          <w:sz w:val="22"/>
          <w:szCs w:val="22"/>
        </w:rPr>
      </w:pPr>
      <w:r>
        <w:rPr>
          <w:rFonts w:ascii="Arial" w:eastAsia="Arial" w:hAnsi="Arial" w:cs="Arial"/>
          <w:color w:val="000000"/>
          <w:sz w:val="22"/>
          <w:szCs w:val="22"/>
        </w:rPr>
        <w:t>Reference List</w:t>
      </w:r>
    </w:p>
    <w:p w14:paraId="79DC3B26"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Abdelsalam Elshenawy, R. and </w:t>
      </w:r>
      <w:proofErr w:type="spellStart"/>
      <w:r>
        <w:rPr>
          <w:rFonts w:ascii="Arial" w:eastAsia="Arial" w:hAnsi="Arial" w:cs="Arial"/>
          <w:color w:val="000000"/>
          <w:sz w:val="22"/>
          <w:szCs w:val="22"/>
        </w:rPr>
        <w:t>Aslanpour</w:t>
      </w:r>
      <w:proofErr w:type="spellEnd"/>
      <w:r>
        <w:rPr>
          <w:rFonts w:ascii="Arial" w:eastAsia="Arial" w:hAnsi="Arial" w:cs="Arial"/>
          <w:color w:val="000000"/>
          <w:sz w:val="22"/>
          <w:szCs w:val="22"/>
        </w:rPr>
        <w:t xml:space="preserve">, Z. (2024) ‘SWOT Analysis and insights into the Health Research Authority approval process for COVID-19 antimicrobial stewardship research in UK secondary care: Advocating Think Ethics’, </w:t>
      </w:r>
      <w:r>
        <w:rPr>
          <w:rFonts w:ascii="Arial" w:eastAsia="Arial" w:hAnsi="Arial" w:cs="Arial"/>
          <w:i/>
          <w:iCs/>
          <w:color w:val="000000"/>
          <w:sz w:val="22"/>
          <w:szCs w:val="22"/>
        </w:rPr>
        <w:t>University of Hertfordshire Research Archive</w:t>
      </w:r>
      <w:r>
        <w:rPr>
          <w:rFonts w:ascii="Arial" w:eastAsia="Arial" w:hAnsi="Arial" w:cs="Arial"/>
          <w:color w:val="000000"/>
          <w:sz w:val="22"/>
          <w:szCs w:val="22"/>
        </w:rPr>
        <w:t xml:space="preserve">. </w:t>
      </w:r>
    </w:p>
    <w:p w14:paraId="10D6153F" w14:textId="77777777" w:rsidR="00692944" w:rsidRDefault="00C86320">
      <w:pPr>
        <w:rPr>
          <w:rFonts w:ascii="Arial" w:eastAsia="Arial" w:hAnsi="Arial" w:cs="Arial"/>
          <w:color w:val="000000"/>
          <w:sz w:val="22"/>
          <w:szCs w:val="22"/>
        </w:rPr>
      </w:pPr>
      <w:proofErr w:type="spellStart"/>
      <w:r>
        <w:rPr>
          <w:rFonts w:ascii="Arial" w:eastAsia="Arial" w:hAnsi="Arial" w:cs="Arial"/>
          <w:color w:val="000000"/>
          <w:sz w:val="22"/>
          <w:szCs w:val="22"/>
        </w:rPr>
        <w:t>Alugubelli</w:t>
      </w:r>
      <w:proofErr w:type="spellEnd"/>
      <w:r>
        <w:rPr>
          <w:rFonts w:ascii="Arial" w:eastAsia="Arial" w:hAnsi="Arial" w:cs="Arial"/>
          <w:color w:val="000000"/>
          <w:sz w:val="22"/>
          <w:szCs w:val="22"/>
        </w:rPr>
        <w:t xml:space="preserve">, N., </w:t>
      </w:r>
      <w:proofErr w:type="spellStart"/>
      <w:r>
        <w:rPr>
          <w:rFonts w:ascii="Arial" w:eastAsia="Arial" w:hAnsi="Arial" w:cs="Arial"/>
          <w:color w:val="000000"/>
          <w:sz w:val="22"/>
          <w:szCs w:val="22"/>
        </w:rPr>
        <w:t>Abuissa</w:t>
      </w:r>
      <w:proofErr w:type="spellEnd"/>
      <w:r>
        <w:rPr>
          <w:rFonts w:ascii="Arial" w:eastAsia="Arial" w:hAnsi="Arial" w:cs="Arial"/>
          <w:color w:val="000000"/>
          <w:sz w:val="22"/>
          <w:szCs w:val="22"/>
        </w:rPr>
        <w:t xml:space="preserve">, H. and Roka, A. (2022) ‘Wearable devices for remote monitoring of heart rate and heart rate variability—what we know and what is coming’, </w:t>
      </w:r>
      <w:r>
        <w:rPr>
          <w:rFonts w:ascii="Arial" w:eastAsia="Arial" w:hAnsi="Arial" w:cs="Arial"/>
          <w:i/>
          <w:iCs/>
          <w:color w:val="000000"/>
          <w:sz w:val="22"/>
          <w:szCs w:val="22"/>
        </w:rPr>
        <w:t>Sensors</w:t>
      </w:r>
      <w:r>
        <w:rPr>
          <w:rFonts w:ascii="Arial" w:eastAsia="Arial" w:hAnsi="Arial" w:cs="Arial"/>
          <w:color w:val="000000"/>
          <w:sz w:val="22"/>
          <w:szCs w:val="22"/>
        </w:rPr>
        <w:t xml:space="preserve">, 22(22), p.8903. </w:t>
      </w:r>
    </w:p>
    <w:p w14:paraId="7FF9CFD9"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highlight w:val="white"/>
        </w:rPr>
        <w:t xml:space="preserve">Atlassian (n.d.) </w:t>
      </w:r>
      <w:proofErr w:type="spellStart"/>
      <w:r>
        <w:rPr>
          <w:rFonts w:ascii="Arial" w:eastAsia="Arial" w:hAnsi="Arial" w:cs="Arial"/>
          <w:i/>
          <w:iCs/>
          <w:color w:val="000000"/>
          <w:sz w:val="22"/>
          <w:szCs w:val="22"/>
          <w:highlight w:val="white"/>
        </w:rPr>
        <w:t>Raci</w:t>
      </w:r>
      <w:proofErr w:type="spellEnd"/>
      <w:r>
        <w:rPr>
          <w:rFonts w:ascii="Arial" w:eastAsia="Arial" w:hAnsi="Arial" w:cs="Arial"/>
          <w:i/>
          <w:iCs/>
          <w:color w:val="000000"/>
          <w:sz w:val="22"/>
          <w:szCs w:val="22"/>
          <w:highlight w:val="white"/>
        </w:rPr>
        <w:t xml:space="preserve"> chart: What is it &amp; how to use: The workstream</w:t>
      </w:r>
      <w:r>
        <w:rPr>
          <w:rFonts w:ascii="Arial" w:eastAsia="Arial" w:hAnsi="Arial" w:cs="Arial"/>
          <w:color w:val="000000"/>
          <w:sz w:val="22"/>
          <w:szCs w:val="22"/>
          <w:highlight w:val="white"/>
        </w:rPr>
        <w:t xml:space="preserve">, </w:t>
      </w:r>
      <w:r>
        <w:rPr>
          <w:rFonts w:ascii="Arial" w:eastAsia="Arial" w:hAnsi="Arial" w:cs="Arial"/>
          <w:i/>
          <w:iCs/>
          <w:color w:val="000000"/>
          <w:sz w:val="22"/>
          <w:szCs w:val="22"/>
          <w:highlight w:val="white"/>
        </w:rPr>
        <w:t>Atlassian</w:t>
      </w:r>
      <w:r>
        <w:rPr>
          <w:rFonts w:ascii="Arial" w:eastAsia="Arial" w:hAnsi="Arial" w:cs="Arial"/>
          <w:color w:val="000000"/>
          <w:sz w:val="22"/>
          <w:szCs w:val="22"/>
          <w:highlight w:val="white"/>
        </w:rPr>
        <w:t xml:space="preserve">. Available at: https://www.atlassian.com/work-management/project-management/raci-chart (Accessed: 24 October 2025). </w:t>
      </w:r>
    </w:p>
    <w:p w14:paraId="2DA7C05A" w14:textId="77777777" w:rsidR="00692944" w:rsidRDefault="00C86320">
      <w:pPr>
        <w:rPr>
          <w:rFonts w:ascii="Arial" w:eastAsia="Arial" w:hAnsi="Arial" w:cs="Arial"/>
          <w:color w:val="000000"/>
          <w:sz w:val="22"/>
          <w:szCs w:val="22"/>
        </w:rPr>
      </w:pPr>
      <w:proofErr w:type="spellStart"/>
      <w:r>
        <w:rPr>
          <w:rFonts w:ascii="Arial" w:eastAsia="Arial" w:hAnsi="Arial" w:cs="Arial"/>
          <w:color w:val="000000"/>
          <w:sz w:val="22"/>
          <w:szCs w:val="22"/>
        </w:rPr>
        <w:t>Badnjević</w:t>
      </w:r>
      <w:proofErr w:type="spellEnd"/>
      <w:r>
        <w:rPr>
          <w:rFonts w:ascii="Arial" w:eastAsia="Arial" w:hAnsi="Arial" w:cs="Arial"/>
          <w:color w:val="000000"/>
          <w:sz w:val="22"/>
          <w:szCs w:val="22"/>
        </w:rPr>
        <w:t xml:space="preserve">, A., </w:t>
      </w:r>
      <w:proofErr w:type="spellStart"/>
      <w:r>
        <w:rPr>
          <w:rFonts w:ascii="Arial" w:eastAsia="Arial" w:hAnsi="Arial" w:cs="Arial"/>
          <w:color w:val="000000"/>
          <w:sz w:val="22"/>
          <w:szCs w:val="22"/>
        </w:rPr>
        <w:t>Pokvić</w:t>
      </w:r>
      <w:proofErr w:type="spellEnd"/>
      <w:r>
        <w:rPr>
          <w:rFonts w:ascii="Arial" w:eastAsia="Arial" w:hAnsi="Arial" w:cs="Arial"/>
          <w:color w:val="000000"/>
          <w:sz w:val="22"/>
          <w:szCs w:val="22"/>
        </w:rPr>
        <w:t xml:space="preserve">, L.G., </w:t>
      </w:r>
      <w:proofErr w:type="spellStart"/>
      <w:r>
        <w:rPr>
          <w:rFonts w:ascii="Arial" w:eastAsia="Arial" w:hAnsi="Arial" w:cs="Arial"/>
          <w:color w:val="000000"/>
          <w:sz w:val="22"/>
          <w:szCs w:val="22"/>
        </w:rPr>
        <w:t>Deumić</w:t>
      </w:r>
      <w:proofErr w:type="spellEnd"/>
      <w:r>
        <w:rPr>
          <w:rFonts w:ascii="Arial" w:eastAsia="Arial" w:hAnsi="Arial" w:cs="Arial"/>
          <w:color w:val="000000"/>
          <w:sz w:val="22"/>
          <w:szCs w:val="22"/>
        </w:rPr>
        <w:t xml:space="preserve">, A. and Bećirović, L.S. (2022) ‘Post-market surveillance of medical devices: A review’, </w:t>
      </w:r>
      <w:r>
        <w:rPr>
          <w:rFonts w:ascii="Arial" w:eastAsia="Arial" w:hAnsi="Arial" w:cs="Arial"/>
          <w:i/>
          <w:iCs/>
          <w:color w:val="000000"/>
          <w:sz w:val="22"/>
          <w:szCs w:val="22"/>
        </w:rPr>
        <w:t>Technology and Health Care</w:t>
      </w:r>
      <w:r>
        <w:rPr>
          <w:rFonts w:ascii="Arial" w:eastAsia="Arial" w:hAnsi="Arial" w:cs="Arial"/>
          <w:color w:val="000000"/>
          <w:sz w:val="22"/>
          <w:szCs w:val="22"/>
        </w:rPr>
        <w:t xml:space="preserve">, 30(6), pp.1315-1329. </w:t>
      </w:r>
    </w:p>
    <w:p w14:paraId="178B14BD"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Baines, R., Hoogendoorn, P., Stevens, S., Chatterjee, A., Ashall-Payne, L., Andrews, T. and Leigh, S. (2023) ‘Navigating medical device certification: A qualitative exploration of barriers and enablers amongst innovators, notified bodies and other stakeholders’, </w:t>
      </w:r>
      <w:r>
        <w:rPr>
          <w:rFonts w:ascii="Arial" w:eastAsia="Arial" w:hAnsi="Arial" w:cs="Arial"/>
          <w:i/>
          <w:iCs/>
          <w:color w:val="000000"/>
          <w:sz w:val="22"/>
          <w:szCs w:val="22"/>
        </w:rPr>
        <w:t>Therapeutic Innovation &amp; Regulatory Science</w:t>
      </w:r>
      <w:r>
        <w:rPr>
          <w:rFonts w:ascii="Arial" w:eastAsia="Arial" w:hAnsi="Arial" w:cs="Arial"/>
          <w:color w:val="000000"/>
          <w:sz w:val="22"/>
          <w:szCs w:val="22"/>
        </w:rPr>
        <w:t xml:space="preserve">, 57(2), pp.238-250. </w:t>
      </w:r>
    </w:p>
    <w:p w14:paraId="4DA75A8B"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Bhatia, S., </w:t>
      </w:r>
      <w:proofErr w:type="spellStart"/>
      <w:r>
        <w:rPr>
          <w:rFonts w:ascii="Arial" w:eastAsia="Arial" w:hAnsi="Arial" w:cs="Arial"/>
          <w:color w:val="000000"/>
          <w:sz w:val="22"/>
          <w:szCs w:val="22"/>
        </w:rPr>
        <w:t>Dharwal</w:t>
      </w:r>
      <w:proofErr w:type="spellEnd"/>
      <w:r>
        <w:rPr>
          <w:rFonts w:ascii="Arial" w:eastAsia="Arial" w:hAnsi="Arial" w:cs="Arial"/>
          <w:color w:val="000000"/>
          <w:sz w:val="22"/>
          <w:szCs w:val="22"/>
        </w:rPr>
        <w:t xml:space="preserve">, M., Bhatia, S. and Mohan, V. (2024) ‘Transformative impact of technology on the healthcare industry: A SWOT analysis’, </w:t>
      </w:r>
      <w:r>
        <w:rPr>
          <w:rFonts w:ascii="Arial" w:eastAsia="Arial" w:hAnsi="Arial" w:cs="Arial"/>
          <w:i/>
          <w:iCs/>
          <w:color w:val="000000"/>
          <w:sz w:val="22"/>
          <w:szCs w:val="22"/>
        </w:rPr>
        <w:t>Proceedings on Engineering</w:t>
      </w:r>
      <w:r>
        <w:rPr>
          <w:rFonts w:ascii="Arial" w:eastAsia="Arial" w:hAnsi="Arial" w:cs="Arial"/>
          <w:color w:val="000000"/>
          <w:sz w:val="22"/>
          <w:szCs w:val="22"/>
        </w:rPr>
        <w:t xml:space="preserve">, 6(2), pp.769-778. </w:t>
      </w:r>
    </w:p>
    <w:p w14:paraId="28497611"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Chan, P.Y., Ryan, N.P., Chen, D., McNeil, J. and Hopper, I. (2022) ‘Novel wearable and contactless heart rate, respiratory rate, and oxygen saturation monitoring devices: A systematic review and meta‐analysis’, </w:t>
      </w:r>
      <w:r>
        <w:rPr>
          <w:rFonts w:ascii="Arial" w:eastAsia="Arial" w:hAnsi="Arial" w:cs="Arial"/>
          <w:i/>
          <w:iCs/>
          <w:color w:val="000000"/>
          <w:sz w:val="22"/>
          <w:szCs w:val="22"/>
        </w:rPr>
        <w:t>Anaesthesia</w:t>
      </w:r>
      <w:r>
        <w:rPr>
          <w:rFonts w:ascii="Arial" w:eastAsia="Arial" w:hAnsi="Arial" w:cs="Arial"/>
          <w:color w:val="000000"/>
          <w:sz w:val="22"/>
          <w:szCs w:val="22"/>
        </w:rPr>
        <w:t xml:space="preserve">, 77(11), pp.1268-1280. </w:t>
      </w:r>
    </w:p>
    <w:p w14:paraId="25432F69"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Christopher, M., Payne, A. and Ballantyne, D. (2013) </w:t>
      </w:r>
      <w:r>
        <w:rPr>
          <w:rFonts w:ascii="Arial" w:eastAsia="Arial" w:hAnsi="Arial" w:cs="Arial"/>
          <w:i/>
          <w:iCs/>
          <w:color w:val="000000"/>
          <w:sz w:val="22"/>
          <w:szCs w:val="22"/>
        </w:rPr>
        <w:t>Relationship marketing</w:t>
      </w:r>
      <w:r>
        <w:rPr>
          <w:rFonts w:ascii="Arial" w:eastAsia="Arial" w:hAnsi="Arial" w:cs="Arial"/>
          <w:color w:val="000000"/>
          <w:sz w:val="22"/>
          <w:szCs w:val="22"/>
        </w:rPr>
        <w:t>. London: Routledge.</w:t>
      </w:r>
    </w:p>
    <w:p w14:paraId="1D7EA2B1" w14:textId="77777777" w:rsidR="00692944" w:rsidRDefault="00C86320">
      <w:pPr>
        <w:rPr>
          <w:rFonts w:ascii="Arial" w:eastAsia="Arial" w:hAnsi="Arial" w:cs="Arial"/>
          <w:color w:val="000000"/>
          <w:sz w:val="22"/>
          <w:szCs w:val="22"/>
        </w:rPr>
      </w:pP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(2023) Improving the lives of the people we touch. Available at: </w:t>
      </w:r>
      <w:hyperlink r:id="rId9">
        <w:r w:rsidR="00692944">
          <w:rPr>
            <w:rFonts w:ascii="Arial" w:eastAsia="Arial" w:hAnsi="Arial" w:cs="Arial"/>
            <w:color w:val="000000"/>
            <w:sz w:val="22"/>
            <w:szCs w:val="22"/>
            <w:u w:val="single"/>
          </w:rPr>
          <w:t>https://www.convatec.com/en-in/</w:t>
        </w:r>
      </w:hyperlink>
      <w:r>
        <w:rPr>
          <w:rFonts w:ascii="Arial" w:eastAsia="Arial" w:hAnsi="Arial" w:cs="Arial"/>
          <w:color w:val="000000"/>
          <w:sz w:val="22"/>
          <w:szCs w:val="22"/>
        </w:rPr>
        <w:t xml:space="preserve"> (Accessed: 23 October 2025)</w:t>
      </w:r>
    </w:p>
    <w:p w14:paraId="1E342816" w14:textId="77777777" w:rsidR="00692944" w:rsidRDefault="00C86320">
      <w:pPr>
        <w:rPr>
          <w:rFonts w:ascii="Arial" w:eastAsia="Arial" w:hAnsi="Arial" w:cs="Arial"/>
          <w:color w:val="000000"/>
          <w:sz w:val="22"/>
          <w:szCs w:val="22"/>
        </w:rPr>
      </w:pPr>
      <w:proofErr w:type="spellStart"/>
      <w:r>
        <w:rPr>
          <w:rFonts w:ascii="Arial" w:eastAsia="Arial" w:hAnsi="Arial" w:cs="Arial"/>
          <w:color w:val="000000"/>
          <w:sz w:val="22"/>
          <w:szCs w:val="22"/>
        </w:rPr>
        <w:t>Convatec</w:t>
      </w:r>
      <w:proofErr w:type="spellEnd"/>
      <w:r>
        <w:rPr>
          <w:rFonts w:ascii="Arial" w:eastAsia="Arial" w:hAnsi="Arial" w:cs="Arial"/>
          <w:color w:val="000000"/>
          <w:sz w:val="22"/>
          <w:szCs w:val="22"/>
        </w:rPr>
        <w:t xml:space="preserve"> (2025) Forever caring. Available at: </w:t>
      </w:r>
      <w:hyperlink r:id="rId10">
        <w:r w:rsidR="00692944">
          <w:rPr>
            <w:rFonts w:ascii="Arial" w:eastAsia="Arial" w:hAnsi="Arial" w:cs="Arial"/>
            <w:color w:val="000000"/>
            <w:sz w:val="22"/>
            <w:szCs w:val="22"/>
            <w:u w:val="single"/>
          </w:rPr>
          <w:t>https://www.convatecgroup.com/</w:t>
        </w:r>
      </w:hyperlink>
      <w:r>
        <w:rPr>
          <w:rFonts w:ascii="Arial" w:eastAsia="Arial" w:hAnsi="Arial" w:cs="Arial"/>
          <w:color w:val="000000"/>
          <w:sz w:val="22"/>
          <w:szCs w:val="22"/>
        </w:rPr>
        <w:t xml:space="preserve"> (Accessed: 24 October 2025)</w:t>
      </w:r>
    </w:p>
    <w:p w14:paraId="51F287EB" w14:textId="77777777" w:rsidR="00692944" w:rsidRDefault="00C86320">
      <w:pPr>
        <w:rPr>
          <w:rFonts w:ascii="Arial" w:eastAsia="Arial" w:hAnsi="Arial" w:cs="Arial"/>
          <w:color w:val="000000"/>
          <w:sz w:val="22"/>
          <w:szCs w:val="22"/>
          <w:highlight w:val="white"/>
        </w:rPr>
      </w:pPr>
      <w:r>
        <w:rPr>
          <w:rFonts w:ascii="Arial" w:eastAsia="Arial" w:hAnsi="Arial" w:cs="Arial"/>
          <w:color w:val="000000"/>
          <w:sz w:val="22"/>
          <w:szCs w:val="22"/>
          <w:highlight w:val="white"/>
        </w:rPr>
        <w:t xml:space="preserve">De Luca, F., Iaia, L., Mehmood, A. and </w:t>
      </w:r>
      <w:proofErr w:type="spellStart"/>
      <w:r>
        <w:rPr>
          <w:rFonts w:ascii="Arial" w:eastAsia="Arial" w:hAnsi="Arial" w:cs="Arial"/>
          <w:color w:val="000000"/>
          <w:sz w:val="22"/>
          <w:szCs w:val="22"/>
          <w:highlight w:val="white"/>
        </w:rPr>
        <w:t>Vrontis</w:t>
      </w:r>
      <w:proofErr w:type="spellEnd"/>
      <w:r>
        <w:rPr>
          <w:rFonts w:ascii="Arial" w:eastAsia="Arial" w:hAnsi="Arial" w:cs="Arial"/>
          <w:color w:val="000000"/>
          <w:sz w:val="22"/>
          <w:szCs w:val="22"/>
          <w:highlight w:val="white"/>
        </w:rPr>
        <w:t xml:space="preserve">, D. (2022) ‘Can social media improve stakeholder engagement and communication of Sustainable Development Goals? A cross-country analysis’, </w:t>
      </w:r>
      <w:r>
        <w:rPr>
          <w:rFonts w:ascii="Arial" w:eastAsia="Arial" w:hAnsi="Arial" w:cs="Arial"/>
          <w:i/>
          <w:iCs/>
          <w:color w:val="000000"/>
          <w:sz w:val="22"/>
          <w:szCs w:val="22"/>
          <w:highlight w:val="white"/>
        </w:rPr>
        <w:t xml:space="preserve">Technological forecasting and social change, </w:t>
      </w:r>
      <w:r>
        <w:rPr>
          <w:rFonts w:ascii="Arial" w:eastAsia="Arial" w:hAnsi="Arial" w:cs="Arial"/>
          <w:color w:val="000000"/>
          <w:sz w:val="22"/>
          <w:szCs w:val="22"/>
          <w:highlight w:val="white"/>
        </w:rPr>
        <w:t>177, p.121525.</w:t>
      </w:r>
    </w:p>
    <w:p w14:paraId="6055177D"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Dembski, D. (2022) </w:t>
      </w:r>
      <w:r>
        <w:rPr>
          <w:rFonts w:ascii="Arial" w:eastAsia="Arial" w:hAnsi="Arial" w:cs="Arial"/>
          <w:i/>
          <w:iCs/>
          <w:color w:val="000000"/>
          <w:sz w:val="22"/>
          <w:szCs w:val="22"/>
        </w:rPr>
        <w:t>Innovating innovation management in the medical device SME sector through coopetition</w:t>
      </w:r>
      <w:r>
        <w:rPr>
          <w:rFonts w:ascii="Arial" w:eastAsia="Arial" w:hAnsi="Arial" w:cs="Arial"/>
          <w:color w:val="000000"/>
          <w:sz w:val="22"/>
          <w:szCs w:val="22"/>
        </w:rPr>
        <w:t>. Sheffield Hallam University.</w:t>
      </w:r>
    </w:p>
    <w:p w14:paraId="3B72FD70"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George, A.H., Shahul, A. and George, A.S. (2023) ‘Wearable sensors: A new way to track health and wellness’, </w:t>
      </w:r>
      <w:r>
        <w:rPr>
          <w:rFonts w:ascii="Arial" w:eastAsia="Arial" w:hAnsi="Arial" w:cs="Arial"/>
          <w:i/>
          <w:iCs/>
          <w:color w:val="000000"/>
          <w:sz w:val="22"/>
          <w:szCs w:val="22"/>
        </w:rPr>
        <w:t>Partners Universal International Innovation Journal</w:t>
      </w:r>
      <w:r>
        <w:rPr>
          <w:rFonts w:ascii="Arial" w:eastAsia="Arial" w:hAnsi="Arial" w:cs="Arial"/>
          <w:color w:val="000000"/>
          <w:sz w:val="22"/>
          <w:szCs w:val="22"/>
        </w:rPr>
        <w:t xml:space="preserve">, 1(4), pp.15-34. </w:t>
      </w:r>
    </w:p>
    <w:p w14:paraId="45718229"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Gooding, K., Bertone, M.P., Loffreda, G. and Witter, S. (2022) ‘How can we strengthen partnership and coordination for health system emergency preparedness and response? Findings from a synthesis of experience across countries facing shocks’, </w:t>
      </w:r>
      <w:r>
        <w:rPr>
          <w:rFonts w:ascii="Arial" w:eastAsia="Arial" w:hAnsi="Arial" w:cs="Arial"/>
          <w:i/>
          <w:iCs/>
          <w:color w:val="000000"/>
          <w:sz w:val="22"/>
          <w:szCs w:val="22"/>
        </w:rPr>
        <w:t>BMC Health Services Research</w:t>
      </w:r>
      <w:r>
        <w:rPr>
          <w:rFonts w:ascii="Arial" w:eastAsia="Arial" w:hAnsi="Arial" w:cs="Arial"/>
          <w:color w:val="000000"/>
          <w:sz w:val="22"/>
          <w:szCs w:val="22"/>
        </w:rPr>
        <w:t xml:space="preserve">, 22(1), p.1441.  </w:t>
      </w:r>
    </w:p>
    <w:p w14:paraId="2E9B3BE2"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GOV UK (2025a) CONVATEC GROUP PLC. Available at: </w:t>
      </w:r>
      <w:hyperlink r:id="rId11">
        <w:r w:rsidR="00692944">
          <w:rPr>
            <w:rFonts w:ascii="Arial" w:eastAsia="Arial" w:hAnsi="Arial" w:cs="Arial"/>
            <w:color w:val="000000"/>
            <w:sz w:val="22"/>
            <w:szCs w:val="22"/>
            <w:u w:val="single"/>
          </w:rPr>
          <w:t>https://find-and-update.company-information.service.gov.uk/company/10361298/officers</w:t>
        </w:r>
      </w:hyperlink>
      <w:r>
        <w:rPr>
          <w:rFonts w:ascii="Arial" w:eastAsia="Arial" w:hAnsi="Arial" w:cs="Arial"/>
          <w:color w:val="000000"/>
          <w:sz w:val="22"/>
          <w:szCs w:val="22"/>
        </w:rPr>
        <w:t xml:space="preserve"> (Accessed: 23 October 2025)</w:t>
      </w:r>
    </w:p>
    <w:p w14:paraId="1455108A"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GOV UK (2025b) Medicines &amp; Healthcare products Regulatory Agency. Available at: </w:t>
      </w:r>
      <w:hyperlink r:id="rId12">
        <w:r w:rsidR="00692944">
          <w:rPr>
            <w:rFonts w:ascii="Arial" w:eastAsia="Arial" w:hAnsi="Arial" w:cs="Arial"/>
            <w:color w:val="000000"/>
            <w:sz w:val="22"/>
            <w:szCs w:val="22"/>
            <w:u w:val="single"/>
          </w:rPr>
          <w:t>https://www.gov.uk/government/organisations/medicines-and-healthcare-products-regulatory-agency</w:t>
        </w:r>
      </w:hyperlink>
      <w:r>
        <w:rPr>
          <w:rFonts w:ascii="Arial" w:eastAsia="Arial" w:hAnsi="Arial" w:cs="Arial"/>
          <w:color w:val="000000"/>
          <w:sz w:val="22"/>
          <w:szCs w:val="22"/>
        </w:rPr>
        <w:t xml:space="preserve"> (Accessed: 23 October 2025)</w:t>
      </w:r>
    </w:p>
    <w:p w14:paraId="1E6843E5"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Han, J.E.D., Ibrahim, H., </w:t>
      </w:r>
      <w:proofErr w:type="spellStart"/>
      <w:r>
        <w:rPr>
          <w:rFonts w:ascii="Arial" w:eastAsia="Arial" w:hAnsi="Arial" w:cs="Arial"/>
          <w:color w:val="000000"/>
          <w:sz w:val="22"/>
          <w:szCs w:val="22"/>
        </w:rPr>
        <w:t>Aiyegbusi</w:t>
      </w:r>
      <w:proofErr w:type="spellEnd"/>
      <w:r>
        <w:rPr>
          <w:rFonts w:ascii="Arial" w:eastAsia="Arial" w:hAnsi="Arial" w:cs="Arial"/>
          <w:color w:val="000000"/>
          <w:sz w:val="22"/>
          <w:szCs w:val="22"/>
        </w:rPr>
        <w:t xml:space="preserve">, O.L., Liu, X., Marston, E., Denniston, A.K. and Calvert, M.J. (2022) ‘Opportunities and risks of UK medical device reform’, </w:t>
      </w:r>
      <w:r>
        <w:rPr>
          <w:rFonts w:ascii="Arial" w:eastAsia="Arial" w:hAnsi="Arial" w:cs="Arial"/>
          <w:i/>
          <w:iCs/>
          <w:color w:val="000000"/>
          <w:sz w:val="22"/>
          <w:szCs w:val="22"/>
        </w:rPr>
        <w:t>Therapeutic Innovation &amp; Regulatory Science</w:t>
      </w:r>
      <w:r>
        <w:rPr>
          <w:rFonts w:ascii="Arial" w:eastAsia="Arial" w:hAnsi="Arial" w:cs="Arial"/>
          <w:color w:val="000000"/>
          <w:sz w:val="22"/>
          <w:szCs w:val="22"/>
        </w:rPr>
        <w:t xml:space="preserve">, 56(4), pp.596-606. </w:t>
      </w:r>
    </w:p>
    <w:p w14:paraId="21015FCA"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Hashimoto, S., Motozawa, Y. and Mano, T. (2024) ‘Digital marketing innovation: New business models for pharmaceutical and medical device product marketing’, </w:t>
      </w:r>
      <w:r>
        <w:rPr>
          <w:rFonts w:ascii="Arial" w:eastAsia="Arial" w:hAnsi="Arial" w:cs="Arial"/>
          <w:i/>
          <w:iCs/>
          <w:color w:val="000000"/>
          <w:sz w:val="22"/>
          <w:szCs w:val="22"/>
        </w:rPr>
        <w:t>Digital Health</w:t>
      </w:r>
      <w:r>
        <w:rPr>
          <w:rFonts w:ascii="Arial" w:eastAsia="Arial" w:hAnsi="Arial" w:cs="Arial"/>
          <w:color w:val="000000"/>
          <w:sz w:val="22"/>
          <w:szCs w:val="22"/>
        </w:rPr>
        <w:t xml:space="preserve">, 10, p.20552076241279186. </w:t>
      </w:r>
    </w:p>
    <w:p w14:paraId="4CC499AE" w14:textId="77777777" w:rsidR="00692944" w:rsidRDefault="00C86320">
      <w:pPr>
        <w:rPr>
          <w:rFonts w:ascii="Arial" w:eastAsia="Arial" w:hAnsi="Arial" w:cs="Arial"/>
          <w:color w:val="000000"/>
          <w:sz w:val="22"/>
          <w:szCs w:val="22"/>
          <w:highlight w:val="white"/>
        </w:rPr>
      </w:pPr>
      <w:proofErr w:type="spellStart"/>
      <w:r>
        <w:rPr>
          <w:rFonts w:ascii="Arial" w:eastAsia="Arial" w:hAnsi="Arial" w:cs="Arial"/>
          <w:color w:val="000000"/>
          <w:sz w:val="22"/>
          <w:szCs w:val="22"/>
          <w:highlight w:val="white"/>
        </w:rPr>
        <w:t>Hoory</w:t>
      </w:r>
      <w:proofErr w:type="spellEnd"/>
      <w:r>
        <w:rPr>
          <w:rFonts w:ascii="Arial" w:eastAsia="Arial" w:hAnsi="Arial" w:cs="Arial"/>
          <w:color w:val="000000"/>
          <w:sz w:val="22"/>
          <w:szCs w:val="22"/>
          <w:highlight w:val="white"/>
        </w:rPr>
        <w:t xml:space="preserve">, L. (2025) </w:t>
      </w:r>
      <w:r>
        <w:rPr>
          <w:rFonts w:ascii="Arial" w:eastAsia="Arial" w:hAnsi="Arial" w:cs="Arial"/>
          <w:i/>
          <w:iCs/>
          <w:color w:val="000000"/>
          <w:sz w:val="22"/>
          <w:szCs w:val="22"/>
          <w:highlight w:val="white"/>
        </w:rPr>
        <w:t>What is a stakeholder analysis? Everything you need to know</w:t>
      </w:r>
      <w:r>
        <w:rPr>
          <w:rFonts w:ascii="Arial" w:eastAsia="Arial" w:hAnsi="Arial" w:cs="Arial"/>
          <w:color w:val="000000"/>
          <w:sz w:val="22"/>
          <w:szCs w:val="22"/>
          <w:highlight w:val="white"/>
        </w:rPr>
        <w:t xml:space="preserve">, </w:t>
      </w:r>
      <w:r>
        <w:rPr>
          <w:rFonts w:ascii="Arial" w:eastAsia="Arial" w:hAnsi="Arial" w:cs="Arial"/>
          <w:i/>
          <w:iCs/>
          <w:color w:val="000000"/>
          <w:sz w:val="22"/>
          <w:szCs w:val="22"/>
          <w:highlight w:val="white"/>
        </w:rPr>
        <w:t>Forbes</w:t>
      </w:r>
      <w:r>
        <w:rPr>
          <w:rFonts w:ascii="Arial" w:eastAsia="Arial" w:hAnsi="Arial" w:cs="Arial"/>
          <w:color w:val="000000"/>
          <w:sz w:val="22"/>
          <w:szCs w:val="22"/>
          <w:highlight w:val="white"/>
        </w:rPr>
        <w:t xml:space="preserve">. Available at: </w:t>
      </w:r>
      <w:hyperlink r:id="rId13">
        <w:r w:rsidR="00692944">
          <w:rPr>
            <w:rFonts w:ascii="Arial" w:eastAsia="Arial" w:hAnsi="Arial" w:cs="Arial"/>
            <w:color w:val="000000"/>
            <w:sz w:val="22"/>
            <w:szCs w:val="22"/>
            <w:highlight w:val="white"/>
            <w:u w:val="single"/>
          </w:rPr>
          <w:t>https://www.forbes.com/advisor/business/what-is-stakeholder-analysis/</w:t>
        </w:r>
      </w:hyperlink>
      <w:r>
        <w:rPr>
          <w:rFonts w:ascii="Arial" w:eastAsia="Arial" w:hAnsi="Arial" w:cs="Arial"/>
          <w:color w:val="000000"/>
          <w:sz w:val="22"/>
          <w:szCs w:val="22"/>
          <w:highlight w:val="white"/>
        </w:rPr>
        <w:t xml:space="preserve"> (Accessed: 24 October 2025). </w:t>
      </w:r>
    </w:p>
    <w:p w14:paraId="2D488520"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Hu, F., Yang, H., Qiu, L., Wang, X., Ren, Z., Wei, S., Zhou, H., Chen, Y. and Hu, H. (2025) ‘Innovation networks in the advanced medical equipment industry: Supporting regional digital health systems from a local–national perspective’, </w:t>
      </w:r>
      <w:r>
        <w:rPr>
          <w:rFonts w:ascii="Arial" w:eastAsia="Arial" w:hAnsi="Arial" w:cs="Arial"/>
          <w:i/>
          <w:iCs/>
          <w:color w:val="000000"/>
          <w:sz w:val="22"/>
          <w:szCs w:val="22"/>
        </w:rPr>
        <w:t>Frontiers in Public Health</w:t>
      </w:r>
      <w:r>
        <w:rPr>
          <w:rFonts w:ascii="Arial" w:eastAsia="Arial" w:hAnsi="Arial" w:cs="Arial"/>
          <w:color w:val="000000"/>
          <w:sz w:val="22"/>
          <w:szCs w:val="22"/>
        </w:rPr>
        <w:t xml:space="preserve">, 13, p.1635475. </w:t>
      </w:r>
    </w:p>
    <w:p w14:paraId="5227D917"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Jimenez, G., Matchar, D., Koh, G.C.H., Tyagi, S., van der Kleij, R.M., Chavannes, N.H. and Car, J. (2021) ‘Revisiting the four core functions (4Cs) of primary care: Operational definitions and complexities’, </w:t>
      </w:r>
      <w:r>
        <w:rPr>
          <w:rFonts w:ascii="Arial" w:eastAsia="Arial" w:hAnsi="Arial" w:cs="Arial"/>
          <w:i/>
          <w:iCs/>
          <w:color w:val="000000"/>
          <w:sz w:val="22"/>
          <w:szCs w:val="22"/>
        </w:rPr>
        <w:t>Primary Health Care Research &amp; Development</w:t>
      </w:r>
      <w:r>
        <w:rPr>
          <w:rFonts w:ascii="Arial" w:eastAsia="Arial" w:hAnsi="Arial" w:cs="Arial"/>
          <w:color w:val="000000"/>
          <w:sz w:val="22"/>
          <w:szCs w:val="22"/>
        </w:rPr>
        <w:t xml:space="preserve">, 22, p.e68. </w:t>
      </w:r>
    </w:p>
    <w:p w14:paraId="5DC03799"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Jo, E., Epstein, D.A., Jung, H. and Kim, Y.H. (2023) ‘Understanding the benefits and challenges of deploying conversational AI leveraging large language models for public health intervention’, </w:t>
      </w:r>
      <w:r>
        <w:rPr>
          <w:rFonts w:ascii="Arial" w:eastAsia="Arial" w:hAnsi="Arial" w:cs="Arial"/>
          <w:i/>
          <w:iCs/>
          <w:color w:val="000000"/>
          <w:sz w:val="22"/>
          <w:szCs w:val="22"/>
        </w:rPr>
        <w:t>Proceedings of the 2023 CHI Conference on Human Factors in Computing Systems</w:t>
      </w:r>
      <w:r>
        <w:rPr>
          <w:rFonts w:ascii="Arial" w:eastAsia="Arial" w:hAnsi="Arial" w:cs="Arial"/>
          <w:color w:val="000000"/>
          <w:sz w:val="22"/>
          <w:szCs w:val="22"/>
        </w:rPr>
        <w:t xml:space="preserve">, pp.1-16. </w:t>
      </w:r>
    </w:p>
    <w:p w14:paraId="3221C62B"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Kang, H.S. and </w:t>
      </w:r>
      <w:proofErr w:type="spellStart"/>
      <w:r>
        <w:rPr>
          <w:rFonts w:ascii="Arial" w:eastAsia="Arial" w:hAnsi="Arial" w:cs="Arial"/>
          <w:color w:val="000000"/>
          <w:sz w:val="22"/>
          <w:szCs w:val="22"/>
        </w:rPr>
        <w:t>Exworthy</w:t>
      </w:r>
      <w:proofErr w:type="spellEnd"/>
      <w:r>
        <w:rPr>
          <w:rFonts w:ascii="Arial" w:eastAsia="Arial" w:hAnsi="Arial" w:cs="Arial"/>
          <w:color w:val="000000"/>
          <w:sz w:val="22"/>
          <w:szCs w:val="22"/>
        </w:rPr>
        <w:t xml:space="preserve">, M. (2022) ‘Wearing the future—wearables to empower users to take greater responsibility for their health and care: Scoping review’, </w:t>
      </w:r>
      <w:r>
        <w:rPr>
          <w:rFonts w:ascii="Arial" w:eastAsia="Arial" w:hAnsi="Arial" w:cs="Arial"/>
          <w:i/>
          <w:iCs/>
          <w:color w:val="000000"/>
          <w:sz w:val="22"/>
          <w:szCs w:val="22"/>
        </w:rPr>
        <w:t>JMIR mHealth and uHealth</w:t>
      </w:r>
      <w:r>
        <w:rPr>
          <w:rFonts w:ascii="Arial" w:eastAsia="Arial" w:hAnsi="Arial" w:cs="Arial"/>
          <w:color w:val="000000"/>
          <w:sz w:val="22"/>
          <w:szCs w:val="22"/>
        </w:rPr>
        <w:t xml:space="preserve">, 10(7), p.e35684. </w:t>
      </w:r>
    </w:p>
    <w:p w14:paraId="54BC3470" w14:textId="77777777" w:rsidR="00692944" w:rsidRDefault="00C86320">
      <w:pPr>
        <w:rPr>
          <w:rFonts w:ascii="Arial" w:eastAsia="Arial" w:hAnsi="Arial" w:cs="Arial"/>
          <w:color w:val="000000"/>
          <w:sz w:val="22"/>
          <w:szCs w:val="22"/>
          <w:highlight w:val="white"/>
        </w:rPr>
      </w:pPr>
      <w:r>
        <w:rPr>
          <w:rFonts w:ascii="Arial" w:eastAsia="Arial" w:hAnsi="Arial" w:cs="Arial"/>
          <w:color w:val="000000"/>
          <w:sz w:val="22"/>
          <w:szCs w:val="22"/>
          <w:highlight w:val="white"/>
        </w:rPr>
        <w:t xml:space="preserve">Kujala, J., Sachs, S., Leinonen, H., Heikkinen, A. and Laude, D. (2022) ‘Stakeholder engagement: Past, present, and future’, </w:t>
      </w:r>
      <w:r>
        <w:rPr>
          <w:rFonts w:ascii="Arial" w:eastAsia="Arial" w:hAnsi="Arial" w:cs="Arial"/>
          <w:i/>
          <w:iCs/>
          <w:color w:val="000000"/>
          <w:sz w:val="22"/>
          <w:szCs w:val="22"/>
          <w:highlight w:val="white"/>
        </w:rPr>
        <w:t>Business &amp; Society,</w:t>
      </w:r>
      <w:r>
        <w:rPr>
          <w:rFonts w:ascii="Arial" w:eastAsia="Arial" w:hAnsi="Arial" w:cs="Arial"/>
          <w:color w:val="000000"/>
          <w:sz w:val="22"/>
          <w:szCs w:val="22"/>
          <w:highlight w:val="white"/>
        </w:rPr>
        <w:t xml:space="preserve"> 61(5), pp.1136-1196. </w:t>
      </w:r>
    </w:p>
    <w:p w14:paraId="53349E34"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Liu, Z., Shi, Y. and Yang, B. (2022) ‘Open innovation in times of crisis: An overview of the healthcare sector in response to the COVID-19 pandemic’, </w:t>
      </w:r>
      <w:r>
        <w:rPr>
          <w:rFonts w:ascii="Arial" w:eastAsia="Arial" w:hAnsi="Arial" w:cs="Arial"/>
          <w:i/>
          <w:iCs/>
          <w:color w:val="000000"/>
          <w:sz w:val="22"/>
          <w:szCs w:val="22"/>
        </w:rPr>
        <w:t>Journal of Open Innovation: Technology, Market, and Complexity</w:t>
      </w:r>
      <w:r>
        <w:rPr>
          <w:rFonts w:ascii="Arial" w:eastAsia="Arial" w:hAnsi="Arial" w:cs="Arial"/>
          <w:color w:val="000000"/>
          <w:sz w:val="22"/>
          <w:szCs w:val="22"/>
        </w:rPr>
        <w:t xml:space="preserve">, 8(1), p.21. </w:t>
      </w:r>
    </w:p>
    <w:p w14:paraId="24A611DA"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Ma, J., </w:t>
      </w:r>
      <w:proofErr w:type="spellStart"/>
      <w:r>
        <w:rPr>
          <w:rFonts w:ascii="Arial" w:eastAsia="Arial" w:hAnsi="Arial" w:cs="Arial"/>
          <w:color w:val="000000"/>
          <w:sz w:val="22"/>
          <w:szCs w:val="22"/>
        </w:rPr>
        <w:t>Mananap</w:t>
      </w:r>
      <w:proofErr w:type="spellEnd"/>
      <w:r>
        <w:rPr>
          <w:rFonts w:ascii="Arial" w:eastAsia="Arial" w:hAnsi="Arial" w:cs="Arial"/>
          <w:color w:val="000000"/>
          <w:sz w:val="22"/>
          <w:szCs w:val="22"/>
        </w:rPr>
        <w:t xml:space="preserve">, W.J. and Bautista, M. (2024) ‘Marketing strategies for a medical device companies’, </w:t>
      </w:r>
      <w:r>
        <w:rPr>
          <w:rFonts w:ascii="Arial" w:eastAsia="Arial" w:hAnsi="Arial" w:cs="Arial"/>
          <w:i/>
          <w:iCs/>
          <w:color w:val="000000"/>
          <w:sz w:val="22"/>
          <w:szCs w:val="22"/>
        </w:rPr>
        <w:t>International Multidisciplinary Journal of Research for Innovation, Sustainability, and Excellence (IMJRISE)</w:t>
      </w:r>
      <w:r>
        <w:rPr>
          <w:rFonts w:ascii="Arial" w:eastAsia="Arial" w:hAnsi="Arial" w:cs="Arial"/>
          <w:color w:val="000000"/>
          <w:sz w:val="22"/>
          <w:szCs w:val="22"/>
        </w:rPr>
        <w:t xml:space="preserve">, 1(11), pp.40-49. </w:t>
      </w:r>
    </w:p>
    <w:p w14:paraId="12078D53"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Pawlak, M. (2017) ‘How to see and use relations: John Ashcroft, Roy Childs, Alison Myers, Michael Schluter, The Relational Lens: Understanding, managing and measuring stakeholder relationships’, </w:t>
      </w:r>
      <w:r>
        <w:rPr>
          <w:rFonts w:ascii="Arial" w:eastAsia="Arial" w:hAnsi="Arial" w:cs="Arial"/>
          <w:i/>
          <w:iCs/>
          <w:color w:val="000000"/>
          <w:sz w:val="22"/>
          <w:szCs w:val="22"/>
        </w:rPr>
        <w:t>Stan Rzeczy</w:t>
      </w:r>
      <w:r>
        <w:rPr>
          <w:rFonts w:ascii="Arial" w:eastAsia="Arial" w:hAnsi="Arial" w:cs="Arial"/>
          <w:color w:val="000000"/>
          <w:sz w:val="22"/>
          <w:szCs w:val="22"/>
        </w:rPr>
        <w:t xml:space="preserve">, (12), pp.443-447. </w:t>
      </w:r>
    </w:p>
    <w:p w14:paraId="46C55450"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Prieto-Avalos, G., Cruz-Ramos, N.A., Alor-Hernandez, G., Sánchez-Cervantes, J.L., Rodriguez-Mazahua, L. and Guarneros-Nolasco, L.R. (2022) ‘Wearable devices for physical monitoring of heart: A review’, </w:t>
      </w:r>
      <w:r>
        <w:rPr>
          <w:rFonts w:ascii="Arial" w:eastAsia="Arial" w:hAnsi="Arial" w:cs="Arial"/>
          <w:i/>
          <w:iCs/>
          <w:color w:val="000000"/>
          <w:sz w:val="22"/>
          <w:szCs w:val="22"/>
        </w:rPr>
        <w:t>Biosensors</w:t>
      </w:r>
      <w:r>
        <w:rPr>
          <w:rFonts w:ascii="Arial" w:eastAsia="Arial" w:hAnsi="Arial" w:cs="Arial"/>
          <w:color w:val="000000"/>
          <w:sz w:val="22"/>
          <w:szCs w:val="22"/>
        </w:rPr>
        <w:t xml:space="preserve">, 12(5), p.292. </w:t>
      </w:r>
    </w:p>
    <w:p w14:paraId="1B404C85"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Raftery, P., Hossain, M. and Palmer, J. (2022) ‘A conceptual framework for analysing partnership and synergy in a global health alliance: Case of the UK Public Health Rapid Support Team’, </w:t>
      </w:r>
      <w:r>
        <w:rPr>
          <w:rFonts w:ascii="Arial" w:eastAsia="Arial" w:hAnsi="Arial" w:cs="Arial"/>
          <w:i/>
          <w:iCs/>
          <w:color w:val="000000"/>
          <w:sz w:val="22"/>
          <w:szCs w:val="22"/>
        </w:rPr>
        <w:t>Health Policy and Planning</w:t>
      </w:r>
      <w:r>
        <w:rPr>
          <w:rFonts w:ascii="Arial" w:eastAsia="Arial" w:hAnsi="Arial" w:cs="Arial"/>
          <w:color w:val="000000"/>
          <w:sz w:val="22"/>
          <w:szCs w:val="22"/>
        </w:rPr>
        <w:t xml:space="preserve">, 37(3), pp.322-336. </w:t>
      </w:r>
    </w:p>
    <w:p w14:paraId="0CC43A6C"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von Behr, C.M., Semple, G.A. and Minshall, T. (2022) ‘Rapid setup and management of medical device design and manufacturing consortia: Experiences from the COVID-19 crisis in the UK’, </w:t>
      </w:r>
      <w:r>
        <w:rPr>
          <w:rFonts w:ascii="Arial" w:eastAsia="Arial" w:hAnsi="Arial" w:cs="Arial"/>
          <w:i/>
          <w:iCs/>
          <w:color w:val="000000"/>
          <w:sz w:val="22"/>
          <w:szCs w:val="22"/>
        </w:rPr>
        <w:t>R&amp;D Management</w:t>
      </w:r>
      <w:r>
        <w:rPr>
          <w:rFonts w:ascii="Arial" w:eastAsia="Arial" w:hAnsi="Arial" w:cs="Arial"/>
          <w:color w:val="000000"/>
          <w:sz w:val="22"/>
          <w:szCs w:val="22"/>
        </w:rPr>
        <w:t xml:space="preserve">, 52(2), pp.220-234. </w:t>
      </w:r>
    </w:p>
    <w:p w14:paraId="5F020C3C"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World Health Organisation (2025) </w:t>
      </w:r>
      <w:r>
        <w:rPr>
          <w:rFonts w:ascii="Arial" w:eastAsia="Arial" w:hAnsi="Arial" w:cs="Arial"/>
          <w:i/>
          <w:iCs/>
          <w:color w:val="000000"/>
          <w:sz w:val="22"/>
          <w:szCs w:val="22"/>
        </w:rPr>
        <w:t>Health technology assessment of medical devices</w:t>
      </w:r>
      <w:r>
        <w:rPr>
          <w:rFonts w:ascii="Arial" w:eastAsia="Arial" w:hAnsi="Arial" w:cs="Arial"/>
          <w:color w:val="000000"/>
          <w:sz w:val="22"/>
          <w:szCs w:val="22"/>
        </w:rPr>
        <w:t>. Geneva: World Health Organisation.</w:t>
      </w:r>
    </w:p>
    <w:p w14:paraId="6C9C532E" w14:textId="77777777" w:rsidR="00692944" w:rsidRDefault="00C86320">
      <w:pPr>
        <w:rPr>
          <w:rFonts w:ascii="Arial" w:eastAsia="Arial" w:hAnsi="Arial" w:cs="Arial"/>
          <w:color w:val="000000"/>
          <w:sz w:val="22"/>
          <w:szCs w:val="22"/>
        </w:rPr>
      </w:pPr>
      <w:r>
        <w:rPr>
          <w:rFonts w:ascii="Arial" w:eastAsia="Arial" w:hAnsi="Arial" w:cs="Arial"/>
          <w:color w:val="000000"/>
          <w:sz w:val="22"/>
          <w:szCs w:val="22"/>
        </w:rPr>
        <w:t xml:space="preserve">Woudstra, K., </w:t>
      </w:r>
      <w:proofErr w:type="spellStart"/>
      <w:r>
        <w:rPr>
          <w:rFonts w:ascii="Arial" w:eastAsia="Arial" w:hAnsi="Arial" w:cs="Arial"/>
          <w:color w:val="000000"/>
          <w:sz w:val="22"/>
          <w:szCs w:val="22"/>
        </w:rPr>
        <w:t>Reuzel</w:t>
      </w:r>
      <w:proofErr w:type="spellEnd"/>
      <w:r>
        <w:rPr>
          <w:rFonts w:ascii="Arial" w:eastAsia="Arial" w:hAnsi="Arial" w:cs="Arial"/>
          <w:color w:val="000000"/>
          <w:sz w:val="22"/>
          <w:szCs w:val="22"/>
        </w:rPr>
        <w:t xml:space="preserve">, R., Rovers, M. and </w:t>
      </w:r>
      <w:proofErr w:type="spellStart"/>
      <w:r>
        <w:rPr>
          <w:rFonts w:ascii="Arial" w:eastAsia="Arial" w:hAnsi="Arial" w:cs="Arial"/>
          <w:color w:val="000000"/>
          <w:sz w:val="22"/>
          <w:szCs w:val="22"/>
        </w:rPr>
        <w:t>Tummers</w:t>
      </w:r>
      <w:proofErr w:type="spellEnd"/>
      <w:r>
        <w:rPr>
          <w:rFonts w:ascii="Arial" w:eastAsia="Arial" w:hAnsi="Arial" w:cs="Arial"/>
          <w:color w:val="000000"/>
          <w:sz w:val="22"/>
          <w:szCs w:val="22"/>
        </w:rPr>
        <w:t xml:space="preserve">, M. (2022) ‘An overview of stakeholders, methods, topics, and challenges in participatory approaches used in the development of medical devices: A scoping review’, </w:t>
      </w:r>
      <w:r>
        <w:rPr>
          <w:rFonts w:ascii="Arial" w:eastAsia="Arial" w:hAnsi="Arial" w:cs="Arial"/>
          <w:i/>
          <w:iCs/>
          <w:color w:val="000000"/>
          <w:sz w:val="22"/>
          <w:szCs w:val="22"/>
        </w:rPr>
        <w:t>International Journal of Health Policy and Management</w:t>
      </w:r>
      <w:r>
        <w:rPr>
          <w:rFonts w:ascii="Arial" w:eastAsia="Arial" w:hAnsi="Arial" w:cs="Arial"/>
          <w:color w:val="000000"/>
          <w:sz w:val="22"/>
          <w:szCs w:val="22"/>
        </w:rPr>
        <w:t xml:space="preserve">, 12, p.6839. </w:t>
      </w:r>
    </w:p>
    <w:p w14:paraId="442FEF71" w14:textId="77777777" w:rsidR="00692944" w:rsidRDefault="00692944">
      <w:pPr>
        <w:jc w:val="left"/>
        <w:rPr>
          <w:rFonts w:ascii="Arial" w:eastAsia="Arial" w:hAnsi="Arial" w:cs="Arial"/>
          <w:color w:val="000000"/>
          <w:sz w:val="22"/>
          <w:szCs w:val="22"/>
        </w:rPr>
      </w:pPr>
    </w:p>
    <w:p w14:paraId="7E0192E5" w14:textId="77777777" w:rsidR="00692944" w:rsidRDefault="00692944">
      <w:pPr>
        <w:spacing w:before="0" w:after="160"/>
        <w:jc w:val="left"/>
        <w:rPr>
          <w:rFonts w:ascii="Arial" w:eastAsia="Arial" w:hAnsi="Arial" w:cs="Arial"/>
          <w:b/>
          <w:bCs/>
          <w:color w:val="000000"/>
          <w:sz w:val="22"/>
          <w:szCs w:val="22"/>
        </w:rPr>
      </w:pPr>
    </w:p>
    <w:sectPr w:rsidR="00692944">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CDC93" w14:textId="77777777" w:rsidR="00F44243" w:rsidRDefault="00F44243">
      <w:pPr>
        <w:spacing w:before="0" w:after="0" w:line="240" w:lineRule="auto"/>
      </w:pPr>
      <w:r>
        <w:separator/>
      </w:r>
    </w:p>
  </w:endnote>
  <w:endnote w:type="continuationSeparator" w:id="0">
    <w:p w14:paraId="0A1BFDDD" w14:textId="77777777" w:rsidR="00F44243" w:rsidRDefault="00F4424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234663B3-EE14-4F0A-98CE-33315F8FCFA2}"/>
  </w:font>
  <w:font w:name="Calibri Light">
    <w:panose1 w:val="020F0302020204030204"/>
    <w:charset w:val="00"/>
    <w:family w:val="swiss"/>
    <w:pitch w:val="variable"/>
    <w:sig w:usb0="A00002EF" w:usb1="4000207B" w:usb2="00000000" w:usb3="00000000" w:csb0="0000019F" w:csb1="00000000"/>
    <w:embedRegular r:id="rId2" w:fontKey="{6E1F3EFC-B6ED-4908-B30A-2C525D66E50B}"/>
  </w:font>
  <w:font w:name="Georgia">
    <w:panose1 w:val="02040502050405020303"/>
    <w:charset w:val="00"/>
    <w:family w:val="roman"/>
    <w:pitch w:val="variable"/>
    <w:sig w:usb0="00000287" w:usb1="00000000" w:usb2="00000000" w:usb3="00000000" w:csb0="0000009F" w:csb1="00000000"/>
    <w:embedItalic r:id="rId3" w:fontKey="{4FD23BDD-7EDC-4BDB-A4BA-0B63522187E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81386" w14:textId="77777777" w:rsidR="00692944" w:rsidRDefault="00C8632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FD2453">
      <w:rPr>
        <w:noProof/>
        <w:color w:val="000000"/>
      </w:rPr>
      <w:t>2</w:t>
    </w:r>
    <w:r>
      <w:rPr>
        <w:color w:val="000000"/>
      </w:rPr>
      <w:fldChar w:fldCharType="end"/>
    </w:r>
  </w:p>
  <w:p w14:paraId="5B01DC56" w14:textId="77777777" w:rsidR="00692944" w:rsidRDefault="00692944">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2CB96" w14:textId="77777777" w:rsidR="00F44243" w:rsidRDefault="00F44243">
      <w:pPr>
        <w:spacing w:before="0" w:after="0" w:line="240" w:lineRule="auto"/>
      </w:pPr>
      <w:r>
        <w:separator/>
      </w:r>
    </w:p>
  </w:footnote>
  <w:footnote w:type="continuationSeparator" w:id="0">
    <w:p w14:paraId="50AD503F" w14:textId="77777777" w:rsidR="00F44243" w:rsidRDefault="00F4424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960D3"/>
    <w:multiLevelType w:val="multilevel"/>
    <w:tmpl w:val="3176C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D15C67"/>
    <w:multiLevelType w:val="multilevel"/>
    <w:tmpl w:val="41BEA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596E7B"/>
    <w:multiLevelType w:val="multilevel"/>
    <w:tmpl w:val="4FCCD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5B51E3"/>
    <w:multiLevelType w:val="multilevel"/>
    <w:tmpl w:val="53E283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377DE6"/>
    <w:multiLevelType w:val="multilevel"/>
    <w:tmpl w:val="4814B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492198"/>
    <w:multiLevelType w:val="multilevel"/>
    <w:tmpl w:val="E1A2B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09375725">
    <w:abstractNumId w:val="0"/>
  </w:num>
  <w:num w:numId="2" w16cid:durableId="756559916">
    <w:abstractNumId w:val="2"/>
  </w:num>
  <w:num w:numId="3" w16cid:durableId="1536888748">
    <w:abstractNumId w:val="5"/>
  </w:num>
  <w:num w:numId="4" w16cid:durableId="1649433958">
    <w:abstractNumId w:val="1"/>
  </w:num>
  <w:num w:numId="5" w16cid:durableId="1165366698">
    <w:abstractNumId w:val="3"/>
  </w:num>
  <w:num w:numId="6" w16cid:durableId="5432937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embedTrueTypeFonts/>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944"/>
    <w:rsid w:val="00056A32"/>
    <w:rsid w:val="001A7B00"/>
    <w:rsid w:val="005037DD"/>
    <w:rsid w:val="00607FF7"/>
    <w:rsid w:val="00692944"/>
    <w:rsid w:val="006A41AE"/>
    <w:rsid w:val="006B533C"/>
    <w:rsid w:val="00C86320"/>
    <w:rsid w:val="00D56988"/>
    <w:rsid w:val="00F44243"/>
    <w:rsid w:val="00FC669A"/>
    <w:rsid w:val="00FD24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08B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outlineLvl w:val="0"/>
    </w:pPr>
    <w:rPr>
      <w:b/>
      <w:bCs/>
      <w:sz w:val="28"/>
      <w:szCs w:val="28"/>
    </w:rPr>
  </w:style>
  <w:style w:type="paragraph" w:styleId="Titlu2">
    <w:name w:val="heading 2"/>
    <w:basedOn w:val="Normal"/>
    <w:next w:val="Normal"/>
    <w:link w:val="Titlu2Caracter"/>
    <w:uiPriority w:val="9"/>
    <w:unhideWhenUsed/>
    <w:qFormat/>
    <w:pPr>
      <w:keepNext/>
      <w:keepLines/>
      <w:outlineLvl w:val="1"/>
    </w:pPr>
    <w:rPr>
      <w:rFonts w:ascii="Arial" w:eastAsia="Arial" w:hAnsi="Arial" w:cs="Arial"/>
      <w:b/>
      <w:bCs/>
      <w:sz w:val="26"/>
      <w:szCs w:val="26"/>
    </w:rPr>
  </w:style>
  <w:style w:type="paragraph" w:styleId="Titlu3">
    <w:name w:val="heading 3"/>
    <w:basedOn w:val="Normal"/>
    <w:next w:val="Normal"/>
    <w:link w:val="Titlu3Caracter"/>
    <w:uiPriority w:val="9"/>
    <w:semiHidden/>
    <w:unhideWhenUsed/>
    <w:qFormat/>
    <w:pPr>
      <w:keepNext/>
      <w:keepLines/>
      <w:spacing w:before="40" w:after="0"/>
      <w:outlineLvl w:val="2"/>
    </w:pPr>
    <w:rPr>
      <w:rFonts w:ascii="Calibri" w:eastAsia="Calibri" w:hAnsi="Calibri" w:cs="Calibri"/>
      <w:color w:val="1F3863"/>
    </w:rPr>
  </w:style>
  <w:style w:type="paragraph" w:styleId="Titlu4">
    <w:name w:val="heading 4"/>
    <w:basedOn w:val="Normal"/>
    <w:next w:val="Normal"/>
    <w:uiPriority w:val="9"/>
    <w:semiHidden/>
    <w:unhideWhenUsed/>
    <w:qFormat/>
    <w:pPr>
      <w:keepNext/>
      <w:keepLines/>
      <w:spacing w:after="40"/>
      <w:outlineLvl w:val="3"/>
    </w:pPr>
    <w:rPr>
      <w:b/>
      <w:bCs/>
    </w:rPr>
  </w:style>
  <w:style w:type="paragraph" w:styleId="Titlu5">
    <w:name w:val="heading 5"/>
    <w:basedOn w:val="Normal"/>
    <w:next w:val="Normal"/>
    <w:uiPriority w:val="9"/>
    <w:semiHidden/>
    <w:unhideWhenUsed/>
    <w:qFormat/>
    <w:pPr>
      <w:keepNext/>
      <w:keepLines/>
      <w:spacing w:before="220" w:after="40"/>
      <w:outlineLvl w:val="4"/>
    </w:pPr>
    <w:rPr>
      <w:b/>
      <w:bCs/>
      <w:sz w:val="22"/>
      <w:szCs w:val="22"/>
    </w:rPr>
  </w:style>
  <w:style w:type="paragraph" w:styleId="Titlu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before="480" w:after="120"/>
    </w:pPr>
    <w:rPr>
      <w:b/>
      <w:bCs/>
      <w:sz w:val="72"/>
      <w:szCs w:val="72"/>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character" w:customStyle="1" w:styleId="Titlu1Caracter">
    <w:name w:val="Titlu 1 Caracter"/>
    <w:basedOn w:val="Fontdeparagrafimplicit"/>
    <w:link w:val="Titlu1"/>
    <w:uiPriority w:val="9"/>
    <w:rsid w:val="00697A51"/>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697A51"/>
    <w:rPr>
      <w:rFonts w:ascii="Times New Roman" w:eastAsiaTheme="majorEastAsia" w:hAnsi="Times New Roman" w:cstheme="majorBidi"/>
      <w:b/>
      <w:color w:val="000000" w:themeColor="text1"/>
      <w:sz w:val="26"/>
      <w:szCs w:val="26"/>
    </w:rPr>
  </w:style>
  <w:style w:type="paragraph" w:styleId="Antet">
    <w:name w:val="header"/>
    <w:basedOn w:val="Normal"/>
    <w:link w:val="AntetCaracter"/>
    <w:uiPriority w:val="99"/>
    <w:unhideWhenUsed/>
    <w:rsid w:val="00197BEE"/>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197BEE"/>
    <w:rPr>
      <w:rFonts w:ascii="Times New Roman" w:hAnsi="Times New Roman"/>
      <w:color w:val="000000" w:themeColor="text1"/>
      <w:sz w:val="24"/>
    </w:rPr>
  </w:style>
  <w:style w:type="paragraph" w:styleId="Subsol">
    <w:name w:val="footer"/>
    <w:basedOn w:val="Normal"/>
    <w:link w:val="SubsolCaracter"/>
    <w:uiPriority w:val="99"/>
    <w:unhideWhenUsed/>
    <w:rsid w:val="00197BEE"/>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197BEE"/>
    <w:rPr>
      <w:rFonts w:ascii="Times New Roman" w:hAnsi="Times New Roman"/>
      <w:color w:val="000000" w:themeColor="text1"/>
      <w:sz w:val="24"/>
    </w:rPr>
  </w:style>
  <w:style w:type="paragraph" w:styleId="Titlucuprins">
    <w:name w:val="TOC Heading"/>
    <w:basedOn w:val="Titlu1"/>
    <w:next w:val="Normal"/>
    <w:uiPriority w:val="39"/>
    <w:unhideWhenUsed/>
    <w:qFormat/>
    <w:rsid w:val="00197BEE"/>
    <w:pPr>
      <w:spacing w:after="0"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197BEE"/>
    <w:pPr>
      <w:spacing w:after="100"/>
    </w:pPr>
  </w:style>
  <w:style w:type="character" w:styleId="Hyperlink">
    <w:name w:val="Hyperlink"/>
    <w:basedOn w:val="Fontdeparagrafimplicit"/>
    <w:uiPriority w:val="99"/>
    <w:unhideWhenUsed/>
    <w:rsid w:val="00197BEE"/>
    <w:rPr>
      <w:color w:val="0563C1" w:themeColor="hyperlink"/>
      <w:u w:val="single"/>
    </w:rPr>
  </w:style>
  <w:style w:type="table" w:customStyle="1" w:styleId="Table1">
    <w:name w:val="Table1"/>
    <w:basedOn w:val="TabelNormal"/>
    <w:rsid w:val="00064E4A"/>
    <w:pPr>
      <w:spacing w:after="0" w:line="276" w:lineRule="auto"/>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character" w:styleId="MeniuneNerezolvat">
    <w:name w:val="Unresolved Mention"/>
    <w:basedOn w:val="Fontdeparagrafimplicit"/>
    <w:uiPriority w:val="99"/>
    <w:semiHidden/>
    <w:unhideWhenUsed/>
    <w:rsid w:val="00064E4A"/>
    <w:rPr>
      <w:color w:val="605E5C"/>
      <w:shd w:val="clear" w:color="auto" w:fill="E1DFDD"/>
    </w:rPr>
  </w:style>
  <w:style w:type="paragraph" w:styleId="Cuprins2">
    <w:name w:val="toc 2"/>
    <w:basedOn w:val="Normal"/>
    <w:next w:val="Normal"/>
    <w:autoRedefine/>
    <w:uiPriority w:val="39"/>
    <w:unhideWhenUsed/>
    <w:rsid w:val="002828A3"/>
    <w:pPr>
      <w:spacing w:after="100"/>
      <w:ind w:left="240"/>
    </w:pPr>
  </w:style>
  <w:style w:type="character" w:customStyle="1" w:styleId="Titlu3Caracter">
    <w:name w:val="Titlu 3 Caracter"/>
    <w:basedOn w:val="Fontdeparagrafimplicit"/>
    <w:link w:val="Titlu3"/>
    <w:uiPriority w:val="9"/>
    <w:semiHidden/>
    <w:rsid w:val="009D3498"/>
    <w:rPr>
      <w:rFonts w:asciiTheme="majorHAnsi" w:eastAsiaTheme="majorEastAsia" w:hAnsiTheme="majorHAnsi" w:cstheme="majorBidi"/>
      <w:color w:val="1F3763" w:themeColor="accent1" w:themeShade="7F"/>
      <w:sz w:val="24"/>
      <w:szCs w:val="24"/>
    </w:rPr>
  </w:style>
  <w:style w:type="table" w:customStyle="1" w:styleId="Table2">
    <w:name w:val="Table2"/>
    <w:basedOn w:val="TabelNormal"/>
    <w:rsid w:val="004A0A6A"/>
    <w:pPr>
      <w:spacing w:after="0"/>
    </w:pPr>
    <w:rPr>
      <w:lang w:val=""/>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elNormal"/>
    <w:rsid w:val="004A0A6A"/>
    <w:pPr>
      <w:spacing w:after="0"/>
    </w:pPr>
    <w:rPr>
      <w:lang w:val=""/>
    </w:rPr>
    <w:tblPr>
      <w:tblStyleRowBandSize w:val="1"/>
      <w:tblStyleColBandSize w:val="1"/>
      <w:tblInd w:w="0" w:type="nil"/>
      <w:tblCellMar>
        <w:top w:w="100" w:type="dxa"/>
        <w:left w:w="100" w:type="dxa"/>
        <w:bottom w:w="100" w:type="dxa"/>
        <w:right w:w="100" w:type="dxa"/>
      </w:tblCellMar>
    </w:tblPr>
  </w:style>
  <w:style w:type="table" w:customStyle="1" w:styleId="a">
    <w:basedOn w:val="TabelNormal"/>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basedOn w:val="TabelNormal"/>
    <w:pPr>
      <w:spacing w:after="0"/>
    </w:pPr>
    <w:tblPr>
      <w:tblStyleRowBandSize w:val="1"/>
      <w:tblStyleColBandSize w:val="1"/>
    </w:tblPr>
  </w:style>
  <w:style w:type="table" w:customStyle="1" w:styleId="a1">
    <w:basedOn w:val="TabelNormal"/>
    <w:pPr>
      <w:spacing w:after="0"/>
    </w:pPr>
    <w:tblPr>
      <w:tblStyleRowBandSize w:val="1"/>
      <w:tblStyleColBandSize w:val="1"/>
    </w:tblPr>
  </w:style>
  <w:style w:type="table" w:customStyle="1" w:styleId="a2">
    <w:basedOn w:val="TabelNormal"/>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3">
    <w:basedOn w:val="TabelNormal"/>
    <w:pPr>
      <w:spacing w:after="0"/>
    </w:pPr>
    <w:tblPr>
      <w:tblStyleRowBandSize w:val="1"/>
      <w:tblStyleColBandSize w:val="1"/>
    </w:tblPr>
  </w:style>
  <w:style w:type="table" w:customStyle="1" w:styleId="a4">
    <w:basedOn w:val="TabelNormal"/>
    <w:pPr>
      <w:spacing w:after="0"/>
    </w:pPr>
    <w:tblPr>
      <w:tblStyleRowBandSize w:val="1"/>
      <w:tblStyleColBandSize w:val="1"/>
    </w:tblPr>
  </w:style>
  <w:style w:type="paragraph" w:styleId="Subtitlu">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5">
    <w:basedOn w:val="TabelNormal"/>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6">
    <w:basedOn w:val="TabelNormal"/>
    <w:pPr>
      <w:spacing w:after="0"/>
    </w:pPr>
    <w:tblPr>
      <w:tblStyleRowBandSize w:val="1"/>
      <w:tblStyleColBandSize w:val="1"/>
    </w:tblPr>
  </w:style>
  <w:style w:type="table" w:customStyle="1" w:styleId="a7">
    <w:basedOn w:val="TabelNormal"/>
    <w:pPr>
      <w:spacing w:after="0"/>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advisor/business/what-is-stakeholder-analy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organisations/medicines-and-healthcare-products-regulatory-agenc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d-and-update.company-information.service.gov.uk/company/10361298/office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nvatecgroup.com/" TargetMode="External"/><Relationship Id="rId4" Type="http://schemas.openxmlformats.org/officeDocument/2006/relationships/settings" Target="settings.xml"/><Relationship Id="rId9" Type="http://schemas.openxmlformats.org/officeDocument/2006/relationships/hyperlink" Target="https://www.convatec.com/en-in/"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ls22RV7ixNw8xikbuwZy5C1KpA==">CgMxLjAyDmguNHpwczBqMTJhc29xMg5oLmppMXN0YTZ1cjJkNTIOaC44bGVlYmZycWlsdnoyDmguYm9ldmFoZ2lnbWN2Mg5oLnh2bzRyM3VvNTgxZjIOaC5ndWx4d2ZiMm1mN2YyDmgucjd5N2lheXN0M3FqMg5oLmd2cnN2NnhzeTlrdDIOaC5zZndzeXl1cDJvODYyDmgucHJpd2ZwYmt6ZndhMg5oLm1kb2F5dGNvOTh1MzIOaC5vMzE0d3FsdTQ2NTAyDmgubXhsODJ2N2dmODllOAByITF3YlR2SW5TQTZqUHJvZ3lXRXZESy1oWC1BQ0F3alhi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5687</Words>
  <Characters>32985</Characters>
  <Application>Microsoft Office Word</Application>
  <DocSecurity>0</DocSecurity>
  <Lines>274</Lines>
  <Paragraphs>77</Paragraphs>
  <ScaleCrop>false</ScaleCrop>
  <Company/>
  <LinksUpToDate>false</LinksUpToDate>
  <CharactersWithSpaces>38595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2025-12-12T20:28:00Z</dcterms:created>
  <dcterms:modified xsi:type="dcterms:W3CDTF">2025-12-12T20:28:00Z</dcterms:modified>
</cp:coreProperties>
</file>