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Segoe UI" w:hAnsi="Segoe UI" w:eastAsia="Segoe UI"/>
          <w:b/>
          <w:bCs/>
          <w:sz w:val="18"/>
        </w:rPr>
      </w:pPr>
      <w:r>
        <w:rPr>
          <w:rFonts w:hint="eastAsia"/>
          <w:b/>
          <w:bCs/>
          <w:lang w:val="en-US" w:eastAsia="zh-CN"/>
        </w:rPr>
        <w:t xml:space="preserve">A Critical Review of </w:t>
      </w:r>
      <w:r>
        <w:rPr>
          <w:rFonts w:hint="default" w:ascii="Segoe UI" w:hAnsi="Segoe UI" w:eastAsia="Segoe UI"/>
          <w:b/>
          <w:bCs/>
          <w:i/>
          <w:iCs/>
          <w:sz w:val="18"/>
        </w:rPr>
        <w:t xml:space="preserve">Learners' </w:t>
      </w:r>
      <w:r>
        <w:rPr>
          <w:rFonts w:hint="eastAsia" w:ascii="Segoe UI" w:hAnsi="Segoe UI" w:eastAsia="宋体"/>
          <w:b/>
          <w:bCs/>
          <w:i/>
          <w:iCs/>
          <w:sz w:val="18"/>
          <w:lang w:val="en-US" w:eastAsia="zh-CN"/>
        </w:rPr>
        <w:t>P</w:t>
      </w:r>
      <w:r>
        <w:rPr>
          <w:rFonts w:hint="default" w:ascii="Segoe UI" w:hAnsi="Segoe UI" w:eastAsia="Segoe UI"/>
          <w:b/>
          <w:bCs/>
          <w:i/>
          <w:iCs/>
          <w:sz w:val="18"/>
        </w:rPr>
        <w:t xml:space="preserve">erceptions toward </w:t>
      </w:r>
      <w:r>
        <w:rPr>
          <w:rFonts w:hint="eastAsia" w:ascii="Segoe UI" w:hAnsi="Segoe UI" w:eastAsia="宋体"/>
          <w:b/>
          <w:bCs/>
          <w:i/>
          <w:iCs/>
          <w:sz w:val="18"/>
          <w:lang w:val="en-US" w:eastAsia="zh-CN"/>
        </w:rPr>
        <w:t>P</w:t>
      </w:r>
      <w:r>
        <w:rPr>
          <w:rFonts w:hint="default" w:ascii="Segoe UI" w:hAnsi="Segoe UI" w:eastAsia="Segoe UI"/>
          <w:b/>
          <w:bCs/>
          <w:i/>
          <w:iCs/>
          <w:sz w:val="18"/>
        </w:rPr>
        <w:t xml:space="preserve">ronunciation </w:t>
      </w:r>
      <w:r>
        <w:rPr>
          <w:rFonts w:hint="eastAsia" w:ascii="Segoe UI" w:hAnsi="Segoe UI" w:eastAsia="宋体"/>
          <w:b/>
          <w:bCs/>
          <w:i/>
          <w:iCs/>
          <w:sz w:val="18"/>
          <w:lang w:val="en-US" w:eastAsia="zh-CN"/>
        </w:rPr>
        <w:t>I</w:t>
      </w:r>
      <w:r>
        <w:rPr>
          <w:rFonts w:hint="default" w:ascii="Segoe UI" w:hAnsi="Segoe UI" w:eastAsia="Segoe UI"/>
          <w:b/>
          <w:bCs/>
          <w:i/>
          <w:iCs/>
          <w:sz w:val="18"/>
        </w:rPr>
        <w:t>nstruction in Three Circles of World Englishes</w:t>
      </w:r>
    </w:p>
    <w:p>
      <w:pPr>
        <w:ind w:firstLine="347" w:firstLineChars="0"/>
        <w:rPr>
          <w:rFonts w:hint="default" w:ascii="Segoe UI" w:hAnsi="Segoe UI" w:eastAsia="Segoe UI"/>
          <w:sz w:val="18"/>
        </w:rPr>
      </w:pPr>
    </w:p>
    <w:p>
      <w:pPr>
        <w:rPr>
          <w:rFonts w:hint="eastAsia" w:ascii="Segoe UI" w:hAnsi="Segoe UI" w:eastAsia="宋体"/>
          <w:sz w:val="18"/>
          <w:lang w:val="en-US" w:eastAsia="zh-CN"/>
        </w:rPr>
      </w:pPr>
      <w:r>
        <w:rPr>
          <w:rFonts w:hint="eastAsia" w:ascii="Segoe UI" w:hAnsi="Segoe UI" w:eastAsia="宋体"/>
          <w:sz w:val="18"/>
          <w:lang w:val="en-US" w:eastAsia="zh-CN"/>
        </w:rPr>
        <w:t>The research paper that this review is going to critique was written by Professor Okim Kang and published on 15</w:t>
      </w:r>
      <w:r>
        <w:rPr>
          <w:rFonts w:hint="eastAsia" w:ascii="Segoe UI" w:hAnsi="Segoe UI" w:eastAsia="宋体"/>
          <w:sz w:val="18"/>
          <w:vertAlign w:val="superscript"/>
          <w:lang w:val="en-US" w:eastAsia="zh-CN"/>
        </w:rPr>
        <w:t>th</w:t>
      </w:r>
      <w:r>
        <w:rPr>
          <w:rFonts w:hint="eastAsia" w:ascii="Segoe UI" w:hAnsi="Segoe UI" w:eastAsia="宋体"/>
          <w:sz w:val="18"/>
          <w:lang w:val="en-US" w:eastAsia="zh-CN"/>
        </w:rPr>
        <w:t xml:space="preserve"> March 2015 on TESOL Journal. Professor Kang from Northern Arizona University  specializes in Applied Linguistics and TESL. TESOL Journal is a double-blind peer-reviewed, practitioner-oriented electronic journal based on current theory and research in the field of TESOL. Considering the above facts and my research interest in EFL learners</w:t>
      </w:r>
      <w:r>
        <w:rPr>
          <w:rFonts w:hint="default" w:ascii="Segoe UI" w:hAnsi="Segoe UI" w:eastAsia="宋体"/>
          <w:sz w:val="18"/>
          <w:lang w:val="en-US" w:eastAsia="zh-CN"/>
        </w:rPr>
        <w:t>’</w:t>
      </w:r>
      <w:r>
        <w:rPr>
          <w:rFonts w:hint="eastAsia" w:ascii="Segoe UI" w:hAnsi="Segoe UI" w:eastAsia="宋体"/>
          <w:sz w:val="18"/>
          <w:lang w:val="en-US" w:eastAsia="zh-CN"/>
        </w:rPr>
        <w:t xml:space="preserve"> pronunciation, I will study and examine this paper in the aspects of its structure, the purpose of its research, the literature review, the methodology employed, the yielding findings and conclusions based on the findings.</w:t>
      </w:r>
    </w:p>
    <w:p>
      <w:pPr>
        <w:rPr>
          <w:rFonts w:hint="eastAsia" w:ascii="Segoe UI" w:hAnsi="Segoe UI" w:eastAsia="宋体"/>
          <w:sz w:val="18"/>
          <w:lang w:val="en-US" w:eastAsia="zh-CN"/>
        </w:rPr>
      </w:pPr>
    </w:p>
    <w:p>
      <w:pPr>
        <w:rPr>
          <w:rFonts w:hint="eastAsia" w:ascii="Segoe UI" w:hAnsi="Segoe UI" w:eastAsia="宋体"/>
          <w:b/>
          <w:bCs/>
          <w:sz w:val="18"/>
          <w:lang w:val="en-US" w:eastAsia="zh-CN"/>
        </w:rPr>
      </w:pPr>
      <w:r>
        <w:rPr>
          <w:rFonts w:hint="eastAsia" w:ascii="Segoe UI" w:hAnsi="Segoe UI" w:eastAsia="宋体"/>
          <w:b/>
          <w:bCs/>
          <w:sz w:val="18"/>
          <w:lang w:val="en-US" w:eastAsia="zh-CN"/>
        </w:rPr>
        <w:t>Part One: The Essay Structure</w:t>
      </w:r>
    </w:p>
    <w:p>
      <w:pPr>
        <w:rPr>
          <w:rFonts w:hint="eastAsia" w:ascii="Segoe UI" w:hAnsi="Segoe UI" w:eastAsia="宋体"/>
          <w:sz w:val="18"/>
          <w:lang w:val="en-US" w:eastAsia="zh-CN"/>
        </w:rPr>
      </w:pPr>
      <w:r>
        <w:rPr>
          <w:rFonts w:hint="eastAsia" w:ascii="Segoe UI" w:hAnsi="Segoe UI" w:eastAsia="宋体"/>
          <w:sz w:val="18"/>
          <w:lang w:val="en-US" w:eastAsia="zh-CN"/>
        </w:rPr>
        <w:t xml:space="preserve">The concise and informative abstract enables its readers to gain a general layout and outcome of this research. The author provides the research background, which is an inconsistency between the needs of language students and the provision of language teachers, the method, the result and the implication of the research. </w:t>
      </w:r>
    </w:p>
    <w:p>
      <w:pPr>
        <w:rPr>
          <w:rFonts w:hint="eastAsia" w:ascii="Segoe UI" w:hAnsi="Segoe UI" w:eastAsia="宋体"/>
          <w:sz w:val="18"/>
          <w:lang w:val="en-US" w:eastAsia="zh-CN"/>
        </w:rPr>
      </w:pPr>
    </w:p>
    <w:p>
      <w:pPr>
        <w:rPr>
          <w:rFonts w:hint="eastAsia" w:ascii="Segoe UI" w:hAnsi="Segoe UI" w:eastAsia="宋体"/>
          <w:sz w:val="18"/>
          <w:lang w:val="en-US" w:eastAsia="zh-CN"/>
        </w:rPr>
      </w:pPr>
      <w:r>
        <w:rPr>
          <w:rFonts w:hint="eastAsia" w:ascii="Segoe UI" w:hAnsi="Segoe UI" w:eastAsia="宋体"/>
          <w:sz w:val="18"/>
          <w:lang w:val="en-US" w:eastAsia="zh-CN"/>
        </w:rPr>
        <w:t>Six parts are composing this article. They come in sequence as Today, The Current Study, Method, Result, Discussion, and finally, Implication and Conclusion. They function differently: what comes first is the observation of an existing problem through literature review, then an introduction to the purpose and problems of this research, then how to do the research and yield data, in what way the author analyzes the data, and what she concludes from the research. The structure of the essay is complete, informing the readers with sufficient theological and empirical information and guiding them to explore the target questions logically.</w:t>
      </w:r>
    </w:p>
    <w:p>
      <w:pPr>
        <w:rPr>
          <w:rFonts w:hint="eastAsia" w:ascii="Segoe UI" w:hAnsi="Segoe UI" w:eastAsia="宋体"/>
          <w:sz w:val="18"/>
          <w:lang w:val="en-US" w:eastAsia="zh-CN"/>
        </w:rPr>
      </w:pPr>
    </w:p>
    <w:p>
      <w:pPr>
        <w:rPr>
          <w:rFonts w:hint="default" w:ascii="Segoe UI" w:hAnsi="Segoe UI" w:eastAsia="宋体"/>
          <w:sz w:val="18"/>
          <w:lang w:val="en-US" w:eastAsia="zh-CN"/>
        </w:rPr>
      </w:pPr>
      <w:r>
        <w:rPr>
          <w:rFonts w:hint="eastAsia" w:ascii="Segoe UI" w:hAnsi="Segoe UI" w:eastAsia="宋体"/>
          <w:b/>
          <w:bCs/>
          <w:sz w:val="18"/>
          <w:lang w:val="en-US" w:eastAsia="zh-CN"/>
        </w:rPr>
        <w:t>Part Two: Literature Review</w:t>
      </w:r>
      <w:r>
        <w:rPr>
          <w:rFonts w:hint="eastAsia" w:ascii="Segoe UI" w:hAnsi="Segoe UI" w:eastAsia="宋体"/>
          <w:sz w:val="18"/>
          <w:lang w:val="en-US" w:eastAsia="zh-CN"/>
        </w:rPr>
        <w:t xml:space="preserve"> </w:t>
      </w:r>
    </w:p>
    <w:p>
      <w:pPr>
        <w:rPr>
          <w:rFonts w:hint="eastAsia" w:ascii="Segoe UI" w:hAnsi="Segoe UI" w:eastAsia="宋体"/>
          <w:sz w:val="18"/>
          <w:lang w:val="en-US" w:eastAsia="zh-CN"/>
        </w:rPr>
      </w:pPr>
      <w:r>
        <w:rPr>
          <w:rFonts w:hint="eastAsia" w:ascii="Segoe UI" w:hAnsi="Segoe UI" w:eastAsia="宋体"/>
          <w:sz w:val="18"/>
          <w:lang w:val="en-US" w:eastAsia="zh-CN"/>
        </w:rPr>
        <w:t xml:space="preserve">In the part of literature review, Kang notices that researchers advocated that the goal of ESL/EFL should place on improving the global intelligibility, rather than on successfully modelling from a particular accent of a native English variety. The author further notices that besides the pragmatical concern of learning a language for reaching the widest audience, teachers are also advised to set a realistic goal for the instruction of English pronunciation: give up the pursuit of native-like pronunciation. Considering its practicability, it is not difficult for the reader to accept that the learning goal is a rational one. </w:t>
      </w:r>
    </w:p>
    <w:p>
      <w:pPr>
        <w:rPr>
          <w:rFonts w:hint="eastAsia" w:ascii="Segoe UI" w:hAnsi="Segoe UI" w:eastAsia="宋体"/>
          <w:sz w:val="18"/>
          <w:lang w:val="en-US" w:eastAsia="zh-CN"/>
        </w:rPr>
      </w:pPr>
    </w:p>
    <w:p>
      <w:pPr>
        <w:rPr>
          <w:rFonts w:hint="eastAsia" w:ascii="Segoe UI" w:hAnsi="Segoe UI" w:eastAsia="宋体"/>
          <w:sz w:val="18"/>
          <w:lang w:val="en-US" w:eastAsia="zh-CN"/>
        </w:rPr>
      </w:pPr>
      <w:r>
        <w:rPr>
          <w:rFonts w:hint="eastAsia" w:ascii="Segoe UI" w:hAnsi="Segoe UI" w:eastAsia="宋体"/>
          <w:sz w:val="18"/>
          <w:lang w:val="en-US" w:eastAsia="zh-CN"/>
        </w:rPr>
        <w:t>However, based on her understanding of past publications, Kang points out that EFL/ESL learners still long for a native variety of English. Kachru</w:t>
      </w:r>
      <w:r>
        <w:rPr>
          <w:rFonts w:hint="default" w:ascii="Segoe UI" w:hAnsi="Segoe UI" w:eastAsia="宋体"/>
          <w:sz w:val="18"/>
          <w:lang w:val="en-US" w:eastAsia="zh-CN"/>
        </w:rPr>
        <w:t>’</w:t>
      </w:r>
      <w:r>
        <w:rPr>
          <w:rFonts w:hint="eastAsia" w:ascii="Segoe UI" w:hAnsi="Segoe UI" w:eastAsia="宋体"/>
          <w:sz w:val="18"/>
          <w:lang w:val="en-US" w:eastAsia="zh-CN"/>
        </w:rPr>
        <w:t>s theory of three circles of world Englishes is adopted as the supportive theory that run through the review of EFL/ESL learners</w:t>
      </w:r>
      <w:r>
        <w:rPr>
          <w:rFonts w:hint="default" w:ascii="Segoe UI" w:hAnsi="Segoe UI" w:eastAsia="宋体"/>
          <w:sz w:val="18"/>
          <w:lang w:val="en-US" w:eastAsia="zh-CN"/>
        </w:rPr>
        <w:t>’</w:t>
      </w:r>
      <w:r>
        <w:rPr>
          <w:rFonts w:hint="eastAsia" w:ascii="Segoe UI" w:hAnsi="Segoe UI" w:eastAsia="宋体"/>
          <w:sz w:val="18"/>
          <w:lang w:val="en-US" w:eastAsia="zh-CN"/>
        </w:rPr>
        <w:t xml:space="preserve"> pronunciation preference. Kang does not consent with the idea that three circles model is no longer applicable due to the increasing accessibility of various Englishes to people. By referencing to researches carried out in China, Canada, and the USA, she presents readers a relatively wholesome picture of learners</w:t>
      </w:r>
      <w:r>
        <w:rPr>
          <w:rFonts w:hint="default" w:ascii="Segoe UI" w:hAnsi="Segoe UI" w:eastAsia="宋体"/>
          <w:sz w:val="18"/>
          <w:lang w:val="en-US" w:eastAsia="zh-CN"/>
        </w:rPr>
        <w:t>’</w:t>
      </w:r>
      <w:r>
        <w:rPr>
          <w:rFonts w:hint="eastAsia" w:ascii="Segoe UI" w:hAnsi="Segoe UI" w:eastAsia="宋体"/>
          <w:sz w:val="18"/>
          <w:lang w:val="en-US" w:eastAsia="zh-CN"/>
        </w:rPr>
        <w:t xml:space="preserve"> preference. ESL/EFL learners show preferences of Inner Circle (IC) English varieties, and the preferences seem to change with the changes of political, economic and cultural influences of the society in which certain variety is spoken(p61-63). Thus, the students are hungry with better pronunciation instructions. Yet, on the other hand, Kang shows that according to researches, pronunciation programmes are generally not available to students, and teaching training in the relevant field is insufficient either. In short, what the teachers offer might not be what the learners expect to achieve. </w:t>
      </w:r>
    </w:p>
    <w:p>
      <w:pPr>
        <w:rPr>
          <w:rFonts w:hint="default" w:ascii="Segoe UI" w:hAnsi="Segoe UI" w:eastAsia="宋体"/>
          <w:sz w:val="18"/>
          <w:lang w:val="en-US" w:eastAsia="zh-CN"/>
        </w:rPr>
      </w:pPr>
    </w:p>
    <w:p>
      <w:pPr>
        <w:rPr>
          <w:rFonts w:hint="eastAsia" w:ascii="Segoe UI" w:hAnsi="Segoe UI" w:eastAsia="宋体"/>
          <w:sz w:val="18"/>
          <w:lang w:val="en-US" w:eastAsia="zh-CN"/>
        </w:rPr>
      </w:pPr>
      <w:r>
        <w:rPr>
          <w:rFonts w:hint="eastAsia" w:ascii="Segoe UI" w:hAnsi="Segoe UI" w:eastAsia="宋体"/>
          <w:sz w:val="18"/>
          <w:lang w:val="en-US" w:eastAsia="zh-CN"/>
        </w:rPr>
        <w:t>The theoretical framework of this research, Kachru</w:t>
      </w:r>
      <w:r>
        <w:rPr>
          <w:rFonts w:hint="default" w:ascii="Segoe UI" w:hAnsi="Segoe UI" w:eastAsia="宋体"/>
          <w:sz w:val="18"/>
          <w:lang w:val="en-US" w:eastAsia="zh-CN"/>
        </w:rPr>
        <w:t>’</w:t>
      </w:r>
      <w:r>
        <w:rPr>
          <w:rFonts w:hint="eastAsia" w:ascii="Segoe UI" w:hAnsi="Segoe UI" w:eastAsia="宋体"/>
          <w:sz w:val="18"/>
          <w:lang w:val="en-US" w:eastAsia="zh-CN"/>
        </w:rPr>
        <w:t>s three circles theory, is clearly explained by the author. Questioning of the three circles theory is also refuted. This guarantees the establishment of the theoretical framework. Apart from this well-accepted theory, the rest of the references Kang cited also render her research higher reliability. Kang has made references to David Crystal, a leading figure in the field of English learning and teaching. And it is very appropriate and necessary for the author to refer to researches conducted in the outer circle and the expanding circle, for example, the Ladegaard</w:t>
      </w:r>
      <w:r>
        <w:rPr>
          <w:rFonts w:hint="default" w:ascii="Segoe UI" w:hAnsi="Segoe UI" w:eastAsia="宋体"/>
          <w:sz w:val="18"/>
          <w:lang w:val="en-US" w:eastAsia="zh-CN"/>
        </w:rPr>
        <w:t>’</w:t>
      </w:r>
      <w:r>
        <w:rPr>
          <w:rFonts w:hint="eastAsia" w:ascii="Segoe UI" w:hAnsi="Segoe UI" w:eastAsia="宋体"/>
          <w:sz w:val="18"/>
          <w:lang w:val="en-US" w:eastAsia="zh-CN"/>
        </w:rPr>
        <w:t>s research in Danmark in 1998(p.63) and Hu</w:t>
      </w:r>
      <w:r>
        <w:rPr>
          <w:rFonts w:hint="default" w:ascii="Segoe UI" w:hAnsi="Segoe UI" w:eastAsia="宋体"/>
          <w:sz w:val="18"/>
          <w:lang w:val="en-US" w:eastAsia="zh-CN"/>
        </w:rPr>
        <w:t>’</w:t>
      </w:r>
      <w:r>
        <w:rPr>
          <w:rFonts w:hint="eastAsia" w:ascii="Segoe UI" w:hAnsi="Segoe UI" w:eastAsia="宋体"/>
          <w:sz w:val="18"/>
          <w:lang w:val="en-US" w:eastAsia="zh-CN"/>
        </w:rPr>
        <w:t>s research in China in 2004 and 2005(p.62). Measuring against the fact that her research is to answer questions about students</w:t>
      </w:r>
      <w:r>
        <w:rPr>
          <w:rFonts w:hint="default" w:ascii="Segoe UI" w:hAnsi="Segoe UI" w:eastAsia="宋体"/>
          <w:sz w:val="18"/>
          <w:lang w:val="en-US" w:eastAsia="zh-CN"/>
        </w:rPr>
        <w:t>’</w:t>
      </w:r>
      <w:r>
        <w:rPr>
          <w:rFonts w:hint="eastAsia" w:ascii="Segoe UI" w:hAnsi="Segoe UI" w:eastAsia="宋体"/>
          <w:sz w:val="18"/>
          <w:lang w:val="en-US" w:eastAsia="zh-CN"/>
        </w:rPr>
        <w:t xml:space="preserve"> learning expectation and attitudes towards instructors</w:t>
      </w:r>
      <w:r>
        <w:rPr>
          <w:rFonts w:hint="default" w:ascii="Segoe UI" w:hAnsi="Segoe UI" w:eastAsia="宋体"/>
          <w:sz w:val="18"/>
          <w:lang w:val="en-US" w:eastAsia="zh-CN"/>
        </w:rPr>
        <w:t>’</w:t>
      </w:r>
      <w:r>
        <w:rPr>
          <w:rFonts w:hint="eastAsia" w:ascii="Segoe UI" w:hAnsi="Segoe UI" w:eastAsia="宋体"/>
          <w:sz w:val="18"/>
          <w:lang w:val="en-US" w:eastAsia="zh-CN"/>
        </w:rPr>
        <w:t xml:space="preserve"> accent varieties in different circles, this literature review provides comprehensive information in relating to the three aspects of research.  </w:t>
      </w:r>
    </w:p>
    <w:p>
      <w:pPr>
        <w:rPr>
          <w:rFonts w:hint="eastAsia" w:ascii="Segoe UI" w:hAnsi="Segoe UI" w:eastAsia="宋体"/>
          <w:sz w:val="18"/>
          <w:lang w:val="en-US" w:eastAsia="zh-CN"/>
        </w:rPr>
      </w:pPr>
    </w:p>
    <w:p>
      <w:pPr>
        <w:rPr>
          <w:rFonts w:hint="default" w:ascii="Segoe UI" w:hAnsi="Segoe UI" w:eastAsia="宋体"/>
          <w:sz w:val="18"/>
          <w:lang w:val="en-US" w:eastAsia="zh-CN"/>
        </w:rPr>
      </w:pPr>
      <w:r>
        <w:rPr>
          <w:rFonts w:hint="eastAsia" w:ascii="Segoe UI" w:hAnsi="Segoe UI" w:eastAsia="宋体"/>
          <w:sz w:val="18"/>
          <w:lang w:val="en-US" w:eastAsia="zh-CN"/>
        </w:rPr>
        <w:t xml:space="preserve">The articles referred in this literature review are all primary sources dated from 1981 to 2010, and the majority of the references are published between 2000 to 2010. Given that this research paper is published in 2015, it might be even better to review more recent publications.  </w:t>
      </w:r>
    </w:p>
    <w:p>
      <w:pPr>
        <w:rPr>
          <w:rFonts w:hint="default" w:ascii="Segoe UI" w:hAnsi="Segoe UI" w:eastAsia="宋体"/>
          <w:sz w:val="18"/>
          <w:lang w:val="en-US" w:eastAsia="zh-CN"/>
        </w:rPr>
      </w:pPr>
    </w:p>
    <w:p>
      <w:pPr>
        <w:rPr>
          <w:rFonts w:hint="default" w:ascii="Segoe UI" w:hAnsi="Segoe UI" w:eastAsia="宋体"/>
          <w:b/>
          <w:bCs/>
          <w:sz w:val="18"/>
          <w:lang w:val="en-US" w:eastAsia="zh-CN"/>
        </w:rPr>
      </w:pPr>
      <w:r>
        <w:rPr>
          <w:rFonts w:hint="eastAsia" w:ascii="Segoe UI" w:hAnsi="Segoe UI" w:eastAsia="宋体"/>
          <w:b/>
          <w:bCs/>
          <w:sz w:val="18"/>
          <w:lang w:val="en-US" w:eastAsia="zh-CN"/>
        </w:rPr>
        <w:t>Part Three: Kang</w:t>
      </w:r>
      <w:r>
        <w:rPr>
          <w:rFonts w:hint="default" w:ascii="Segoe UI" w:hAnsi="Segoe UI" w:eastAsia="宋体"/>
          <w:b/>
          <w:bCs/>
          <w:sz w:val="18"/>
          <w:lang w:val="en-US" w:eastAsia="zh-CN"/>
        </w:rPr>
        <w:t>’</w:t>
      </w:r>
      <w:r>
        <w:rPr>
          <w:rFonts w:hint="eastAsia" w:ascii="Segoe UI" w:hAnsi="Segoe UI" w:eastAsia="宋体"/>
          <w:b/>
          <w:bCs/>
          <w:sz w:val="18"/>
          <w:lang w:val="en-US" w:eastAsia="zh-CN"/>
        </w:rPr>
        <w:t>s Research Purpose and Question</w:t>
      </w:r>
    </w:p>
    <w:p>
      <w:pPr>
        <w:rPr>
          <w:rFonts w:hint="default" w:ascii="Segoe UI" w:hAnsi="Segoe UI" w:eastAsia="宋体"/>
          <w:sz w:val="18"/>
          <w:lang w:val="en-US" w:eastAsia="zh-CN"/>
        </w:rPr>
      </w:pPr>
      <w:r>
        <w:rPr>
          <w:rFonts w:hint="eastAsia" w:ascii="Segoe UI" w:hAnsi="Segoe UI" w:eastAsia="宋体"/>
          <w:sz w:val="18"/>
          <w:lang w:val="en-US" w:eastAsia="zh-CN"/>
        </w:rPr>
        <w:t>By reviewing the history, Kang raises her hypothesis: learners</w:t>
      </w:r>
      <w:r>
        <w:rPr>
          <w:rFonts w:hint="default" w:ascii="Segoe UI" w:hAnsi="Segoe UI" w:eastAsia="宋体"/>
          <w:sz w:val="18"/>
          <w:lang w:val="en-US" w:eastAsia="zh-CN"/>
        </w:rPr>
        <w:t>’</w:t>
      </w:r>
      <w:r>
        <w:rPr>
          <w:rFonts w:hint="eastAsia" w:ascii="Segoe UI" w:hAnsi="Segoe UI" w:eastAsia="宋体"/>
          <w:sz w:val="18"/>
          <w:lang w:val="en-US" w:eastAsia="zh-CN"/>
        </w:rPr>
        <w:t xml:space="preserve"> expectations are not clearly known and not satisfyingly met; learners are experiencing difficulties because different kinds of English varieties are accessible to them. Kang</w:t>
      </w:r>
      <w:r>
        <w:rPr>
          <w:rFonts w:hint="default" w:ascii="Segoe UI" w:hAnsi="Segoe UI" w:eastAsia="宋体"/>
          <w:sz w:val="18"/>
          <w:lang w:val="en-US" w:eastAsia="zh-CN"/>
        </w:rPr>
        <w:t>’</w:t>
      </w:r>
      <w:r>
        <w:rPr>
          <w:rFonts w:hint="eastAsia" w:ascii="Segoe UI" w:hAnsi="Segoe UI" w:eastAsia="宋体"/>
          <w:sz w:val="18"/>
          <w:lang w:val="en-US" w:eastAsia="zh-CN"/>
        </w:rPr>
        <w:t>s general solution is to pin down learner</w:t>
      </w:r>
      <w:r>
        <w:rPr>
          <w:rFonts w:hint="default" w:ascii="Segoe UI" w:hAnsi="Segoe UI" w:eastAsia="宋体"/>
          <w:sz w:val="18"/>
          <w:lang w:val="en-US" w:eastAsia="zh-CN"/>
        </w:rPr>
        <w:t>’</w:t>
      </w:r>
      <w:r>
        <w:rPr>
          <w:rFonts w:hint="eastAsia" w:ascii="Segoe UI" w:hAnsi="Segoe UI" w:eastAsia="宋体"/>
          <w:sz w:val="18"/>
          <w:lang w:val="en-US" w:eastAsia="zh-CN"/>
        </w:rPr>
        <w:t>s expectations and what they perceive in instruction. Kang discovered that past researches did not place the learners in the framework of three circles and the focuses were mainly on ESL learners in the inner circle. Thus to achieve the general solution, she intends to first answer two questions in this research: how EFL learners perceive their teachers</w:t>
      </w:r>
      <w:r>
        <w:rPr>
          <w:rFonts w:hint="default" w:ascii="Segoe UI" w:hAnsi="Segoe UI" w:eastAsia="宋体"/>
          <w:sz w:val="18"/>
          <w:lang w:val="en-US" w:eastAsia="zh-CN"/>
        </w:rPr>
        <w:t>’</w:t>
      </w:r>
      <w:r>
        <w:rPr>
          <w:rFonts w:hint="eastAsia" w:ascii="Segoe UI" w:hAnsi="Segoe UI" w:eastAsia="宋体"/>
          <w:sz w:val="18"/>
          <w:lang w:val="en-US" w:eastAsia="zh-CN"/>
        </w:rPr>
        <w:t xml:space="preserve"> accent and their pronunciation instruction; how EFL learners differ from ESL learners in their opinions about pronunciation instruction. </w:t>
      </w:r>
    </w:p>
    <w:p>
      <w:pPr>
        <w:rPr>
          <w:rFonts w:hint="default" w:ascii="Segoe UI" w:hAnsi="Segoe UI" w:eastAsia="宋体"/>
          <w:sz w:val="18"/>
          <w:lang w:val="en-US" w:eastAsia="zh-CN"/>
        </w:rPr>
      </w:pPr>
    </w:p>
    <w:p>
      <w:pPr>
        <w:rPr>
          <w:rFonts w:hint="eastAsia" w:ascii="Segoe UI" w:hAnsi="Segoe UI" w:eastAsia="宋体"/>
          <w:b/>
          <w:bCs/>
          <w:sz w:val="18"/>
          <w:lang w:val="en-US" w:eastAsia="zh-CN"/>
        </w:rPr>
      </w:pPr>
      <w:r>
        <w:rPr>
          <w:rFonts w:hint="eastAsia" w:ascii="Segoe UI" w:hAnsi="Segoe UI" w:eastAsia="宋体"/>
          <w:b/>
          <w:bCs/>
          <w:sz w:val="18"/>
          <w:lang w:val="en-US" w:eastAsia="zh-CN"/>
        </w:rPr>
        <w:t>Part Four: Method and Methodology</w:t>
      </w:r>
    </w:p>
    <w:p>
      <w:pPr>
        <w:rPr>
          <w:rFonts w:hint="default" w:ascii="Segoe UI" w:hAnsi="Segoe UI" w:eastAsia="宋体"/>
          <w:sz w:val="18"/>
          <w:lang w:val="en-US" w:eastAsia="zh-CN"/>
        </w:rPr>
      </w:pPr>
      <w:r>
        <w:rPr>
          <w:rFonts w:hint="eastAsia" w:ascii="Segoe UI" w:hAnsi="Segoe UI" w:eastAsia="宋体"/>
          <w:sz w:val="18"/>
          <w:lang w:val="en-US" w:eastAsia="zh-CN"/>
        </w:rPr>
        <w:t>The design of Kang</w:t>
      </w:r>
      <w:r>
        <w:rPr>
          <w:rFonts w:hint="default" w:ascii="Segoe UI" w:hAnsi="Segoe UI" w:eastAsia="宋体"/>
          <w:sz w:val="18"/>
          <w:lang w:val="en-US" w:eastAsia="zh-CN"/>
        </w:rPr>
        <w:t>’</w:t>
      </w:r>
      <w:r>
        <w:rPr>
          <w:rFonts w:hint="eastAsia" w:ascii="Segoe UI" w:hAnsi="Segoe UI" w:eastAsia="宋体"/>
          <w:sz w:val="18"/>
          <w:lang w:val="en-US" w:eastAsia="zh-CN"/>
        </w:rPr>
        <w:t>s research is as follow: in the phase of data collection, a survey comes first, followed by online interviews; in the phase of data analysis, ANOVAs were used to compare quantitative data from scalar judgments. ANOVA (The analysis of variance) is the most popular statistical technique sample comparison</w:t>
      </w:r>
      <w:r>
        <w:rPr>
          <w:rFonts w:hint="eastAsia" w:ascii="Segoe UI" w:hAnsi="Segoe UI" w:eastAsia="宋体"/>
          <w:sz w:val="18"/>
          <w:lang w:val="en-US" w:eastAsia="zh-CN"/>
        </w:rPr>
        <w:fldChar w:fldCharType="begin"/>
      </w:r>
      <w:r>
        <w:rPr>
          <w:rFonts w:hint="eastAsia" w:ascii="Segoe UI" w:hAnsi="Segoe UI" w:eastAsia="宋体"/>
          <w:sz w:val="18"/>
          <w:lang w:val="en-US" w:eastAsia="zh-CN"/>
        </w:rPr>
        <w:instrText xml:space="preserve"> ADDIN  EN.CITE &lt;EndNote&gt;&lt;Cite&gt;&lt;Author&gt;Tarlow&lt;/Author&gt;&lt;Year&gt;2016&lt;/Year&gt;&lt;RecNum&gt;134&lt;/RecNum&gt;&lt;DisplayText&gt;(Tarlow, 2016)&lt;/DisplayText&gt;&lt;record&gt;&lt;rec-number&gt;134&lt;/rec-number&gt;&lt;foreign-keys&gt;&lt;key app="EN" db-id="22wvx9fvypaw9jew2pevze5parwz0apaxvad" timestamp="1606479478"&gt;134&lt;/key&gt;&lt;/foreign-keys&gt;&lt;ref-type name="Journal Article"&gt;17&lt;/ref-type&gt;&lt;contributors&gt;&lt;authors&gt;&lt;author&gt;Tarlow, Kevin R.&lt;/author&gt;&lt;/authors&gt;&lt;/contributors&gt;&lt;titles&gt;&lt;title&gt;Teaching principles of inference with ANOVA&lt;/title&gt;&lt;secondary-title&gt;Teaching Statistics&lt;/secondary-title&gt;&lt;/titles&gt;&lt;periodical&gt;&lt;full-title&gt;Teaching Statistics&lt;/full-title&gt;&lt;/periodical&gt;&lt;pages&gt;16-22&lt;/pages&gt;&lt;volume&gt;38&lt;/volume&gt;&lt;number&gt;1&lt;/number&gt;&lt;keywords&gt;&lt;keyword&gt;Classroom activities&lt;/keyword&gt;&lt;keyword&gt;Reasoning&lt;/keyword&gt;&lt;keyword&gt;Critical thinking&lt;/keyword&gt;&lt;keyword&gt;Education&lt;/keyword&gt;&lt;keyword&gt;Inference (Logic)&lt;/keyword&gt;&lt;keyword&gt;Analysis of variance&lt;/keyword&gt;&lt;keyword&gt;Administration of Education Programs&lt;/keyword&gt;&lt;keyword&gt;All Other Miscellaneous Schools and Instruction&lt;/keyword&gt;&lt;keyword&gt;Educational Support Services&lt;/keyword&gt;&lt;/keywords&gt;&lt;dates&gt;&lt;year&gt;2016&lt;/year&gt;&lt;/dates&gt;&lt;publisher&gt;Wiley-Blackwell&lt;/publisher&gt;&lt;isbn&gt;0141982X&lt;/isbn&gt;&lt;urls&gt;&lt;/urls&gt;&lt;electronic-resource-num&gt;10.1111/test.12085&lt;/electronic-resource-num&gt;&lt;/record&gt;&lt;/Cite&gt;&lt;/EndNote&gt;</w:instrText>
      </w:r>
      <w:r>
        <w:rPr>
          <w:rFonts w:hint="eastAsia" w:ascii="Segoe UI" w:hAnsi="Segoe UI" w:eastAsia="宋体"/>
          <w:sz w:val="18"/>
          <w:lang w:val="en-US" w:eastAsia="zh-CN"/>
        </w:rPr>
        <w:fldChar w:fldCharType="separate"/>
      </w:r>
      <w:r>
        <w:rPr>
          <w:rFonts w:hint="eastAsia" w:ascii="Segoe UI" w:hAnsi="Segoe UI" w:eastAsia="宋体" w:cstheme="minorBidi"/>
          <w:kern w:val="2"/>
          <w:sz w:val="18"/>
          <w:szCs w:val="24"/>
          <w:lang w:val="en-US" w:eastAsia="zh-CN" w:bidi="ar-SA"/>
        </w:rPr>
        <w:t>(Tarlow, 2016)</w:t>
      </w:r>
      <w:r>
        <w:rPr>
          <w:rFonts w:hint="eastAsia" w:ascii="Segoe UI" w:hAnsi="Segoe UI" w:eastAsia="宋体"/>
          <w:sz w:val="18"/>
          <w:lang w:val="en-US" w:eastAsia="zh-CN"/>
        </w:rPr>
        <w:fldChar w:fldCharType="end"/>
      </w:r>
      <w:r>
        <w:rPr>
          <w:rFonts w:hint="eastAsia" w:ascii="Segoe UI" w:hAnsi="Segoe UI" w:eastAsia="宋体"/>
          <w:sz w:val="18"/>
          <w:lang w:val="en-US" w:eastAsia="zh-CN"/>
        </w:rPr>
        <w:t xml:space="preserve">. The survey contains 20 questions; half of them are for participants to make scalar judgments, and the rest of them are open-ended questions. Online interviews were conducted for deepening the understanding of the answers to the open-ended questions. Generally, I agree with this design. Mixed-methods integrates components and the integration gives readers more confidences in the result; mixed-methods </w:t>
      </w:r>
      <w:r>
        <w:rPr>
          <w:rFonts w:hint="default" w:ascii="Segoe UI" w:hAnsi="Segoe UI" w:eastAsia="宋体"/>
          <w:sz w:val="18"/>
          <w:lang w:val="en-US" w:eastAsia="zh-CN"/>
        </w:rPr>
        <w:t>increas</w:t>
      </w:r>
      <w:r>
        <w:rPr>
          <w:rFonts w:hint="eastAsia" w:ascii="Segoe UI" w:hAnsi="Segoe UI" w:eastAsia="宋体"/>
          <w:sz w:val="18"/>
          <w:lang w:val="en-US" w:eastAsia="zh-CN"/>
        </w:rPr>
        <w:t>e</w:t>
      </w:r>
      <w:r>
        <w:rPr>
          <w:rFonts w:hint="default" w:ascii="Segoe UI" w:hAnsi="Segoe UI" w:eastAsia="宋体"/>
          <w:sz w:val="18"/>
          <w:lang w:val="en-US" w:eastAsia="zh-CN"/>
        </w:rPr>
        <w:t xml:space="preserve"> validity in the findings, inform the collection of the second data source,</w:t>
      </w:r>
      <w:r>
        <w:rPr>
          <w:rFonts w:hint="eastAsia" w:ascii="Segoe UI" w:hAnsi="Segoe UI" w:eastAsia="宋体"/>
          <w:sz w:val="18"/>
          <w:lang w:val="en-US" w:eastAsia="zh-CN"/>
        </w:rPr>
        <w:t xml:space="preserve"> </w:t>
      </w:r>
      <w:r>
        <w:rPr>
          <w:rFonts w:hint="default" w:ascii="Segoe UI" w:hAnsi="Segoe UI" w:eastAsia="宋体"/>
          <w:sz w:val="18"/>
          <w:lang w:val="en-US" w:eastAsia="zh-CN"/>
        </w:rPr>
        <w:t>and assist with knowledge creation</w:t>
      </w:r>
      <w:r>
        <w:rPr>
          <w:rFonts w:hint="default" w:ascii="Segoe UI" w:hAnsi="Segoe UI" w:eastAsia="宋体"/>
          <w:sz w:val="18"/>
          <w:lang w:val="en-US" w:eastAsia="zh-CN"/>
        </w:rPr>
        <w:fldChar w:fldCharType="begin"/>
      </w:r>
      <w:r>
        <w:rPr>
          <w:rFonts w:hint="eastAsia" w:ascii="Segoe UI" w:hAnsi="Segoe UI" w:eastAsia="宋体"/>
          <w:sz w:val="18"/>
          <w:lang w:val="en-US" w:eastAsia="zh-CN"/>
        </w:rPr>
        <w:instrText xml:space="preserve"> ADDIN  EN.CITE &lt;EndNote&gt;&lt;Cite&gt;&lt;Author&gt;McKim&lt;/Author&gt;&lt;Year&gt;2017&lt;/Year&gt;&lt;RecNum&gt;133&lt;/RecNum&gt;&lt;DisplayText&gt;(McKim, 2017)&lt;/DisplayText&gt;&lt;record&gt;&lt;rec-number&gt;133&lt;/rec-number&gt;&lt;foreign-keys&gt;&lt;key app="EN" db-id="22wvx9fvypaw9jew2pevze5parwz0apaxvad" timestamp="1606478879"&gt;133&lt;/key&gt;&lt;/foreign-keys&gt;&lt;ref-type name="Journal Article"&gt;17&lt;/ref-type&gt;&lt;contributors&gt;&lt;authors&gt;&lt;author&gt;McKim, Courtney A.&lt;/author&gt;&lt;/authors&gt;&lt;/contributors&gt;&lt;titles&gt;&lt;title&gt;The Value of Mixed Methods Research: A Mixed Methods Study&lt;/title&gt;&lt;secondary-title&gt;Journal of mixed methods research&lt;/secondary-title&gt;&lt;/titles&gt;&lt;periodical&gt;&lt;full-title&gt;Journal of mixed methods research&lt;/full-title&gt;&lt;/periodical&gt;&lt;pages&gt;202-222&lt;/pages&gt;&lt;volume&gt;11&lt;/volume&gt;&lt;number&gt;2&lt;/number&gt;&lt;keywords&gt;&lt;keyword&gt;Graduate Students&lt;/keyword&gt;&lt;keyword&gt;Student Surveys&lt;/keyword&gt;&lt;keyword&gt;Focus Groups&lt;/keyword&gt;&lt;keyword&gt;Attitude Measures&lt;/keyword&gt;&lt;keyword&gt;Scores&lt;/keyword&gt;&lt;keyword&gt;Educational Benefits&lt;/keyword&gt;&lt;keyword&gt;Student Attitudes&lt;/keyword&gt;&lt;keyword&gt;Mixed Methods Research&lt;/keyword&gt;&lt;keyword&gt;Research Methodology&lt;/keyword&gt;&lt;keyword&gt;Statistics&lt;/keyword&gt;&lt;/keywords&gt;&lt;dates&gt;&lt;year&gt;2017&lt;/year&gt;&lt;/dates&gt;&lt;pub-location&gt;Los Angeles, CA&lt;/pub-location&gt;&lt;publisher&gt;Los Angeles, CA: SAGE Publications&lt;/publisher&gt;&lt;isbn&gt;1558-6898&lt;/isbn&gt;&lt;urls&gt;&lt;/urls&gt;&lt;electronic-resource-num&gt;10.1177/1558689815607096&lt;/electronic-resource-num&gt;&lt;/record&gt;&lt;/Cite&gt;&lt;/EndNote&gt;</w:instrText>
      </w:r>
      <w:r>
        <w:rPr>
          <w:rFonts w:hint="default" w:ascii="Segoe UI" w:hAnsi="Segoe UI" w:eastAsia="宋体"/>
          <w:sz w:val="18"/>
          <w:lang w:val="en-US" w:eastAsia="zh-CN"/>
        </w:rPr>
        <w:fldChar w:fldCharType="separate"/>
      </w:r>
      <w:r>
        <w:rPr>
          <w:rFonts w:hint="eastAsia" w:ascii="Segoe UI" w:hAnsi="Segoe UI" w:eastAsia="宋体" w:cstheme="minorBidi"/>
          <w:kern w:val="2"/>
          <w:sz w:val="18"/>
          <w:szCs w:val="24"/>
          <w:lang w:val="en-US" w:eastAsia="zh-CN" w:bidi="ar-SA"/>
        </w:rPr>
        <w:t>(McKim, 2017)</w:t>
      </w:r>
      <w:r>
        <w:rPr>
          <w:rFonts w:hint="default" w:ascii="Segoe UI" w:hAnsi="Segoe UI" w:eastAsia="宋体"/>
          <w:sz w:val="18"/>
          <w:lang w:val="en-US" w:eastAsia="zh-CN"/>
        </w:rPr>
        <w:fldChar w:fldCharType="end"/>
      </w:r>
      <w:r>
        <w:rPr>
          <w:rFonts w:hint="eastAsia" w:ascii="Segoe UI" w:hAnsi="Segoe UI" w:eastAsia="宋体"/>
          <w:sz w:val="18"/>
          <w:lang w:val="en-US" w:eastAsia="zh-CN"/>
        </w:rPr>
        <w:t>. A mixed-method research approach is adopted since qualitative data are helpful to clear any misunderstanding of the quantitative data and quantitative data can, in turn, lend more statistical supports to qualitative data. But in the survey, 9 out of 10 in the first ten scalar judgement questions are about learners</w:t>
      </w:r>
      <w:r>
        <w:rPr>
          <w:rFonts w:hint="default" w:ascii="Segoe UI" w:hAnsi="Segoe UI" w:eastAsia="宋体"/>
          <w:sz w:val="18"/>
          <w:lang w:val="en-US" w:eastAsia="zh-CN"/>
        </w:rPr>
        <w:t>’</w:t>
      </w:r>
      <w:r>
        <w:rPr>
          <w:rFonts w:hint="eastAsia" w:ascii="Segoe UI" w:hAnsi="Segoe UI" w:eastAsia="宋体"/>
          <w:sz w:val="18"/>
          <w:lang w:val="en-US" w:eastAsia="zh-CN"/>
        </w:rPr>
        <w:t xml:space="preserve"> self-evaluation and expectation of their pronunciation; only the Question 3-5 in the ten open-ended questions deal with learners</w:t>
      </w:r>
      <w:r>
        <w:rPr>
          <w:rFonts w:hint="default" w:ascii="Segoe UI" w:hAnsi="Segoe UI" w:eastAsia="宋体"/>
          <w:sz w:val="18"/>
          <w:lang w:val="en-US" w:eastAsia="zh-CN"/>
        </w:rPr>
        <w:t>’</w:t>
      </w:r>
      <w:r>
        <w:rPr>
          <w:rFonts w:hint="eastAsia" w:ascii="Segoe UI" w:hAnsi="Segoe UI" w:eastAsia="宋体"/>
          <w:sz w:val="18"/>
          <w:lang w:val="en-US" w:eastAsia="zh-CN"/>
        </w:rPr>
        <w:t xml:space="preserve"> evaluation and the expectation of their pronunciation instruction. Perhaps there are more that could be learnt in this aspect.     </w:t>
      </w:r>
    </w:p>
    <w:p>
      <w:pPr>
        <w:rPr>
          <w:rFonts w:hint="eastAsia" w:ascii="Segoe UI" w:hAnsi="Segoe UI" w:eastAsia="宋体"/>
          <w:sz w:val="18"/>
          <w:lang w:val="en-US" w:eastAsia="zh-CN"/>
        </w:rPr>
      </w:pPr>
    </w:p>
    <w:p>
      <w:pPr>
        <w:rPr>
          <w:rFonts w:hint="default" w:ascii="Segoe UI" w:hAnsi="Segoe UI" w:eastAsia="宋体"/>
          <w:sz w:val="18"/>
          <w:lang w:val="en-US" w:eastAsia="zh-CN"/>
        </w:rPr>
      </w:pPr>
      <w:r>
        <w:rPr>
          <w:rFonts w:hint="eastAsia" w:ascii="Segoe UI" w:hAnsi="Segoe UI" w:eastAsia="宋体"/>
          <w:sz w:val="18"/>
          <w:lang w:val="en-US" w:eastAsia="zh-CN"/>
        </w:rPr>
        <w:t>Kang chose ESL learner participants from the inner/outer circle countries and EFL learner participants from the expanding circle countries. This choice is necessary for answering the research questions. The total number of participants is 617. Compared to Hu</w:t>
      </w:r>
      <w:r>
        <w:rPr>
          <w:rFonts w:hint="default" w:ascii="Segoe UI" w:hAnsi="Segoe UI" w:eastAsia="宋体"/>
          <w:sz w:val="18"/>
          <w:lang w:val="en-US" w:eastAsia="zh-CN"/>
        </w:rPr>
        <w:t>’</w:t>
      </w:r>
      <w:r>
        <w:rPr>
          <w:rFonts w:hint="eastAsia" w:ascii="Segoe UI" w:hAnsi="Segoe UI" w:eastAsia="宋体"/>
          <w:sz w:val="18"/>
          <w:lang w:val="en-US" w:eastAsia="zh-CN"/>
        </w:rPr>
        <w:t>s study in 2004 which invited 1,251 participants(p62), this participant involvement is of moderate level considering the questions it intends to answer. But it is still a worthy try in bringing together participants across the different circles and it is not an easy task to collect data from participants who live in foreign countries. Only adults ageing 19 to 40 are chosen. Kang does not specify the reasons for this age group choice. That non-adults did not participate might be beneficial to avoiding potential ethical problems and facilitates the conduct of the experiment. But the majority of recipients of school education are non-adults. For example, in China, English is a compulsory course in middle schools and an elective course in universities. It would be better to include non-adult learners</w:t>
      </w:r>
      <w:r>
        <w:rPr>
          <w:rFonts w:hint="default" w:ascii="Segoe UI" w:hAnsi="Segoe UI" w:eastAsia="宋体"/>
          <w:sz w:val="18"/>
          <w:lang w:val="en-US" w:eastAsia="zh-CN"/>
        </w:rPr>
        <w:t>’</w:t>
      </w:r>
      <w:r>
        <w:rPr>
          <w:rFonts w:hint="eastAsia" w:ascii="Segoe UI" w:hAnsi="Segoe UI" w:eastAsia="宋体"/>
          <w:sz w:val="18"/>
          <w:lang w:val="en-US" w:eastAsia="zh-CN"/>
        </w:rPr>
        <w:t xml:space="preserve"> voice. It might also be more reader-friendly to clarify how the research conductor chose participants to interview and how many participants were involved. It mentions that the participation rate for the online interview was low so she adjusted from online interviews via instant chatting tools to interviews via email.</w:t>
      </w:r>
    </w:p>
    <w:p>
      <w:pPr>
        <w:rPr>
          <w:rFonts w:hint="eastAsia" w:ascii="Segoe UI" w:hAnsi="Segoe UI" w:eastAsia="宋体"/>
          <w:sz w:val="18"/>
          <w:lang w:val="en-US" w:eastAsia="zh-CN"/>
        </w:rPr>
      </w:pPr>
    </w:p>
    <w:p>
      <w:pPr>
        <w:rPr>
          <w:rFonts w:hint="eastAsia" w:ascii="Segoe UI" w:hAnsi="Segoe UI" w:eastAsia="宋体"/>
          <w:sz w:val="18"/>
          <w:lang w:val="en-US" w:eastAsia="zh-CN"/>
        </w:rPr>
      </w:pPr>
      <w:r>
        <w:rPr>
          <w:rFonts w:hint="eastAsia" w:ascii="Segoe UI" w:hAnsi="Segoe UI" w:eastAsia="宋体"/>
          <w:sz w:val="18"/>
          <w:lang w:val="en-US" w:eastAsia="zh-CN"/>
        </w:rPr>
        <w:t>Participants</w:t>
      </w:r>
      <w:r>
        <w:rPr>
          <w:rFonts w:hint="default" w:ascii="Segoe UI" w:hAnsi="Segoe UI" w:eastAsia="宋体"/>
          <w:sz w:val="18"/>
          <w:lang w:val="en-US" w:eastAsia="zh-CN"/>
        </w:rPr>
        <w:t>’</w:t>
      </w:r>
      <w:r>
        <w:rPr>
          <w:rFonts w:hint="eastAsia" w:ascii="Segoe UI" w:hAnsi="Segoe UI" w:eastAsia="宋体"/>
          <w:sz w:val="18"/>
          <w:lang w:val="en-US" w:eastAsia="zh-CN"/>
        </w:rPr>
        <w:t xml:space="preserve"> English proficiency levels are introduced in the article. ESL participants in IC counties self-reported their proficiency level; 47% of them is intermediate. The proficiency levels of ESL participants in OC countries and EFL participants in EC countries are reported by their teachers. All are at an intermediate level, which Kang regards as not validated. Yet since ESL participants</w:t>
      </w:r>
      <w:r>
        <w:rPr>
          <w:rFonts w:hint="default" w:ascii="Segoe UI" w:hAnsi="Segoe UI" w:eastAsia="宋体"/>
          <w:sz w:val="18"/>
          <w:lang w:val="en-US" w:eastAsia="zh-CN"/>
        </w:rPr>
        <w:t>’</w:t>
      </w:r>
      <w:r>
        <w:rPr>
          <w:rFonts w:hint="eastAsia" w:ascii="Segoe UI" w:hAnsi="Segoe UI" w:eastAsia="宋体"/>
          <w:sz w:val="18"/>
          <w:lang w:val="en-US" w:eastAsia="zh-CN"/>
        </w:rPr>
        <w:t xml:space="preserve"> self-evaluation in IC did not undergo any standardized process(p66), it is hard to say that their self-reported results are validated either. Furthermore, it is not clear enough about the effect of participants</w:t>
      </w:r>
      <w:r>
        <w:rPr>
          <w:rFonts w:hint="default" w:ascii="Segoe UI" w:hAnsi="Segoe UI" w:eastAsia="宋体"/>
          <w:sz w:val="18"/>
          <w:lang w:val="en-US" w:eastAsia="zh-CN"/>
        </w:rPr>
        <w:t>’</w:t>
      </w:r>
      <w:r>
        <w:rPr>
          <w:rFonts w:hint="eastAsia" w:ascii="Segoe UI" w:hAnsi="Segoe UI" w:eastAsia="宋体"/>
          <w:sz w:val="18"/>
          <w:lang w:val="en-US" w:eastAsia="zh-CN"/>
        </w:rPr>
        <w:t xml:space="preserve"> English proficiency on their responses to experiment questions. </w:t>
      </w:r>
    </w:p>
    <w:p>
      <w:pPr>
        <w:rPr>
          <w:rFonts w:hint="eastAsia" w:ascii="Segoe UI" w:hAnsi="Segoe UI" w:eastAsia="宋体"/>
          <w:sz w:val="18"/>
          <w:lang w:val="en-US" w:eastAsia="zh-CN"/>
        </w:rPr>
      </w:pPr>
    </w:p>
    <w:p>
      <w:pPr>
        <w:rPr>
          <w:rFonts w:hint="eastAsia" w:ascii="Segoe UI" w:hAnsi="Segoe UI" w:eastAsia="宋体"/>
          <w:b/>
          <w:bCs/>
          <w:sz w:val="18"/>
          <w:lang w:val="en-US" w:eastAsia="zh-CN"/>
        </w:rPr>
      </w:pPr>
      <w:r>
        <w:rPr>
          <w:rFonts w:hint="eastAsia" w:ascii="Segoe UI" w:hAnsi="Segoe UI" w:eastAsia="宋体"/>
          <w:b/>
          <w:bCs/>
          <w:sz w:val="18"/>
          <w:lang w:val="en-US" w:eastAsia="zh-CN"/>
        </w:rPr>
        <w:t>Part Five: Results</w:t>
      </w:r>
    </w:p>
    <w:p>
      <w:pPr>
        <w:pStyle w:val="3"/>
        <w:keepNext w:val="0"/>
        <w:keepLines w:val="0"/>
        <w:widowControl/>
        <w:suppressLineNumbers w:val="0"/>
        <w:spacing w:before="0" w:beforeAutospacing="0" w:after="0" w:afterAutospacing="0"/>
        <w:ind w:left="0" w:right="0" w:firstLine="0"/>
        <w:jc w:val="both"/>
        <w:rPr>
          <w:rFonts w:hint="eastAsia" w:ascii="Segoe UI" w:hAnsi="Segoe UI" w:eastAsia="宋体"/>
          <w:sz w:val="18"/>
          <w:lang w:val="en-US" w:eastAsia="zh-CN"/>
        </w:rPr>
      </w:pPr>
      <w:r>
        <w:rPr>
          <w:rFonts w:hint="eastAsia" w:ascii="Segoe UI" w:hAnsi="Segoe UI" w:eastAsia="宋体"/>
          <w:sz w:val="18"/>
          <w:lang w:val="en-US" w:eastAsia="zh-CN"/>
        </w:rPr>
        <w:t>The results are presented in two perspectives: from quantitative angle and from qualitative angle. Kang spends more time on presenting the quantitative results which is acquired by ANOVAs analysis and Tukey post hoc analysis. Quantitative results are clearly listed in TABLE 1 on page 69 and FIGURE 1 on page 72. From the data, Kang discovers obvious differences among the participants</w:t>
      </w:r>
      <w:r>
        <w:rPr>
          <w:rFonts w:hint="default" w:ascii="Segoe UI" w:hAnsi="Segoe UI" w:eastAsia="宋体"/>
          <w:sz w:val="18"/>
          <w:lang w:val="en-US" w:eastAsia="zh-CN"/>
        </w:rPr>
        <w:t>’</w:t>
      </w:r>
      <w:r>
        <w:rPr>
          <w:rFonts w:hint="eastAsia" w:ascii="Segoe UI" w:hAnsi="Segoe UI" w:eastAsia="宋体"/>
          <w:sz w:val="18"/>
          <w:lang w:val="en-US" w:eastAsia="zh-CN"/>
        </w:rPr>
        <w:t xml:space="preserve"> response across three circles. Qualitative data from interviews are cited and strengthen the discover of differences</w:t>
      </w:r>
      <w:r>
        <w:rPr>
          <w:rFonts w:hint="eastAsia" w:ascii="Segoe UI" w:hAnsi="Segoe UI" w:eastAsia="宋体"/>
          <w:sz w:val="18"/>
          <w:lang w:val="en-US" w:eastAsia="zh-CN"/>
        </w:rPr>
        <w:fldChar w:fldCharType="begin"/>
      </w:r>
      <w:r>
        <w:rPr>
          <w:rFonts w:hint="eastAsia" w:ascii="Segoe UI" w:hAnsi="Segoe UI" w:eastAsia="宋体"/>
          <w:sz w:val="18"/>
          <w:lang w:val="en-US" w:eastAsia="zh-CN"/>
        </w:rPr>
        <w:instrText xml:space="preserve"> ADDIN  EN.CITE &lt;EndNote&gt;&lt;Cite&gt;&lt;Author&gt;Kang&lt;/Author&gt;&lt;Year&gt;2015&lt;/Year&gt;&lt;RecNum&gt;109&lt;/RecNum&gt;&lt;DisplayText&gt;(Kang, 2015)&lt;/DisplayText&gt;&lt;record&gt;&lt;rec-number&gt;109&lt;/rec-number&gt;&lt;foreign-keys&gt;&lt;key app="EN" db-id="22wvx9fvypaw9jew2pevze5parwz0apaxvad" timestamp="1603466626"&gt;109&lt;/key&gt;&lt;/foreign-keys&gt;&lt;ref-type name="Journal Article"&gt;17&lt;/ref-type&gt;&lt;contributors&gt;&lt;authors&gt;&lt;author&gt;Kang, Okim&lt;/author&gt;&lt;/authors&gt;&lt;/contributors&gt;&lt;titles&gt;&lt;title&gt;Learners&amp;apos; perceptions toward pronunciation instruction in Three Circles of World Englishes&lt;/title&gt;&lt;secondary-title&gt;Tesol Journal&lt;/secondary-title&gt;&lt;/titles&gt;&lt;periodical&gt;&lt;full-title&gt;Tesol Journal&lt;/full-title&gt;&lt;/periodical&gt;&lt;pages&gt;59-80&lt;/pages&gt;&lt;volume&gt;6&lt;/volume&gt;&lt;number&gt;1&lt;/number&gt;&lt;dates&gt;&lt;year&gt;2015&lt;/year&gt;&lt;/dates&gt;&lt;isbn&gt;1056-7941&lt;/isbn&gt;&lt;urls&gt;&lt;/urls&gt;&lt;/record&gt;&lt;/Cite&gt;&lt;/EndNote&gt;</w:instrText>
      </w:r>
      <w:r>
        <w:rPr>
          <w:rFonts w:hint="eastAsia" w:ascii="Segoe UI" w:hAnsi="Segoe UI" w:eastAsia="宋体"/>
          <w:sz w:val="18"/>
          <w:lang w:val="en-US" w:eastAsia="zh-CN"/>
        </w:rPr>
        <w:fldChar w:fldCharType="separate"/>
      </w:r>
      <w:r>
        <w:rPr>
          <w:rFonts w:hint="eastAsia" w:ascii="Segoe UI" w:hAnsi="Segoe UI" w:eastAsia="宋体" w:cstheme="minorBidi"/>
          <w:kern w:val="0"/>
          <w:sz w:val="18"/>
          <w:szCs w:val="24"/>
          <w:lang w:val="en-US" w:eastAsia="zh-CN" w:bidi="ar"/>
        </w:rPr>
        <w:t>(Kang, 2015)</w:t>
      </w:r>
      <w:r>
        <w:rPr>
          <w:rFonts w:hint="eastAsia" w:ascii="Segoe UI" w:hAnsi="Segoe UI" w:eastAsia="宋体"/>
          <w:sz w:val="18"/>
          <w:lang w:val="en-US" w:eastAsia="zh-CN"/>
        </w:rPr>
        <w:fldChar w:fldCharType="end"/>
      </w:r>
      <w:r>
        <w:rPr>
          <w:rFonts w:hint="eastAsia" w:ascii="Segoe UI" w:hAnsi="Segoe UI" w:eastAsia="宋体"/>
          <w:sz w:val="18"/>
          <w:lang w:val="en-US" w:eastAsia="zh-CN"/>
        </w:rPr>
        <w:t xml:space="preserve">. </w:t>
      </w:r>
    </w:p>
    <w:p>
      <w:pPr>
        <w:pStyle w:val="3"/>
        <w:keepNext w:val="0"/>
        <w:keepLines w:val="0"/>
        <w:widowControl/>
        <w:suppressLineNumbers w:val="0"/>
        <w:spacing w:before="0" w:beforeAutospacing="0" w:after="0" w:afterAutospacing="0"/>
        <w:ind w:left="0" w:right="0" w:firstLine="0"/>
        <w:jc w:val="both"/>
        <w:rPr>
          <w:rFonts w:hint="eastAsia" w:ascii="Segoe UI" w:hAnsi="Segoe UI" w:eastAsia="宋体"/>
          <w:sz w:val="18"/>
          <w:lang w:val="en-US" w:eastAsia="zh-CN"/>
        </w:rPr>
      </w:pPr>
    </w:p>
    <w:p>
      <w:pPr>
        <w:pStyle w:val="3"/>
        <w:keepNext w:val="0"/>
        <w:keepLines w:val="0"/>
        <w:widowControl/>
        <w:suppressLineNumbers w:val="0"/>
        <w:spacing w:before="0" w:beforeAutospacing="0" w:after="0" w:afterAutospacing="0"/>
        <w:ind w:left="0" w:right="0" w:firstLine="0"/>
        <w:jc w:val="both"/>
        <w:rPr>
          <w:rFonts w:hint="eastAsia" w:ascii="Segoe UI" w:hAnsi="Segoe UI" w:eastAsia="宋体"/>
          <w:sz w:val="18"/>
          <w:lang w:val="en-US" w:eastAsia="zh-CN"/>
        </w:rPr>
      </w:pPr>
      <w:r>
        <w:rPr>
          <w:rFonts w:hint="eastAsia" w:ascii="Segoe UI" w:hAnsi="Segoe UI" w:eastAsia="宋体"/>
          <w:sz w:val="18"/>
          <w:lang w:val="en-US" w:eastAsia="zh-CN"/>
        </w:rPr>
        <w:t xml:space="preserve">Her illustration is straight-forward and deals directly with the numbers. It might be helpful to the readers to understand the design of her survey by explaining in advance why all these questions were asked and what the logical sequence was in asking question 2 after question1, and question 3 after question 2. For instance of item 9 and 10, which the article does not explain much. There is a negative correlation between the results. Item 9 shows ESL learners in IC countries are most confusing due to a variety of accents while EFL learners in EC countries are least confusing. Item 10 shows ESL learners in IC countries are least confident in identify native English pronunciation while EFL learners in EC countries are most confident. Although the results of item 9 and 10, in general, support the need for pronunciation instruction for EFL/ESL learners, the negative correlation is also worth discussion. </w:t>
      </w:r>
    </w:p>
    <w:p>
      <w:pPr>
        <w:pStyle w:val="3"/>
        <w:keepNext w:val="0"/>
        <w:keepLines w:val="0"/>
        <w:widowControl/>
        <w:suppressLineNumbers w:val="0"/>
        <w:spacing w:before="0" w:beforeAutospacing="0" w:after="0" w:afterAutospacing="0"/>
        <w:ind w:left="0" w:right="0" w:firstLine="0"/>
        <w:jc w:val="both"/>
        <w:rPr>
          <w:rFonts w:hint="eastAsia" w:ascii="Segoe UI" w:hAnsi="Segoe UI" w:eastAsia="宋体"/>
          <w:sz w:val="18"/>
          <w:lang w:val="en-US" w:eastAsia="zh-CN"/>
        </w:rPr>
      </w:pPr>
    </w:p>
    <w:p>
      <w:pPr>
        <w:rPr>
          <w:rFonts w:hint="eastAsia" w:ascii="Segoe UI" w:hAnsi="Segoe UI" w:eastAsia="宋体"/>
          <w:b/>
          <w:bCs/>
          <w:sz w:val="18"/>
          <w:lang w:val="en-US" w:eastAsia="zh-CN"/>
        </w:rPr>
      </w:pPr>
      <w:r>
        <w:rPr>
          <w:rFonts w:hint="eastAsia" w:ascii="Segoe UI" w:hAnsi="Segoe UI" w:eastAsia="宋体"/>
          <w:b/>
          <w:bCs/>
          <w:sz w:val="18"/>
          <w:lang w:val="en-US" w:eastAsia="zh-CN"/>
        </w:rPr>
        <w:t>Part Five: Discussion and implication of the Result</w:t>
      </w:r>
    </w:p>
    <w:p>
      <w:pPr>
        <w:rPr>
          <w:rFonts w:hint="default" w:ascii="Segoe UI" w:hAnsi="Segoe UI" w:eastAsia="宋体"/>
          <w:sz w:val="18"/>
          <w:lang w:val="en-US" w:eastAsia="zh-CN"/>
        </w:rPr>
      </w:pPr>
      <w:r>
        <w:rPr>
          <w:rFonts w:hint="eastAsia" w:ascii="Segoe UI" w:hAnsi="Segoe UI" w:eastAsia="宋体"/>
          <w:sz w:val="18"/>
          <w:lang w:val="en-US" w:eastAsia="zh-CN"/>
        </w:rPr>
        <w:t>Kang</w:t>
      </w:r>
      <w:r>
        <w:rPr>
          <w:rFonts w:hint="default" w:ascii="Segoe UI" w:hAnsi="Segoe UI" w:eastAsia="宋体"/>
          <w:sz w:val="18"/>
          <w:lang w:val="en-US" w:eastAsia="zh-CN"/>
        </w:rPr>
        <w:t>’</w:t>
      </w:r>
      <w:r>
        <w:rPr>
          <w:rFonts w:hint="eastAsia" w:ascii="Segoe UI" w:hAnsi="Segoe UI" w:eastAsia="宋体"/>
          <w:sz w:val="18"/>
          <w:lang w:val="en-US" w:eastAsia="zh-CN"/>
        </w:rPr>
        <w:t>s interpretation of the result is as follow. There are differences among learners from different circles in terms of their expectation of pronunciation development. ESL learners in IC expressed the strongest aspiration to improvement and to sound like native speakers. EFL learners in EC have the same aspiration but weaker. ESL learners in OC demonstrate identity concern to sound like native IC. There are also differences in the perception of pronunciation instruction. Learners in EC demonstrated the strongest dissatisfaction than the other groups.</w:t>
      </w:r>
    </w:p>
    <w:p>
      <w:pPr>
        <w:rPr>
          <w:rFonts w:hint="default" w:ascii="Segoe UI" w:hAnsi="Segoe UI" w:eastAsia="宋体"/>
          <w:sz w:val="18"/>
          <w:lang w:val="en-US" w:eastAsia="zh-CN"/>
        </w:rPr>
      </w:pPr>
    </w:p>
    <w:p>
      <w:pPr>
        <w:rPr>
          <w:rFonts w:hint="default" w:ascii="Segoe UI" w:hAnsi="Segoe UI" w:eastAsia="宋体"/>
          <w:sz w:val="18"/>
          <w:lang w:val="en-US" w:eastAsia="zh-CN"/>
        </w:rPr>
      </w:pPr>
      <w:r>
        <w:rPr>
          <w:rFonts w:hint="default" w:ascii="Segoe UI" w:hAnsi="Segoe UI" w:eastAsia="宋体"/>
          <w:sz w:val="18"/>
          <w:lang w:val="en-US" w:eastAsia="zh-CN"/>
        </w:rPr>
        <w:t>This discovers not only lends further support to Kachru’s theory but also confirms the necessity to identify learners’ expectation and perception in the context of their circle of English. In other words, to categorize the learners merely by the EFL/ESL dichotomy is not enough. Kang’s strategy to categorize participants in contexts of three circles of world Englishes, combined with the EFL/ESL dichotomy is effective in figuring out the variation of need from different learner groups.</w:t>
      </w:r>
    </w:p>
    <w:p>
      <w:pPr>
        <w:rPr>
          <w:rFonts w:hint="default" w:ascii="Segoe UI" w:hAnsi="Segoe UI" w:eastAsia="宋体"/>
          <w:sz w:val="18"/>
          <w:lang w:val="en-US" w:eastAsia="zh-CN"/>
        </w:rPr>
      </w:pPr>
    </w:p>
    <w:p>
      <w:pPr>
        <w:rPr>
          <w:rFonts w:hint="default" w:ascii="Segoe UI" w:hAnsi="Segoe UI" w:eastAsia="宋体"/>
          <w:sz w:val="18"/>
          <w:lang w:val="en-US" w:eastAsia="zh-CN"/>
        </w:rPr>
      </w:pPr>
      <w:r>
        <w:rPr>
          <w:rFonts w:hint="default" w:ascii="Segoe UI" w:hAnsi="Segoe UI" w:eastAsia="宋体"/>
          <w:sz w:val="18"/>
          <w:lang w:val="en-US" w:eastAsia="zh-CN"/>
        </w:rPr>
        <w:t xml:space="preserve">Kang suggests that institutes should synchronize student’s need in the context of World Englishes. She suggests English teachers should not view lingua franca English(LFE) pronunciation as deficient otherwise the paradigm of global intelligibility would not take place. I agree with the idea that not to see a certain English as deficient, but I have reservation about the intelligibility of each variety of English in the background of international communication. Kang also suggests that learners in EC need to build their own realistic model for pronunciation. If learners </w:t>
      </w:r>
      <w:r>
        <w:rPr>
          <w:rFonts w:hint="eastAsia" w:ascii="Segoe UI" w:hAnsi="Segoe UI" w:eastAsia="宋体"/>
          <w:sz w:val="18"/>
          <w:lang w:val="en-US" w:eastAsia="zh-CN"/>
        </w:rPr>
        <w:t>need</w:t>
      </w:r>
      <w:r>
        <w:rPr>
          <w:rFonts w:hint="default" w:ascii="Segoe UI" w:hAnsi="Segoe UI" w:eastAsia="宋体"/>
          <w:sz w:val="18"/>
          <w:lang w:val="en-US" w:eastAsia="zh-CN"/>
        </w:rPr>
        <w:t xml:space="preserve"> not model from native varieties, then who should they model? How and whose responsibility to build a model that is intelligible across all the EC countries and at the same time intelligible to the IC audiences? </w:t>
      </w:r>
    </w:p>
    <w:p>
      <w:pPr>
        <w:rPr>
          <w:rFonts w:hint="default" w:ascii="Segoe UI" w:hAnsi="Segoe UI" w:eastAsia="宋体"/>
          <w:sz w:val="18"/>
          <w:lang w:val="en-US" w:eastAsia="zh-CN"/>
        </w:rPr>
      </w:pPr>
    </w:p>
    <w:p>
      <w:pPr>
        <w:rPr>
          <w:rFonts w:hint="default" w:ascii="Segoe UI" w:hAnsi="Segoe UI" w:eastAsia="宋体"/>
          <w:b/>
          <w:bCs/>
          <w:sz w:val="18"/>
          <w:lang w:val="en-US" w:eastAsia="zh-CN"/>
        </w:rPr>
      </w:pPr>
      <w:r>
        <w:rPr>
          <w:rFonts w:hint="eastAsia" w:ascii="Segoe UI" w:hAnsi="Segoe UI" w:eastAsia="宋体"/>
          <w:b/>
          <w:bCs/>
          <w:sz w:val="18"/>
          <w:lang w:val="en-US" w:eastAsia="zh-CN"/>
        </w:rPr>
        <w:t>Part Six: Evaluation of the Research</w:t>
      </w:r>
    </w:p>
    <w:p>
      <w:pPr>
        <w:rPr>
          <w:rFonts w:hint="eastAsia"/>
          <w:lang w:val="en-US" w:eastAsia="zh-CN"/>
        </w:rPr>
      </w:pPr>
      <w:r>
        <w:rPr>
          <w:rFonts w:hint="eastAsia"/>
          <w:lang w:val="en-US" w:eastAsia="zh-CN"/>
        </w:rPr>
        <w:t>The inspiring part of this research is its combination of three circles theory and the study of EFL/ESL learners in terms of English pronunciation development. That the goal of EFL/ESL is not to adopt the native models and native models like AE and BE are not the only legitimate varieties of Englishes</w:t>
      </w:r>
      <w:r>
        <w:rPr>
          <w:rFonts w:hint="eastAsia"/>
          <w:lang w:val="en-US" w:eastAsia="zh-CN"/>
        </w:rPr>
        <w:fldChar w:fldCharType="begin"/>
      </w:r>
      <w:r>
        <w:rPr>
          <w:rFonts w:hint="eastAsia"/>
          <w:lang w:val="en-US" w:eastAsia="zh-CN"/>
        </w:rPr>
        <w:instrText xml:space="preserve"> ADDIN  EN.CITE &lt;EndNote&gt;&lt;Cite&gt;&lt;Author&gt;Matsuda&lt;/Author&gt;&lt;Year&gt;2019&lt;/Year&gt;&lt;RecNum&gt;135&lt;/RecNum&gt;&lt;DisplayText&gt;(Matsuda, 2019)&lt;/DisplayText&gt;&lt;record&gt;&lt;rec-number&gt;135&lt;/rec-number&gt;&lt;foreign-keys&gt;&lt;key app="EN" db-id="22wvx9fvypaw9jew2pevze5parwz0apaxvad" timestamp="1606484720"&gt;135&lt;/key&gt;&lt;/foreign-keys&gt;&lt;ref-type name="Journal Article"&gt;17&lt;/ref-type&gt;&lt;contributors&gt;&lt;authors&gt;&lt;author&gt;Matsuda, Aya&lt;/author&gt;&lt;/authors&gt;&lt;/contributors&gt;&lt;titles&gt;&lt;title&gt;World Englishes in English language teaching: Kachru&amp;apos;s six fallacies and the TEIL paradigm&lt;/title&gt;&lt;secondary-title&gt;World Englishes&lt;/secondary-title&gt;&lt;/titles&gt;&lt;periodical&gt;&lt;full-title&gt;World Englishes&lt;/full-title&gt;&lt;/periodical&gt;&lt;pages&gt;144-155&lt;/pages&gt;&lt;volume&gt;38&lt;/volume&gt;&lt;number&gt;1/2&lt;/number&gt;&lt;keywords&gt;&lt;keyword&gt;KACHRU, Braj B., 1932-&lt;/keyword&gt;&lt;keyword&gt;EAST-West Center&lt;/keyword&gt;&lt;keyword&gt;UNIVERSITY of Illinois at Urbana-Champaign&lt;/keyword&gt;&lt;keyword&gt;ENGLISH teachers&lt;/keyword&gt;&lt;keyword&gt;ENGLISH language in foreign countries&lt;/keyword&gt;&lt;/keywords&gt;&lt;dates&gt;&lt;year&gt;2019&lt;/year&gt;&lt;/dates&gt;&lt;publisher&gt;Wiley-Blackwell&lt;/publisher&gt;&lt;isbn&gt;08832919&lt;/isbn&gt;&lt;urls&gt;&lt;/urls&gt;&lt;electronic-resource-num&gt;10.1111/weng.12368&lt;/electronic-resource-num&gt;&lt;/record&gt;&lt;/Cite&gt;&lt;/EndNote&gt;</w:instrText>
      </w:r>
      <w:r>
        <w:rPr>
          <w:rFonts w:hint="eastAsia"/>
          <w:lang w:val="en-US" w:eastAsia="zh-CN"/>
        </w:rPr>
        <w:fldChar w:fldCharType="separate"/>
      </w:r>
      <w:r>
        <w:rPr>
          <w:rFonts w:hint="eastAsia" w:asciiTheme="minorHAnsi" w:hAnsiTheme="minorHAnsi" w:eastAsiaTheme="minorEastAsia" w:cstheme="minorBidi"/>
          <w:kern w:val="2"/>
          <w:sz w:val="21"/>
          <w:szCs w:val="24"/>
          <w:lang w:val="en-US" w:eastAsia="zh-CN" w:bidi="ar-SA"/>
        </w:rPr>
        <w:t>(Matsuda, 2019)</w:t>
      </w:r>
      <w:r>
        <w:rPr>
          <w:rFonts w:hint="eastAsia"/>
          <w:lang w:val="en-US" w:eastAsia="zh-CN"/>
        </w:rPr>
        <w:fldChar w:fldCharType="end"/>
      </w:r>
      <w:r>
        <w:rPr>
          <w:rFonts w:hint="eastAsia"/>
          <w:lang w:val="en-US" w:eastAsia="zh-CN"/>
        </w:rPr>
        <w:t>. Therefore, the images of English learners become more complete. It draws more attention to English learners in the outer and expanding circle and supplements what was rarely studied before. The problem of the mismatch between learners</w:t>
      </w:r>
      <w:r>
        <w:rPr>
          <w:rFonts w:hint="default"/>
          <w:lang w:val="en-US" w:eastAsia="zh-CN"/>
        </w:rPr>
        <w:t>’</w:t>
      </w:r>
      <w:r>
        <w:rPr>
          <w:rFonts w:hint="eastAsia"/>
          <w:lang w:val="en-US" w:eastAsia="zh-CN"/>
        </w:rPr>
        <w:t xml:space="preserve"> needs and teacher</w:t>
      </w:r>
      <w:r>
        <w:rPr>
          <w:rFonts w:hint="default"/>
          <w:lang w:val="en-US" w:eastAsia="zh-CN"/>
        </w:rPr>
        <w:t>’</w:t>
      </w:r>
      <w:r>
        <w:rPr>
          <w:rFonts w:hint="eastAsia"/>
          <w:lang w:val="en-US" w:eastAsia="zh-CN"/>
        </w:rPr>
        <w:t>s instruction is by no mean solved in one research, and Kang herself mentioned at the last part of the essay that further studies could be made on a comparison between learners from within the same circle, on learners</w:t>
      </w:r>
      <w:r>
        <w:rPr>
          <w:rFonts w:hint="default"/>
          <w:lang w:val="en-US" w:eastAsia="zh-CN"/>
        </w:rPr>
        <w:t>’</w:t>
      </w:r>
      <w:r>
        <w:rPr>
          <w:rFonts w:hint="eastAsia"/>
          <w:lang w:val="en-US" w:eastAsia="zh-CN"/>
        </w:rPr>
        <w:t xml:space="preserve"> attitude toward regional dialect in the inner circle, on learners evaluation of suprasegmental feature. In my opinion, it will be also useful to explore how cultural/political identity effect on learners preference on pronunciation across the three circles, and what a realistic goal is for teachers and learners to pursuit if the pursuit of a native-like accent is regarded as not realistic for most learners. Without a tangible realistic model to learn from, learners</w:t>
      </w:r>
      <w:r>
        <w:rPr>
          <w:rFonts w:hint="default"/>
          <w:lang w:val="en-US" w:eastAsia="zh-CN"/>
        </w:rPr>
        <w:t>’</w:t>
      </w:r>
      <w:r>
        <w:rPr>
          <w:rFonts w:hint="eastAsia"/>
          <w:lang w:val="en-US" w:eastAsia="zh-CN"/>
        </w:rPr>
        <w:t xml:space="preserve"> confusion won</w:t>
      </w:r>
      <w:r>
        <w:rPr>
          <w:rFonts w:hint="default"/>
          <w:lang w:val="en-US" w:eastAsia="zh-CN"/>
        </w:rPr>
        <w:t>’</w:t>
      </w:r>
      <w:r>
        <w:rPr>
          <w:rFonts w:hint="eastAsia"/>
          <w:lang w:val="en-US" w:eastAsia="zh-CN"/>
        </w:rPr>
        <w:t>t be settled, and consequently, they will still go for a more prestige variety.</w:t>
      </w:r>
      <w:bookmarkStart w:id="0" w:name="_GoBack"/>
      <w:bookmarkEnd w:id="0"/>
    </w:p>
    <w:p>
      <w:pPr>
        <w:rPr>
          <w:rFonts w:hint="default"/>
          <w:b/>
          <w:bCs/>
          <w:lang w:val="en-US" w:eastAsia="zh-CN"/>
        </w:rPr>
      </w:pPr>
      <w:r>
        <w:rPr>
          <w:rFonts w:hint="eastAsia"/>
          <w:b/>
          <w:bCs/>
          <w:lang w:val="en-US" w:eastAsia="zh-CN"/>
        </w:rPr>
        <w:t>Reference</w:t>
      </w:r>
    </w:p>
    <w:p>
      <w:pPr>
        <w:pStyle w:val="7"/>
        <w:bidi w:val="0"/>
        <w:ind w:left="720" w:hanging="720"/>
        <w:rPr>
          <w:rFonts w:asciiTheme="minorHAnsi" w:hAnsiTheme="minorHAnsi" w:eastAsiaTheme="minorEastAsia" w:cstheme="minorBidi"/>
          <w:kern w:val="2"/>
          <w:sz w:val="20"/>
          <w:szCs w:val="24"/>
          <w:lang w:val="en-US" w:eastAsia="zh-CN" w:bidi="ar-SA"/>
        </w:rPr>
      </w:pPr>
      <w:r>
        <w:rPr>
          <w:rFonts w:hint="default"/>
          <w:lang w:val="en-US" w:eastAsia="zh-CN"/>
        </w:rPr>
        <w:fldChar w:fldCharType="begin"/>
      </w:r>
      <w:r>
        <w:rPr>
          <w:rFonts w:hint="eastAsia"/>
          <w:lang w:val="en-US" w:eastAsia="zh-CN"/>
        </w:rPr>
        <w:instrText xml:space="preserve"> ADDIN  EN.REFLIST </w:instrText>
      </w:r>
      <w:r>
        <w:rPr>
          <w:rFonts w:hint="default"/>
          <w:lang w:val="en-US" w:eastAsia="zh-CN"/>
        </w:rPr>
        <w:fldChar w:fldCharType="separate"/>
      </w:r>
      <w:r>
        <w:rPr>
          <w:rFonts w:asciiTheme="minorHAnsi" w:hAnsiTheme="minorHAnsi" w:eastAsiaTheme="minorEastAsia" w:cstheme="minorBidi"/>
          <w:kern w:val="2"/>
          <w:sz w:val="20"/>
          <w:szCs w:val="24"/>
          <w:lang w:val="en-US" w:eastAsia="zh-CN" w:bidi="ar-SA"/>
        </w:rPr>
        <w:t xml:space="preserve">Kang, O. (2015) 'Learners' perceptions toward pronunciation instruction in Three Circles of World Englishes', </w:t>
      </w:r>
      <w:r>
        <w:rPr>
          <w:rFonts w:asciiTheme="minorHAnsi" w:hAnsiTheme="minorHAnsi" w:eastAsiaTheme="minorEastAsia" w:cstheme="minorBidi"/>
          <w:i/>
          <w:kern w:val="2"/>
          <w:sz w:val="20"/>
          <w:szCs w:val="24"/>
          <w:lang w:val="en-US" w:eastAsia="zh-CN" w:bidi="ar-SA"/>
        </w:rPr>
        <w:t>Tesol Journal,</w:t>
      </w:r>
      <w:r>
        <w:rPr>
          <w:rFonts w:asciiTheme="minorHAnsi" w:hAnsiTheme="minorHAnsi" w:eastAsiaTheme="minorEastAsia" w:cstheme="minorBidi"/>
          <w:kern w:val="2"/>
          <w:sz w:val="20"/>
          <w:szCs w:val="24"/>
          <w:lang w:val="en-US" w:eastAsia="zh-CN" w:bidi="ar-SA"/>
        </w:rPr>
        <w:t xml:space="preserve"> 6(1), pp. 59-80.</w:t>
      </w:r>
    </w:p>
    <w:p>
      <w:pPr>
        <w:pStyle w:val="7"/>
        <w:bidi w:val="0"/>
        <w:ind w:left="720" w:hanging="720"/>
        <w:rPr>
          <w:rFonts w:asciiTheme="minorHAnsi" w:hAnsiTheme="minorHAnsi" w:eastAsiaTheme="minorEastAsia" w:cstheme="minorBidi"/>
          <w:kern w:val="2"/>
          <w:sz w:val="20"/>
          <w:szCs w:val="24"/>
          <w:lang w:val="en-US" w:eastAsia="zh-CN" w:bidi="ar-SA"/>
        </w:rPr>
      </w:pPr>
      <w:r>
        <w:rPr>
          <w:rFonts w:asciiTheme="minorHAnsi" w:hAnsiTheme="minorHAnsi" w:eastAsiaTheme="minorEastAsia" w:cstheme="minorBidi"/>
          <w:kern w:val="2"/>
          <w:sz w:val="20"/>
          <w:szCs w:val="24"/>
          <w:lang w:val="en-US" w:eastAsia="zh-CN" w:bidi="ar-SA"/>
        </w:rPr>
        <w:t xml:space="preserve">Matsuda, A. (2019) 'World Englishes in English language teaching: Kachru's six fallacies and the TEIL paradigm', </w:t>
      </w:r>
      <w:r>
        <w:rPr>
          <w:rFonts w:asciiTheme="minorHAnsi" w:hAnsiTheme="minorHAnsi" w:eastAsiaTheme="minorEastAsia" w:cstheme="minorBidi"/>
          <w:i/>
          <w:kern w:val="2"/>
          <w:sz w:val="20"/>
          <w:szCs w:val="24"/>
          <w:lang w:val="en-US" w:eastAsia="zh-CN" w:bidi="ar-SA"/>
        </w:rPr>
        <w:t>World Englishes,</w:t>
      </w:r>
      <w:r>
        <w:rPr>
          <w:rFonts w:asciiTheme="minorHAnsi" w:hAnsiTheme="minorHAnsi" w:eastAsiaTheme="minorEastAsia" w:cstheme="minorBidi"/>
          <w:kern w:val="2"/>
          <w:sz w:val="20"/>
          <w:szCs w:val="24"/>
          <w:lang w:val="en-US" w:eastAsia="zh-CN" w:bidi="ar-SA"/>
        </w:rPr>
        <w:t xml:space="preserve"> 38(1/2), pp. 144-155.</w:t>
      </w:r>
    </w:p>
    <w:p>
      <w:pPr>
        <w:pStyle w:val="7"/>
        <w:bidi w:val="0"/>
        <w:ind w:left="720" w:hanging="720"/>
        <w:rPr>
          <w:rFonts w:asciiTheme="minorHAnsi" w:hAnsiTheme="minorHAnsi" w:eastAsiaTheme="minorEastAsia" w:cstheme="minorBidi"/>
          <w:kern w:val="2"/>
          <w:sz w:val="20"/>
          <w:szCs w:val="24"/>
          <w:lang w:val="en-US" w:eastAsia="zh-CN" w:bidi="ar-SA"/>
        </w:rPr>
      </w:pPr>
      <w:r>
        <w:rPr>
          <w:rFonts w:asciiTheme="minorHAnsi" w:hAnsiTheme="minorHAnsi" w:eastAsiaTheme="minorEastAsia" w:cstheme="minorBidi"/>
          <w:kern w:val="2"/>
          <w:sz w:val="20"/>
          <w:szCs w:val="24"/>
          <w:lang w:val="en-US" w:eastAsia="zh-CN" w:bidi="ar-SA"/>
        </w:rPr>
        <w:t xml:space="preserve">Mckim, C. A. (2017) 'The Value of Mixed Methods Research: A Mixed Methods Study', </w:t>
      </w:r>
      <w:r>
        <w:rPr>
          <w:rFonts w:asciiTheme="minorHAnsi" w:hAnsiTheme="minorHAnsi" w:eastAsiaTheme="minorEastAsia" w:cstheme="minorBidi"/>
          <w:i/>
          <w:kern w:val="2"/>
          <w:sz w:val="20"/>
          <w:szCs w:val="24"/>
          <w:lang w:val="en-US" w:eastAsia="zh-CN" w:bidi="ar-SA"/>
        </w:rPr>
        <w:t>Journal of mixed methods research,</w:t>
      </w:r>
      <w:r>
        <w:rPr>
          <w:rFonts w:asciiTheme="minorHAnsi" w:hAnsiTheme="minorHAnsi" w:eastAsiaTheme="minorEastAsia" w:cstheme="minorBidi"/>
          <w:kern w:val="2"/>
          <w:sz w:val="20"/>
          <w:szCs w:val="24"/>
          <w:lang w:val="en-US" w:eastAsia="zh-CN" w:bidi="ar-SA"/>
        </w:rPr>
        <w:t xml:space="preserve"> 11(2), pp. 202-222.</w:t>
      </w:r>
    </w:p>
    <w:p>
      <w:pPr>
        <w:pStyle w:val="7"/>
        <w:bidi w:val="0"/>
        <w:ind w:left="720" w:hanging="720"/>
        <w:rPr>
          <w:rFonts w:asciiTheme="minorHAnsi" w:hAnsiTheme="minorHAnsi" w:eastAsiaTheme="minorEastAsia" w:cstheme="minorBidi"/>
          <w:kern w:val="2"/>
          <w:sz w:val="20"/>
          <w:szCs w:val="24"/>
          <w:lang w:val="en-US" w:eastAsia="zh-CN" w:bidi="ar-SA"/>
        </w:rPr>
      </w:pPr>
      <w:r>
        <w:rPr>
          <w:rFonts w:asciiTheme="minorHAnsi" w:hAnsiTheme="minorHAnsi" w:eastAsiaTheme="minorEastAsia" w:cstheme="minorBidi"/>
          <w:kern w:val="2"/>
          <w:sz w:val="20"/>
          <w:szCs w:val="24"/>
          <w:lang w:val="en-US" w:eastAsia="zh-CN" w:bidi="ar-SA"/>
        </w:rPr>
        <w:t xml:space="preserve">Tarlow, K. R. (2016) 'Teaching principles of inference with ANOVA', </w:t>
      </w:r>
      <w:r>
        <w:rPr>
          <w:rFonts w:asciiTheme="minorHAnsi" w:hAnsiTheme="minorHAnsi" w:eastAsiaTheme="minorEastAsia" w:cstheme="minorBidi"/>
          <w:i/>
          <w:kern w:val="2"/>
          <w:sz w:val="20"/>
          <w:szCs w:val="24"/>
          <w:lang w:val="en-US" w:eastAsia="zh-CN" w:bidi="ar-SA"/>
        </w:rPr>
        <w:t>Teaching Statistics,</w:t>
      </w:r>
      <w:r>
        <w:rPr>
          <w:rFonts w:asciiTheme="minorHAnsi" w:hAnsiTheme="minorHAnsi" w:eastAsiaTheme="minorEastAsia" w:cstheme="minorBidi"/>
          <w:kern w:val="2"/>
          <w:sz w:val="20"/>
          <w:szCs w:val="24"/>
          <w:lang w:val="en-US" w:eastAsia="zh-CN" w:bidi="ar-SA"/>
        </w:rPr>
        <w:t xml:space="preserve"> 38(1), pp. 16-22.</w:t>
      </w:r>
    </w:p>
    <w:p>
      <w:pPr>
        <w:pStyle w:val="7"/>
        <w:bidi w:val="0"/>
        <w:ind w:left="720" w:hanging="720"/>
        <w:rPr>
          <w:rFonts w:hint="eastAsia"/>
          <w:b w:val="0"/>
          <w:i w:val="0"/>
          <w:u w:val="none"/>
          <w:lang w:val="en-US" w:eastAsia="zh-CN"/>
        </w:rPr>
      </w:pPr>
    </w:p>
    <w:p>
      <w:pPr>
        <w:rPr>
          <w:rFonts w:hint="default"/>
          <w:lang w:val="en-US" w:eastAsia="zh-CN"/>
        </w:rPr>
      </w:pPr>
      <w:r>
        <w:rPr>
          <w:rFonts w:hint="default"/>
          <w:lang w:val="en-US" w:eastAsia="zh-CN"/>
        </w:rPr>
        <w:fldChar w:fldCharType="end"/>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doNotDisplayPageBoundaries w:val="1"/>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 Copy UWTSD&lt;/Style&gt;&lt;LeftDelim&gt;{&lt;/LeftDelim&gt;&lt;RightDelim&gt;}&lt;/RightDelim&gt;&lt;FontName&gt;&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22wvx9fvypaw9jew2pevze5parwz0apaxvad&quot;&gt;My EndNote Library&lt;record-ids&gt;&lt;item&gt;109&lt;/item&gt;&lt;item&gt;133&lt;/item&gt;&lt;item&gt;134&lt;/item&gt;&lt;item&gt;135&lt;/item&gt;&lt;/record-ids&gt;&lt;/item&gt;&lt;/Libraries&gt;"/>
  </w:docVars>
  <w:rsids>
    <w:rsidRoot w:val="00172A27"/>
    <w:rsid w:val="01E41737"/>
    <w:rsid w:val="04BF7BA7"/>
    <w:rsid w:val="0DDC36AD"/>
    <w:rsid w:val="15766D06"/>
    <w:rsid w:val="180A59A2"/>
    <w:rsid w:val="1B135965"/>
    <w:rsid w:val="282A3FF9"/>
    <w:rsid w:val="29055110"/>
    <w:rsid w:val="31D34F47"/>
    <w:rsid w:val="322719CE"/>
    <w:rsid w:val="33D65B0A"/>
    <w:rsid w:val="36863732"/>
    <w:rsid w:val="41E61E1A"/>
    <w:rsid w:val="42201E46"/>
    <w:rsid w:val="47CC1C88"/>
    <w:rsid w:val="499A06F1"/>
    <w:rsid w:val="4BF56546"/>
    <w:rsid w:val="500B4368"/>
    <w:rsid w:val="50814A79"/>
    <w:rsid w:val="62E06D1C"/>
    <w:rsid w:val="65252069"/>
    <w:rsid w:val="696546BE"/>
    <w:rsid w:val="75126FC6"/>
    <w:rsid w:val="784266F0"/>
    <w:rsid w:val="79902FA9"/>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2">
    <w:name w:val="annotation text"/>
    <w:basedOn w:val="1"/>
    <w:qFormat/>
    <w:uiPriority w:val="0"/>
    <w:pPr>
      <w:jc w:val="left"/>
    </w:pPr>
  </w:style>
  <w:style w:type="paragraph" w:styleId="3">
    <w:name w:val="Normal (Web)"/>
    <w:basedOn w:val="1"/>
    <w:qFormat/>
    <w:uiPriority w:val="0"/>
    <w:pPr>
      <w:spacing w:before="0" w:beforeAutospacing="1" w:after="0" w:afterAutospacing="1"/>
      <w:ind w:left="0" w:right="0"/>
      <w:jc w:val="left"/>
    </w:pPr>
    <w:rPr>
      <w:kern w:val="0"/>
      <w:sz w:val="24"/>
      <w:lang w:val="en-US" w:eastAsia="zh-CN" w:bidi="ar"/>
    </w:rPr>
  </w:style>
  <w:style w:type="paragraph" w:customStyle="1" w:styleId="6">
    <w:name w:val="EndNote Bibliography Title"/>
    <w:uiPriority w:val="0"/>
    <w:pPr>
      <w:pBdr>
        <w:top w:val="none" w:color="auto" w:sz="8" w:space="0"/>
        <w:left w:val="none" w:color="auto" w:sz="8" w:space="0"/>
        <w:bottom w:val="none" w:color="auto" w:sz="8" w:space="0"/>
        <w:right w:val="none" w:color="auto" w:sz="8" w:space="0"/>
        <w:between w:val="none" w:color="auto" w:sz="8" w:space="0"/>
      </w:pBdr>
      <w:jc w:val="center"/>
    </w:pPr>
    <w:rPr>
      <w:rFonts w:asciiTheme="minorHAnsi" w:hAnsiTheme="minorHAnsi" w:eastAsiaTheme="minorEastAsia" w:cstheme="minorBidi"/>
      <w:kern w:val="2"/>
      <w:sz w:val="20"/>
      <w:szCs w:val="24"/>
      <w:lang w:val="en-US" w:eastAsia="zh-CN" w:bidi="ar-SA"/>
    </w:rPr>
  </w:style>
  <w:style w:type="paragraph" w:customStyle="1" w:styleId="7">
    <w:name w:val="EndNote Bibliography"/>
    <w:uiPriority w:val="0"/>
    <w:pPr>
      <w:pBdr>
        <w:top w:val="none" w:color="auto" w:sz="8" w:space="0"/>
        <w:left w:val="none" w:color="auto" w:sz="8" w:space="0"/>
        <w:bottom w:val="none" w:color="auto" w:sz="8" w:space="0"/>
        <w:right w:val="none" w:color="auto" w:sz="8" w:space="0"/>
        <w:between w:val="none" w:color="auto" w:sz="8" w:space="0"/>
      </w:pBdr>
      <w:jc w:val="both"/>
    </w:pPr>
    <w:rPr>
      <w:rFonts w:asciiTheme="minorHAnsi" w:hAnsiTheme="minorHAnsi" w:eastAsiaTheme="minorEastAsia" w:cstheme="minorBidi"/>
      <w:kern w:val="2"/>
      <w:sz w:val="20"/>
      <w:szCs w:val="24"/>
      <w:lang w:val="en-US" w:eastAsia="zh-CN" w:bidi="ar-SA"/>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425</TotalTime>
  <ScaleCrop>false</ScaleCrop>
  <LinksUpToDate>false</LinksUpToDate>
  <CharactersWithSpaces>0</CharactersWithSpaces>
  <Application>WPS Office_11.1.0.10132_F1E327BC-269C-435d-A152-05C5408002CA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lenovo</dc:creator>
  <cp:lastModifiedBy>励</cp:lastModifiedBy>
  <dcterms:modified xsi:type="dcterms:W3CDTF">2020-11-27T13:46:06Z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2052-11.1.0.10132</vt:lpwstr>
  </property>
</Properties>
</file>