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8D6668" w14:textId="77777777" w:rsidR="00B47806" w:rsidRDefault="00B47806" w:rsidP="00B47806">
      <w:pPr>
        <w:jc w:val="center"/>
        <w:rPr>
          <w:rFonts w:ascii="Arial" w:hAnsi="Arial" w:cs="Arial"/>
          <w:b/>
          <w:bCs/>
          <w:sz w:val="28"/>
          <w:szCs w:val="28"/>
          <w:u w:val="single"/>
        </w:rPr>
      </w:pPr>
      <w:r>
        <w:rPr>
          <w:rFonts w:ascii="Arial" w:hAnsi="Arial" w:cs="Arial"/>
          <w:b/>
          <w:bCs/>
          <w:sz w:val="28"/>
          <w:szCs w:val="28"/>
          <w:u w:val="single"/>
        </w:rPr>
        <w:t>Chapter 1 – Executive Summary</w:t>
      </w:r>
    </w:p>
    <w:p w14:paraId="329E68CB" w14:textId="77777777" w:rsidR="00B47806" w:rsidRPr="00850CE1" w:rsidRDefault="00B47806" w:rsidP="00B47806">
      <w:pPr>
        <w:jc w:val="center"/>
        <w:rPr>
          <w:rFonts w:ascii="Times New Roman" w:hAnsi="Times New Roman" w:cs="Times New Roman"/>
          <w:sz w:val="24"/>
          <w:szCs w:val="24"/>
        </w:rPr>
      </w:pPr>
    </w:p>
    <w:p w14:paraId="0226F264" w14:textId="77777777" w:rsidR="00B47806" w:rsidRPr="00850CE1" w:rsidRDefault="00B47806" w:rsidP="00B47806">
      <w:pPr>
        <w:rPr>
          <w:rFonts w:ascii="Arial" w:hAnsi="Arial" w:cs="Arial"/>
          <w:b/>
          <w:bCs/>
          <w:sz w:val="24"/>
          <w:szCs w:val="24"/>
        </w:rPr>
      </w:pPr>
      <w:r>
        <w:rPr>
          <w:rFonts w:ascii="Times New Roman" w:hAnsi="Times New Roman" w:cs="Times New Roman"/>
          <w:sz w:val="24"/>
          <w:szCs w:val="24"/>
        </w:rPr>
        <w:tab/>
      </w:r>
    </w:p>
    <w:p w14:paraId="2B2D941C" w14:textId="77777777" w:rsidR="00B47806" w:rsidRDefault="00B47806" w:rsidP="00B47806">
      <w:pPr>
        <w:rPr>
          <w:rFonts w:ascii="Arial" w:hAnsi="Arial" w:cs="Arial"/>
          <w:b/>
          <w:bCs/>
          <w:sz w:val="24"/>
          <w:szCs w:val="24"/>
        </w:rPr>
      </w:pPr>
      <w:r>
        <w:rPr>
          <w:rFonts w:ascii="Arial" w:hAnsi="Arial" w:cs="Arial"/>
          <w:b/>
          <w:bCs/>
          <w:sz w:val="24"/>
          <w:szCs w:val="24"/>
        </w:rPr>
        <w:t>1.1 Background</w:t>
      </w:r>
    </w:p>
    <w:p w14:paraId="0E97CF58" w14:textId="77777777" w:rsidR="00B47806" w:rsidRPr="00850CE1" w:rsidRDefault="00B47806" w:rsidP="00B47806">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During the recent COVID-19 pandemic, non-pharmaceutical interventions (NPIs) were introduced worldwide to help slow the spread of the coronavirus. Despite this, evidence shows that many people choose not to comply with these guidelines, putting themselves and others at risk. This issue is inherently politically linked, and therefore, is of great interest to socio-psychological researchers. Numerous studies have explored the issue of COVID-19 non-adherence from a variety of perspectives, but rarely from a purely ideological standpoint. It is argued that doing so would deepen the current understandings about how ideological attitudes alone can predict non-adherence </w:t>
      </w:r>
      <w:proofErr w:type="gramStart"/>
      <w:r>
        <w:rPr>
          <w:rFonts w:ascii="Times New Roman" w:hAnsi="Times New Roman" w:cs="Times New Roman"/>
          <w:sz w:val="24"/>
          <w:szCs w:val="24"/>
        </w:rPr>
        <w:t>phenomena, and</w:t>
      </w:r>
      <w:proofErr w:type="gramEnd"/>
      <w:r>
        <w:rPr>
          <w:rFonts w:ascii="Times New Roman" w:hAnsi="Times New Roman" w:cs="Times New Roman"/>
          <w:sz w:val="24"/>
          <w:szCs w:val="24"/>
        </w:rPr>
        <w:t xml:space="preserve"> could also contribute to informing future behaviour change initiatives. </w:t>
      </w:r>
    </w:p>
    <w:p w14:paraId="70FA0CED" w14:textId="77777777" w:rsidR="00B47806" w:rsidRDefault="00B47806" w:rsidP="00B47806">
      <w:pPr>
        <w:rPr>
          <w:rFonts w:ascii="Arial" w:hAnsi="Arial" w:cs="Arial"/>
          <w:b/>
          <w:bCs/>
          <w:sz w:val="24"/>
          <w:szCs w:val="24"/>
        </w:rPr>
      </w:pPr>
    </w:p>
    <w:p w14:paraId="43CED583" w14:textId="77777777" w:rsidR="00B47806" w:rsidRDefault="00B47806" w:rsidP="00B47806">
      <w:pPr>
        <w:spacing w:line="360" w:lineRule="auto"/>
        <w:rPr>
          <w:rFonts w:ascii="Arial" w:hAnsi="Arial" w:cs="Arial"/>
          <w:b/>
          <w:bCs/>
          <w:sz w:val="24"/>
          <w:szCs w:val="24"/>
        </w:rPr>
      </w:pPr>
      <w:r>
        <w:rPr>
          <w:rFonts w:ascii="Arial" w:hAnsi="Arial" w:cs="Arial"/>
          <w:b/>
          <w:bCs/>
          <w:sz w:val="24"/>
          <w:szCs w:val="24"/>
        </w:rPr>
        <w:t>1.2 Purpose</w:t>
      </w:r>
    </w:p>
    <w:p w14:paraId="70E1CE57" w14:textId="77777777" w:rsidR="00B47806" w:rsidRPr="005B0ECE" w:rsidRDefault="00B47806" w:rsidP="00B47806">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This study aimed to close a gap in the existing literature. It was conducted in order to measure individual levels of right-wing authoritarianism, social dominance orientation and left-wing authoritarianism, and explore the predictive power of these constructs towards non-adherence to COVID-19 NPIs. A secondary purpose of the study was to contribute to the emerging conversation surrounding the concept of LWA, and to explore its efficacy as a valid measure of an existing attitude. </w:t>
      </w:r>
    </w:p>
    <w:p w14:paraId="21B5D1F3" w14:textId="77777777" w:rsidR="00B47806" w:rsidRDefault="00B47806" w:rsidP="00B47806">
      <w:pPr>
        <w:spacing w:line="360" w:lineRule="auto"/>
        <w:rPr>
          <w:rFonts w:ascii="Arial" w:hAnsi="Arial" w:cs="Arial"/>
          <w:b/>
          <w:bCs/>
          <w:sz w:val="24"/>
          <w:szCs w:val="24"/>
        </w:rPr>
      </w:pPr>
    </w:p>
    <w:p w14:paraId="574411F2" w14:textId="77777777" w:rsidR="00B47806" w:rsidRDefault="00B47806" w:rsidP="00B47806">
      <w:pPr>
        <w:spacing w:line="360" w:lineRule="auto"/>
        <w:rPr>
          <w:rFonts w:ascii="Arial" w:hAnsi="Arial" w:cs="Arial"/>
          <w:b/>
          <w:bCs/>
          <w:sz w:val="24"/>
          <w:szCs w:val="24"/>
        </w:rPr>
      </w:pPr>
      <w:r>
        <w:rPr>
          <w:rFonts w:ascii="Arial" w:hAnsi="Arial" w:cs="Arial"/>
          <w:b/>
          <w:bCs/>
          <w:sz w:val="24"/>
          <w:szCs w:val="24"/>
        </w:rPr>
        <w:t>1.3 Method</w:t>
      </w:r>
    </w:p>
    <w:p w14:paraId="6971535E" w14:textId="77777777" w:rsidR="00B47806" w:rsidRPr="00CE077A" w:rsidRDefault="00B47806" w:rsidP="00B47806">
      <w:pPr>
        <w:spacing w:line="360" w:lineRule="auto"/>
        <w:rPr>
          <w:rFonts w:ascii="Times New Roman" w:hAnsi="Times New Roman" w:cs="Times New Roman"/>
          <w:sz w:val="24"/>
          <w:szCs w:val="24"/>
        </w:rPr>
      </w:pPr>
      <w:r>
        <w:rPr>
          <w:rFonts w:ascii="Times New Roman" w:hAnsi="Times New Roman" w:cs="Times New Roman"/>
          <w:sz w:val="24"/>
          <w:szCs w:val="24"/>
        </w:rPr>
        <w:tab/>
        <w:t>Data were collected via the online survey software Qualtrics. The study utilised three established and pre-appraised scales to measure levels of RWA, SDO and LWA, and one researcher-created measurement of non-adherence behaviours. The dataset was downloaded to the software programme SPSS and a multiple regression analysis was conducted. Exploratory analyses were also conducted to investigate relationships between demographic variables and the four psychological constructs. These included a number of one-way ANOVA analyses and two independent samples t-tests.</w:t>
      </w:r>
    </w:p>
    <w:p w14:paraId="3B9830EA" w14:textId="77777777" w:rsidR="00B47806" w:rsidRDefault="00B47806" w:rsidP="00B47806">
      <w:pPr>
        <w:spacing w:line="360" w:lineRule="auto"/>
        <w:rPr>
          <w:rFonts w:ascii="Arial" w:hAnsi="Arial" w:cs="Arial"/>
          <w:b/>
          <w:bCs/>
          <w:sz w:val="24"/>
          <w:szCs w:val="24"/>
        </w:rPr>
      </w:pPr>
    </w:p>
    <w:p w14:paraId="58994CD6" w14:textId="77777777" w:rsidR="00B47806" w:rsidRDefault="00B47806" w:rsidP="00B47806">
      <w:pPr>
        <w:spacing w:line="360" w:lineRule="auto"/>
        <w:rPr>
          <w:rFonts w:ascii="Arial" w:hAnsi="Arial" w:cs="Arial"/>
          <w:b/>
          <w:bCs/>
          <w:sz w:val="24"/>
          <w:szCs w:val="24"/>
        </w:rPr>
      </w:pPr>
      <w:r>
        <w:rPr>
          <w:rFonts w:ascii="Arial" w:hAnsi="Arial" w:cs="Arial"/>
          <w:b/>
          <w:bCs/>
          <w:sz w:val="24"/>
          <w:szCs w:val="24"/>
        </w:rPr>
        <w:lastRenderedPageBreak/>
        <w:t>1.4 Overview of findings</w:t>
      </w:r>
    </w:p>
    <w:p w14:paraId="0C2580B1" w14:textId="77777777" w:rsidR="00B47806" w:rsidRPr="0033417D" w:rsidRDefault="00B47806" w:rsidP="00B47806">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It was discovered that a model combining the three ideological constructs could significantly predict 11% of the variance in COVID-19 non-adherence behaviour. This supports the current consensus of the importance of these ideological factors in health behaviour motivation. Interestingly however, further analyses found no correlation between RWA and adherence individually, SDO correlated with non-adherence, and LWA correlated with adherence. These results suggest that authoritarian beliefs supporting liberal ideals are related to positive health behaviour, and that beliefs in social hierarchies are related to negative health behaviour. A link was also uncovered between LWA and age, allowing for contemplation about how health behaviours could change in the future. </w:t>
      </w:r>
    </w:p>
    <w:p w14:paraId="15C6BCB4" w14:textId="77777777" w:rsidR="00B47806" w:rsidRDefault="00B47806" w:rsidP="00B47806">
      <w:pPr>
        <w:spacing w:line="360" w:lineRule="auto"/>
        <w:rPr>
          <w:rFonts w:ascii="Arial" w:hAnsi="Arial" w:cs="Arial"/>
          <w:b/>
          <w:bCs/>
          <w:sz w:val="24"/>
          <w:szCs w:val="24"/>
        </w:rPr>
      </w:pPr>
    </w:p>
    <w:p w14:paraId="0441F3ED" w14:textId="77777777" w:rsidR="00B47806" w:rsidRDefault="00B47806" w:rsidP="00B47806">
      <w:pPr>
        <w:spacing w:line="360" w:lineRule="auto"/>
        <w:rPr>
          <w:rFonts w:ascii="Arial" w:hAnsi="Arial" w:cs="Arial"/>
          <w:b/>
          <w:bCs/>
          <w:sz w:val="24"/>
          <w:szCs w:val="24"/>
        </w:rPr>
      </w:pPr>
      <w:r>
        <w:rPr>
          <w:rFonts w:ascii="Arial" w:hAnsi="Arial" w:cs="Arial"/>
          <w:b/>
          <w:bCs/>
          <w:sz w:val="24"/>
          <w:szCs w:val="24"/>
        </w:rPr>
        <w:t>1.5 Recommendations</w:t>
      </w:r>
    </w:p>
    <w:p w14:paraId="713776DA" w14:textId="77777777" w:rsidR="00B47806" w:rsidRPr="0088440C" w:rsidRDefault="00B47806" w:rsidP="00B47806">
      <w:pPr>
        <w:spacing w:line="360" w:lineRule="auto"/>
        <w:rPr>
          <w:rFonts w:ascii="Times New Roman" w:hAnsi="Times New Roman" w:cs="Times New Roman"/>
          <w:sz w:val="24"/>
          <w:szCs w:val="24"/>
        </w:rPr>
      </w:pPr>
      <w:r>
        <w:rPr>
          <w:rFonts w:ascii="Arial" w:hAnsi="Arial" w:cs="Arial"/>
          <w:b/>
          <w:bCs/>
          <w:sz w:val="24"/>
          <w:szCs w:val="24"/>
        </w:rPr>
        <w:tab/>
      </w:r>
      <w:r>
        <w:rPr>
          <w:rFonts w:ascii="Times New Roman" w:hAnsi="Times New Roman" w:cs="Times New Roman"/>
          <w:sz w:val="24"/>
          <w:szCs w:val="24"/>
        </w:rPr>
        <w:t xml:space="preserve">This study concluded that further examination of the relationship between SDO and LWA, excluding RWA, could provide a contemporary insight into how and why these constructs contrarily predict adherence. Also, this study adds just one more voice to a growing body of literature supporting the emergence of liberal authoritarianism and it is argued that in the wake of the pandemic, societal beliefs and behaviours could also change in unexpected ways. It is therefore proposed that LWA not be wholly dismissed just yet. It is recommended that future researchers incorporate the construct of LWA into their investigations, in order to maintain the applicability of psychological knowledge to public health. </w:t>
      </w:r>
    </w:p>
    <w:p w14:paraId="77D78C64" w14:textId="77777777" w:rsidR="00B47806" w:rsidRDefault="00B47806" w:rsidP="00B47806">
      <w:pPr>
        <w:jc w:val="center"/>
        <w:rPr>
          <w:rFonts w:ascii="Arial" w:hAnsi="Arial" w:cs="Arial"/>
          <w:b/>
          <w:bCs/>
          <w:sz w:val="28"/>
          <w:szCs w:val="28"/>
          <w:u w:val="single"/>
        </w:rPr>
      </w:pPr>
    </w:p>
    <w:p w14:paraId="2331DAA1" w14:textId="77777777" w:rsidR="00B47806" w:rsidRDefault="00B47806" w:rsidP="00B47806">
      <w:pPr>
        <w:jc w:val="center"/>
        <w:rPr>
          <w:rFonts w:ascii="Arial" w:hAnsi="Arial" w:cs="Arial"/>
          <w:b/>
          <w:bCs/>
          <w:sz w:val="28"/>
          <w:szCs w:val="28"/>
          <w:u w:val="single"/>
        </w:rPr>
      </w:pPr>
    </w:p>
    <w:p w14:paraId="05BADE68" w14:textId="77777777" w:rsidR="008E0710" w:rsidRDefault="008E0710"/>
    <w:sectPr w:rsidR="008E0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00D"/>
    <w:rsid w:val="008E0710"/>
    <w:rsid w:val="00B47806"/>
    <w:rsid w:val="00F24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0F5F2B-5602-4921-8F26-B5801E06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8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2909</Characters>
  <Application>Microsoft Office Word</Application>
  <DocSecurity>0</DocSecurity>
  <Lines>24</Lines>
  <Paragraphs>6</Paragraphs>
  <ScaleCrop>false</ScaleCrop>
  <Company/>
  <LinksUpToDate>false</LinksUpToDate>
  <CharactersWithSpaces>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Bendall (P145497)</dc:creator>
  <cp:keywords/>
  <dc:description/>
  <cp:lastModifiedBy>Amy Bendall (P145497)</cp:lastModifiedBy>
  <cp:revision>2</cp:revision>
  <dcterms:created xsi:type="dcterms:W3CDTF">2021-07-16T09:38:00Z</dcterms:created>
  <dcterms:modified xsi:type="dcterms:W3CDTF">2021-07-16T09:38:00Z</dcterms:modified>
</cp:coreProperties>
</file>