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3EB75" w14:textId="77777777" w:rsidR="00BE35B2" w:rsidRDefault="00BE35B2" w:rsidP="00BE35B2">
      <w:pPr>
        <w:pStyle w:val="IntenseQuote"/>
        <w:rPr>
          <w:i w:val="0"/>
          <w:sz w:val="32"/>
        </w:rPr>
      </w:pPr>
      <w:r w:rsidRPr="00BE35B2">
        <w:rPr>
          <w:i w:val="0"/>
          <w:sz w:val="32"/>
        </w:rPr>
        <w:t>Herodotus 1.8 Gobbet</w:t>
      </w:r>
    </w:p>
    <w:p w14:paraId="47FEBC3D" w14:textId="70FE83FD" w:rsidR="00BE35B2" w:rsidRPr="005647E7" w:rsidRDefault="00BE35B2" w:rsidP="00BE35B2">
      <w:pPr>
        <w:rPr>
          <w:color w:val="000000" w:themeColor="text1"/>
        </w:rPr>
      </w:pPr>
      <w:r w:rsidRPr="005647E7">
        <w:rPr>
          <w:color w:val="000000" w:themeColor="text1"/>
        </w:rPr>
        <w:t xml:space="preserve">This extract originates from Herodotus’ </w:t>
      </w:r>
      <w:r w:rsidRPr="005647E7">
        <w:rPr>
          <w:i/>
          <w:color w:val="000000" w:themeColor="text1"/>
        </w:rPr>
        <w:t>The Histories</w:t>
      </w:r>
      <w:r w:rsidRPr="005647E7">
        <w:rPr>
          <w:color w:val="000000" w:themeColor="text1"/>
        </w:rPr>
        <w:t>, while it was written throughout the authors later lifetime modern scholars still debate over the publication date. Fornara and Cobet, interestingly, published works that disagree entirely over the publication date of Herodotus’ work a mere six years apart</w:t>
      </w:r>
      <w:r w:rsidRPr="005647E7">
        <w:rPr>
          <w:rStyle w:val="FootnoteReference"/>
          <w:color w:val="000000" w:themeColor="text1"/>
        </w:rPr>
        <w:footnoteReference w:id="1"/>
      </w:r>
      <w:r w:rsidRPr="005647E7">
        <w:rPr>
          <w:color w:val="000000" w:themeColor="text1"/>
        </w:rPr>
        <w:t xml:space="preserve">. </w:t>
      </w:r>
      <w:r w:rsidR="005647E7">
        <w:rPr>
          <w:color w:val="000000" w:themeColor="text1"/>
        </w:rPr>
        <w:t>This essay will discuss the relationship between the context of the work’s creation</w:t>
      </w:r>
      <w:r w:rsidR="000A1264">
        <w:rPr>
          <w:color w:val="000000" w:themeColor="text1"/>
        </w:rPr>
        <w:t xml:space="preserve"> as well as modern scholar’s views on the matter</w:t>
      </w:r>
      <w:r w:rsidR="005647E7">
        <w:rPr>
          <w:color w:val="000000" w:themeColor="text1"/>
        </w:rPr>
        <w:t xml:space="preserve"> and the content of the extract from Herodotus’ </w:t>
      </w:r>
      <w:r w:rsidR="005647E7">
        <w:rPr>
          <w:i/>
          <w:color w:val="000000" w:themeColor="text1"/>
        </w:rPr>
        <w:t xml:space="preserve">The Histories </w:t>
      </w:r>
      <w:r w:rsidR="005647E7">
        <w:rPr>
          <w:color w:val="000000" w:themeColor="text1"/>
        </w:rPr>
        <w:t>book 1.8.</w:t>
      </w:r>
    </w:p>
    <w:p w14:paraId="0112287A" w14:textId="1BCD9E24" w:rsidR="00116234" w:rsidRPr="00116234" w:rsidRDefault="00116234" w:rsidP="00336B3D">
      <w:pPr>
        <w:rPr>
          <w:i/>
          <w:color w:val="000000" w:themeColor="text1"/>
        </w:rPr>
      </w:pPr>
      <w:r>
        <w:rPr>
          <w:color w:val="000000" w:themeColor="text1"/>
        </w:rPr>
        <w:t>The text is written in sections, meaning upon the completion of one ‘book’ another can be added without affecting the previously completed sections. Flory discusses how the length of the book exceeds other texts of its time</w:t>
      </w:r>
      <w:r>
        <w:rPr>
          <w:rStyle w:val="FootnoteReference"/>
          <w:color w:val="000000" w:themeColor="text1"/>
        </w:rPr>
        <w:footnoteReference w:id="2"/>
      </w:r>
      <w:r>
        <w:rPr>
          <w:color w:val="000000" w:themeColor="text1"/>
        </w:rPr>
        <w:t xml:space="preserve"> and due to the text being recited orally, I would be inclined to agree with him that this contributes to the modern scholars struggle to determine a publication date of the </w:t>
      </w:r>
      <w:r w:rsidR="00A843A8">
        <w:rPr>
          <w:color w:val="000000" w:themeColor="text1"/>
        </w:rPr>
        <w:t xml:space="preserve">entirety of the </w:t>
      </w:r>
      <w:r>
        <w:rPr>
          <w:i/>
          <w:color w:val="000000" w:themeColor="text1"/>
        </w:rPr>
        <w:t xml:space="preserve">Histories. </w:t>
      </w:r>
      <w:r>
        <w:rPr>
          <w:color w:val="000000" w:themeColor="text1"/>
        </w:rPr>
        <w:t xml:space="preserve">Thomas places the publication of </w:t>
      </w:r>
      <w:r>
        <w:rPr>
          <w:i/>
          <w:color w:val="000000" w:themeColor="text1"/>
        </w:rPr>
        <w:t>The Histories</w:t>
      </w:r>
      <w:r w:rsidRPr="00116234">
        <w:rPr>
          <w:color w:val="000000" w:themeColor="text1"/>
        </w:rPr>
        <w:t xml:space="preserve"> to between 430 and 420 BCE based on the text’s structure and the date of the author’s death</w:t>
      </w:r>
      <w:r w:rsidRPr="00116234">
        <w:rPr>
          <w:rStyle w:val="FootnoteReference"/>
          <w:color w:val="000000" w:themeColor="text1"/>
        </w:rPr>
        <w:footnoteReference w:id="3"/>
      </w:r>
      <w:r w:rsidRPr="00116234">
        <w:rPr>
          <w:color w:val="000000" w:themeColor="text1"/>
        </w:rPr>
        <w:t>.</w:t>
      </w:r>
      <w:r w:rsidR="00DC71C2">
        <w:rPr>
          <w:color w:val="000000" w:themeColor="text1"/>
        </w:rPr>
        <w:t xml:space="preserve"> In relation to 1.8</w:t>
      </w:r>
      <w:r w:rsidR="001120A3">
        <w:rPr>
          <w:color w:val="000000" w:themeColor="text1"/>
        </w:rPr>
        <w:t xml:space="preserve">, the length of the text ensures a number of </w:t>
      </w:r>
      <w:r w:rsidR="00DC71C2">
        <w:rPr>
          <w:color w:val="000000" w:themeColor="text1"/>
        </w:rPr>
        <w:t xml:space="preserve">short </w:t>
      </w:r>
      <w:r w:rsidR="001120A3">
        <w:rPr>
          <w:color w:val="000000" w:themeColor="text1"/>
        </w:rPr>
        <w:t>stories</w:t>
      </w:r>
      <w:r w:rsidR="00DC71C2">
        <w:rPr>
          <w:color w:val="000000" w:themeColor="text1"/>
        </w:rPr>
        <w:t xml:space="preserve"> such as this one that</w:t>
      </w:r>
      <w:r w:rsidR="001120A3">
        <w:rPr>
          <w:color w:val="000000" w:themeColor="text1"/>
        </w:rPr>
        <w:t xml:space="preserve"> Herodotus hears on his travels are included which widens the appeal of his work by expanding the theme of his work, reaching more people.</w:t>
      </w:r>
    </w:p>
    <w:p w14:paraId="09C857B3" w14:textId="2B4F68A0" w:rsidR="00BE35B2" w:rsidRPr="00AC026A" w:rsidRDefault="00BE35B2" w:rsidP="00BE35B2">
      <w:pPr>
        <w:rPr>
          <w:color w:val="FFC000"/>
        </w:rPr>
      </w:pPr>
      <w:r w:rsidRPr="00A843A8">
        <w:rPr>
          <w:color w:val="000000" w:themeColor="text1"/>
        </w:rPr>
        <w:t xml:space="preserve">The text was produced throughout the </w:t>
      </w:r>
      <w:r w:rsidR="00675972" w:rsidRPr="00A843A8">
        <w:rPr>
          <w:color w:val="000000" w:themeColor="text1"/>
        </w:rPr>
        <w:t xml:space="preserve">conflict that would become known as the </w:t>
      </w:r>
      <w:r w:rsidRPr="00A843A8">
        <w:rPr>
          <w:color w:val="000000" w:themeColor="text1"/>
        </w:rPr>
        <w:t>Persian Wars, focusing on both the Greeks and the Persians. Herodotus, known as the first historian, was born in 485BC, in Halicarnassus which was, at the time, under the rule of the Persian Empire</w:t>
      </w:r>
      <w:r w:rsidRPr="00A843A8">
        <w:rPr>
          <w:rStyle w:val="FootnoteReference"/>
          <w:color w:val="000000" w:themeColor="text1"/>
        </w:rPr>
        <w:footnoteReference w:id="4"/>
      </w:r>
      <w:r w:rsidRPr="00A843A8">
        <w:rPr>
          <w:color w:val="000000" w:themeColor="text1"/>
        </w:rPr>
        <w:t xml:space="preserve">. </w:t>
      </w:r>
      <w:r w:rsidR="00DC71C2">
        <w:rPr>
          <w:color w:val="000000" w:themeColor="text1"/>
        </w:rPr>
        <w:t>T</w:t>
      </w:r>
      <w:r w:rsidRPr="00A843A8">
        <w:rPr>
          <w:color w:val="000000" w:themeColor="text1"/>
        </w:rPr>
        <w:t>he sources for Herodotus’ work were the people he encountered on his travels</w:t>
      </w:r>
      <w:r w:rsidR="002F2EF7" w:rsidRPr="00A843A8">
        <w:rPr>
          <w:rStyle w:val="FootnoteReference"/>
          <w:color w:val="000000" w:themeColor="text1"/>
        </w:rPr>
        <w:footnoteReference w:id="5"/>
      </w:r>
      <w:r w:rsidRPr="00A843A8">
        <w:rPr>
          <w:color w:val="000000" w:themeColor="text1"/>
        </w:rPr>
        <w:t>, recording a number of events some rather fantastical</w:t>
      </w:r>
      <w:r w:rsidR="002F2EF7" w:rsidRPr="00A843A8">
        <w:rPr>
          <w:color w:val="000000" w:themeColor="text1"/>
        </w:rPr>
        <w:t>, limiting the reliability of the text</w:t>
      </w:r>
      <w:r w:rsidRPr="00A843A8">
        <w:rPr>
          <w:color w:val="000000" w:themeColor="text1"/>
        </w:rPr>
        <w:t xml:space="preserve">. Flory discusses the audience for </w:t>
      </w:r>
      <w:r w:rsidRPr="00A843A8">
        <w:rPr>
          <w:i/>
          <w:color w:val="000000" w:themeColor="text1"/>
        </w:rPr>
        <w:t>the Histories</w:t>
      </w:r>
      <w:r w:rsidRPr="00A843A8">
        <w:rPr>
          <w:color w:val="000000" w:themeColor="text1"/>
        </w:rPr>
        <w:t xml:space="preserve"> to be everyone who hears them, reaching the illiterate through oral tradition</w:t>
      </w:r>
      <w:r w:rsidRPr="00A843A8">
        <w:rPr>
          <w:rStyle w:val="FootnoteReference"/>
          <w:color w:val="000000" w:themeColor="text1"/>
        </w:rPr>
        <w:footnoteReference w:id="6"/>
      </w:r>
      <w:r w:rsidRPr="00A843A8">
        <w:rPr>
          <w:color w:val="000000" w:themeColor="text1"/>
        </w:rPr>
        <w:t xml:space="preserve"> as well as including </w:t>
      </w:r>
      <w:proofErr w:type="gramStart"/>
      <w:r w:rsidRPr="00A843A8">
        <w:rPr>
          <w:color w:val="000000" w:themeColor="text1"/>
        </w:rPr>
        <w:t>a number of</w:t>
      </w:r>
      <w:proofErr w:type="gramEnd"/>
      <w:r w:rsidRPr="00A843A8">
        <w:rPr>
          <w:color w:val="000000" w:themeColor="text1"/>
        </w:rPr>
        <w:t xml:space="preserve"> varied themes to appeal to all</w:t>
      </w:r>
      <w:r w:rsidR="00A843A8" w:rsidRPr="00A843A8">
        <w:rPr>
          <w:color w:val="000000" w:themeColor="text1"/>
        </w:rPr>
        <w:t>, the extract</w:t>
      </w:r>
      <w:r w:rsidR="00A843A8" w:rsidRPr="00A843A8">
        <w:rPr>
          <w:rStyle w:val="FootnoteReference"/>
          <w:color w:val="000000" w:themeColor="text1"/>
        </w:rPr>
        <w:footnoteReference w:id="7"/>
      </w:r>
      <w:r w:rsidR="00A843A8" w:rsidRPr="00A843A8">
        <w:rPr>
          <w:color w:val="000000" w:themeColor="text1"/>
        </w:rPr>
        <w:t xml:space="preserve"> is an example of the types of themes Herodotus explores</w:t>
      </w:r>
      <w:r w:rsidR="00A843A8">
        <w:rPr>
          <w:color w:val="000000" w:themeColor="text1"/>
        </w:rPr>
        <w:t xml:space="preserve">, in this instance the effect of </w:t>
      </w:r>
      <w:proofErr w:type="spellStart"/>
      <w:r w:rsidR="00A843A8" w:rsidRPr="00AC026A">
        <w:rPr>
          <w:i/>
          <w:color w:val="000000" w:themeColor="text1"/>
        </w:rPr>
        <w:t>eros</w:t>
      </w:r>
      <w:proofErr w:type="spellEnd"/>
      <w:r w:rsidR="00A843A8">
        <w:rPr>
          <w:color w:val="000000" w:themeColor="text1"/>
        </w:rPr>
        <w:t xml:space="preserve"> on a Persian King</w:t>
      </w:r>
      <w:r w:rsidR="00A843A8">
        <w:rPr>
          <w:rStyle w:val="FootnoteReference"/>
          <w:color w:val="000000" w:themeColor="text1"/>
        </w:rPr>
        <w:footnoteReference w:id="8"/>
      </w:r>
      <w:r w:rsidRPr="00A843A8">
        <w:rPr>
          <w:color w:val="000000" w:themeColor="text1"/>
        </w:rPr>
        <w:t>.</w:t>
      </w:r>
      <w:r w:rsidR="00B84186">
        <w:rPr>
          <w:color w:val="000000" w:themeColor="text1"/>
        </w:rPr>
        <w:t xml:space="preserve"> </w:t>
      </w:r>
      <w:r w:rsidR="00DC71C2">
        <w:rPr>
          <w:color w:val="000000" w:themeColor="text1"/>
        </w:rPr>
        <w:t xml:space="preserve">In relation to 1.8, this story focuses on the Persian royalty, in Classical Greece, hearing stories of their enemy falling victim to </w:t>
      </w:r>
      <w:r w:rsidR="00DC71C2">
        <w:rPr>
          <w:i/>
          <w:color w:val="000000" w:themeColor="text1"/>
        </w:rPr>
        <w:t>eros</w:t>
      </w:r>
      <w:r w:rsidR="00DC71C2">
        <w:rPr>
          <w:color w:val="000000" w:themeColor="text1"/>
        </w:rPr>
        <w:t xml:space="preserve"> suggests an attempt to lower the threat their enemy presents</w:t>
      </w:r>
      <w:r w:rsidR="00AC026A">
        <w:rPr>
          <w:color w:val="000000" w:themeColor="text1"/>
        </w:rPr>
        <w:t xml:space="preserve"> with the concept of </w:t>
      </w:r>
      <w:proofErr w:type="spellStart"/>
      <w:r w:rsidR="00AC026A">
        <w:rPr>
          <w:i/>
          <w:color w:val="000000" w:themeColor="text1"/>
        </w:rPr>
        <w:t>eros</w:t>
      </w:r>
      <w:proofErr w:type="spellEnd"/>
      <w:r w:rsidR="00AC026A">
        <w:rPr>
          <w:i/>
          <w:color w:val="000000" w:themeColor="text1"/>
        </w:rPr>
        <w:t xml:space="preserve"> </w:t>
      </w:r>
      <w:r w:rsidR="00AC026A">
        <w:rPr>
          <w:color w:val="000000" w:themeColor="text1"/>
        </w:rPr>
        <w:t xml:space="preserve">transcending differences in culture. The concept of </w:t>
      </w:r>
      <w:proofErr w:type="spellStart"/>
      <w:r w:rsidR="00AC026A">
        <w:rPr>
          <w:i/>
          <w:color w:val="000000" w:themeColor="text1"/>
        </w:rPr>
        <w:t>eros</w:t>
      </w:r>
      <w:proofErr w:type="spellEnd"/>
      <w:r w:rsidR="00AC026A">
        <w:rPr>
          <w:i/>
          <w:color w:val="000000" w:themeColor="text1"/>
        </w:rPr>
        <w:t xml:space="preserve"> </w:t>
      </w:r>
      <w:r w:rsidR="00AC026A">
        <w:rPr>
          <w:color w:val="000000" w:themeColor="text1"/>
        </w:rPr>
        <w:t xml:space="preserve">is present across antiquity as a driving force that drives mortals to transgressive behaviour out or love or lust or simple madness. </w:t>
      </w:r>
    </w:p>
    <w:p w14:paraId="7221D08B" w14:textId="7C381995" w:rsidR="00C05589" w:rsidRDefault="001120A3" w:rsidP="00C05589">
      <w:pPr>
        <w:rPr>
          <w:color w:val="FF0000"/>
        </w:rPr>
      </w:pPr>
      <w:r>
        <w:t>The text highlights the issues with the influence of eros, in this instance is was erotic love of a man (Candaules) for his wife that drove him to transgressive behaviour towards her. It can be argued however that the inclusion of this story is merely down to the political station of those involved. The language of Herodotus is important in this train of thought, due to the clear hierarchy created. Candaules, the King of Sardis desc</w:t>
      </w:r>
      <w:r w:rsidR="00C05589">
        <w:t>ribes Gyges as “</w:t>
      </w:r>
      <w:r w:rsidR="00C05589" w:rsidRPr="00C05589">
        <w:rPr>
          <w:i/>
        </w:rPr>
        <w:t>his favourite</w:t>
      </w:r>
      <w:r w:rsidR="00C05589">
        <w:t>”</w:t>
      </w:r>
      <w:r w:rsidR="00C05589">
        <w:rPr>
          <w:rStyle w:val="FootnoteReference"/>
        </w:rPr>
        <w:footnoteReference w:id="9"/>
      </w:r>
      <w:r w:rsidR="009F64B2">
        <w:t xml:space="preserve">, Sleeman comments the use of </w:t>
      </w:r>
      <w:r w:rsidR="009F64B2">
        <w:lastRenderedPageBreak/>
        <w:t>‘</w:t>
      </w:r>
      <w:r w:rsidR="009F64B2" w:rsidRPr="009F64B2">
        <w:t>αἰχμοφόρων</w:t>
      </w:r>
      <w:r w:rsidR="009F64B2">
        <w:rPr>
          <w:rStyle w:val="FootnoteReference"/>
        </w:rPr>
        <w:footnoteReference w:id="10"/>
      </w:r>
      <w:r w:rsidR="009F64B2">
        <w:t>’ in a specialised sense to mean ‘bodyguard’</w:t>
      </w:r>
      <w:r w:rsidR="009F64B2">
        <w:rPr>
          <w:rStyle w:val="FootnoteReference"/>
        </w:rPr>
        <w:footnoteReference w:id="11"/>
      </w:r>
      <w:r w:rsidR="009F64B2">
        <w:t xml:space="preserve"> </w:t>
      </w:r>
      <w:r>
        <w:t>the one “</w:t>
      </w:r>
      <w:r w:rsidRPr="00C05589">
        <w:rPr>
          <w:i/>
        </w:rPr>
        <w:t>he entrusted with all his most important secrets</w:t>
      </w:r>
      <w:r>
        <w:t>”</w:t>
      </w:r>
      <w:r>
        <w:rPr>
          <w:rStyle w:val="FootnoteReference"/>
        </w:rPr>
        <w:footnoteReference w:id="12"/>
      </w:r>
      <w:r>
        <w:t xml:space="preserve"> while, when Gyges is refusing his King</w:t>
      </w:r>
      <w:r w:rsidR="00AC026A">
        <w:t>’</w:t>
      </w:r>
      <w:r>
        <w:t>s request to see the queen naked he refers to them as “</w:t>
      </w:r>
      <w:r w:rsidRPr="00C05589">
        <w:rPr>
          <w:i/>
        </w:rPr>
        <w:t>Master</w:t>
      </w:r>
      <w:r>
        <w:t>”</w:t>
      </w:r>
      <w:r>
        <w:rPr>
          <w:rStyle w:val="FootnoteReference"/>
        </w:rPr>
        <w:footnoteReference w:id="13"/>
      </w:r>
      <w:r>
        <w:t xml:space="preserve"> and “</w:t>
      </w:r>
      <w:r w:rsidRPr="00C05589">
        <w:rPr>
          <w:i/>
        </w:rPr>
        <w:t>Mistress</w:t>
      </w:r>
      <w:r>
        <w:t>”</w:t>
      </w:r>
      <w:r>
        <w:rPr>
          <w:rStyle w:val="FootnoteReference"/>
        </w:rPr>
        <w:footnoteReference w:id="14"/>
      </w:r>
      <w:r>
        <w:t xml:space="preserve"> suggesting this illusion of favour only extended to casual conversation and on the occasion something would transgress from what is socially acceptable in Persia, the hierarchy is maintained. Interestingly, Gyges requests his King does not ask him to carry out a “</w:t>
      </w:r>
      <w:r w:rsidRPr="00C05589">
        <w:rPr>
          <w:i/>
        </w:rPr>
        <w:t>lawless</w:t>
      </w:r>
      <w:r>
        <w:t>”</w:t>
      </w:r>
      <w:r w:rsidR="00C05589">
        <w:rPr>
          <w:rStyle w:val="FootnoteReference"/>
        </w:rPr>
        <w:footnoteReference w:id="15"/>
      </w:r>
      <w:r>
        <w:t xml:space="preserve"> act but given the hierarchy identified, in the event he is ordered to do as Candaules asked, Gyges would have no choice but to comply. </w:t>
      </w:r>
      <w:r w:rsidR="00522941" w:rsidRPr="00A843A8">
        <w:rPr>
          <w:color w:val="000000" w:themeColor="text1"/>
        </w:rPr>
        <w:t xml:space="preserve">Two phrases </w:t>
      </w:r>
      <w:r w:rsidR="004E2695" w:rsidRPr="00A843A8">
        <w:rPr>
          <w:color w:val="000000" w:themeColor="text1"/>
        </w:rPr>
        <w:t xml:space="preserve">present in the extract </w:t>
      </w:r>
      <w:r w:rsidR="00522941" w:rsidRPr="00A843A8">
        <w:rPr>
          <w:color w:val="000000" w:themeColor="text1"/>
        </w:rPr>
        <w:t xml:space="preserve">that I see worthy of note </w:t>
      </w:r>
      <w:r w:rsidR="00AC026A">
        <w:rPr>
          <w:color w:val="000000" w:themeColor="text1"/>
        </w:rPr>
        <w:t>are</w:t>
      </w:r>
      <w:r w:rsidR="00522941" w:rsidRPr="00A843A8">
        <w:rPr>
          <w:color w:val="000000" w:themeColor="text1"/>
        </w:rPr>
        <w:t xml:space="preserve"> firstly “</w:t>
      </w:r>
      <w:r w:rsidR="00522941" w:rsidRPr="00A843A8">
        <w:rPr>
          <w:i/>
          <w:color w:val="000000" w:themeColor="text1"/>
        </w:rPr>
        <w:t>doomed to misfortune”</w:t>
      </w:r>
      <w:r w:rsidR="00522941" w:rsidRPr="00A843A8">
        <w:rPr>
          <w:rStyle w:val="FootnoteReference"/>
          <w:i/>
          <w:color w:val="000000" w:themeColor="text1"/>
        </w:rPr>
        <w:footnoteReference w:id="16"/>
      </w:r>
      <w:r w:rsidR="004E2695" w:rsidRPr="00A843A8">
        <w:rPr>
          <w:color w:val="000000" w:themeColor="text1"/>
        </w:rPr>
        <w:t xml:space="preserve"> which when used to foreshadow the fate of the character </w:t>
      </w:r>
      <w:proofErr w:type="spellStart"/>
      <w:r w:rsidR="004E2695" w:rsidRPr="00A843A8">
        <w:rPr>
          <w:color w:val="000000" w:themeColor="text1"/>
        </w:rPr>
        <w:t>Candaules</w:t>
      </w:r>
      <w:proofErr w:type="spellEnd"/>
      <w:r w:rsidR="004E2695" w:rsidRPr="00A843A8">
        <w:rPr>
          <w:color w:val="000000" w:themeColor="text1"/>
        </w:rPr>
        <w:t xml:space="preserve"> at this point,</w:t>
      </w:r>
      <w:r w:rsidR="00AC026A">
        <w:rPr>
          <w:color w:val="000000" w:themeColor="text1"/>
        </w:rPr>
        <w:t xml:space="preserve"> </w:t>
      </w:r>
      <w:r w:rsidR="004E2695" w:rsidRPr="00A843A8">
        <w:rPr>
          <w:color w:val="000000" w:themeColor="text1"/>
        </w:rPr>
        <w:t>allows an audience to note the deciding factor in his fate</w:t>
      </w:r>
      <w:r w:rsidR="00AC026A">
        <w:rPr>
          <w:color w:val="000000" w:themeColor="text1"/>
        </w:rPr>
        <w:t>.</w:t>
      </w:r>
      <w:r w:rsidR="004E2695" w:rsidRPr="00A843A8">
        <w:rPr>
          <w:color w:val="000000" w:themeColor="text1"/>
        </w:rPr>
        <w:t xml:space="preserve"> </w:t>
      </w:r>
      <w:r w:rsidR="00AC026A">
        <w:rPr>
          <w:color w:val="000000" w:themeColor="text1"/>
        </w:rPr>
        <w:t>I</w:t>
      </w:r>
      <w:r w:rsidR="004E2695" w:rsidRPr="00A843A8">
        <w:rPr>
          <w:color w:val="000000" w:themeColor="text1"/>
        </w:rPr>
        <w:t>n this case the request he made of Gyges, leading to the second phrase of note “</w:t>
      </w:r>
      <w:r w:rsidR="004E2695" w:rsidRPr="00A843A8">
        <w:rPr>
          <w:i/>
          <w:color w:val="000000" w:themeColor="text1"/>
        </w:rPr>
        <w:t>men trust their ears less than their eyes”</w:t>
      </w:r>
      <w:r w:rsidR="004E2695" w:rsidRPr="00A843A8">
        <w:rPr>
          <w:rStyle w:val="FootnoteReference"/>
          <w:i/>
          <w:color w:val="000000" w:themeColor="text1"/>
        </w:rPr>
        <w:footnoteReference w:id="17"/>
      </w:r>
      <w:r w:rsidR="004E2695" w:rsidRPr="00A843A8">
        <w:rPr>
          <w:color w:val="000000" w:themeColor="text1"/>
        </w:rPr>
        <w:t xml:space="preserve"> </w:t>
      </w:r>
      <w:r w:rsidR="00DC71C2">
        <w:rPr>
          <w:color w:val="000000" w:themeColor="text1"/>
        </w:rPr>
        <w:t>(</w:t>
      </w:r>
      <w:proofErr w:type="spellStart"/>
      <w:r w:rsidR="00DC71C2" w:rsidRPr="00DC71C2">
        <w:rPr>
          <w:color w:val="000000" w:themeColor="text1"/>
        </w:rPr>
        <w:t>ὀφθ</w:t>
      </w:r>
      <w:proofErr w:type="spellEnd"/>
      <w:r w:rsidR="00DC71C2" w:rsidRPr="00DC71C2">
        <w:rPr>
          <w:color w:val="000000" w:themeColor="text1"/>
        </w:rPr>
        <w:t xml:space="preserve">αλμοὶ </w:t>
      </w:r>
      <w:proofErr w:type="spellStart"/>
      <w:r w:rsidR="00DC71C2" w:rsidRPr="00DC71C2">
        <w:rPr>
          <w:color w:val="000000" w:themeColor="text1"/>
        </w:rPr>
        <w:t>τῶν</w:t>
      </w:r>
      <w:proofErr w:type="spellEnd"/>
      <w:r w:rsidR="00DC71C2" w:rsidRPr="00DC71C2">
        <w:rPr>
          <w:color w:val="000000" w:themeColor="text1"/>
        </w:rPr>
        <w:t xml:space="preserve"> </w:t>
      </w:r>
      <w:proofErr w:type="spellStart"/>
      <w:r w:rsidR="00DC71C2" w:rsidRPr="00DC71C2">
        <w:rPr>
          <w:color w:val="000000" w:themeColor="text1"/>
        </w:rPr>
        <w:t>ὤτων</w:t>
      </w:r>
      <w:proofErr w:type="spellEnd"/>
      <w:r w:rsidR="00DC71C2" w:rsidRPr="00DC71C2">
        <w:rPr>
          <w:color w:val="000000" w:themeColor="text1"/>
        </w:rPr>
        <w:t xml:space="preserve"> </w:t>
      </w:r>
      <w:proofErr w:type="spellStart"/>
      <w:r w:rsidR="00DC71C2" w:rsidRPr="00DC71C2">
        <w:rPr>
          <w:color w:val="000000" w:themeColor="text1"/>
        </w:rPr>
        <w:t>ἀκρι</w:t>
      </w:r>
      <w:proofErr w:type="spellEnd"/>
      <w:r w:rsidR="00DC71C2" w:rsidRPr="00DC71C2">
        <w:rPr>
          <w:color w:val="000000" w:themeColor="text1"/>
        </w:rPr>
        <w:t xml:space="preserve">βέστεροι </w:t>
      </w:r>
      <w:proofErr w:type="spellStart"/>
      <w:r w:rsidR="00DC71C2" w:rsidRPr="00DC71C2">
        <w:rPr>
          <w:color w:val="000000" w:themeColor="text1"/>
        </w:rPr>
        <w:t>μάρτυρες</w:t>
      </w:r>
      <w:proofErr w:type="spellEnd"/>
      <w:r w:rsidR="00DC71C2">
        <w:rPr>
          <w:rStyle w:val="FootnoteReference"/>
          <w:color w:val="000000" w:themeColor="text1"/>
        </w:rPr>
        <w:footnoteReference w:id="18"/>
      </w:r>
      <w:r w:rsidR="00DC71C2">
        <w:rPr>
          <w:color w:val="000000" w:themeColor="text1"/>
        </w:rPr>
        <w:t>) this phrase has been debated to imitate the work of Heraclitus</w:t>
      </w:r>
      <w:r w:rsidR="00AC026A">
        <w:rPr>
          <w:color w:val="000000" w:themeColor="text1"/>
        </w:rPr>
        <w:t>.</w:t>
      </w:r>
      <w:r w:rsidR="00DC71C2">
        <w:rPr>
          <w:color w:val="000000" w:themeColor="text1"/>
        </w:rPr>
        <w:t xml:space="preserve"> </w:t>
      </w:r>
      <w:r w:rsidR="00AC026A">
        <w:rPr>
          <w:color w:val="000000" w:themeColor="text1"/>
        </w:rPr>
        <w:t>H</w:t>
      </w:r>
      <w:r w:rsidR="00DC71C2">
        <w:rPr>
          <w:color w:val="000000" w:themeColor="text1"/>
        </w:rPr>
        <w:t>owever</w:t>
      </w:r>
      <w:r w:rsidR="00AC026A">
        <w:rPr>
          <w:color w:val="000000" w:themeColor="text1"/>
        </w:rPr>
        <w:t>,</w:t>
      </w:r>
      <w:r w:rsidR="00DC71C2">
        <w:rPr>
          <w:color w:val="000000" w:themeColor="text1"/>
        </w:rPr>
        <w:t xml:space="preserve"> How and Wells argue that it was a common sentiment</w:t>
      </w:r>
      <w:r w:rsidR="00DC71C2">
        <w:rPr>
          <w:rStyle w:val="FootnoteReference"/>
          <w:color w:val="000000" w:themeColor="text1"/>
        </w:rPr>
        <w:footnoteReference w:id="19"/>
      </w:r>
      <w:r w:rsidR="004E2695" w:rsidRPr="00A843A8">
        <w:rPr>
          <w:color w:val="000000" w:themeColor="text1"/>
        </w:rPr>
        <w:t>, given the context of this story, the audience would be able to piece together the actions the characters would take, creating an active telling for the audience to engage with.</w:t>
      </w:r>
    </w:p>
    <w:p w14:paraId="5C8FDF2B" w14:textId="3ECE62A8" w:rsidR="007D6D3A" w:rsidRDefault="00C05589" w:rsidP="00C05589">
      <w:r w:rsidRPr="00C05589">
        <w:rPr>
          <w:color w:val="000000" w:themeColor="text1"/>
        </w:rPr>
        <w:t xml:space="preserve">To conclude, </w:t>
      </w:r>
      <w:r>
        <w:t xml:space="preserve">this essay has explored the context surrounding the production of </w:t>
      </w:r>
      <w:r>
        <w:rPr>
          <w:i/>
        </w:rPr>
        <w:t>The Histories</w:t>
      </w:r>
      <w:r>
        <w:t xml:space="preserve"> as well as discussed the modern scholarships view on the purpose and audience of the work. In addition, this essay has explored the issue of negative </w:t>
      </w:r>
      <w:r w:rsidRPr="00B84186">
        <w:rPr>
          <w:i/>
        </w:rPr>
        <w:t>eros</w:t>
      </w:r>
      <w:r>
        <w:t xml:space="preserve"> as well as a hierarchy/power dynamic presented between Gyges and </w:t>
      </w:r>
      <w:r w:rsidR="001A7924">
        <w:t>Candaules</w:t>
      </w:r>
      <w:r>
        <w:t xml:space="preserve"> and the how the view of that hierarchy differs from the bodyguard to the King. </w:t>
      </w:r>
    </w:p>
    <w:p w14:paraId="167162FE" w14:textId="77777777" w:rsidR="004E2695" w:rsidRDefault="004E2695" w:rsidP="00BE35B2">
      <w:pPr>
        <w:tabs>
          <w:tab w:val="left" w:pos="5805"/>
        </w:tabs>
      </w:pPr>
    </w:p>
    <w:p w14:paraId="16EF731B" w14:textId="77777777" w:rsidR="004E2695" w:rsidRDefault="004E2695" w:rsidP="00BE35B2">
      <w:pPr>
        <w:tabs>
          <w:tab w:val="left" w:pos="5805"/>
        </w:tabs>
      </w:pPr>
    </w:p>
    <w:p w14:paraId="7B1F9B90" w14:textId="77777777" w:rsidR="004E2695" w:rsidRDefault="004E2695" w:rsidP="00BE35B2">
      <w:pPr>
        <w:tabs>
          <w:tab w:val="left" w:pos="5805"/>
        </w:tabs>
      </w:pPr>
    </w:p>
    <w:p w14:paraId="069FCB77" w14:textId="77777777" w:rsidR="004E2695" w:rsidRDefault="004E2695" w:rsidP="00BE35B2">
      <w:pPr>
        <w:tabs>
          <w:tab w:val="left" w:pos="5805"/>
        </w:tabs>
      </w:pPr>
    </w:p>
    <w:p w14:paraId="3B4D5A4A" w14:textId="77777777" w:rsidR="004E2695" w:rsidRDefault="004E2695" w:rsidP="00BE35B2">
      <w:pPr>
        <w:tabs>
          <w:tab w:val="left" w:pos="5805"/>
        </w:tabs>
      </w:pPr>
    </w:p>
    <w:p w14:paraId="218D9C5B" w14:textId="58294840" w:rsidR="004E2695" w:rsidRDefault="004E2695" w:rsidP="00BE35B2">
      <w:pPr>
        <w:tabs>
          <w:tab w:val="left" w:pos="5805"/>
        </w:tabs>
      </w:pPr>
    </w:p>
    <w:p w14:paraId="42C5B6B0" w14:textId="77777777" w:rsidR="00D04507" w:rsidRDefault="00D04507" w:rsidP="00BE35B2">
      <w:pPr>
        <w:tabs>
          <w:tab w:val="left" w:pos="5805"/>
        </w:tabs>
      </w:pPr>
    </w:p>
    <w:p w14:paraId="50B40FDF" w14:textId="77777777" w:rsidR="004E2695" w:rsidRDefault="004E2695" w:rsidP="00BE35B2">
      <w:pPr>
        <w:tabs>
          <w:tab w:val="left" w:pos="5805"/>
        </w:tabs>
      </w:pPr>
    </w:p>
    <w:p w14:paraId="26D1BC6C" w14:textId="6DE7C2F7" w:rsidR="004E2695" w:rsidRDefault="004E2695" w:rsidP="00BE35B2">
      <w:pPr>
        <w:tabs>
          <w:tab w:val="left" w:pos="5805"/>
        </w:tabs>
      </w:pPr>
    </w:p>
    <w:p w14:paraId="6F2F7504" w14:textId="0AA90947" w:rsidR="00A843A8" w:rsidRDefault="00A843A8" w:rsidP="00BE35B2">
      <w:pPr>
        <w:tabs>
          <w:tab w:val="left" w:pos="5805"/>
        </w:tabs>
      </w:pPr>
    </w:p>
    <w:p w14:paraId="11D58EC9" w14:textId="48D36C04" w:rsidR="00A843A8" w:rsidRDefault="00A843A8" w:rsidP="00BE35B2">
      <w:pPr>
        <w:tabs>
          <w:tab w:val="left" w:pos="5805"/>
        </w:tabs>
      </w:pPr>
    </w:p>
    <w:p w14:paraId="3D52D60C" w14:textId="77777777" w:rsidR="00254044" w:rsidRDefault="00254044" w:rsidP="00BE35B2">
      <w:pPr>
        <w:tabs>
          <w:tab w:val="left" w:pos="5805"/>
        </w:tabs>
        <w:rPr>
          <w:b/>
          <w:u w:val="single"/>
        </w:rPr>
      </w:pPr>
    </w:p>
    <w:p w14:paraId="6111331E" w14:textId="235CE1E5" w:rsidR="004E2695" w:rsidRDefault="004E2695" w:rsidP="00BE35B2">
      <w:pPr>
        <w:tabs>
          <w:tab w:val="left" w:pos="5805"/>
        </w:tabs>
        <w:rPr>
          <w:b/>
          <w:u w:val="single"/>
        </w:rPr>
      </w:pPr>
      <w:r>
        <w:rPr>
          <w:b/>
          <w:u w:val="single"/>
        </w:rPr>
        <w:lastRenderedPageBreak/>
        <w:t>Bibliography:</w:t>
      </w:r>
    </w:p>
    <w:p w14:paraId="6BE2E5F4" w14:textId="77777777" w:rsidR="004E2695" w:rsidRDefault="004E2695" w:rsidP="00BE35B2">
      <w:pPr>
        <w:tabs>
          <w:tab w:val="left" w:pos="5805"/>
        </w:tabs>
        <w:rPr>
          <w:b/>
        </w:rPr>
      </w:pPr>
      <w:r>
        <w:rPr>
          <w:b/>
        </w:rPr>
        <w:t>Ancient Sources</w:t>
      </w:r>
    </w:p>
    <w:p w14:paraId="7A9CBC98" w14:textId="71BD9D4F" w:rsidR="00961662" w:rsidRPr="00D36049" w:rsidRDefault="00EE4961" w:rsidP="00961662">
      <w:pPr>
        <w:spacing w:line="30" w:lineRule="atLeast"/>
        <w:rPr>
          <w:rFonts w:cstheme="minorHAnsi"/>
          <w:sz w:val="24"/>
          <w:szCs w:val="24"/>
        </w:rPr>
      </w:pPr>
      <w:r>
        <w:rPr>
          <w:rFonts w:cstheme="minorHAnsi"/>
          <w:sz w:val="24"/>
          <w:szCs w:val="24"/>
        </w:rPr>
        <w:t xml:space="preserve">Aristophanes, </w:t>
      </w:r>
      <w:r>
        <w:rPr>
          <w:rFonts w:cstheme="minorHAnsi"/>
          <w:i/>
          <w:sz w:val="24"/>
          <w:szCs w:val="24"/>
        </w:rPr>
        <w:t xml:space="preserve">Birds. </w:t>
      </w:r>
      <w:r w:rsidR="006B5404">
        <w:rPr>
          <w:rFonts w:cstheme="minorHAnsi"/>
          <w:sz w:val="24"/>
          <w:szCs w:val="24"/>
        </w:rPr>
        <w:t xml:space="preserve">E. O’Neill, Jr. (trans.). 1938. The Complete Greek Drama, Vol 2. New York: Random House. </w:t>
      </w:r>
    </w:p>
    <w:p w14:paraId="69FC1644" w14:textId="38A51E72" w:rsidR="00961662" w:rsidRDefault="00961662" w:rsidP="00961662">
      <w:pPr>
        <w:spacing w:line="30" w:lineRule="atLeast"/>
        <w:rPr>
          <w:rFonts w:cstheme="minorHAnsi"/>
          <w:sz w:val="24"/>
          <w:szCs w:val="24"/>
        </w:rPr>
      </w:pPr>
      <w:r w:rsidRPr="00D36049">
        <w:rPr>
          <w:rFonts w:cstheme="minorHAnsi"/>
          <w:sz w:val="24"/>
          <w:szCs w:val="24"/>
        </w:rPr>
        <w:t xml:space="preserve">Herodotus, </w:t>
      </w:r>
      <w:r w:rsidRPr="00D36049">
        <w:rPr>
          <w:rFonts w:cstheme="minorHAnsi"/>
          <w:i/>
          <w:sz w:val="24"/>
          <w:szCs w:val="24"/>
        </w:rPr>
        <w:t>The Histories</w:t>
      </w:r>
      <w:r w:rsidRPr="00D36049">
        <w:rPr>
          <w:rFonts w:cstheme="minorHAnsi"/>
          <w:sz w:val="24"/>
          <w:szCs w:val="24"/>
        </w:rPr>
        <w:t>. A.D. Godley. (trans.). 1920. Cambridge: Harvard University Press.</w:t>
      </w:r>
    </w:p>
    <w:p w14:paraId="1E56E38C" w14:textId="77777777" w:rsidR="00DC71C2" w:rsidRDefault="00DC71C2" w:rsidP="00BE35B2">
      <w:pPr>
        <w:tabs>
          <w:tab w:val="left" w:pos="5805"/>
        </w:tabs>
        <w:rPr>
          <w:b/>
        </w:rPr>
      </w:pPr>
    </w:p>
    <w:p w14:paraId="7704847F" w14:textId="708AF7F2" w:rsidR="004E2695" w:rsidRDefault="004E2695" w:rsidP="00BE35B2">
      <w:pPr>
        <w:tabs>
          <w:tab w:val="left" w:pos="5805"/>
        </w:tabs>
        <w:rPr>
          <w:b/>
        </w:rPr>
      </w:pPr>
      <w:r>
        <w:rPr>
          <w:b/>
        </w:rPr>
        <w:t>Modern Scholarship</w:t>
      </w:r>
    </w:p>
    <w:p w14:paraId="035BE497" w14:textId="77777777" w:rsidR="00961662" w:rsidRPr="006B5404" w:rsidRDefault="00961662" w:rsidP="004E2695">
      <w:pPr>
        <w:rPr>
          <w:sz w:val="24"/>
        </w:rPr>
      </w:pPr>
      <w:r w:rsidRPr="006B5404">
        <w:rPr>
          <w:sz w:val="24"/>
        </w:rPr>
        <w:t>Cobet, J. 1977. ‘</w:t>
      </w:r>
      <w:proofErr w:type="spellStart"/>
      <w:r w:rsidRPr="006B5404">
        <w:rPr>
          <w:sz w:val="24"/>
        </w:rPr>
        <w:t>Wann</w:t>
      </w:r>
      <w:proofErr w:type="spellEnd"/>
      <w:r w:rsidRPr="006B5404">
        <w:rPr>
          <w:sz w:val="24"/>
        </w:rPr>
        <w:t xml:space="preserve"> </w:t>
      </w:r>
      <w:proofErr w:type="spellStart"/>
      <w:r w:rsidRPr="006B5404">
        <w:rPr>
          <w:sz w:val="24"/>
        </w:rPr>
        <w:t>Wurde</w:t>
      </w:r>
      <w:proofErr w:type="spellEnd"/>
      <w:r w:rsidRPr="006B5404">
        <w:rPr>
          <w:sz w:val="24"/>
        </w:rPr>
        <w:t xml:space="preserve"> </w:t>
      </w:r>
      <w:proofErr w:type="spellStart"/>
      <w:r w:rsidRPr="006B5404">
        <w:rPr>
          <w:sz w:val="24"/>
        </w:rPr>
        <w:t>Herodots</w:t>
      </w:r>
      <w:proofErr w:type="spellEnd"/>
      <w:r w:rsidRPr="006B5404">
        <w:rPr>
          <w:sz w:val="24"/>
        </w:rPr>
        <w:t xml:space="preserve"> </w:t>
      </w:r>
      <w:proofErr w:type="spellStart"/>
      <w:r w:rsidRPr="006B5404">
        <w:rPr>
          <w:sz w:val="24"/>
        </w:rPr>
        <w:t>Darstellung</w:t>
      </w:r>
      <w:proofErr w:type="spellEnd"/>
      <w:r w:rsidRPr="006B5404">
        <w:rPr>
          <w:sz w:val="24"/>
        </w:rPr>
        <w:t xml:space="preserve"> der </w:t>
      </w:r>
      <w:proofErr w:type="spellStart"/>
      <w:r w:rsidRPr="006B5404">
        <w:rPr>
          <w:sz w:val="24"/>
        </w:rPr>
        <w:t>Perserkriege</w:t>
      </w:r>
      <w:proofErr w:type="spellEnd"/>
      <w:r w:rsidRPr="006B5404">
        <w:rPr>
          <w:sz w:val="24"/>
        </w:rPr>
        <w:t xml:space="preserve"> </w:t>
      </w:r>
      <w:proofErr w:type="spellStart"/>
      <w:r w:rsidRPr="006B5404">
        <w:rPr>
          <w:sz w:val="24"/>
        </w:rPr>
        <w:t>Pibliziert</w:t>
      </w:r>
      <w:proofErr w:type="spellEnd"/>
      <w:r w:rsidRPr="006B5404">
        <w:rPr>
          <w:sz w:val="24"/>
        </w:rPr>
        <w:t xml:space="preserve">’ </w:t>
      </w:r>
      <w:r w:rsidRPr="006B5404">
        <w:rPr>
          <w:i/>
          <w:sz w:val="24"/>
        </w:rPr>
        <w:t xml:space="preserve">Hermes. </w:t>
      </w:r>
      <w:r w:rsidRPr="006B5404">
        <w:rPr>
          <w:sz w:val="24"/>
        </w:rPr>
        <w:t>105. 2-27.</w:t>
      </w:r>
    </w:p>
    <w:p w14:paraId="4D178895" w14:textId="15879D47" w:rsidR="004E2695" w:rsidRPr="006B5404" w:rsidRDefault="004E2695" w:rsidP="004E2695">
      <w:pPr>
        <w:rPr>
          <w:sz w:val="24"/>
        </w:rPr>
      </w:pPr>
      <w:r w:rsidRPr="006B5404">
        <w:rPr>
          <w:sz w:val="24"/>
        </w:rPr>
        <w:t>Flory, S. 1980. ‘Who read Herodotus’ Histories?’</w:t>
      </w:r>
      <w:r w:rsidRPr="006B5404">
        <w:rPr>
          <w:i/>
          <w:sz w:val="24"/>
        </w:rPr>
        <w:t xml:space="preserve"> The American Journal of Philology.</w:t>
      </w:r>
      <w:r w:rsidRPr="006B5404">
        <w:rPr>
          <w:sz w:val="24"/>
        </w:rPr>
        <w:t xml:space="preserve"> Vol.101. 1. The Johns Hopkins University Press. </w:t>
      </w:r>
    </w:p>
    <w:p w14:paraId="64241EB9" w14:textId="4EDBE118" w:rsidR="004E2695" w:rsidRDefault="00961662" w:rsidP="004E2695">
      <w:pPr>
        <w:rPr>
          <w:sz w:val="24"/>
        </w:rPr>
      </w:pPr>
      <w:r w:rsidRPr="006B5404">
        <w:rPr>
          <w:sz w:val="24"/>
        </w:rPr>
        <w:t>Fornara, C.W. 1971. ‘Evidence for the Date of Herodotus’ Publication’,</w:t>
      </w:r>
      <w:r w:rsidRPr="006B5404">
        <w:rPr>
          <w:i/>
          <w:sz w:val="24"/>
        </w:rPr>
        <w:t xml:space="preserve"> The Journal of Hellenic Studies.</w:t>
      </w:r>
      <w:r w:rsidRPr="006B5404">
        <w:rPr>
          <w:sz w:val="24"/>
        </w:rPr>
        <w:t xml:space="preserve"> 91. 25-34. </w:t>
      </w:r>
    </w:p>
    <w:p w14:paraId="645730AE" w14:textId="239B4289" w:rsidR="00DC71C2" w:rsidRPr="00DC71C2" w:rsidRDefault="00DC71C2" w:rsidP="004E2695">
      <w:pPr>
        <w:rPr>
          <w:sz w:val="24"/>
        </w:rPr>
      </w:pPr>
      <w:r>
        <w:rPr>
          <w:sz w:val="24"/>
        </w:rPr>
        <w:t xml:space="preserve">How, W.W. and Wells, J. 1989. </w:t>
      </w:r>
      <w:r>
        <w:rPr>
          <w:i/>
          <w:sz w:val="24"/>
        </w:rPr>
        <w:t xml:space="preserve">A commentary on Herodotus. </w:t>
      </w:r>
      <w:r>
        <w:rPr>
          <w:sz w:val="24"/>
        </w:rPr>
        <w:t>London: Oxford University Press.</w:t>
      </w:r>
    </w:p>
    <w:p w14:paraId="27904C5C" w14:textId="7A701813" w:rsidR="004E2695" w:rsidRPr="00560299" w:rsidRDefault="004E2695" w:rsidP="004E2695">
      <w:pPr>
        <w:rPr>
          <w:sz w:val="24"/>
        </w:rPr>
      </w:pPr>
      <w:r w:rsidRPr="006B5404">
        <w:rPr>
          <w:sz w:val="24"/>
        </w:rPr>
        <w:t xml:space="preserve">Page, D. L. 1951. </w:t>
      </w:r>
      <w:r w:rsidRPr="006B5404">
        <w:rPr>
          <w:i/>
          <w:sz w:val="24"/>
        </w:rPr>
        <w:t>A new chapter in the history of Greek tragedy</w:t>
      </w:r>
      <w:r w:rsidRPr="006B5404">
        <w:rPr>
          <w:sz w:val="24"/>
        </w:rPr>
        <w:t>. London: Cambridge University Press.</w:t>
      </w:r>
    </w:p>
    <w:p w14:paraId="2EFCDCF6" w14:textId="7A5FC422" w:rsidR="00961662" w:rsidRPr="006B5404" w:rsidRDefault="00961662" w:rsidP="004E2695">
      <w:pPr>
        <w:rPr>
          <w:sz w:val="24"/>
        </w:rPr>
      </w:pPr>
      <w:r w:rsidRPr="006B5404">
        <w:rPr>
          <w:sz w:val="24"/>
        </w:rPr>
        <w:t xml:space="preserve">Thomas, R. 2000. </w:t>
      </w:r>
      <w:r w:rsidRPr="006B5404">
        <w:rPr>
          <w:i/>
          <w:sz w:val="24"/>
        </w:rPr>
        <w:t xml:space="preserve">Herodotus in Context: Ethnography, Science and the Art of Persuasion. </w:t>
      </w:r>
      <w:r w:rsidRPr="006B5404">
        <w:rPr>
          <w:sz w:val="24"/>
        </w:rPr>
        <w:t>Cambridge: Cambridge University Press.</w:t>
      </w:r>
    </w:p>
    <w:p w14:paraId="46F44C8E" w14:textId="3BE0F1C4" w:rsidR="002F2EF7" w:rsidRPr="006B5404" w:rsidRDefault="002F2EF7" w:rsidP="004E2695">
      <w:pPr>
        <w:rPr>
          <w:sz w:val="24"/>
        </w:rPr>
      </w:pPr>
      <w:r w:rsidRPr="006B5404">
        <w:rPr>
          <w:sz w:val="24"/>
        </w:rPr>
        <w:t xml:space="preserve">Waters, K.H. 1985. </w:t>
      </w:r>
      <w:r w:rsidRPr="006B5404">
        <w:rPr>
          <w:i/>
          <w:sz w:val="24"/>
        </w:rPr>
        <w:t xml:space="preserve">Herodotus the Historian; his problems, methods and originality. </w:t>
      </w:r>
      <w:r w:rsidRPr="006B5404">
        <w:rPr>
          <w:sz w:val="24"/>
        </w:rPr>
        <w:t xml:space="preserve">Kent: Croom Helm Ltd. </w:t>
      </w:r>
    </w:p>
    <w:p w14:paraId="35B58DDA" w14:textId="77777777" w:rsidR="004E2695" w:rsidRPr="004E2695" w:rsidRDefault="004E2695" w:rsidP="00BE35B2">
      <w:pPr>
        <w:tabs>
          <w:tab w:val="left" w:pos="5805"/>
        </w:tabs>
        <w:rPr>
          <w:b/>
        </w:rPr>
      </w:pPr>
    </w:p>
    <w:sectPr w:rsidR="004E2695" w:rsidRPr="004E2695" w:rsidSect="001E1A94">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0A795" w14:textId="77777777" w:rsidR="00BC166E" w:rsidRDefault="00BC166E" w:rsidP="00BE35B2">
      <w:pPr>
        <w:spacing w:after="0" w:line="240" w:lineRule="auto"/>
      </w:pPr>
      <w:r>
        <w:separator/>
      </w:r>
    </w:p>
  </w:endnote>
  <w:endnote w:type="continuationSeparator" w:id="0">
    <w:p w14:paraId="20C2E084" w14:textId="77777777" w:rsidR="00BC166E" w:rsidRDefault="00BC166E" w:rsidP="00BE3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8003573"/>
      <w:docPartObj>
        <w:docPartGallery w:val="Page Numbers (Bottom of Page)"/>
        <w:docPartUnique/>
      </w:docPartObj>
    </w:sdtPr>
    <w:sdtEndPr>
      <w:rPr>
        <w:noProof/>
      </w:rPr>
    </w:sdtEndPr>
    <w:sdtContent>
      <w:p w14:paraId="2746B7A6" w14:textId="091BACB5" w:rsidR="001E1A94" w:rsidRDefault="001E1A94">
        <w:pPr>
          <w:pStyle w:val="Footer"/>
          <w:jc w:val="right"/>
        </w:pPr>
        <w:r>
          <w:fldChar w:fldCharType="begin"/>
        </w:r>
        <w:r>
          <w:instrText xml:space="preserve"> PAGE   \* MERGEFORMAT </w:instrText>
        </w:r>
        <w:r>
          <w:fldChar w:fldCharType="separate"/>
        </w:r>
        <w:r w:rsidR="008621E0">
          <w:rPr>
            <w:noProof/>
          </w:rPr>
          <w:t>3</w:t>
        </w:r>
        <w:r>
          <w:rPr>
            <w:noProof/>
          </w:rPr>
          <w:fldChar w:fldCharType="end"/>
        </w:r>
      </w:p>
    </w:sdtContent>
  </w:sdt>
  <w:p w14:paraId="48AD25AC" w14:textId="77777777" w:rsidR="001E1A94" w:rsidRDefault="001E1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0FA3A" w14:textId="77777777" w:rsidR="00BC166E" w:rsidRDefault="00BC166E" w:rsidP="00BE35B2">
      <w:pPr>
        <w:spacing w:after="0" w:line="240" w:lineRule="auto"/>
      </w:pPr>
      <w:r>
        <w:separator/>
      </w:r>
    </w:p>
  </w:footnote>
  <w:footnote w:type="continuationSeparator" w:id="0">
    <w:p w14:paraId="67C2F055" w14:textId="77777777" w:rsidR="00BC166E" w:rsidRDefault="00BC166E" w:rsidP="00BE35B2">
      <w:pPr>
        <w:spacing w:after="0" w:line="240" w:lineRule="auto"/>
      </w:pPr>
      <w:r>
        <w:continuationSeparator/>
      </w:r>
    </w:p>
  </w:footnote>
  <w:footnote w:id="1">
    <w:p w14:paraId="1622BF41" w14:textId="77777777" w:rsidR="00BE35B2" w:rsidRDefault="00BE35B2">
      <w:pPr>
        <w:pStyle w:val="FootnoteText"/>
      </w:pPr>
      <w:r>
        <w:rPr>
          <w:rStyle w:val="FootnoteReference"/>
        </w:rPr>
        <w:footnoteRef/>
      </w:r>
      <w:r>
        <w:t xml:space="preserve"> Fornara, 1971; Cobet, 1977.</w:t>
      </w:r>
      <w:bookmarkStart w:id="0" w:name="_GoBack"/>
      <w:bookmarkEnd w:id="0"/>
    </w:p>
  </w:footnote>
  <w:footnote w:id="2">
    <w:p w14:paraId="729F3ECB" w14:textId="4461AF9A" w:rsidR="00116234" w:rsidRDefault="00116234">
      <w:pPr>
        <w:pStyle w:val="FootnoteText"/>
      </w:pPr>
      <w:r>
        <w:rPr>
          <w:rStyle w:val="FootnoteReference"/>
        </w:rPr>
        <w:footnoteRef/>
      </w:r>
      <w:r>
        <w:t xml:space="preserve"> Flory, 1980.</w:t>
      </w:r>
    </w:p>
  </w:footnote>
  <w:footnote w:id="3">
    <w:p w14:paraId="13C108FF" w14:textId="546D785E" w:rsidR="00116234" w:rsidRDefault="00116234">
      <w:pPr>
        <w:pStyle w:val="FootnoteText"/>
      </w:pPr>
      <w:r>
        <w:rPr>
          <w:rStyle w:val="FootnoteReference"/>
        </w:rPr>
        <w:footnoteRef/>
      </w:r>
      <w:r>
        <w:t xml:space="preserve"> Thomas, 2000.</w:t>
      </w:r>
    </w:p>
  </w:footnote>
  <w:footnote w:id="4">
    <w:p w14:paraId="1BB88CCB" w14:textId="61540C15" w:rsidR="00BE35B2" w:rsidRDefault="00BE35B2">
      <w:pPr>
        <w:pStyle w:val="FootnoteText"/>
      </w:pPr>
      <w:r>
        <w:rPr>
          <w:rStyle w:val="FootnoteReference"/>
        </w:rPr>
        <w:footnoteRef/>
      </w:r>
      <w:r>
        <w:t xml:space="preserve"> </w:t>
      </w:r>
      <w:r w:rsidR="002F2EF7">
        <w:t>Waters, 1985. Intro.</w:t>
      </w:r>
      <w:r w:rsidR="00B84186">
        <w:t>1</w:t>
      </w:r>
      <w:r w:rsidR="002F2EF7">
        <w:t xml:space="preserve"> </w:t>
      </w:r>
    </w:p>
  </w:footnote>
  <w:footnote w:id="5">
    <w:p w14:paraId="7E62E44A" w14:textId="6B2BC5DB" w:rsidR="002F2EF7" w:rsidRDefault="002F2EF7">
      <w:pPr>
        <w:pStyle w:val="FootnoteText"/>
      </w:pPr>
      <w:r>
        <w:rPr>
          <w:rStyle w:val="FootnoteReference"/>
        </w:rPr>
        <w:footnoteRef/>
      </w:r>
      <w:r>
        <w:t xml:space="preserve"> Waters, 1985. 76. </w:t>
      </w:r>
    </w:p>
  </w:footnote>
  <w:footnote w:id="6">
    <w:p w14:paraId="12EA6864" w14:textId="77777777" w:rsidR="00BE35B2" w:rsidRDefault="00BE35B2">
      <w:pPr>
        <w:pStyle w:val="FootnoteText"/>
      </w:pPr>
      <w:r>
        <w:rPr>
          <w:rStyle w:val="FootnoteReference"/>
        </w:rPr>
        <w:footnoteRef/>
      </w:r>
      <w:r>
        <w:t xml:space="preserve"> Flory, 1980. 12.</w:t>
      </w:r>
    </w:p>
  </w:footnote>
  <w:footnote w:id="7">
    <w:p w14:paraId="1F2E8027" w14:textId="42F9D7B8" w:rsidR="00A843A8" w:rsidRDefault="00A843A8">
      <w:pPr>
        <w:pStyle w:val="FootnoteText"/>
      </w:pPr>
      <w:r>
        <w:rPr>
          <w:rStyle w:val="FootnoteReference"/>
        </w:rPr>
        <w:footnoteRef/>
      </w:r>
      <w:r>
        <w:t xml:space="preserve"> Hdt.1.8.</w:t>
      </w:r>
    </w:p>
  </w:footnote>
  <w:footnote w:id="8">
    <w:p w14:paraId="5A2EE0E7" w14:textId="11AA56E6" w:rsidR="00A843A8" w:rsidRDefault="00A843A8">
      <w:pPr>
        <w:pStyle w:val="FootnoteText"/>
      </w:pPr>
      <w:r>
        <w:rPr>
          <w:rStyle w:val="FootnoteReference"/>
        </w:rPr>
        <w:footnoteRef/>
      </w:r>
      <w:r>
        <w:t xml:space="preserve"> Hdt.1.8.</w:t>
      </w:r>
    </w:p>
  </w:footnote>
  <w:footnote w:id="9">
    <w:p w14:paraId="514CEF28" w14:textId="254DC935" w:rsidR="00C05589" w:rsidRDefault="00C05589">
      <w:pPr>
        <w:pStyle w:val="FootnoteText"/>
      </w:pPr>
      <w:r>
        <w:rPr>
          <w:rStyle w:val="FootnoteReference"/>
        </w:rPr>
        <w:footnoteRef/>
      </w:r>
      <w:r>
        <w:t xml:space="preserve"> Hdt.1.8.1.</w:t>
      </w:r>
      <w:r w:rsidR="00B84186">
        <w:t>; Sleeman, 1909.154.4</w:t>
      </w:r>
    </w:p>
  </w:footnote>
  <w:footnote w:id="10">
    <w:p w14:paraId="37431309" w14:textId="4B2B2FB3" w:rsidR="009F64B2" w:rsidRDefault="009F64B2">
      <w:pPr>
        <w:pStyle w:val="FootnoteText"/>
      </w:pPr>
      <w:r>
        <w:rPr>
          <w:rStyle w:val="FootnoteReference"/>
        </w:rPr>
        <w:footnoteRef/>
      </w:r>
      <w:r>
        <w:t xml:space="preserve"> </w:t>
      </w:r>
      <w:proofErr w:type="spellStart"/>
      <w:r w:rsidRPr="009F64B2">
        <w:t>Hdt</w:t>
      </w:r>
      <w:proofErr w:type="spellEnd"/>
      <w:r w:rsidRPr="009F64B2">
        <w:t>. 1.8.1</w:t>
      </w:r>
      <w:r>
        <w:t>.</w:t>
      </w:r>
    </w:p>
  </w:footnote>
  <w:footnote w:id="11">
    <w:p w14:paraId="0D5B53AA" w14:textId="3158B2A8" w:rsidR="009F64B2" w:rsidRDefault="009F64B2">
      <w:pPr>
        <w:pStyle w:val="FootnoteText"/>
      </w:pPr>
      <w:r>
        <w:rPr>
          <w:rStyle w:val="FootnoteReference"/>
        </w:rPr>
        <w:footnoteRef/>
      </w:r>
      <w:r>
        <w:t xml:space="preserve"> Sleeman, 1909.154.4</w:t>
      </w:r>
    </w:p>
  </w:footnote>
  <w:footnote w:id="12">
    <w:p w14:paraId="48252E98" w14:textId="17548010" w:rsidR="001120A3" w:rsidRDefault="001120A3">
      <w:pPr>
        <w:pStyle w:val="FootnoteText"/>
      </w:pPr>
      <w:r>
        <w:rPr>
          <w:rStyle w:val="FootnoteReference"/>
        </w:rPr>
        <w:footnoteRef/>
      </w:r>
      <w:r>
        <w:t xml:space="preserve"> Hdt.1.8.1.</w:t>
      </w:r>
    </w:p>
  </w:footnote>
  <w:footnote w:id="13">
    <w:p w14:paraId="6159E22E" w14:textId="5543B8E4" w:rsidR="001120A3" w:rsidRDefault="001120A3">
      <w:pPr>
        <w:pStyle w:val="FootnoteText"/>
      </w:pPr>
      <w:r>
        <w:rPr>
          <w:rStyle w:val="FootnoteReference"/>
        </w:rPr>
        <w:footnoteRef/>
      </w:r>
      <w:r>
        <w:t xml:space="preserve"> </w:t>
      </w:r>
      <w:r w:rsidR="00C05589">
        <w:t>Hdt.1.8.3.</w:t>
      </w:r>
    </w:p>
  </w:footnote>
  <w:footnote w:id="14">
    <w:p w14:paraId="68C59585" w14:textId="4711D767" w:rsidR="001120A3" w:rsidRDefault="001120A3">
      <w:pPr>
        <w:pStyle w:val="FootnoteText"/>
      </w:pPr>
      <w:r>
        <w:rPr>
          <w:rStyle w:val="FootnoteReference"/>
        </w:rPr>
        <w:footnoteRef/>
      </w:r>
      <w:r>
        <w:t xml:space="preserve"> </w:t>
      </w:r>
      <w:r w:rsidR="00C05589">
        <w:t>Hdt.1.8.3.</w:t>
      </w:r>
    </w:p>
  </w:footnote>
  <w:footnote w:id="15">
    <w:p w14:paraId="2B4257A5" w14:textId="78DA882F" w:rsidR="00C05589" w:rsidRDefault="00C05589">
      <w:pPr>
        <w:pStyle w:val="FootnoteText"/>
      </w:pPr>
      <w:r>
        <w:rPr>
          <w:rStyle w:val="FootnoteReference"/>
        </w:rPr>
        <w:footnoteRef/>
      </w:r>
      <w:r>
        <w:t xml:space="preserve"> Hdt.1.8.4.</w:t>
      </w:r>
    </w:p>
  </w:footnote>
  <w:footnote w:id="16">
    <w:p w14:paraId="724880AF" w14:textId="77777777" w:rsidR="00522941" w:rsidRDefault="00522941">
      <w:pPr>
        <w:pStyle w:val="FootnoteText"/>
      </w:pPr>
      <w:r>
        <w:rPr>
          <w:rStyle w:val="FootnoteReference"/>
        </w:rPr>
        <w:footnoteRef/>
      </w:r>
      <w:r>
        <w:t xml:space="preserve"> Hdt.1.8.2.</w:t>
      </w:r>
    </w:p>
  </w:footnote>
  <w:footnote w:id="17">
    <w:p w14:paraId="627DBFEB" w14:textId="77777777" w:rsidR="004E2695" w:rsidRDefault="004E2695">
      <w:pPr>
        <w:pStyle w:val="FootnoteText"/>
      </w:pPr>
      <w:r>
        <w:rPr>
          <w:rStyle w:val="FootnoteReference"/>
        </w:rPr>
        <w:footnoteRef/>
      </w:r>
      <w:r>
        <w:t xml:space="preserve"> Hdt.1.8.2</w:t>
      </w:r>
    </w:p>
  </w:footnote>
  <w:footnote w:id="18">
    <w:p w14:paraId="46E4FE1D" w14:textId="791DD918" w:rsidR="00DC71C2" w:rsidRDefault="00DC71C2">
      <w:pPr>
        <w:pStyle w:val="FootnoteText"/>
      </w:pPr>
      <w:r>
        <w:rPr>
          <w:rStyle w:val="FootnoteReference"/>
        </w:rPr>
        <w:footnoteRef/>
      </w:r>
      <w:r>
        <w:t xml:space="preserve"> Hdt.1.8.2</w:t>
      </w:r>
    </w:p>
  </w:footnote>
  <w:footnote w:id="19">
    <w:p w14:paraId="2E330105" w14:textId="478BAD47" w:rsidR="00DC71C2" w:rsidRDefault="00DC71C2">
      <w:pPr>
        <w:pStyle w:val="FootnoteText"/>
      </w:pPr>
      <w:r>
        <w:rPr>
          <w:rStyle w:val="FootnoteReference"/>
        </w:rPr>
        <w:footnoteRef/>
      </w:r>
      <w:r>
        <w:t xml:space="preserve"> How and Wells, 1989. </w:t>
      </w:r>
      <w:r w:rsidRPr="00DC71C2">
        <w:t>1.8.2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01FA" w14:textId="74C0BDB3" w:rsidR="001E1A94" w:rsidRDefault="001E1A94">
    <w:pPr>
      <w:pStyle w:val="Header"/>
    </w:pPr>
    <w:r>
      <w:t>Tamara Bowie</w:t>
    </w:r>
    <w:r>
      <w:tab/>
      <w:t>Herodotus and his Histories</w:t>
    </w:r>
    <w:r>
      <w:tab/>
      <w:t>1601293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5B2"/>
    <w:rsid w:val="00050F48"/>
    <w:rsid w:val="00063CBC"/>
    <w:rsid w:val="000A1264"/>
    <w:rsid w:val="001120A3"/>
    <w:rsid w:val="00116234"/>
    <w:rsid w:val="00142CFD"/>
    <w:rsid w:val="001A7924"/>
    <w:rsid w:val="001E1A94"/>
    <w:rsid w:val="00254044"/>
    <w:rsid w:val="002C2E0F"/>
    <w:rsid w:val="002E0CB7"/>
    <w:rsid w:val="002F2EF7"/>
    <w:rsid w:val="00301755"/>
    <w:rsid w:val="00336B3D"/>
    <w:rsid w:val="004E2695"/>
    <w:rsid w:val="00522941"/>
    <w:rsid w:val="00560299"/>
    <w:rsid w:val="005647E7"/>
    <w:rsid w:val="006174C4"/>
    <w:rsid w:val="00675972"/>
    <w:rsid w:val="006B5404"/>
    <w:rsid w:val="00726B15"/>
    <w:rsid w:val="007423C5"/>
    <w:rsid w:val="007D6D3A"/>
    <w:rsid w:val="008621E0"/>
    <w:rsid w:val="00937A8C"/>
    <w:rsid w:val="00961662"/>
    <w:rsid w:val="009F64B2"/>
    <w:rsid w:val="00A843A8"/>
    <w:rsid w:val="00AC026A"/>
    <w:rsid w:val="00B84186"/>
    <w:rsid w:val="00BC166E"/>
    <w:rsid w:val="00BE35B2"/>
    <w:rsid w:val="00C05589"/>
    <w:rsid w:val="00D04507"/>
    <w:rsid w:val="00DC71C2"/>
    <w:rsid w:val="00EE4961"/>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8F5CC"/>
  <w15:chartTrackingRefBased/>
  <w15:docId w15:val="{EEB74326-E905-41CD-A02A-F8121226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E35B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E35B2"/>
    <w:rPr>
      <w:i/>
      <w:iCs/>
      <w:color w:val="5B9BD5" w:themeColor="accent1"/>
    </w:rPr>
  </w:style>
  <w:style w:type="paragraph" w:styleId="FootnoteText">
    <w:name w:val="footnote text"/>
    <w:basedOn w:val="Normal"/>
    <w:link w:val="FootnoteTextChar"/>
    <w:uiPriority w:val="99"/>
    <w:semiHidden/>
    <w:unhideWhenUsed/>
    <w:rsid w:val="00BE35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35B2"/>
    <w:rPr>
      <w:sz w:val="20"/>
      <w:szCs w:val="20"/>
    </w:rPr>
  </w:style>
  <w:style w:type="character" w:styleId="FootnoteReference">
    <w:name w:val="footnote reference"/>
    <w:basedOn w:val="DefaultParagraphFont"/>
    <w:uiPriority w:val="99"/>
    <w:semiHidden/>
    <w:unhideWhenUsed/>
    <w:rsid w:val="00BE35B2"/>
    <w:rPr>
      <w:vertAlign w:val="superscript"/>
    </w:rPr>
  </w:style>
  <w:style w:type="paragraph" w:styleId="NormalWeb">
    <w:name w:val="Normal (Web)"/>
    <w:basedOn w:val="Normal"/>
    <w:uiPriority w:val="99"/>
    <w:semiHidden/>
    <w:unhideWhenUsed/>
    <w:rsid w:val="001120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1A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A94"/>
  </w:style>
  <w:style w:type="paragraph" w:styleId="Footer">
    <w:name w:val="footer"/>
    <w:basedOn w:val="Normal"/>
    <w:link w:val="FooterChar"/>
    <w:uiPriority w:val="99"/>
    <w:unhideWhenUsed/>
    <w:rsid w:val="001E1A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A94"/>
  </w:style>
  <w:style w:type="character" w:styleId="Hyperlink">
    <w:name w:val="Hyperlink"/>
    <w:basedOn w:val="DefaultParagraphFont"/>
    <w:uiPriority w:val="99"/>
    <w:semiHidden/>
    <w:unhideWhenUsed/>
    <w:rsid w:val="009F64B2"/>
    <w:rPr>
      <w:color w:val="0000FF"/>
      <w:u w:val="single"/>
    </w:rPr>
  </w:style>
  <w:style w:type="character" w:styleId="CommentReference">
    <w:name w:val="annotation reference"/>
    <w:basedOn w:val="DefaultParagraphFont"/>
    <w:uiPriority w:val="99"/>
    <w:semiHidden/>
    <w:unhideWhenUsed/>
    <w:rsid w:val="00142CFD"/>
    <w:rPr>
      <w:sz w:val="16"/>
      <w:szCs w:val="16"/>
    </w:rPr>
  </w:style>
  <w:style w:type="paragraph" w:styleId="CommentText">
    <w:name w:val="annotation text"/>
    <w:basedOn w:val="Normal"/>
    <w:link w:val="CommentTextChar"/>
    <w:uiPriority w:val="99"/>
    <w:semiHidden/>
    <w:unhideWhenUsed/>
    <w:rsid w:val="00142CFD"/>
    <w:pPr>
      <w:spacing w:line="240" w:lineRule="auto"/>
    </w:pPr>
    <w:rPr>
      <w:sz w:val="20"/>
      <w:szCs w:val="20"/>
    </w:rPr>
  </w:style>
  <w:style w:type="character" w:customStyle="1" w:styleId="CommentTextChar">
    <w:name w:val="Comment Text Char"/>
    <w:basedOn w:val="DefaultParagraphFont"/>
    <w:link w:val="CommentText"/>
    <w:uiPriority w:val="99"/>
    <w:semiHidden/>
    <w:rsid w:val="00142CFD"/>
    <w:rPr>
      <w:sz w:val="20"/>
      <w:szCs w:val="20"/>
    </w:rPr>
  </w:style>
  <w:style w:type="paragraph" w:styleId="CommentSubject">
    <w:name w:val="annotation subject"/>
    <w:basedOn w:val="CommentText"/>
    <w:next w:val="CommentText"/>
    <w:link w:val="CommentSubjectChar"/>
    <w:uiPriority w:val="99"/>
    <w:semiHidden/>
    <w:unhideWhenUsed/>
    <w:rsid w:val="00142CFD"/>
    <w:rPr>
      <w:b/>
      <w:bCs/>
    </w:rPr>
  </w:style>
  <w:style w:type="character" w:customStyle="1" w:styleId="CommentSubjectChar">
    <w:name w:val="Comment Subject Char"/>
    <w:basedOn w:val="CommentTextChar"/>
    <w:link w:val="CommentSubject"/>
    <w:uiPriority w:val="99"/>
    <w:semiHidden/>
    <w:rsid w:val="00142CFD"/>
    <w:rPr>
      <w:b/>
      <w:bCs/>
      <w:sz w:val="20"/>
      <w:szCs w:val="20"/>
    </w:rPr>
  </w:style>
  <w:style w:type="paragraph" w:styleId="BalloonText">
    <w:name w:val="Balloon Text"/>
    <w:basedOn w:val="Normal"/>
    <w:link w:val="BalloonTextChar"/>
    <w:uiPriority w:val="99"/>
    <w:semiHidden/>
    <w:unhideWhenUsed/>
    <w:rsid w:val="00142C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C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69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3921D-B264-4AD0-93C6-5B17E580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867</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Tammy Bowie</cp:lastModifiedBy>
  <cp:revision>3</cp:revision>
  <dcterms:created xsi:type="dcterms:W3CDTF">2019-02-25T20:41:00Z</dcterms:created>
  <dcterms:modified xsi:type="dcterms:W3CDTF">2019-02-25T20:46:00Z</dcterms:modified>
</cp:coreProperties>
</file>