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pPr>
      <w:r>
        <w:rPr/>
        <mc:AlternateContent>
          <mc:Choice Requires="wps">
            <w:drawing>
              <wp:anchor behindDoc="0" distT="0" distB="18415" distL="113665" distR="113665" simplePos="0" locked="0" layoutInCell="0" allowOverlap="1" relativeHeight="2" wp14:anchorId="67377229">
                <wp:simplePos x="0" y="0"/>
                <wp:positionH relativeFrom="page">
                  <wp:align>center</wp:align>
                </wp:positionH>
                <wp:positionV relativeFrom="page">
                  <wp:posOffset>3207385</wp:posOffset>
                </wp:positionV>
                <wp:extent cx="7270115" cy="3915410"/>
                <wp:effectExtent l="0" t="0" r="0" b="6350"/>
                <wp:wrapSquare wrapText="bothSides"/>
                <wp:docPr id="1" name="Text Box 154"/>
                <a:graphic xmlns:a="http://schemas.openxmlformats.org/drawingml/2006/main">
                  <a:graphicData uri="http://schemas.microsoft.com/office/word/2010/wordprocessingShape">
                    <wps:wsp>
                      <wps:cNvSpPr/>
                      <wps:spPr>
                        <a:xfrm>
                          <a:off x="0" y="0"/>
                          <a:ext cx="7270200" cy="391536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FrameContents"/>
                              <w:jc w:val="end"/>
                              <w:rPr>
                                <w:color w:themeColor="accent1" w:val="4472C4"/>
                                <w:sz w:val="64"/>
                                <w:szCs w:val="64"/>
                              </w:rPr>
                            </w:pPr>
                            <w:sdt>
                              <w:sdtPr>
                                <w:dataBinding w:prefixMappings="xmlns:ns0='http://purl.org/dc/elements/1.1/' xmlns:ns1='http://schemas.openxmlformats.org/package/2006/metadata/core-properties' " w:xpath="/ns1:coreProperties[1]/ns0:title[1]" w:storeItemID="{6C3C8BC8-F283-45AE-878A-BAB7291924A1}"/>
                                <w:alias w:val="Title"/>
                                <w:id w:val="630141079"/>
                                <w:showingPlcHdr/>
                                <w:text/>
                              </w:sdtPr>
                              <w:sdtContent>
                                <w:r>
                                  <w:rPr>
                                    <w:color w:themeColor="accent1" w:val="4472C4"/>
                                    <w:sz w:val="44"/>
                                    <w:szCs w:val="44"/>
                                  </w:rPr>
                                </w:r>
                                <w:r>
                                  <w:rPr>
                                    <w:color w:themeColor="accent1" w:val="4472C4"/>
                                    <w:sz w:val="44"/>
                                    <w:szCs w:val="44"/>
                                  </w:rPr>
                                  <w:t>Evaluating the Impact of Community Policing on Crime Rates and Police-Community Relationships in Telford</w:t>
                                </w:r>
                              </w:sdtContent>
                            </w:sdt>
                          </w:p>
                          <w:p>
                            <w:pPr>
                              <w:pStyle w:val="FrameContents"/>
                              <w:spacing w:before="0" w:after="160"/>
                              <w:jc w:val="end"/>
                              <w:rPr>
                                <w:smallCaps/>
                                <w:color w:themeColor="text1" w:themeTint="bf" w:val="404040"/>
                                <w:sz w:val="36"/>
                                <w:szCs w:val="36"/>
                              </w:rPr>
                            </w:pPr>
                            <w:sdt>
                              <w:sdtPr>
                                <w:dataBinding w:prefixMappings="xmlns:ns0='http://purl.org/dc/elements/1.1/' xmlns:ns1='http://schemas.openxmlformats.org/package/2006/metadata/core-properties' " w:xpath="/ns1:coreProperties[1]/ns0:subject[1]" w:storeItemID="{6C3C8BC8-F283-45AE-878A-BAB7291924A1}"/>
                                <w:alias w:val="Subtitle"/>
                                <w:id w:val="1759551507"/>
                                <w:showingPlcHdr/>
                                <w:text/>
                              </w:sdtPr>
                              <w:sdtContent>
                                <w:r>
                                  <w:rPr>
                                    <w:color w:themeColor="text1" w:themeTint="bf" w:val="404040"/>
                                    <w:sz w:val="21"/>
                                    <w:szCs w:val="21"/>
                                  </w:rPr>
                                </w:r>
                                <w:r>
                                  <w:rPr>
                                    <w:color w:themeColor="text1" w:themeTint="bf" w:val="404040"/>
                                    <w:sz w:val="21"/>
                                    <w:szCs w:val="21"/>
                                  </w:rPr>
                                  <w:t>Understanding the Success and Challenges of Community Policing in Urban Environments</w:t>
                                </w:r>
                              </w:sdtContent>
                            </w:sdt>
                          </w:p>
                        </w:txbxContent>
                      </wps:txbx>
                      <wps:bodyPr lIns="1600200" rIns="685800" tIns="0" bIns="0" anchor="b">
                        <a:prstTxWarp prst="textNoShape"/>
                        <a:noAutofit/>
                      </wps:bodyPr>
                    </wps:wsp>
                  </a:graphicData>
                </a:graphic>
                <wp14:sizeRelH relativeFrom="page">
                  <wp14:pctWidth>94000</wp14:pctWidth>
                </wp14:sizeRelH>
                <wp14:sizeRelV relativeFrom="page">
                  <wp14:pctHeight>36000</wp14:pctHeight>
                </wp14:sizeRelV>
              </wp:anchor>
            </w:drawing>
          </mc:Choice>
          <mc:Fallback>
            <w:pict>
              <v:rect id="shape_0" ID="Text Box 154" path="m0,0l-2147483645,0l-2147483645,-2147483646l0,-2147483646xe" stroked="f" o:allowincell="f" style="position:absolute;margin-left:11.4pt;margin-top:252.55pt;width:572.4pt;height:308.25pt;mso-wrap-style:square;v-text-anchor:bottom;mso-position-horizontal:center;mso-position-horizontal-relative:page;mso-position-vertical-relative:page" wp14:anchorId="67377229">
                <v:fill o:detectmouseclick="t" on="false"/>
                <v:stroke color="#3465a4" weight="6480" joinstyle="round" endcap="flat"/>
                <v:textbox>
                  <w:txbxContent>
                    <w:p>
                      <w:pPr>
                        <w:pStyle w:val="FrameContents"/>
                        <w:jc w:val="end"/>
                        <w:rPr>
                          <w:color w:themeColor="accent1" w:val="4472C4"/>
                          <w:sz w:val="64"/>
                          <w:szCs w:val="64"/>
                        </w:rPr>
                      </w:pPr>
                      <w:sdt>
                        <w:sdtPr>
                          <w:dataBinding w:prefixMappings="xmlns:ns0='http://purl.org/dc/elements/1.1/' xmlns:ns1='http://schemas.openxmlformats.org/package/2006/metadata/core-properties' " w:xpath="/ns1:coreProperties[1]/ns0:title[1]" w:storeItemID="{6C3C8BC8-F283-45AE-878A-BAB7291924A1}"/>
                          <w:alias w:val="Title"/>
                          <w:id w:val="630141079"/>
                          <w:showingPlcHdr/>
                          <w:text/>
                        </w:sdtPr>
                        <w:sdtContent>
                          <w:r>
                            <w:rPr>
                              <w:color w:themeColor="accent1" w:val="4472C4"/>
                              <w:sz w:val="44"/>
                              <w:szCs w:val="44"/>
                            </w:rPr>
                          </w:r>
                          <w:r>
                            <w:rPr>
                              <w:color w:themeColor="accent1" w:val="4472C4"/>
                              <w:sz w:val="44"/>
                              <w:szCs w:val="44"/>
                            </w:rPr>
                            <w:t>Evaluating the Impact of Community Policing on Crime Rates and Police-Community Relationships in Telford</w:t>
                          </w:r>
                        </w:sdtContent>
                      </w:sdt>
                    </w:p>
                    <w:p>
                      <w:pPr>
                        <w:pStyle w:val="FrameContents"/>
                        <w:spacing w:before="0" w:after="160"/>
                        <w:jc w:val="end"/>
                        <w:rPr>
                          <w:smallCaps/>
                          <w:color w:themeColor="text1" w:themeTint="bf" w:val="404040"/>
                          <w:sz w:val="36"/>
                          <w:szCs w:val="36"/>
                        </w:rPr>
                      </w:pPr>
                      <w:sdt>
                        <w:sdtPr>
                          <w:dataBinding w:prefixMappings="xmlns:ns0='http://purl.org/dc/elements/1.1/' xmlns:ns1='http://schemas.openxmlformats.org/package/2006/metadata/core-properties' " w:xpath="/ns1:coreProperties[1]/ns0:subject[1]" w:storeItemID="{6C3C8BC8-F283-45AE-878A-BAB7291924A1}"/>
                          <w:alias w:val="Subtitle"/>
                          <w:id w:val="1759551507"/>
                          <w:showingPlcHdr/>
                          <w:text/>
                        </w:sdtPr>
                        <w:sdtContent>
                          <w:r>
                            <w:rPr>
                              <w:color w:themeColor="text1" w:themeTint="bf" w:val="404040"/>
                              <w:sz w:val="21"/>
                              <w:szCs w:val="21"/>
                            </w:rPr>
                          </w:r>
                          <w:r>
                            <w:rPr>
                              <w:color w:themeColor="text1" w:themeTint="bf" w:val="404040"/>
                              <w:sz w:val="21"/>
                              <w:szCs w:val="21"/>
                            </w:rPr>
                            <w:t>Understanding the Success and Challenges of Community Policing in Urban Environments</w:t>
                          </w:r>
                        </w:sdtContent>
                      </w:sdt>
                    </w:p>
                  </w:txbxContent>
                </v:textbox>
                <w10:wrap type="square"/>
              </v:rect>
            </w:pict>
          </mc:Fallback>
        </mc:AlternateContent>
        <mc:AlternateContent>
          <mc:Choice Requires="wps">
            <w:drawing>
              <wp:anchor behindDoc="0" distT="0" distB="24765" distL="113665" distR="113665" simplePos="0" locked="0" layoutInCell="0" allowOverlap="1" relativeHeight="4" wp14:anchorId="4DE55E65">
                <wp:simplePos x="0" y="0"/>
                <wp:positionH relativeFrom="page">
                  <wp:align>center</wp:align>
                </wp:positionH>
                <wp:positionV relativeFrom="page">
                  <wp:posOffset>8745855</wp:posOffset>
                </wp:positionV>
                <wp:extent cx="7270115" cy="977900"/>
                <wp:effectExtent l="0" t="0" r="0" b="8255"/>
                <wp:wrapSquare wrapText="bothSides"/>
                <wp:docPr id="2" name="Text Box 152"/>
                <a:graphic xmlns:a="http://schemas.openxmlformats.org/drawingml/2006/main">
                  <a:graphicData uri="http://schemas.microsoft.com/office/word/2010/wordprocessingShape">
                    <wps:wsp>
                      <wps:cNvSpPr/>
                      <wps:spPr>
                        <a:xfrm>
                          <a:off x="0" y="0"/>
                          <a:ext cx="7270200" cy="97776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NoSpacing"/>
                              <w:jc w:val="end"/>
                              <w:rPr>
                                <w:color w:themeColor="text1" w:themeTint="a6" w:val="595959"/>
                                <w:sz w:val="28"/>
                                <w:szCs w:val="28"/>
                              </w:rPr>
                            </w:pPr>
                            <w:sdt>
                              <w:sdtPr>
                                <w:dataBinding w:prefixMappings="xmlns:ns0='http://purl.org/dc/elements/1.1/' xmlns:ns1='http://schemas.openxmlformats.org/package/2006/metadata/core-properties' " w:xpath="/ns1:coreProperties[1]/ns0:creator[1]" w:storeItemID="{6C3C8BC8-F283-45AE-878A-BAB7291924A1}"/>
                                <w:alias w:val="Author"/>
                                <w:id w:val="789243997"/>
                                <w:text/>
                              </w:sdtPr>
                              <w:sdtContent>
                                <w:r>
                                  <w:rPr/>
                                </w:r>
                                <w:r>
                                  <w:rPr/>
                                  <w:t>Mike Durke</w:t>
                                </w:r>
                              </w:sdtContent>
                            </w:sdt>
                          </w:p>
                          <w:p>
                            <w:pPr>
                              <w:pStyle w:val="NoSpacing"/>
                              <w:jc w:val="end"/>
                              <w:rPr>
                                <w:color w:themeColor="text1" w:themeTint="a6" w:val="595959"/>
                                <w:sz w:val="18"/>
                                <w:szCs w:val="18"/>
                              </w:rPr>
                            </w:pPr>
                            <w:sdt>
                              <w:sdtPr>
                                <w:dataBinding w:prefixMappings="xmlns:ns0='http://schemas.microsoft.com/office/2006/coverPageProps' " w:xpath="/ns0:CoverPageProperties[1]/ns0:CompanyEmail[1]" w:storeItemID="{55AF091B-3C7A-41E3-B477-F2FDAA23CFDA}"/>
                                <w:alias w:val="Email"/>
                                <w:tag w:val="Email"/>
                                <w:id w:val="942260680"/>
                                <w:showingPlcHdr/>
                                <w:text/>
                              </w:sdtPr>
                              <w:sdtContent>
                                <w:r>
                                  <w:rPr/>
                                </w:r>
                                <w:r>
                                  <w:rPr/>
                                  <w:t>2131530@student.uwtsd.ac.uk</w:t>
                                </w:r>
                              </w:sdtContent>
                            </w:sdt>
                          </w:p>
                        </w:txbxContent>
                      </wps:txbx>
                      <wps:bodyPr lIns="1600200" rIns="685800" tIns="0" bIns="0" anchor="b">
                        <a:prstTxWarp prst="textNoShape"/>
                        <a:noAutofit/>
                      </wps:bodyPr>
                    </wps:wsp>
                  </a:graphicData>
                </a:graphic>
                <wp14:sizeRelH relativeFrom="page">
                  <wp14:pctWidth>94000</wp14:pctWidth>
                </wp14:sizeRelH>
                <wp14:sizeRelV relativeFrom="page">
                  <wp14:pctHeight>9000</wp14:pctHeight>
                </wp14:sizeRelV>
              </wp:anchor>
            </w:drawing>
          </mc:Choice>
          <mc:Fallback>
            <w:pict>
              <v:rect id="shape_0" ID="Text Box 152" path="m0,0l-2147483645,0l-2147483645,-2147483646l0,-2147483646xe" stroked="f" o:allowincell="f" style="position:absolute;margin-left:11.4pt;margin-top:688.65pt;width:572.4pt;height:76.95pt;mso-wrap-style:square;v-text-anchor:bottom;mso-position-horizontal:center;mso-position-horizontal-relative:page;mso-position-vertical-relative:page" wp14:anchorId="4DE55E65">
                <v:fill o:detectmouseclick="t" on="false"/>
                <v:stroke color="#3465a4" weight="6480" joinstyle="round" endcap="flat"/>
                <v:textbox>
                  <w:txbxContent>
                    <w:p>
                      <w:pPr>
                        <w:pStyle w:val="NoSpacing"/>
                        <w:jc w:val="end"/>
                        <w:rPr>
                          <w:color w:themeColor="text1" w:themeTint="a6" w:val="595959"/>
                          <w:sz w:val="28"/>
                          <w:szCs w:val="28"/>
                        </w:rPr>
                      </w:pPr>
                      <w:sdt>
                        <w:sdtPr>
                          <w:dataBinding w:prefixMappings="xmlns:ns0='http://purl.org/dc/elements/1.1/' xmlns:ns1='http://schemas.openxmlformats.org/package/2006/metadata/core-properties' " w:xpath="/ns1:coreProperties[1]/ns0:creator[1]" w:storeItemID="{6C3C8BC8-F283-45AE-878A-BAB7291924A1}"/>
                          <w:alias w:val="Author"/>
                          <w:id w:val="789243997"/>
                          <w:text/>
                        </w:sdtPr>
                        <w:sdtContent>
                          <w:r>
                            <w:rPr/>
                          </w:r>
                          <w:r>
                            <w:rPr/>
                            <w:t>Mike Durke</w:t>
                          </w:r>
                        </w:sdtContent>
                      </w:sdt>
                    </w:p>
                    <w:p>
                      <w:pPr>
                        <w:pStyle w:val="NoSpacing"/>
                        <w:jc w:val="end"/>
                        <w:rPr>
                          <w:color w:themeColor="text1" w:themeTint="a6" w:val="595959"/>
                          <w:sz w:val="18"/>
                          <w:szCs w:val="18"/>
                        </w:rPr>
                      </w:pPr>
                      <w:sdt>
                        <w:sdtPr>
                          <w:dataBinding w:prefixMappings="xmlns:ns0='http://schemas.microsoft.com/office/2006/coverPageProps' " w:xpath="/ns0:CoverPageProperties[1]/ns0:CompanyEmail[1]" w:storeItemID="{55AF091B-3C7A-41E3-B477-F2FDAA23CFDA}"/>
                          <w:alias w:val="Email"/>
                          <w:tag w:val="Email"/>
                          <w:id w:val="942260680"/>
                          <w:showingPlcHdr/>
                          <w:text/>
                        </w:sdtPr>
                        <w:sdtContent>
                          <w:r>
                            <w:rPr/>
                          </w:r>
                          <w:r>
                            <w:rPr/>
                            <w:t>2131530@student.uwtsd.ac.uk</w:t>
                          </w:r>
                        </w:sdtContent>
                      </w:sdt>
                    </w:p>
                  </w:txbxContent>
                </v:textbox>
                <w10:wrap type="square"/>
              </v:rect>
            </w:pict>
          </mc:Fallback>
        </mc:AlternateContent>
        <mc:AlternateContent>
          <mc:Choice Requires="wps">
            <w:drawing>
              <wp:anchor behindDoc="0" distT="0" distB="0" distL="113665" distR="113665" simplePos="0" locked="0" layoutInCell="0" allowOverlap="1" relativeHeight="6" wp14:anchorId="3DDD0552">
                <wp:simplePos x="0" y="0"/>
                <wp:positionH relativeFrom="page">
                  <wp:align>center</wp:align>
                </wp:positionH>
                <wp:positionV relativeFrom="page">
                  <wp:posOffset>7484110</wp:posOffset>
                </wp:positionV>
                <wp:extent cx="7277735" cy="431165"/>
                <wp:effectExtent l="0" t="0" r="0" b="0"/>
                <wp:wrapSquare wrapText="bothSides"/>
                <wp:docPr id="3" name="Text Box 153"/>
                <a:graphic xmlns:a="http://schemas.openxmlformats.org/drawingml/2006/main">
                  <a:graphicData uri="http://schemas.microsoft.com/office/word/2010/wordprocessingShape">
                    <wps:wsp>
                      <wps:cNvSpPr/>
                      <wps:spPr>
                        <a:xfrm>
                          <a:off x="0" y="0"/>
                          <a:ext cx="7277760" cy="43128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NoSpacing"/>
                              <w:jc w:val="end"/>
                              <w:rPr>
                                <w:color w:themeColor="accent1" w:val="4472C4"/>
                                <w:sz w:val="28"/>
                                <w:szCs w:val="28"/>
                              </w:rPr>
                            </w:pPr>
                            <w:r>
                              <w:rPr>
                                <w:color w:themeColor="accent1" w:val="4472C4"/>
                                <w:sz w:val="28"/>
                                <w:szCs w:val="28"/>
                              </w:rPr>
                              <w:t>Abstract</w:t>
                            </w:r>
                          </w:p>
                          <w:p>
                            <w:pPr>
                              <w:pStyle w:val="NoSpacing"/>
                              <w:jc w:val="end"/>
                              <w:rPr>
                                <w:color w:themeColor="text1" w:themeTint="a6" w:val="595959"/>
                                <w:sz w:val="20"/>
                                <w:szCs w:val="20"/>
                              </w:rPr>
                            </w:pPr>
                            <w:sdt>
                              <w:sdtPr>
                                <w:dataBinding w:prefixMappings="xmlns:ns0='http://schemas.microsoft.com/office/2006/coverPageProps' " w:xpath="/ns0:CoverPageProperties[1]/ns0:Abstract[1]" w:storeItemID="{55AF091B-3C7A-41E3-B477-F2FDAA23CFDA}"/>
                                <w:alias w:val="Abstract"/>
                                <w:id w:val="1375273687"/>
                                <w:showingPlcHdr/>
                                <w:text/>
                              </w:sdtPr>
                              <w:sdtContent>
                                <w:r>
                                  <w:rPr/>
                                </w:r>
                                <w:r>
                                  <w:rPr/>
                                  <w:t xml:space="preserve">     </w:t>
                                </w:r>
                              </w:sdtContent>
                            </w:sdt>
                          </w:p>
                        </w:txbxContent>
                      </wps:txbx>
                      <wps:bodyPr lIns="1600200" rIns="685800" tIns="0" bIns="0" anchor="t">
                        <a:prstTxWarp prst="textNoShape"/>
                        <a:spAutoFit/>
                      </wps:bodyPr>
                    </wps:wsp>
                  </a:graphicData>
                </a:graphic>
                <wp14:sizeRelH relativeFrom="page">
                  <wp14:pctWidth>94000</wp14:pctWidth>
                </wp14:sizeRelH>
                <wp14:sizeRelV relativeFrom="page">
                  <wp14:pctHeight>10000</wp14:pctHeight>
                </wp14:sizeRelV>
              </wp:anchor>
            </w:drawing>
          </mc:Choice>
          <mc:Fallback>
            <w:pict>
              <v:rect id="shape_0" ID="Text Box 153" path="m0,0l-2147483645,0l-2147483645,-2147483646l0,-2147483646xe" stroked="f" o:allowincell="f" style="position:absolute;margin-left:11.1pt;margin-top:589.3pt;width:573pt;height:33.9pt;mso-wrap-style:square;v-text-anchor:top;mso-position-horizontal:center;mso-position-horizontal-relative:page;mso-position-vertical-relative:page" wp14:anchorId="3DDD0552">
                <v:fill o:detectmouseclick="t" on="false"/>
                <v:stroke color="#3465a4" weight="6480" joinstyle="round" endcap="flat"/>
                <v:textbox>
                  <w:txbxContent>
                    <w:p>
                      <w:pPr>
                        <w:pStyle w:val="NoSpacing"/>
                        <w:jc w:val="end"/>
                        <w:rPr>
                          <w:color w:themeColor="accent1" w:val="4472C4"/>
                          <w:sz w:val="28"/>
                          <w:szCs w:val="28"/>
                        </w:rPr>
                      </w:pPr>
                      <w:r>
                        <w:rPr>
                          <w:color w:themeColor="accent1" w:val="4472C4"/>
                          <w:sz w:val="28"/>
                          <w:szCs w:val="28"/>
                        </w:rPr>
                        <w:t>Abstract</w:t>
                      </w:r>
                    </w:p>
                    <w:p>
                      <w:pPr>
                        <w:pStyle w:val="NoSpacing"/>
                        <w:jc w:val="end"/>
                        <w:rPr>
                          <w:color w:themeColor="text1" w:themeTint="a6" w:val="595959"/>
                          <w:sz w:val="20"/>
                          <w:szCs w:val="20"/>
                        </w:rPr>
                      </w:pPr>
                      <w:sdt>
                        <w:sdtPr>
                          <w:dataBinding w:prefixMappings="xmlns:ns0='http://schemas.microsoft.com/office/2006/coverPageProps' " w:xpath="/ns0:CoverPageProperties[1]/ns0:Abstract[1]" w:storeItemID="{55AF091B-3C7A-41E3-B477-F2FDAA23CFDA}"/>
                          <w:alias w:val="Abstract"/>
                          <w:id w:val="1375273687"/>
                          <w:showingPlcHdr/>
                          <w:text/>
                        </w:sdtPr>
                        <w:sdtContent>
                          <w:r>
                            <w:rPr/>
                          </w:r>
                          <w:r>
                            <w:rPr/>
                            <w:t xml:space="preserve">     </w:t>
                          </w:r>
                        </w:sdtContent>
                      </w:sdt>
                    </w:p>
                  </w:txbxContent>
                </v:textbox>
                <w10:wrap type="square"/>
              </v:rect>
            </w:pict>
          </mc:Fallback>
        </mc:AlternateContent>
        <mc:AlternateContent>
          <mc:Choice Requires="wpg">
            <w:drawing>
              <wp:anchor behindDoc="0" distT="0" distB="1905" distL="0" distR="1270" simplePos="0" locked="0" layoutInCell="0" allowOverlap="1" relativeHeight="8" wp14:anchorId="2617B42A">
                <wp:simplePos x="0" y="0"/>
                <wp:positionH relativeFrom="page">
                  <wp:align>center</wp:align>
                </wp:positionH>
                <wp:positionV relativeFrom="page">
                  <wp:posOffset>245745</wp:posOffset>
                </wp:positionV>
                <wp:extent cx="7315200" cy="1215390"/>
                <wp:effectExtent l="0" t="0" r="1270" b="1905"/>
                <wp:wrapNone/>
                <wp:docPr id="4" name="Group 149"/>
                <a:graphic xmlns:a="http://schemas.openxmlformats.org/drawingml/2006/main">
                  <a:graphicData uri="http://schemas.microsoft.com/office/word/2010/wordprocessingGroup">
                    <wpg:wgp>
                      <wpg:cNvGrpSpPr/>
                      <wpg:grpSpPr>
                        <a:xfrm>
                          <a:off x="0" y="0"/>
                          <a:ext cx="7315200" cy="1215360"/>
                          <a:chOff x="0" y="0"/>
                          <a:chExt cx="7315200" cy="1215360"/>
                        </a:xfrm>
                      </wpg:grpSpPr>
                      <wps:wsp>
                        <wps:cNvPr id="5" name="Rectangle 51"/>
                        <wps:cNvSpPr/>
                        <wps:spPr>
                          <a:xfrm>
                            <a:off x="0" y="0"/>
                            <a:ext cx="7315200" cy="1129680"/>
                          </a:xfrm>
                          <a:custGeom>
                            <a:avLst/>
                            <a:gdLst>
                              <a:gd name="textAreaLeft" fmla="*/ 0 w 4147200"/>
                              <a:gd name="textAreaRight" fmla="*/ 4148280 w 4147200"/>
                              <a:gd name="textAreaTop" fmla="*/ 0 h 640440"/>
                              <a:gd name="textAreaBottom" fmla="*/ 641520 h 640440"/>
                            </a:gdLst>
                            <a:ahLst/>
                            <a:rect l="textAreaLeft" t="textAreaTop" r="textAreaRight" b="textAreaBottom"/>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a:noFill/>
                          </a:ln>
                        </wps:spPr>
                        <wps:style>
                          <a:lnRef idx="2">
                            <a:schemeClr val="accent1">
                              <a:shade val="50000"/>
                            </a:schemeClr>
                          </a:lnRef>
                          <a:fillRef idx="1">
                            <a:schemeClr val="accent1"/>
                          </a:fillRef>
                          <a:effectRef idx="0">
                            <a:schemeClr val="accent1"/>
                          </a:effectRef>
                          <a:fontRef idx="minor"/>
                        </wps:style>
                        <wps:bodyPr/>
                      </wps:wsp>
                      <wps:wsp>
                        <wps:cNvPr id="6" name="Rectangle 151"/>
                        <wps:cNvSpPr/>
                        <wps:spPr>
                          <a:xfrm>
                            <a:off x="0" y="0"/>
                            <a:ext cx="7315200" cy="1215360"/>
                          </a:xfrm>
                          <a:prstGeom prst="rect">
                            <a:avLst/>
                          </a:prstGeom>
                          <a:blipFill rotWithShape="0">
                            <a:blip r:embed="rId2"/>
                            <a:stretch>
                              <a:fillRect/>
                            </a:stretch>
                          </a:blipFill>
                          <a:ln>
                            <a:noFill/>
                          </a:ln>
                        </wps:spPr>
                        <wps:style>
                          <a:lnRef idx="2">
                            <a:schemeClr val="accent1">
                              <a:shade val="50000"/>
                            </a:schemeClr>
                          </a:lnRef>
                          <a:fillRef idx="1">
                            <a:schemeClr val="accent1"/>
                          </a:fillRef>
                          <a:effectRef idx="0">
                            <a:schemeClr val="accent1"/>
                          </a:effectRef>
                          <a:fontRef idx="minor"/>
                        </wps:style>
                        <wps:bodyPr/>
                      </wps:wsp>
                    </wpg:wgp>
                  </a:graphicData>
                </a:graphic>
                <wp14:sizeRelH relativeFrom="page">
                  <wp14:pctWidth>94000</wp14:pctWidth>
                </wp14:sizeRelH>
                <wp14:sizeRelV relativeFrom="page">
                  <wp14:pctHeight>12000</wp14:pctHeight>
                </wp14:sizeRelV>
              </wp:anchor>
            </w:drawing>
          </mc:Choice>
          <mc:Fallback>
            <w:pict>
              <v:group id="shape_0" alt="Group 149" style="position:absolute;margin-left:9.65pt;margin-top:19.35pt;width:576pt;height:95.7pt" coordorigin="193,387" coordsize="11520,1914">
                <v:rect id="shape_0" ID="Rectangle 151" path="m0,0l-2147483645,0l-2147483645,-2147483646l0,-2147483646xe" stroked="f" o:allowincell="f" style="position:absolute;left:193;top:387;width:11519;height:1913;mso-wrap-style:none;v-text-anchor:middle;mso-position-horizontal:center;mso-position-horizontal-relative:page;mso-position-vertical-relative:page">
                  <v:fill r:id="rId3" o:detectmouseclick="t" type="frame" color2="black"/>
                  <v:stroke color="#3465a4" weight="12600" joinstyle="miter" endcap="flat"/>
                  <w10:wrap type="none"/>
                </v:rect>
              </v:group>
            </w:pict>
          </mc:Fallback>
        </mc:AlternateContent>
      </w:r>
    </w:p>
    <w:p>
      <w:pPr>
        <w:pStyle w:val="Normal"/>
        <w:rPr>
          <w:rFonts w:ascii="Arial" w:hAnsi="Arial" w:cs="Arial"/>
          <w:sz w:val="24"/>
          <w:szCs w:val="24"/>
        </w:rPr>
      </w:pPr>
      <w:r>
        <w:rPr>
          <w:rFonts w:cs="Arial" w:ascii="Arial" w:hAnsi="Arial"/>
          <w:sz w:val="24"/>
          <w:szCs w:val="24"/>
        </w:rPr>
      </w:r>
    </w:p>
    <w:sdt>
      <w:sdtPr>
        <w:docPartObj>
          <w:docPartGallery w:val="Table of Contents"/>
          <w:docPartUnique w:val="true"/>
        </w:docPartObj>
      </w:sdtPr>
      <w:sdtContent>
        <w:p>
          <w:pPr>
            <w:pStyle w:val="TOCHeading"/>
            <w:rPr/>
          </w:pPr>
          <w:r>
            <w:br w:type="page"/>
          </w:r>
          <w:r>
            <w:rPr/>
            <w:t>Contents</w:t>
          </w:r>
        </w:p>
        <w:p>
          <w:pPr>
            <w:pStyle w:val="TOC1"/>
            <w:tabs>
              <w:tab w:val="clear" w:pos="720"/>
              <w:tab w:val="right" w:pos="9025" w:leader="dot"/>
            </w:tabs>
            <w:rPr/>
          </w:pPr>
          <w:r>
            <w:fldChar w:fldCharType="begin"/>
          </w:r>
          <w:r>
            <w:rPr>
              <w:webHidden/>
              <w:rStyle w:val="IndexLink"/>
            </w:rPr>
            <w:instrText xml:space="preserve"> TOC \z \o "1-3" \u \h</w:instrText>
          </w:r>
          <w:r>
            <w:rPr>
              <w:webHidden/>
              <w:rStyle w:val="IndexLink"/>
            </w:rPr>
            <w:fldChar w:fldCharType="separate"/>
          </w:r>
          <w:hyperlink w:anchor="__RefHeading___Toc622_1565507531">
            <w:r>
              <w:rPr>
                <w:webHidden/>
                <w:rStyle w:val="IndexLink"/>
              </w:rPr>
              <w:t>1. Introduction</w:t>
              <w:tab/>
              <w:t>2</w:t>
            </w:r>
          </w:hyperlink>
        </w:p>
        <w:p>
          <w:pPr>
            <w:pStyle w:val="TOC2"/>
            <w:tabs>
              <w:tab w:val="clear" w:pos="720"/>
              <w:tab w:val="right" w:pos="9025" w:leader="dot"/>
            </w:tabs>
            <w:rPr/>
          </w:pPr>
          <w:hyperlink w:anchor="__RefHeading___Toc624_1565507531">
            <w:r>
              <w:rPr>
                <w:webHidden/>
                <w:rStyle w:val="IndexLink"/>
              </w:rPr>
              <w:t>1.1 Background</w:t>
              <w:tab/>
              <w:t>2</w:t>
            </w:r>
          </w:hyperlink>
        </w:p>
        <w:p>
          <w:pPr>
            <w:pStyle w:val="TOC2"/>
            <w:tabs>
              <w:tab w:val="clear" w:pos="720"/>
              <w:tab w:val="right" w:pos="9025" w:leader="dot"/>
            </w:tabs>
            <w:rPr/>
          </w:pPr>
          <w:hyperlink w:anchor="__RefHeading___Toc626_1565507531">
            <w:r>
              <w:rPr>
                <w:webHidden/>
                <w:rStyle w:val="IndexLink"/>
              </w:rPr>
              <w:t>1.2 Objectives</w:t>
              <w:tab/>
              <w:t>3</w:t>
            </w:r>
          </w:hyperlink>
        </w:p>
        <w:p>
          <w:pPr>
            <w:pStyle w:val="TOC2"/>
            <w:tabs>
              <w:tab w:val="clear" w:pos="720"/>
              <w:tab w:val="right" w:pos="9025" w:leader="dot"/>
            </w:tabs>
            <w:rPr/>
          </w:pPr>
          <w:hyperlink w:anchor="__RefHeading___Toc628_1565507531">
            <w:r>
              <w:rPr>
                <w:webHidden/>
                <w:rStyle w:val="IndexLink"/>
              </w:rPr>
              <w:t>1.3 Scope</w:t>
              <w:tab/>
              <w:t>4</w:t>
            </w:r>
          </w:hyperlink>
        </w:p>
        <w:p>
          <w:pPr>
            <w:pStyle w:val="TOC1"/>
            <w:tabs>
              <w:tab w:val="clear" w:pos="720"/>
              <w:tab w:val="right" w:pos="9025" w:leader="dot"/>
            </w:tabs>
            <w:rPr/>
          </w:pPr>
          <w:hyperlink w:anchor="__RefHeading___Toc630_1565507531">
            <w:r>
              <w:rPr>
                <w:webHidden/>
                <w:rStyle w:val="IndexLink"/>
              </w:rPr>
              <w:t>2. Literature Review (2500)</w:t>
              <w:tab/>
              <w:t>5</w:t>
            </w:r>
          </w:hyperlink>
        </w:p>
        <w:p>
          <w:pPr>
            <w:pStyle w:val="TOC2"/>
            <w:tabs>
              <w:tab w:val="clear" w:pos="720"/>
              <w:tab w:val="right" w:pos="9025" w:leader="dot"/>
            </w:tabs>
            <w:rPr/>
          </w:pPr>
          <w:hyperlink w:anchor="__RefHeading___Toc632_1565507531">
            <w:r>
              <w:rPr>
                <w:webHidden/>
                <w:rStyle w:val="IndexLink"/>
              </w:rPr>
              <w:t>Objective 1</w:t>
              <w:tab/>
              <w:t>5</w:t>
            </w:r>
          </w:hyperlink>
        </w:p>
        <w:p>
          <w:pPr>
            <w:pStyle w:val="TOC2"/>
            <w:tabs>
              <w:tab w:val="clear" w:pos="720"/>
              <w:tab w:val="right" w:pos="9025" w:leader="dot"/>
            </w:tabs>
            <w:rPr/>
          </w:pPr>
          <w:hyperlink w:anchor="__RefHeading___Toc634_1565507531">
            <w:r>
              <w:rPr>
                <w:webHidden/>
                <w:rStyle w:val="IndexLink"/>
              </w:rPr>
              <w:t>Objective 2</w:t>
              <w:tab/>
              <w:t>5</w:t>
            </w:r>
          </w:hyperlink>
        </w:p>
        <w:p>
          <w:pPr>
            <w:pStyle w:val="TOC2"/>
            <w:tabs>
              <w:tab w:val="clear" w:pos="720"/>
              <w:tab w:val="right" w:pos="9025" w:leader="dot"/>
            </w:tabs>
            <w:rPr/>
          </w:pPr>
          <w:hyperlink w:anchor="__RefHeading___Toc636_1565507531">
            <w:r>
              <w:rPr>
                <w:webHidden/>
                <w:rStyle w:val="IndexLink"/>
              </w:rPr>
              <w:t>Objective 3</w:t>
              <w:tab/>
              <w:t>5</w:t>
            </w:r>
          </w:hyperlink>
        </w:p>
        <w:p>
          <w:pPr>
            <w:pStyle w:val="TOC1"/>
            <w:tabs>
              <w:tab w:val="clear" w:pos="720"/>
              <w:tab w:val="right" w:pos="9025" w:leader="dot"/>
            </w:tabs>
            <w:rPr/>
          </w:pPr>
          <w:hyperlink w:anchor="__RefHeading___Toc638_1565507531">
            <w:r>
              <w:rPr>
                <w:webHidden/>
                <w:rStyle w:val="IndexLink"/>
              </w:rPr>
              <w:t>3. Research Methods (1500)</w:t>
              <w:tab/>
              <w:t>5</w:t>
            </w:r>
          </w:hyperlink>
        </w:p>
        <w:p>
          <w:pPr>
            <w:pStyle w:val="TOC2"/>
            <w:tabs>
              <w:tab w:val="clear" w:pos="720"/>
              <w:tab w:val="right" w:pos="9025" w:leader="dot"/>
            </w:tabs>
            <w:rPr/>
          </w:pPr>
          <w:hyperlink w:anchor="__RefHeading___Toc640_1565507531">
            <w:r>
              <w:rPr>
                <w:webHidden/>
                <w:rStyle w:val="IndexLink"/>
              </w:rPr>
              <w:t>Subheading</w:t>
              <w:tab/>
              <w:t>5</w:t>
            </w:r>
          </w:hyperlink>
        </w:p>
        <w:p>
          <w:pPr>
            <w:pStyle w:val="TOC2"/>
            <w:tabs>
              <w:tab w:val="clear" w:pos="720"/>
              <w:tab w:val="right" w:pos="9025" w:leader="dot"/>
            </w:tabs>
            <w:rPr/>
          </w:pPr>
          <w:hyperlink w:anchor="__RefHeading___Toc642_1565507531">
            <w:r>
              <w:rPr>
                <w:webHidden/>
                <w:rStyle w:val="IndexLink"/>
              </w:rPr>
              <w:t>Subheading</w:t>
              <w:tab/>
              <w:t>5</w:t>
            </w:r>
          </w:hyperlink>
        </w:p>
        <w:p>
          <w:pPr>
            <w:pStyle w:val="TOC2"/>
            <w:tabs>
              <w:tab w:val="clear" w:pos="720"/>
              <w:tab w:val="right" w:pos="9025" w:leader="dot"/>
            </w:tabs>
            <w:rPr/>
          </w:pPr>
          <w:hyperlink w:anchor="__RefHeading___Toc644_1565507531">
            <w:r>
              <w:rPr>
                <w:webHidden/>
                <w:rStyle w:val="IndexLink"/>
              </w:rPr>
              <w:t>Subheading</w:t>
              <w:tab/>
              <w:t>5</w:t>
            </w:r>
          </w:hyperlink>
        </w:p>
        <w:p>
          <w:pPr>
            <w:pStyle w:val="TOC1"/>
            <w:tabs>
              <w:tab w:val="clear" w:pos="720"/>
              <w:tab w:val="right" w:pos="9025" w:leader="dot"/>
            </w:tabs>
            <w:rPr/>
          </w:pPr>
          <w:hyperlink w:anchor="__RefHeading___Toc646_1565507531">
            <w:r>
              <w:rPr>
                <w:webHidden/>
                <w:rStyle w:val="IndexLink"/>
              </w:rPr>
              <w:t>4. Findings (2000)</w:t>
              <w:tab/>
              <w:t>5</w:t>
            </w:r>
          </w:hyperlink>
        </w:p>
        <w:p>
          <w:pPr>
            <w:pStyle w:val="TOC1"/>
            <w:tabs>
              <w:tab w:val="clear" w:pos="720"/>
              <w:tab w:val="right" w:pos="9025" w:leader="dot"/>
            </w:tabs>
            <w:rPr/>
          </w:pPr>
          <w:hyperlink w:anchor="__RefHeading___Toc648_1565507531">
            <w:r>
              <w:rPr>
                <w:webHidden/>
                <w:rStyle w:val="IndexLink"/>
              </w:rPr>
              <w:t>5. Conclusion (800)</w:t>
              <w:tab/>
              <w:t>5</w:t>
            </w:r>
          </w:hyperlink>
        </w:p>
        <w:p>
          <w:pPr>
            <w:pStyle w:val="TOC3"/>
            <w:tabs>
              <w:tab w:val="clear" w:pos="8459"/>
              <w:tab w:val="right" w:pos="9025" w:leader="dot"/>
            </w:tabs>
            <w:rPr/>
          </w:pPr>
          <w:hyperlink w:anchor="__RefHeading___Toc1038_1565507531">
            <w:r>
              <w:rPr>
                <w:webHidden/>
                <w:rStyle w:val="IndexLink"/>
              </w:rPr>
              <w:t>References</w:t>
              <w:tab/>
              <w:t>5</w:t>
            </w:r>
          </w:hyperlink>
          <w:r>
            <w:rPr>
              <w:rStyle w:val="IndexLink"/>
            </w:rPr>
            <w:fldChar w:fldCharType="end"/>
          </w:r>
        </w:p>
      </w:sdtContent>
    </w:sdt>
    <w:p>
      <w:pPr>
        <w:pStyle w:val="Normal"/>
        <w:rPr/>
      </w:pPr>
      <w:r>
        <w:rPr/>
      </w:r>
      <w:r>
        <w:br w:type="page"/>
      </w:r>
    </w:p>
    <w:p>
      <w:pPr>
        <w:pStyle w:val="Heading1"/>
        <w:numPr>
          <w:ilvl w:val="0"/>
          <w:numId w:val="2"/>
        </w:numPr>
        <w:spacing w:before="0" w:after="0"/>
        <w:rPr/>
      </w:pPr>
      <w:bookmarkStart w:id="0" w:name="__RefHeading___Toc622_1565507531"/>
      <w:bookmarkStart w:id="1" w:name="_Toc181428320"/>
      <w:bookmarkEnd w:id="0"/>
      <w:r>
        <w:rPr/>
        <w:t>Introduction</w:t>
      </w:r>
      <w:bookmarkEnd w:id="1"/>
      <w:r>
        <w:rPr/>
        <w:t xml:space="preserve"> </w:t>
      </w:r>
    </w:p>
    <w:p>
      <w:pPr>
        <w:pStyle w:val="Normal"/>
        <w:spacing w:before="0" w:after="0"/>
        <w:rPr/>
      </w:pPr>
      <w:r>
        <w:rPr/>
      </w:r>
    </w:p>
    <w:p>
      <w:pPr>
        <w:pStyle w:val="Heading2"/>
        <w:rPr/>
      </w:pPr>
      <w:bookmarkStart w:id="2" w:name="__RefHeading___Toc624_1565507531"/>
      <w:bookmarkStart w:id="3" w:name="_Toc181428321"/>
      <w:bookmarkEnd w:id="2"/>
      <w:r>
        <w:rPr/>
        <w:t>1.1 Background</w:t>
      </w:r>
      <w:bookmarkEnd w:id="3"/>
    </w:p>
    <w:p>
      <w:pPr>
        <w:pStyle w:val="Normal"/>
        <w:jc w:val="both"/>
        <w:rPr/>
      </w:pPr>
      <w:r>
        <w:rPr/>
        <w:t>Recently, there has been a major change in policing approaches as conventional ones face growing criticism for their reactive and usually detached nature. Conventional policing generally involves reacting to incidents post-occurrence, prioritizing law enforcement and deterrence by a noticeable police presence and rapid reactions. This practice, although effective in specific high-crime contexts, typically neglects the fundamental reasons for crime, including social and economic inequality, and fails to involve community members in proactive problem-solving initiatives. This emphasis on enforcement over prevention has, in numerous situations, fostered a gap between law enforcement agencies and the communities they serve, developing a view of the police as aloof and disinterested. This view may promote mistrust and limit cooperation, ultimately reducing the usefulness of police initiatives.</w:t>
        <w:br/>
        <w:br/>
        <w:t>In response to these difficulties, community policing has evolved as an alternative strategy aiming to cultivate stronger, more collaborative partnerships between law enforcement and communities. Community policing attempts to establish trust, facilitate open communication, and enhance community engagement in guaranteeing public safety. This method redefines the role of police officers, asking them to be active participants in community life. Officers are asked to communicate directly with individuals to discover specific safety concerns, understand the unique needs of each community, and apply approaches suited to local challenges. By working in collaboration with community members, police are able to address the underlying issues contributing to crime, creating a shared responsibility for public safety and a more integrated approach to problem-solving.</w:t>
        <w:br/>
        <w:br/>
        <w:t>Research has shown that community policing can greatly affect crime rates, public perceptions of safety, and the legitimacy of law enforcement. Studies such as those by Gill et al. (2014) and Weisburd and Braga (2018) reveal evidence that community policing, when done appropriately, can reduce crime and enhance public faith in the police. These studies highlight the significance of approaches like community engagement, targeted crime prevention measures, and relationship-building in creating safer and more cohesive neighborhoods. For example, the Townhill Anti-Burglary Initiative, a community-policing program focusing on improving police presence, neighborhood involvement, and proactive surveillance, led to a considerable reduction in burglary rates in the area (Smith, 2020). Such initiatives stress the potential of community policing to achieve excellent outcomes by actively incorporating community members in crime prevention.</w:t>
        <w:br/>
        <w:br/>
        <w:t>Despite its promising elements, community policing is not without hurdles. Critics contend that its success varies widely based on factors such as socio-economic problems, community engagement, and the degree of police resources and training. In economically impoverished neighborhoods or communities with a history of negative interactions with law enforcement, winning confidence can be particularly tough, and community-policing initiatives may struggle to gather momentum. Furthermore, adopting community policing demands considerable resources, including committed personnel, specialized training, and long-term commitment from both police departments and community members. Achieving lasting outcomes often depends on constant community engagement, sustained support, and a willingness to respond to changing situations. For these reasons, community policing may be more effective for managing petty offenses and improving public views than for tackling more significant or organized criminal activities, a deficiency emphasized in various research.</w:t>
        <w:br/>
        <w:br/>
        <w:t>The unequal results of community-policing operations have encouraged continuous discussion over their utility across diverse metropolitan areas. While some towns report large gains in crime rates and community relations, others notice limited or inconsistent results, raising challenges about the model’s scalability and the conditions necessary for success. This study analyzes the introduction of community policing in Telford, an urban location in the West Midlands with a distinct socio-economic profile and a culturally diverse population. Recent years have seen a rise in crime and friction between law enforcement and civilians in Telford, leading local authorities to investigate community policing as a feasible option. Telford is an excellent case study for exploring whether community policing may reduce crime and increase police-community relations in locations with complex socioeconomic dynamics.</w:t>
        <w:br/>
        <w:br/>
        <w:t>This research attempts to examine the effectiveness of community policing in Telford, focusing on both crime reduction and the quality of police-community ties. By investigating these dual results, the study seeks to examine if community policing may provide major benefits in an area with special socio-economic issues. Additionally, the research will analyze the components that contribute to or hinder the success of community policing in Telford, generating insights that may guide best practices for similar urban regions. Ultimately, this research aims to contribute to the wider discourse on community policing by examining its real-world impact in a specific area and giving recommendations for maximizing its implementation in Telford and maybe other places with comparable characteristics.</w:t>
      </w:r>
    </w:p>
    <w:p>
      <w:pPr>
        <w:pStyle w:val="Normal"/>
        <w:jc w:val="both"/>
        <w:rPr/>
      </w:pPr>
      <w:r>
        <w:rPr/>
      </w:r>
    </w:p>
    <w:p>
      <w:pPr>
        <w:pStyle w:val="Heading2"/>
        <w:rPr/>
      </w:pPr>
      <w:bookmarkStart w:id="4" w:name="__RefHeading___Toc626_1565507531"/>
      <w:bookmarkStart w:id="5" w:name="_Toc181428322"/>
      <w:bookmarkEnd w:id="4"/>
      <w:r>
        <w:rPr/>
        <w:t>1.2 Objectives</w:t>
      </w:r>
      <w:bookmarkEnd w:id="5"/>
    </w:p>
    <w:p>
      <w:pPr>
        <w:pStyle w:val="BodyText"/>
        <w:jc w:val="both"/>
        <w:rPr/>
      </w:pPr>
      <w:r>
        <w:rPr/>
        <w:t>This research aims to assess the impact of community policing on crime rates and police-community relationships in Telford. To achieve this goal, the following objectives have been outlined:</w:t>
      </w:r>
    </w:p>
    <w:p>
      <w:pPr>
        <w:pStyle w:val="BodyText"/>
        <w:numPr>
          <w:ilvl w:val="0"/>
          <w:numId w:val="3"/>
        </w:numPr>
        <w:tabs>
          <w:tab w:val="clear" w:pos="720"/>
          <w:tab w:val="left" w:pos="0" w:leader="none"/>
        </w:tabs>
        <w:jc w:val="both"/>
        <w:rPr/>
      </w:pPr>
      <w:r>
        <w:rPr>
          <w:rStyle w:val="Strong"/>
        </w:rPr>
        <w:t>Evaluate the impact of community policing on crime rates in Telford:</w:t>
      </w:r>
      <w:r>
        <w:rPr/>
        <w:br/>
        <w:t>This objective will be addressed through quantitative analysis of crime statistics to determine if community policing correlates with a reduction in crime.</w:t>
      </w:r>
    </w:p>
    <w:p>
      <w:pPr>
        <w:pStyle w:val="BodyText"/>
        <w:numPr>
          <w:ilvl w:val="0"/>
          <w:numId w:val="3"/>
        </w:numPr>
        <w:tabs>
          <w:tab w:val="clear" w:pos="720"/>
          <w:tab w:val="left" w:pos="0" w:leader="none"/>
        </w:tabs>
        <w:jc w:val="both"/>
        <w:rPr/>
      </w:pPr>
      <w:r>
        <w:rPr>
          <w:rStyle w:val="Strong"/>
        </w:rPr>
        <w:t>Examine the effect of community policing on police-community relationships:</w:t>
      </w:r>
      <w:r>
        <w:rPr/>
        <w:br/>
        <w:t>Surveys and interviews will be used to explore how community policing affects trust, cooperation, and public perceptions of the police.</w:t>
      </w:r>
    </w:p>
    <w:p>
      <w:pPr>
        <w:pStyle w:val="BodyText"/>
        <w:numPr>
          <w:ilvl w:val="0"/>
          <w:numId w:val="3"/>
        </w:numPr>
        <w:tabs>
          <w:tab w:val="clear" w:pos="720"/>
          <w:tab w:val="left" w:pos="0" w:leader="none"/>
        </w:tabs>
        <w:jc w:val="both"/>
        <w:rPr/>
      </w:pPr>
      <w:r>
        <w:rPr>
          <w:rStyle w:val="Strong"/>
        </w:rPr>
        <w:t>Identify factors contributing to the success or challenges of community policing in Telford:</w:t>
      </w:r>
      <w:r>
        <w:rPr/>
        <w:br/>
        <w:t>By gathering insights from police officers, community leaders, and residents, this objective aims to understand the factors that enable or hinder effective community policing.</w:t>
      </w:r>
    </w:p>
    <w:p>
      <w:pPr>
        <w:pStyle w:val="BodyText"/>
        <w:numPr>
          <w:ilvl w:val="0"/>
          <w:numId w:val="3"/>
        </w:numPr>
        <w:tabs>
          <w:tab w:val="clear" w:pos="720"/>
          <w:tab w:val="left" w:pos="0" w:leader="none"/>
        </w:tabs>
        <w:jc w:val="both"/>
        <w:rPr/>
      </w:pPr>
      <w:r>
        <w:rPr>
          <w:rStyle w:val="Strong"/>
        </w:rPr>
        <w:t>Propose recommendations for enhancing community policing in Telford:</w:t>
      </w:r>
      <w:r>
        <w:rPr/>
        <w:br/>
        <w:t>Based on the findings, this objective will provide practical recommendations for improving community-policing strategies in Telford.</w:t>
      </w:r>
    </w:p>
    <w:p>
      <w:pPr>
        <w:pStyle w:val="BodyText"/>
        <w:rPr/>
      </w:pPr>
      <w:r>
        <w:rPr/>
      </w:r>
    </w:p>
    <w:p>
      <w:pPr>
        <w:pStyle w:val="Heading2"/>
        <w:rPr/>
      </w:pPr>
      <w:bookmarkStart w:id="6" w:name="__RefHeading___Toc628_1565507531"/>
      <w:bookmarkStart w:id="7" w:name="_Toc181428323"/>
      <w:bookmarkEnd w:id="6"/>
      <w:r>
        <w:rPr/>
        <w:t>1.3 Scope</w:t>
      </w:r>
      <w:bookmarkEnd w:id="7"/>
    </w:p>
    <w:p>
      <w:pPr>
        <w:pStyle w:val="BodyText"/>
        <w:jc w:val="both"/>
        <w:rPr/>
      </w:pPr>
      <w:r>
        <w:rPr/>
        <w:t>The remainder of this study is organized as follows:</w:t>
      </w:r>
    </w:p>
    <w:p>
      <w:pPr>
        <w:pStyle w:val="BodyText"/>
        <w:numPr>
          <w:ilvl w:val="0"/>
          <w:numId w:val="4"/>
        </w:numPr>
        <w:tabs>
          <w:tab w:val="clear" w:pos="720"/>
          <w:tab w:val="left" w:pos="0" w:leader="none"/>
        </w:tabs>
        <w:jc w:val="both"/>
        <w:rPr/>
      </w:pPr>
      <w:r>
        <w:rPr>
          <w:rStyle w:val="Strong"/>
        </w:rPr>
        <w:t>Chapter 2: Literature Review</w:t>
      </w:r>
      <w:r>
        <w:rPr/>
        <w:t xml:space="preserve"> – This chapter covers essential literature on community policing, encompassing its theoretical underpinnings, historical past, and empirical data on its effectiveness. It also addresses critiques of community policing and identifies gaps in current research that this study aims to address.</w:t>
      </w:r>
    </w:p>
    <w:p>
      <w:pPr>
        <w:pStyle w:val="BodyText"/>
        <w:numPr>
          <w:ilvl w:val="0"/>
          <w:numId w:val="4"/>
        </w:numPr>
        <w:tabs>
          <w:tab w:val="clear" w:pos="720"/>
          <w:tab w:val="left" w:pos="0" w:leader="none"/>
        </w:tabs>
        <w:jc w:val="both"/>
        <w:rPr/>
      </w:pPr>
      <w:r>
        <w:rPr>
          <w:rStyle w:val="Strong"/>
        </w:rPr>
        <w:t>Chapter 3: Research Methodology</w:t>
      </w:r>
      <w:r>
        <w:rPr/>
        <w:t xml:space="preserve"> – This chapter outlines the research design, including the mixed-methods approach, data collection methods, sampling techniques, and ethical considerations. It specifies how both quantitative and qualitative data will be collected and analyzed to answer the research questions. .</w:t>
      </w:r>
    </w:p>
    <w:p>
      <w:pPr>
        <w:pStyle w:val="BodyText"/>
        <w:numPr>
          <w:ilvl w:val="0"/>
          <w:numId w:val="4"/>
        </w:numPr>
        <w:tabs>
          <w:tab w:val="clear" w:pos="720"/>
          <w:tab w:val="left" w:pos="0" w:leader="none"/>
        </w:tabs>
        <w:jc w:val="both"/>
        <w:rPr/>
      </w:pPr>
      <w:r>
        <w:rPr>
          <w:rStyle w:val="Strong"/>
        </w:rPr>
        <w:t>Chapter 4: Findings</w:t>
      </w:r>
      <w:r>
        <w:rPr/>
        <w:t xml:space="preserve"> – This chapter presents the results of the study, analyzing crime data and survey responses, as well as insights from interviews with stakeholders. It provides both statistical and narrative accounts of the impact of community policing in Telford. </w:t>
      </w:r>
    </w:p>
    <w:p>
      <w:pPr>
        <w:pStyle w:val="BodyText"/>
        <w:numPr>
          <w:ilvl w:val="0"/>
          <w:numId w:val="4"/>
        </w:numPr>
        <w:tabs>
          <w:tab w:val="clear" w:pos="720"/>
          <w:tab w:val="left" w:pos="0" w:leader="none"/>
        </w:tabs>
        <w:jc w:val="both"/>
        <w:rPr/>
      </w:pPr>
      <w:r>
        <w:rPr>
          <w:rStyle w:val="Strong"/>
        </w:rPr>
        <w:t>Chapter 5: Discussion</w:t>
      </w:r>
      <w:r>
        <w:rPr/>
        <w:t xml:space="preserve"> – This chapter evaluates the findings in relation to the existing literature, examining how the results support or challenge previous research. It discusses the implications of the findings for community policing in Telford and beyond.</w:t>
      </w:r>
    </w:p>
    <w:p>
      <w:pPr>
        <w:pStyle w:val="BodyText"/>
        <w:numPr>
          <w:ilvl w:val="0"/>
          <w:numId w:val="4"/>
        </w:numPr>
        <w:tabs>
          <w:tab w:val="clear" w:pos="720"/>
          <w:tab w:val="left" w:pos="0" w:leader="none"/>
        </w:tabs>
        <w:jc w:val="both"/>
        <w:rPr/>
      </w:pPr>
      <w:r>
        <w:rPr>
          <w:rStyle w:val="Strong"/>
        </w:rPr>
        <w:t>Chapter 6: Conclusion and Recommendations</w:t>
      </w:r>
      <w:r>
        <w:rPr/>
        <w:t xml:space="preserve"> – The concluding chapter summarizes the key findings of the research, outlines its limitations, and offers recommendations for policy and practice. It also suggests areas for further research on community policing.</w:t>
      </w:r>
    </w:p>
    <w:p>
      <w:pPr>
        <w:pStyle w:val="BodyText"/>
        <w:rPr/>
      </w:pPr>
      <w:r>
        <w:rPr/>
      </w:r>
    </w:p>
    <w:p>
      <w:pPr>
        <w:pStyle w:val="Heading1"/>
        <w:numPr>
          <w:ilvl w:val="0"/>
          <w:numId w:val="2"/>
        </w:numPr>
        <w:rPr/>
      </w:pPr>
      <w:bookmarkStart w:id="8" w:name="__RefHeading___Toc630_1565507531"/>
      <w:bookmarkStart w:id="9" w:name="_Toc181428324"/>
      <w:bookmarkEnd w:id="8"/>
      <w:r>
        <w:rPr/>
        <w:t>Literature Review (2500)</w:t>
      </w:r>
      <w:bookmarkEnd w:id="9"/>
    </w:p>
    <w:p>
      <w:pPr>
        <w:pStyle w:val="Heading2"/>
        <w:ind w:start="720"/>
        <w:rPr/>
      </w:pPr>
      <w:bookmarkStart w:id="10" w:name="__RefHeading___Toc632_1565507531"/>
      <w:bookmarkStart w:id="11" w:name="_Toc181428325"/>
      <w:bookmarkEnd w:id="10"/>
      <w:r>
        <w:rPr/>
        <w:t>Objective 1</w:t>
      </w:r>
      <w:bookmarkEnd w:id="11"/>
    </w:p>
    <w:p>
      <w:pPr>
        <w:pStyle w:val="Heading2"/>
        <w:ind w:start="720"/>
        <w:rPr/>
      </w:pPr>
      <w:bookmarkStart w:id="12" w:name="__RefHeading___Toc634_1565507531"/>
      <w:bookmarkStart w:id="13" w:name="_Toc181428326"/>
      <w:bookmarkEnd w:id="12"/>
      <w:r>
        <w:rPr/>
        <w:t>Objective 2</w:t>
      </w:r>
      <w:bookmarkEnd w:id="13"/>
    </w:p>
    <w:p>
      <w:pPr>
        <w:pStyle w:val="Heading2"/>
        <w:ind w:start="720"/>
        <w:rPr/>
      </w:pPr>
      <w:bookmarkStart w:id="14" w:name="__RefHeading___Toc636_1565507531"/>
      <w:bookmarkStart w:id="15" w:name="_Toc181428327"/>
      <w:bookmarkEnd w:id="14"/>
      <w:r>
        <w:rPr/>
        <w:t>Objective 3</w:t>
      </w:r>
      <w:bookmarkEnd w:id="15"/>
    </w:p>
    <w:p>
      <w:pPr>
        <w:pStyle w:val="Heading1"/>
        <w:numPr>
          <w:ilvl w:val="0"/>
          <w:numId w:val="2"/>
        </w:numPr>
        <w:rPr/>
      </w:pPr>
      <w:bookmarkStart w:id="16" w:name="__RefHeading___Toc638_1565507531"/>
      <w:bookmarkStart w:id="17" w:name="_Toc181428328"/>
      <w:bookmarkEnd w:id="16"/>
      <w:r>
        <w:rPr/>
        <w:t>Research Methods (1500)</w:t>
      </w:r>
      <w:bookmarkEnd w:id="17"/>
    </w:p>
    <w:p>
      <w:pPr>
        <w:pStyle w:val="Heading2"/>
        <w:ind w:start="720"/>
        <w:rPr/>
      </w:pPr>
      <w:bookmarkStart w:id="18" w:name="__RefHeading___Toc640_1565507531"/>
      <w:bookmarkStart w:id="19" w:name="_Toc181428329"/>
      <w:bookmarkEnd w:id="18"/>
      <w:r>
        <w:rPr/>
        <w:t>Subheading</w:t>
      </w:r>
      <w:bookmarkEnd w:id="19"/>
    </w:p>
    <w:p>
      <w:pPr>
        <w:pStyle w:val="Heading2"/>
        <w:ind w:start="720"/>
        <w:rPr/>
      </w:pPr>
      <w:bookmarkStart w:id="20" w:name="__RefHeading___Toc642_1565507531"/>
      <w:bookmarkStart w:id="21" w:name="_Toc181428330"/>
      <w:bookmarkEnd w:id="20"/>
      <w:r>
        <w:rPr/>
        <w:t>Subheading</w:t>
      </w:r>
      <w:bookmarkEnd w:id="21"/>
    </w:p>
    <w:p>
      <w:pPr>
        <w:pStyle w:val="Heading2"/>
        <w:ind w:start="720"/>
        <w:rPr/>
      </w:pPr>
      <w:bookmarkStart w:id="22" w:name="__RefHeading___Toc644_1565507531"/>
      <w:bookmarkStart w:id="23" w:name="_Toc181428331"/>
      <w:bookmarkEnd w:id="22"/>
      <w:r>
        <w:rPr/>
        <w:t>Subheading</w:t>
      </w:r>
      <w:bookmarkEnd w:id="23"/>
    </w:p>
    <w:p>
      <w:pPr>
        <w:pStyle w:val="Heading1"/>
        <w:numPr>
          <w:ilvl w:val="0"/>
          <w:numId w:val="2"/>
        </w:numPr>
        <w:rPr/>
      </w:pPr>
      <w:bookmarkStart w:id="24" w:name="__RefHeading___Toc646_1565507531"/>
      <w:bookmarkStart w:id="25" w:name="_Toc181428332"/>
      <w:bookmarkEnd w:id="24"/>
      <w:r>
        <w:rPr/>
        <w:t>Findings (2000)</w:t>
      </w:r>
      <w:bookmarkEnd w:id="25"/>
    </w:p>
    <w:p>
      <w:pPr>
        <w:pStyle w:val="Heading1"/>
        <w:numPr>
          <w:ilvl w:val="0"/>
          <w:numId w:val="2"/>
        </w:numPr>
        <w:rPr/>
      </w:pPr>
      <w:bookmarkStart w:id="26" w:name="__RefHeading___Toc648_1565507531"/>
      <w:bookmarkStart w:id="27" w:name="_Toc181428333"/>
      <w:bookmarkEnd w:id="26"/>
      <w:r>
        <w:rPr/>
        <w:t>Conclusion (800)</w:t>
      </w:r>
      <w:bookmarkEnd w:id="27"/>
    </w:p>
    <w:p>
      <w:pPr>
        <w:pStyle w:val="Normal"/>
        <w:rPr/>
      </w:pPr>
      <w:r>
        <w:rPr/>
      </w:r>
    </w:p>
    <w:p>
      <w:pPr>
        <w:pStyle w:val="Normal"/>
        <w:rPr/>
      </w:pPr>
      <w:r>
        <w:rPr/>
      </w:r>
    </w:p>
    <w:p>
      <w:pPr>
        <w:pStyle w:val="Normal"/>
        <w:rPr/>
      </w:pPr>
      <w:r>
        <w:rPr/>
      </w:r>
    </w:p>
    <w:p>
      <w:pPr>
        <w:pStyle w:val="Heading3"/>
        <w:numPr>
          <w:ilvl w:val="0"/>
          <w:numId w:val="0"/>
        </w:numPr>
        <w:tabs>
          <w:tab w:val="clear" w:pos="720"/>
          <w:tab w:val="left" w:pos="0" w:leader="none"/>
        </w:tabs>
        <w:ind w:hanging="0" w:start="0"/>
        <w:jc w:val="both"/>
        <w:rPr/>
      </w:pPr>
      <w:bookmarkStart w:id="28" w:name="__RefHeading___Toc1038_1565507531"/>
      <w:bookmarkEnd w:id="28"/>
      <w:r>
        <w:rPr/>
        <w:t>References</w:t>
      </w:r>
    </w:p>
    <w:p>
      <w:pPr>
        <w:pStyle w:val="BodyText"/>
        <w:rPr/>
      </w:pPr>
      <w:r>
        <w:rPr/>
        <w:t xml:space="preserve">Gill, C., Weisburd, D., Telep, C.W., Vitter, Z. and Bennett, T., 2014. </w:t>
      </w:r>
      <w:r>
        <w:rPr>
          <w:rStyle w:val="Emphasis"/>
        </w:rPr>
        <w:t>Community-oriented policing to reduce crime, disorder, and fear and increase satisfaction and legitimacy among citizens: A systematic review</w:t>
      </w:r>
      <w:r>
        <w:rPr/>
        <w:t>. Journal of Experimental Criminology, 10(4), pp.399-428. doi:10.1007/s11292-014-9210-y.</w:t>
      </w:r>
    </w:p>
    <w:p>
      <w:pPr>
        <w:pStyle w:val="BodyText"/>
        <w:rPr/>
      </w:pPr>
      <w:r>
        <w:rPr/>
        <w:t xml:space="preserve">Smith, J., 2020. </w:t>
      </w:r>
      <w:r>
        <w:rPr>
          <w:rStyle w:val="Emphasis"/>
        </w:rPr>
        <w:t>Community Policing in Action: The Townhill Anti-Burglary Initiative</w:t>
      </w:r>
      <w:r>
        <w:rPr/>
        <w:t>. Journal of Crime Prevention, 5(2), pp.87-102.</w:t>
      </w:r>
    </w:p>
    <w:p>
      <w:pPr>
        <w:pStyle w:val="BodyText"/>
        <w:spacing w:before="0" w:after="140"/>
        <w:rPr/>
      </w:pPr>
      <w:r>
        <w:rPr/>
        <w:t xml:space="preserve">Weisburd, D. and Braga, A.A., 2018. </w:t>
      </w:r>
      <w:r>
        <w:rPr>
          <w:rStyle w:val="Emphasis"/>
        </w:rPr>
        <w:t>Police Innovation: Contrasting Perspectives on Real Reform</w:t>
      </w:r>
      <w:r>
        <w:rPr/>
        <w:t>. Annual Review of Criminology, 1, pp.199-218. doi:10.1146/annurev-criminol-021616-121409.</w:t>
      </w:r>
    </w:p>
    <w:sectPr>
      <w:type w:val="nextPage"/>
      <w:pgSz w:w="11906" w:h="16838"/>
      <w:pgMar w:left="1440" w:right="1440" w:gutter="0" w:header="0" w:top="1440" w:footer="0" w:bottom="1440"/>
      <w:pgNumType w:start="0" w:fmt="decimal"/>
      <w:formProt w:val="false"/>
      <w:textDirection w:val="lrTb"/>
      <w:docGrid w:type="default" w:linePitch="360" w:charSpace="8192"/>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Calibri">
    <w:charset w:val="01" w:characterSet="utf-8"/>
    <w:family w:val="roman"/>
    <w:pitch w:val="variable"/>
  </w:font>
  <w:font w:name="Arial">
    <w:charset w:val="01" w:characterSet="utf-8"/>
    <w:family w:val="roman"/>
    <w:pitch w:val="variable"/>
  </w:font>
  <w:font w:name="Liberation Serif">
    <w:altName w:val="Times New Roman"/>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roman"/>
    <w:pitch w:val="variable"/>
  </w:font>
  <w:font w:name="Symbol">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decimal"/>
      <w:lvlText w:val="%1."/>
      <w:lvlJc w:val="start"/>
      <w:pPr>
        <w:tabs>
          <w:tab w:val="num" w:pos="0"/>
        </w:tabs>
        <w:ind w:start="720" w:hanging="360"/>
      </w:pPr>
      <w:rPr/>
    </w:lvl>
    <w:lvl w:ilvl="1">
      <w:start w:val="1"/>
      <w:numFmt w:val="lowerLetter"/>
      <w:lvlText w:val="%2."/>
      <w:lvlJc w:val="start"/>
      <w:pPr>
        <w:tabs>
          <w:tab w:val="num" w:pos="0"/>
        </w:tabs>
        <w:ind w:start="1440" w:hanging="360"/>
      </w:pPr>
      <w:rPr/>
    </w:lvl>
    <w:lvl w:ilvl="2">
      <w:start w:val="1"/>
      <w:numFmt w:val="lowerRoman"/>
      <w:lvlText w:val="%3."/>
      <w:lvlJc w:val="end"/>
      <w:pPr>
        <w:tabs>
          <w:tab w:val="num" w:pos="0"/>
        </w:tabs>
        <w:ind w:start="2160" w:hanging="180"/>
      </w:pPr>
      <w:rPr/>
    </w:lvl>
    <w:lvl w:ilvl="3">
      <w:start w:val="1"/>
      <w:numFmt w:val="decimal"/>
      <w:lvlText w:val="%4."/>
      <w:lvlJc w:val="start"/>
      <w:pPr>
        <w:tabs>
          <w:tab w:val="num" w:pos="0"/>
        </w:tabs>
        <w:ind w:start="2880" w:hanging="360"/>
      </w:pPr>
      <w:rPr/>
    </w:lvl>
    <w:lvl w:ilvl="4">
      <w:start w:val="1"/>
      <w:numFmt w:val="lowerLetter"/>
      <w:lvlText w:val="%5."/>
      <w:lvlJc w:val="start"/>
      <w:pPr>
        <w:tabs>
          <w:tab w:val="num" w:pos="0"/>
        </w:tabs>
        <w:ind w:start="3600" w:hanging="360"/>
      </w:pPr>
      <w:rPr/>
    </w:lvl>
    <w:lvl w:ilvl="5">
      <w:start w:val="1"/>
      <w:numFmt w:val="lowerRoman"/>
      <w:lvlText w:val="%6."/>
      <w:lvlJc w:val="end"/>
      <w:pPr>
        <w:tabs>
          <w:tab w:val="num" w:pos="0"/>
        </w:tabs>
        <w:ind w:start="4320" w:hanging="180"/>
      </w:pPr>
      <w:rPr/>
    </w:lvl>
    <w:lvl w:ilvl="6">
      <w:start w:val="1"/>
      <w:numFmt w:val="decimal"/>
      <w:lvlText w:val="%7."/>
      <w:lvlJc w:val="start"/>
      <w:pPr>
        <w:tabs>
          <w:tab w:val="num" w:pos="0"/>
        </w:tabs>
        <w:ind w:start="5040" w:hanging="360"/>
      </w:pPr>
      <w:rPr/>
    </w:lvl>
    <w:lvl w:ilvl="7">
      <w:start w:val="1"/>
      <w:numFmt w:val="lowerLetter"/>
      <w:lvlText w:val="%8."/>
      <w:lvlJc w:val="start"/>
      <w:pPr>
        <w:tabs>
          <w:tab w:val="num" w:pos="0"/>
        </w:tabs>
        <w:ind w:start="5760" w:hanging="360"/>
      </w:pPr>
      <w:rPr/>
    </w:lvl>
    <w:lvl w:ilvl="8">
      <w:start w:val="1"/>
      <w:numFmt w:val="lowerRoman"/>
      <w:lvlText w:val="%9."/>
      <w:lvlJc w:val="end"/>
      <w:pPr>
        <w:tabs>
          <w:tab w:val="num" w:pos="0"/>
        </w:tabs>
        <w:ind w:start="6480" w:hanging="180"/>
      </w:pPr>
      <w:rPr/>
    </w:lvl>
  </w:abstractNum>
  <w:abstractNum w:abstractNumId="3">
    <w:lvl w:ilvl="0">
      <w:start w:val="1"/>
      <w:numFmt w:val="decimal"/>
      <w:lvlText w:val="%1."/>
      <w:lvlJc w:val="start"/>
      <w:pPr>
        <w:tabs>
          <w:tab w:val="num" w:pos="709"/>
        </w:tabs>
        <w:ind w:start="709" w:hanging="283"/>
      </w:pPr>
      <w:rPr/>
    </w:lvl>
    <w:lvl w:ilvl="1">
      <w:start w:val="1"/>
      <w:numFmt w:val="decimal"/>
      <w:lvlText w:val="%2."/>
      <w:lvlJc w:val="start"/>
      <w:pPr>
        <w:tabs>
          <w:tab w:val="num" w:pos="1418"/>
        </w:tabs>
        <w:ind w:start="1418" w:hanging="283"/>
      </w:pPr>
      <w:rPr/>
    </w:lvl>
    <w:lvl w:ilvl="2">
      <w:start w:val="1"/>
      <w:numFmt w:val="decimal"/>
      <w:lvlText w:val="%3."/>
      <w:lvlJc w:val="start"/>
      <w:pPr>
        <w:tabs>
          <w:tab w:val="num" w:pos="2127"/>
        </w:tabs>
        <w:ind w:start="2127" w:hanging="283"/>
      </w:pPr>
      <w:rPr/>
    </w:lvl>
    <w:lvl w:ilvl="3">
      <w:start w:val="1"/>
      <w:numFmt w:val="decimal"/>
      <w:lvlText w:val="%4."/>
      <w:lvlJc w:val="start"/>
      <w:pPr>
        <w:tabs>
          <w:tab w:val="num" w:pos="2836"/>
        </w:tabs>
        <w:ind w:start="2836" w:hanging="283"/>
      </w:pPr>
      <w:rPr/>
    </w:lvl>
    <w:lvl w:ilvl="4">
      <w:start w:val="1"/>
      <w:numFmt w:val="decimal"/>
      <w:lvlText w:val="%5."/>
      <w:lvlJc w:val="start"/>
      <w:pPr>
        <w:tabs>
          <w:tab w:val="num" w:pos="3545"/>
        </w:tabs>
        <w:ind w:start="3545" w:hanging="283"/>
      </w:pPr>
      <w:rPr/>
    </w:lvl>
    <w:lvl w:ilvl="5">
      <w:start w:val="1"/>
      <w:numFmt w:val="decimal"/>
      <w:lvlText w:val="%6."/>
      <w:lvlJc w:val="start"/>
      <w:pPr>
        <w:tabs>
          <w:tab w:val="num" w:pos="4254"/>
        </w:tabs>
        <w:ind w:start="4254" w:hanging="283"/>
      </w:pPr>
      <w:rPr/>
    </w:lvl>
    <w:lvl w:ilvl="6">
      <w:start w:val="1"/>
      <w:numFmt w:val="decimal"/>
      <w:lvlText w:val="%7."/>
      <w:lvlJc w:val="start"/>
      <w:pPr>
        <w:tabs>
          <w:tab w:val="num" w:pos="4963"/>
        </w:tabs>
        <w:ind w:start="4963" w:hanging="283"/>
      </w:pPr>
      <w:rPr/>
    </w:lvl>
    <w:lvl w:ilvl="7">
      <w:start w:val="1"/>
      <w:numFmt w:val="decimal"/>
      <w:lvlText w:val="%8."/>
      <w:lvlJc w:val="start"/>
      <w:pPr>
        <w:tabs>
          <w:tab w:val="num" w:pos="5672"/>
        </w:tabs>
        <w:ind w:start="5672" w:hanging="283"/>
      </w:pPr>
      <w:rPr/>
    </w:lvl>
    <w:lvl w:ilvl="8">
      <w:start w:val="1"/>
      <w:numFmt w:val="decimal"/>
      <w:lvlText w:val="%9."/>
      <w:lvlJc w:val="start"/>
      <w:pPr>
        <w:tabs>
          <w:tab w:val="num" w:pos="6381"/>
        </w:tabs>
        <w:ind w:start="6381" w:hanging="283"/>
      </w:pPr>
      <w:rPr/>
    </w:lvl>
  </w:abstractNum>
  <w:abstractNum w:abstractNumId="4">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5">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59" w:before="0" w:after="160"/>
      <w:jc w:val="star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406d0b"/>
    <w:pPr>
      <w:keepNext w:val="true"/>
      <w:keepLines/>
      <w:spacing w:before="240" w:after="0"/>
      <w:outlineLvl w:val="0"/>
    </w:pPr>
    <w:rPr>
      <w:rFonts w:ascii="Arial" w:hAnsi="Arial" w:eastAsia="" w:cs="" w:cstheme="majorBidi" w:eastAsiaTheme="majorEastAsia"/>
      <w:color w:themeColor="accent1" w:themeShade="bf" w:val="2F5496"/>
      <w:sz w:val="32"/>
      <w:szCs w:val="32"/>
    </w:rPr>
  </w:style>
  <w:style w:type="paragraph" w:styleId="Heading2">
    <w:name w:val="Heading 2"/>
    <w:basedOn w:val="Normal"/>
    <w:next w:val="Normal"/>
    <w:link w:val="Heading2Char"/>
    <w:uiPriority w:val="9"/>
    <w:unhideWhenUsed/>
    <w:qFormat/>
    <w:rsid w:val="00406d0b"/>
    <w:pPr>
      <w:keepNext w:val="true"/>
      <w:keepLines/>
      <w:spacing w:before="40" w:after="0"/>
      <w:outlineLvl w:val="1"/>
    </w:pPr>
    <w:rPr>
      <w:rFonts w:ascii="Arial" w:hAnsi="Arial" w:eastAsia="" w:cs="" w:cstheme="majorBidi" w:eastAsiaTheme="majorEastAsia"/>
      <w:color w:themeColor="accent1" w:themeShade="bf" w:val="2F5496"/>
      <w:sz w:val="26"/>
      <w:szCs w:val="26"/>
    </w:rPr>
  </w:style>
  <w:style w:type="paragraph" w:styleId="Heading3">
    <w:name w:val="Heading 3"/>
    <w:basedOn w:val="Heading"/>
    <w:next w:val="BodyText"/>
    <w:qFormat/>
    <w:pPr>
      <w:numPr>
        <w:ilvl w:val="2"/>
        <w:numId w:val="1"/>
      </w:numPr>
      <w:spacing w:before="140" w:after="120"/>
      <w:outlineLvl w:val="2"/>
    </w:pPr>
    <w:rPr>
      <w:rFonts w:ascii="Liberation Serif" w:hAnsi="Liberation Serif" w:eastAsia="Noto Serif CJK SC" w:cs="Noto Sans Devanagari"/>
      <w:b/>
      <w:bCs/>
      <w:sz w:val="28"/>
      <w:szCs w:val="28"/>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9d1c49"/>
    <w:rPr>
      <w:rFonts w:eastAsia="" w:eastAsiaTheme="minorEastAsia"/>
      <w:lang w:val="en-US"/>
    </w:rPr>
  </w:style>
  <w:style w:type="character" w:styleId="Heading1Char" w:customStyle="1">
    <w:name w:val="Heading 1 Char"/>
    <w:basedOn w:val="DefaultParagraphFont"/>
    <w:link w:val="Heading1"/>
    <w:uiPriority w:val="9"/>
    <w:qFormat/>
    <w:rsid w:val="00406d0b"/>
    <w:rPr>
      <w:rFonts w:ascii="Arial" w:hAnsi="Arial" w:eastAsia="" w:cs="" w:cstheme="majorBidi" w:eastAsiaTheme="majorEastAsia"/>
      <w:color w:themeColor="accent1" w:themeShade="bf" w:val="2F5496"/>
      <w:sz w:val="32"/>
      <w:szCs w:val="32"/>
    </w:rPr>
  </w:style>
  <w:style w:type="character" w:styleId="Heading2Char" w:customStyle="1">
    <w:name w:val="Heading 2 Char"/>
    <w:basedOn w:val="DefaultParagraphFont"/>
    <w:link w:val="Heading2"/>
    <w:uiPriority w:val="9"/>
    <w:qFormat/>
    <w:rsid w:val="00406d0b"/>
    <w:rPr>
      <w:rFonts w:ascii="Arial" w:hAnsi="Arial" w:eastAsia="" w:cs="" w:cstheme="majorBidi" w:eastAsiaTheme="majorEastAsia"/>
      <w:color w:themeColor="accent1" w:themeShade="bf" w:val="2F5496"/>
      <w:sz w:val="26"/>
      <w:szCs w:val="26"/>
    </w:rPr>
  </w:style>
  <w:style w:type="character" w:styleId="Hyperlink">
    <w:name w:val="Hyperlink"/>
    <w:basedOn w:val="DefaultParagraphFont"/>
    <w:uiPriority w:val="99"/>
    <w:unhideWhenUsed/>
    <w:rsid w:val="009d1c49"/>
    <w:rPr>
      <w:color w:themeColor="hyperlink" w:val="0563C1"/>
      <w:u w:val="single"/>
    </w:rPr>
  </w:style>
  <w:style w:type="character" w:styleId="IndexLink" w:customStyle="1">
    <w:name w:val="Index Link"/>
    <w:qFormat/>
    <w:rPr/>
  </w:style>
  <w:style w:type="character" w:styleId="NumberingSymbols" w:customStyle="1">
    <w:name w:val="Numbering Symbols"/>
    <w:qFormat/>
    <w:rPr/>
  </w:style>
  <w:style w:type="character" w:styleId="Strong">
    <w:name w:val="Strong"/>
    <w:qFormat/>
    <w:rPr>
      <w:b/>
      <w:bCs/>
    </w:rPr>
  </w:style>
  <w:style w:type="character" w:styleId="Bullets" w:customStyle="1">
    <w:name w:val="Bullets"/>
    <w:qFormat/>
    <w:rPr>
      <w:rFonts w:ascii="OpenSymbol" w:hAnsi="OpenSymbol" w:eastAsia="OpenSymbol" w:cs="OpenSymbol"/>
    </w:rPr>
  </w:style>
  <w:style w:type="character" w:styleId="Emphasis">
    <w:name w:val="Emphasis"/>
    <w:qFormat/>
    <w:rPr>
      <w:i/>
      <w:iCs/>
    </w:rPr>
  </w:style>
  <w:style w:type="paragraph" w:styleId="Heading" w:customStyle="1">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customStyle="1">
    <w:name w:val="Index"/>
    <w:basedOn w:val="Normal"/>
    <w:qFormat/>
    <w:pPr>
      <w:suppressLineNumbers/>
    </w:pPr>
    <w:rPr>
      <w:rFonts w:cs="Noto Sans Devanagari"/>
    </w:rPr>
  </w:style>
  <w:style w:type="paragraph" w:styleId="NoSpacing">
    <w:name w:val="No Spacing"/>
    <w:link w:val="NoSpacingChar"/>
    <w:uiPriority w:val="1"/>
    <w:qFormat/>
    <w:rsid w:val="009d1c49"/>
    <w:pPr>
      <w:widowControl/>
      <w:suppressAutoHyphens w:val="true"/>
      <w:bidi w:val="0"/>
      <w:spacing w:before="0" w:after="0"/>
      <w:jc w:val="start"/>
    </w:pPr>
    <w:rPr>
      <w:rFonts w:ascii="Calibri" w:hAnsi="Calibri" w:eastAsia="" w:cs="" w:eastAsiaTheme="minorEastAsia"/>
      <w:color w:val="auto"/>
      <w:kern w:val="0"/>
      <w:sz w:val="22"/>
      <w:szCs w:val="22"/>
      <w:lang w:val="en-US" w:eastAsia="en-US" w:bidi="ar-SA"/>
    </w:rPr>
  </w:style>
  <w:style w:type="paragraph" w:styleId="ListParagraph">
    <w:name w:val="List Paragraph"/>
    <w:basedOn w:val="Normal"/>
    <w:uiPriority w:val="34"/>
    <w:qFormat/>
    <w:rsid w:val="009d1c49"/>
    <w:pPr>
      <w:spacing w:before="0" w:after="160"/>
      <w:ind w:start="720"/>
      <w:contextualSpacing/>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before="0" w:after="100"/>
    </w:pPr>
    <w:rPr/>
  </w:style>
  <w:style w:type="paragraph" w:styleId="TOC2">
    <w:name w:val="TOC 2"/>
    <w:basedOn w:val="Normal"/>
    <w:next w:val="Normal"/>
    <w:autoRedefine/>
    <w:uiPriority w:val="39"/>
    <w:unhideWhenUsed/>
    <w:rsid w:val="009d1c49"/>
    <w:pPr>
      <w:spacing w:before="0" w:after="100"/>
      <w:ind w:start="220"/>
    </w:pPr>
    <w:rPr/>
  </w:style>
  <w:style w:type="paragraph" w:styleId="FrameContents" w:customStyle="1">
    <w:name w:val="Frame Contents"/>
    <w:basedOn w:val="Normal"/>
    <w:qFormat/>
    <w:pPr/>
    <w:rPr/>
  </w:style>
  <w:style w:type="paragraph" w:styleId="TOC3">
    <w:name w:val="TOC 3"/>
    <w:basedOn w:val="Index"/>
    <w:pPr>
      <w:tabs>
        <w:tab w:val="clear" w:pos="720"/>
        <w:tab w:val="right" w:pos="8459" w:leader="dot"/>
      </w:tabs>
      <w:ind w:hanging="0" w:start="567"/>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1453</TotalTime>
  <Application>LibreOffice/24.2.6.2$Linux_X86_64 LibreOffice_project/420$Build-2</Application>
  <AppVersion>15.0000</AppVersion>
  <Pages>6</Pages>
  <Words>1292</Words>
  <Characters>8125</Characters>
  <CharactersWithSpaces>9374</CharactersWithSpaces>
  <Paragraphs>52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2022-02-01T08:14:00Z</dcterms:created>
  <dc:creator>Mike Durke</dc:creator>
  <dc:description/>
  <dc:language>en-US</dc:language>
  <cp:lastModifiedBy/>
  <dcterms:modified xsi:type="dcterms:W3CDTF">2024-11-04T10:31:37Z</dcterms:modified>
  <cp:revision>13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5063503da9006ad10586532644e444f6421e41d0ca3ab86e4ac7090b4bfe04f0</vt:lpwstr>
  </property>
</Properties>
</file>