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line="240" w:lineRule="auto"/>
        <w:ind w:left="0" w:firstLine="0"/>
        <w:rPr>
          <w:rFonts w:hint="default" w:ascii="Times New Roman Bold" w:hAnsi="Times New Roman Bold" w:cs="Times New Roman Bold"/>
          <w:b/>
          <w:bCs/>
          <w:i w:val="0"/>
          <w:iCs w:val="0"/>
          <w:caps w:val="0"/>
          <w:color w:val="0E101A"/>
          <w:spacing w:val="0"/>
          <w:sz w:val="28"/>
          <w:szCs w:val="28"/>
          <w:u w:val="none"/>
        </w:rPr>
      </w:pPr>
      <w:r>
        <w:rPr>
          <w:rFonts w:hint="default" w:ascii="Times New Roman Bold" w:hAnsi="Times New Roman Bold" w:cs="Times New Roman Bold"/>
          <w:b/>
          <w:bCs/>
          <w:i w:val="0"/>
          <w:iCs w:val="0"/>
          <w:caps w:val="0"/>
          <w:color w:val="0E101A"/>
          <w:spacing w:val="0"/>
          <w:sz w:val="28"/>
          <w:szCs w:val="28"/>
          <w:u w:val="none"/>
        </w:rPr>
        <w:t>Research Proposal</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lang w:val="en-US"/>
        </w:rPr>
      </w:pPr>
      <w:r>
        <w:rPr>
          <w:rFonts w:hint="default" w:ascii="Times New Roman Bold" w:hAnsi="Times New Roman Bold" w:cs="Times New Roman Bold"/>
          <w:b/>
          <w:bCs/>
          <w:i w:val="0"/>
          <w:iCs w:val="0"/>
          <w:caps w:val="0"/>
          <w:color w:val="0E101A"/>
          <w:spacing w:val="0"/>
          <w:sz w:val="24"/>
          <w:szCs w:val="24"/>
          <w:u w:val="none"/>
        </w:rPr>
        <w:t xml:space="preserve">Title: </w:t>
      </w:r>
      <w:r>
        <w:rPr>
          <w:rFonts w:hint="default" w:ascii="Times New Roman Regular" w:hAnsi="Times New Roman Regular" w:cs="Times New Roman Regular"/>
          <w:i w:val="0"/>
          <w:iCs w:val="0"/>
          <w:caps w:val="0"/>
          <w:color w:val="0E101A"/>
          <w:spacing w:val="0"/>
          <w:sz w:val="24"/>
          <w:szCs w:val="24"/>
          <w:u w:val="none"/>
        </w:rPr>
        <w:t>An Examination of Task-Based Learning for Designing Writing Activities for Adult ESL/EFL Learners and its Implications for Syllabus Design</w:t>
      </w:r>
      <w:r>
        <w:rPr>
          <w:rFonts w:hint="default" w:ascii="Times New Roman Regular" w:hAnsi="Times New Roman Regular" w:cs="Times New Roman Regular"/>
          <w:i w:val="0"/>
          <w:iCs w:val="0"/>
          <w:caps w:val="0"/>
          <w:color w:val="0E101A"/>
          <w:spacing w:val="0"/>
          <w:sz w:val="24"/>
          <w:szCs w:val="24"/>
          <w:u w:val="none"/>
          <w:lang w:val="en-US"/>
        </w:rPr>
        <w:t xml:space="preserve"> </w:t>
      </w:r>
    </w:p>
    <w:p>
      <w:pPr>
        <w:pStyle w:val="2"/>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rPr>
        <w:t>1. Introduction</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This research is designed to solve the practical issue of increasing adult writing proficiency in EFL teaching classes based on the concepts and methodologies in English as Foreign Language (EFL) teaching, such as communicative language teaching, autonomy learning, input hypothesis, motivation</w:t>
      </w:r>
      <w:r>
        <w:rPr>
          <w:rFonts w:hint="default" w:ascii="Times New Roman Regular" w:hAnsi="Times New Roman Regular" w:cs="Times New Roman Regular"/>
          <w:i w:val="0"/>
          <w:iCs w:val="0"/>
          <w:caps w:val="0"/>
          <w:color w:val="0E101A"/>
          <w:spacing w:val="0"/>
          <w:sz w:val="24"/>
          <w:szCs w:val="24"/>
          <w:u w:val="none"/>
          <w:lang w:val="en-US"/>
        </w:rPr>
        <w:t xml:space="preserve">. </w:t>
      </w:r>
      <w:r>
        <w:rPr>
          <w:rFonts w:hint="default" w:ascii="Times New Roman Regular" w:hAnsi="Times New Roman Regular" w:cs="Times New Roman Regular"/>
          <w:i w:val="0"/>
          <w:iCs w:val="0"/>
          <w:caps w:val="0"/>
          <w:color w:val="0E101A"/>
          <w:spacing w:val="0"/>
          <w:sz w:val="24"/>
          <w:szCs w:val="24"/>
          <w:u w:val="none"/>
        </w:rPr>
        <w:t>Task-Based Learning (TBL), derived from communicative language teaching, has gained prominence in language teaching methodology due to its emphasis on real-world language use, learner engagement, and authentic communication (Ellis, 2003).</w:t>
      </w:r>
      <w:r>
        <w:rPr>
          <w:rFonts w:hint="default" w:ascii="Times New Roman Regular" w:hAnsi="Times New Roman Regular" w:cs="Times New Roman Regular"/>
          <w:i w:val="0"/>
          <w:iCs w:val="0"/>
          <w:caps w:val="0"/>
          <w:color w:val="0E101A"/>
          <w:spacing w:val="0"/>
          <w:sz w:val="24"/>
          <w:szCs w:val="24"/>
          <w:u w:val="none"/>
          <w:lang w:val="en-US"/>
        </w:rPr>
        <w:t xml:space="preserve"> According to a review on Skehan’ book</w:t>
      </w:r>
      <w:r>
        <w:rPr>
          <w:rFonts w:hint="default" w:ascii="Times New Roman Italic" w:hAnsi="Times New Roman Italic" w:cs="Times New Roman Italic"/>
          <w:i/>
          <w:iCs/>
          <w:caps w:val="0"/>
          <w:color w:val="0E101A"/>
          <w:spacing w:val="0"/>
          <w:sz w:val="24"/>
          <w:szCs w:val="24"/>
          <w:u w:val="none"/>
          <w:lang w:val="en-US"/>
        </w:rPr>
        <w:t xml:space="preserve"> A Cognitive Approach to Language Learning</w:t>
      </w:r>
      <w:r>
        <w:rPr>
          <w:rFonts w:hint="default" w:ascii="Times New Roman Regular" w:hAnsi="Times New Roman Regular" w:cs="Times New Roman Regular"/>
          <w:i w:val="0"/>
          <w:iCs w:val="0"/>
          <w:caps w:val="0"/>
          <w:color w:val="0E101A"/>
          <w:spacing w:val="0"/>
          <w:sz w:val="24"/>
          <w:szCs w:val="24"/>
          <w:u w:val="none"/>
          <w:lang w:val="en-US"/>
        </w:rPr>
        <w:t xml:space="preserve">, it highlights the reason and </w:t>
      </w:r>
      <w:r>
        <w:rPr>
          <w:rFonts w:hint="default" w:ascii="Times New Roman Regular" w:hAnsi="Times New Roman Regular" w:cs="Times New Roman Regular"/>
          <w:i w:val="0"/>
          <w:iCs w:val="0"/>
          <w:color w:val="0E101A"/>
          <w:spacing w:val="0"/>
          <w:sz w:val="24"/>
          <w:szCs w:val="24"/>
          <w:u w:val="none"/>
          <w:lang w:val="en-US"/>
        </w:rPr>
        <w:t>effectiveness</w:t>
      </w:r>
      <w:r>
        <w:rPr>
          <w:rFonts w:hint="default" w:ascii="Times New Roman Regular" w:hAnsi="Times New Roman Regular" w:cs="Times New Roman Regular"/>
          <w:i w:val="0"/>
          <w:iCs w:val="0"/>
          <w:caps w:val="0"/>
          <w:color w:val="0E101A"/>
          <w:spacing w:val="0"/>
          <w:sz w:val="24"/>
          <w:szCs w:val="24"/>
          <w:u w:val="none"/>
          <w:lang w:val="en-US"/>
        </w:rPr>
        <w:t xml:space="preserve"> of TBL as a solution to for enhancing language learning efficiency. </w:t>
      </w:r>
      <w:r>
        <w:rPr>
          <w:rFonts w:hint="default" w:ascii="Times New Roman Regular" w:hAnsi="Times New Roman Regular" w:cs="Times New Roman Regular"/>
          <w:i w:val="0"/>
          <w:iCs w:val="0"/>
          <w:color w:val="0E101A"/>
          <w:spacing w:val="0"/>
          <w:sz w:val="24"/>
          <w:szCs w:val="24"/>
          <w:u w:val="none"/>
          <w:lang w:val="en-US"/>
        </w:rPr>
        <w:t>B</w:t>
      </w:r>
      <w:r>
        <w:rPr>
          <w:rFonts w:hint="default" w:ascii="Times New Roman Regular" w:hAnsi="Times New Roman Regular" w:cs="Times New Roman Regular"/>
          <w:i w:val="0"/>
          <w:iCs w:val="0"/>
          <w:caps w:val="0"/>
          <w:color w:val="0E101A"/>
          <w:spacing w:val="0"/>
          <w:sz w:val="24"/>
          <w:szCs w:val="24"/>
          <w:u w:val="none"/>
          <w:lang w:val="en-US"/>
        </w:rPr>
        <w:t xml:space="preserve">ecause it </w:t>
      </w:r>
      <w:r>
        <w:rPr>
          <w:rFonts w:hint="default" w:ascii="Times New Roman Regular" w:hAnsi="Times New Roman Regular" w:cs="Times New Roman Regular"/>
          <w:i w:val="0"/>
          <w:iCs w:val="0"/>
          <w:caps w:val="0"/>
          <w:color w:val="0E101A"/>
          <w:spacing w:val="0"/>
          <w:sz w:val="24"/>
          <w:szCs w:val="24"/>
          <w:u w:val="none"/>
        </w:rPr>
        <w:t>integrates writing tasks into meaningful, purposeful activities that reflect real-life language use (</w:t>
      </w:r>
      <w:r>
        <w:rPr>
          <w:rFonts w:hint="default" w:ascii="Times New Roman Regular" w:hAnsi="Times New Roman Regular" w:cs="Times New Roman Regular"/>
          <w:i w:val="0"/>
          <w:iCs w:val="0"/>
          <w:caps w:val="0"/>
          <w:color w:val="0E101A"/>
          <w:spacing w:val="0"/>
          <w:sz w:val="24"/>
          <w:szCs w:val="24"/>
          <w:u w:val="none"/>
          <w:lang w:val="en-US"/>
        </w:rPr>
        <w:t>Morita, 2000</w:t>
      </w:r>
      <w:r>
        <w:rPr>
          <w:rFonts w:hint="default" w:ascii="Times New Roman Regular" w:hAnsi="Times New Roman Regular" w:cs="Times New Roman Regular"/>
          <w:i w:val="0"/>
          <w:iCs w:val="0"/>
          <w:caps w:val="0"/>
          <w:color w:val="0E101A"/>
          <w:spacing w:val="0"/>
          <w:sz w:val="24"/>
          <w:szCs w:val="24"/>
          <w:u w:val="none"/>
        </w:rPr>
        <w:t>). Therefore, an assumption can be made that implementing TBL activities in adult English writing classes will enhance adult writing proficiency</w:t>
      </w:r>
      <w:r>
        <w:rPr>
          <w:rFonts w:hint="default" w:ascii="Times New Roman Regular" w:hAnsi="Times New Roman Regular" w:cs="Times New Roman Regular"/>
          <w:i w:val="0"/>
          <w:iCs w:val="0"/>
          <w:caps w:val="0"/>
          <w:color w:val="0E101A"/>
          <w:spacing w:val="0"/>
          <w:sz w:val="24"/>
          <w:szCs w:val="24"/>
          <w:u w:val="none"/>
          <w:lang w:val="en-US"/>
        </w:rPr>
        <w:t xml:space="preserve">, </w:t>
      </w:r>
      <w:r>
        <w:rPr>
          <w:rFonts w:hint="default" w:ascii="Times New Roman Regular" w:hAnsi="Times New Roman Regular" w:cs="Times New Roman Regular"/>
          <w:i w:val="0"/>
          <w:iCs w:val="0"/>
          <w:caps w:val="0"/>
          <w:color w:val="0E101A"/>
          <w:spacing w:val="0"/>
          <w:sz w:val="24"/>
          <w:szCs w:val="24"/>
          <w:u w:val="none"/>
        </w:rPr>
        <w:t xml:space="preserve">providing insights for EFL teachers in syllabus design in EFL classes. </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lang w:val="en-US"/>
        </w:rPr>
      </w:pPr>
      <w:r>
        <w:rPr>
          <w:rFonts w:hint="default" w:ascii="Times New Roman Regular" w:hAnsi="Times New Roman Regular" w:cs="Times New Roman Regular"/>
          <w:i w:val="0"/>
          <w:iCs w:val="0"/>
          <w:caps w:val="0"/>
          <w:color w:val="0E101A"/>
          <w:spacing w:val="0"/>
          <w:sz w:val="24"/>
          <w:szCs w:val="24"/>
          <w:u w:val="none"/>
          <w:lang w:val="en-US"/>
        </w:rPr>
        <w:t>In this investigation, a</w:t>
      </w:r>
      <w:r>
        <w:rPr>
          <w:rFonts w:hint="default" w:ascii="Times New Roman Regular" w:hAnsi="Times New Roman Regular" w:cs="Times New Roman Regular"/>
          <w:i w:val="0"/>
          <w:iCs w:val="0"/>
          <w:caps w:val="0"/>
          <w:color w:val="0E101A"/>
          <w:spacing w:val="0"/>
          <w:sz w:val="24"/>
          <w:szCs w:val="24"/>
          <w:u w:val="none"/>
        </w:rPr>
        <w:t xml:space="preserve"> case study will be conducted in one local community college, and data will be collected and analysed using a mixed quantitative and qualitative method. The implications of EFL teachers ' syllabus design will be </w:t>
      </w:r>
      <w:r>
        <w:rPr>
          <w:rFonts w:hint="eastAsia" w:ascii="Times New Roman Regular" w:hAnsi="Times New Roman Regular" w:cs="Times New Roman Regular"/>
          <w:i w:val="0"/>
          <w:iCs w:val="0"/>
          <w:color w:val="0E101A"/>
          <w:spacing w:val="0"/>
          <w:sz w:val="24"/>
          <w:szCs w:val="24"/>
          <w:u w:val="none"/>
          <w:lang w:eastAsia="zh-CN"/>
        </w:rPr>
        <w:t>finalized</w:t>
      </w:r>
      <w:r>
        <w:rPr>
          <w:rFonts w:hint="default" w:ascii="Times New Roman Regular" w:hAnsi="Times New Roman Regular" w:cs="Times New Roman Regular"/>
          <w:i w:val="0"/>
          <w:iCs w:val="0"/>
          <w:caps w:val="0"/>
          <w:color w:val="0E101A"/>
          <w:spacing w:val="0"/>
          <w:sz w:val="24"/>
          <w:szCs w:val="24"/>
          <w:u w:val="none"/>
        </w:rPr>
        <w:t xml:space="preserve"> after </w:t>
      </w:r>
      <w:r>
        <w:rPr>
          <w:rFonts w:hint="default" w:ascii="Times New Roman Regular" w:hAnsi="Times New Roman Regular" w:cs="Times New Roman Regular"/>
          <w:i w:val="0"/>
          <w:iCs w:val="0"/>
          <w:caps w:val="0"/>
          <w:color w:val="0E101A"/>
          <w:spacing w:val="0"/>
          <w:sz w:val="24"/>
          <w:szCs w:val="24"/>
          <w:u w:val="none"/>
          <w:lang w:val="en-US"/>
        </w:rPr>
        <w:t>data analysis.</w:t>
      </w:r>
    </w:p>
    <w:p>
      <w:pPr>
        <w:pStyle w:val="2"/>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rPr>
        <w:t>2. Aims of the Investigation:</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The questions to this research are:</w:t>
      </w:r>
    </w:p>
    <w:p>
      <w:pPr>
        <w:pStyle w:val="2"/>
        <w:keepNext w:val="0"/>
        <w:keepLines w:val="0"/>
        <w:widowControl/>
        <w:suppressLineNumbers w:val="0"/>
        <w:spacing w:before="0" w:beforeAutospacing="0" w:after="0" w:afterAutospacing="0" w:line="360" w:lineRule="auto"/>
        <w:ind w:left="0" w:leftChars="20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Will the application of TBL-based teaching increase adult learners' writing proficiency?</w:t>
      </w:r>
    </w:p>
    <w:p>
      <w:pPr>
        <w:pStyle w:val="2"/>
        <w:keepNext w:val="0"/>
        <w:keepLines w:val="0"/>
        <w:widowControl/>
        <w:suppressLineNumbers w:val="0"/>
        <w:spacing w:before="0" w:beforeAutospacing="0" w:after="0" w:afterAutospacing="0" w:line="360" w:lineRule="auto"/>
        <w:ind w:left="0" w:leftChars="20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Is TBL suitable for designing writing activities in adult EFL contexts?</w:t>
      </w:r>
    </w:p>
    <w:p>
      <w:pPr>
        <w:pStyle w:val="2"/>
        <w:keepNext w:val="0"/>
        <w:keepLines w:val="0"/>
        <w:widowControl/>
        <w:suppressLineNumbers w:val="0"/>
        <w:spacing w:before="0" w:beforeAutospacing="0" w:after="0" w:afterAutospacing="0" w:line="360" w:lineRule="auto"/>
        <w:ind w:left="0" w:leftChars="20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How can TBL be applied to syllabus design in adult EFL education?</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Correspondingly, the investigation objectives are:</w:t>
      </w:r>
    </w:p>
    <w:p>
      <w:pPr>
        <w:pStyle w:val="2"/>
        <w:keepNext w:val="0"/>
        <w:keepLines w:val="0"/>
        <w:widowControl/>
        <w:suppressLineNumbers w:val="0"/>
        <w:spacing w:before="0" w:beforeAutospacing="0" w:after="0" w:afterAutospacing="0" w:line="360" w:lineRule="auto"/>
        <w:ind w:left="0" w:leftChars="20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To assess the impact of TBL on adult learners' writing proficiency.</w:t>
      </w:r>
    </w:p>
    <w:p>
      <w:pPr>
        <w:pStyle w:val="2"/>
        <w:keepNext w:val="0"/>
        <w:keepLines w:val="0"/>
        <w:widowControl/>
        <w:suppressLineNumbers w:val="0"/>
        <w:spacing w:before="0" w:beforeAutospacing="0" w:after="0" w:afterAutospacing="0" w:line="360" w:lineRule="auto"/>
        <w:ind w:left="0" w:leftChars="20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To investigate the suitability of TBL for designing writing activities in adult ESL/EFL contexts. </w:t>
      </w:r>
    </w:p>
    <w:p>
      <w:pPr>
        <w:pStyle w:val="2"/>
        <w:keepNext w:val="0"/>
        <w:keepLines w:val="0"/>
        <w:widowControl/>
        <w:suppressLineNumbers w:val="0"/>
        <w:spacing w:before="0" w:beforeAutospacing="0" w:after="0" w:afterAutospacing="0" w:line="360" w:lineRule="auto"/>
        <w:ind w:left="0" w:leftChars="200" w:firstLine="0"/>
        <w:rPr>
          <w:rFonts w:hint="default" w:ascii="Times New Roman Regular" w:hAnsi="Times New Roman Regular" w:cs="Times New Roman Regular"/>
          <w:i w:val="0"/>
          <w:iCs w:val="0"/>
          <w:caps w:val="0"/>
          <w:color w:val="0E101A"/>
          <w:spacing w:val="0"/>
          <w:sz w:val="24"/>
          <w:szCs w:val="24"/>
          <w:u w:val="none"/>
        </w:rPr>
      </w:pPr>
      <w:r>
        <w:rPr>
          <w:rFonts w:hint="eastAsia" w:ascii="Times New Roman Regular" w:hAnsi="Times New Roman Regular" w:cs="Times New Roman Regular"/>
          <w:i w:val="0"/>
          <w:iCs w:val="0"/>
          <w:caps w:val="0"/>
          <w:color w:val="0E101A"/>
          <w:spacing w:val="0"/>
          <w:sz w:val="24"/>
          <w:szCs w:val="24"/>
          <w:u w:val="none"/>
          <w:lang w:val="en-US" w:eastAsia="zh-CN"/>
        </w:rPr>
        <w:t>T</w:t>
      </w:r>
      <w:r>
        <w:rPr>
          <w:rFonts w:hint="default" w:ascii="Times New Roman Regular" w:hAnsi="Times New Roman Regular" w:cs="Times New Roman Regular"/>
          <w:i w:val="0"/>
          <w:iCs w:val="0"/>
          <w:caps w:val="0"/>
          <w:color w:val="0E101A"/>
          <w:spacing w:val="0"/>
          <w:sz w:val="24"/>
          <w:szCs w:val="24"/>
          <w:u w:val="none"/>
        </w:rPr>
        <w:t>o provide insight into the implications of TBL for syllabus design in adult English as a Foreign Language (EFL) education</w:t>
      </w:r>
    </w:p>
    <w:p>
      <w:pPr>
        <w:pStyle w:val="2"/>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rPr>
        <w:t>3. Rationale and Main Conceptual Themes</w:t>
      </w:r>
    </w:p>
    <w:p>
      <w:pPr>
        <w:pStyle w:val="2"/>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rPr>
        <w:t>3.1 Literature review</w:t>
      </w:r>
    </w:p>
    <w:p>
      <w:pPr>
        <w:pStyle w:val="2"/>
        <w:keepNext w:val="0"/>
        <w:keepLines w:val="0"/>
        <w:widowControl/>
        <w:suppressLineNumbers w:val="0"/>
        <w:spacing w:before="0" w:beforeAutospacing="0" w:after="0" w:afterAutospacing="0" w:line="360" w:lineRule="auto"/>
        <w:ind w:left="0" w:firstLine="0"/>
        <w:rPr>
          <w:rFonts w:hint="eastAsia" w:ascii="Times New Roman Regular" w:hAnsi="Times New Roman Regular" w:cs="Times New Roman Regular"/>
          <w:i w:val="0"/>
          <w:iCs w:val="0"/>
          <w:caps w:val="0"/>
          <w:color w:val="0E101A"/>
          <w:spacing w:val="0"/>
          <w:sz w:val="24"/>
          <w:szCs w:val="24"/>
          <w:u w:val="none"/>
          <w:lang w:val="en-US" w:eastAsia="zh-CN"/>
        </w:rPr>
      </w:pPr>
      <w:r>
        <w:rPr>
          <w:rFonts w:hint="default" w:ascii="Times New Roman Regular" w:hAnsi="Times New Roman Regular" w:cs="Times New Roman Regular"/>
          <w:i w:val="0"/>
          <w:iCs w:val="0"/>
          <w:caps w:val="0"/>
          <w:color w:val="0E101A"/>
          <w:spacing w:val="0"/>
          <w:sz w:val="24"/>
          <w:szCs w:val="24"/>
          <w:u w:val="none"/>
        </w:rPr>
        <w:t>Numerous scholars have conducted studies on CTL, Rod Ellis (200</w:t>
      </w:r>
      <w:r>
        <w:rPr>
          <w:rFonts w:hint="default" w:ascii="Times New Roman Regular" w:hAnsi="Times New Roman Regular" w:cs="Times New Roman Regular"/>
          <w:i w:val="0"/>
          <w:iCs w:val="0"/>
          <w:caps w:val="0"/>
          <w:color w:val="0E101A"/>
          <w:spacing w:val="0"/>
          <w:sz w:val="24"/>
          <w:szCs w:val="24"/>
          <w:u w:val="none"/>
          <w:lang w:val="en-US"/>
        </w:rPr>
        <w:t>3</w:t>
      </w:r>
      <w:r>
        <w:rPr>
          <w:rFonts w:hint="default" w:ascii="Times New Roman Regular" w:hAnsi="Times New Roman Regular" w:cs="Times New Roman Regular"/>
          <w:i w:val="0"/>
          <w:iCs w:val="0"/>
          <w:caps w:val="0"/>
          <w:color w:val="0E101A"/>
          <w:spacing w:val="0"/>
          <w:sz w:val="24"/>
          <w:szCs w:val="24"/>
          <w:u w:val="none"/>
        </w:rPr>
        <w:t>) provide</w:t>
      </w:r>
      <w:r>
        <w:rPr>
          <w:rFonts w:hint="default" w:ascii="Times New Roman Regular" w:hAnsi="Times New Roman Regular" w:cs="Times New Roman Regular"/>
          <w:i w:val="0"/>
          <w:iCs w:val="0"/>
          <w:caps w:val="0"/>
          <w:color w:val="0E101A"/>
          <w:spacing w:val="0"/>
          <w:sz w:val="24"/>
          <w:szCs w:val="24"/>
          <w:u w:val="none"/>
          <w:lang w:val="en-US"/>
        </w:rPr>
        <w:t>d</w:t>
      </w:r>
      <w:r>
        <w:rPr>
          <w:rFonts w:hint="default" w:ascii="Times New Roman Regular" w:hAnsi="Times New Roman Regular" w:cs="Times New Roman Regular"/>
          <w:i w:val="0"/>
          <w:iCs w:val="0"/>
          <w:caps w:val="0"/>
          <w:color w:val="0E101A"/>
          <w:spacing w:val="0"/>
          <w:sz w:val="24"/>
          <w:szCs w:val="24"/>
          <w:u w:val="none"/>
        </w:rPr>
        <w:t xml:space="preserve"> a comprehensive TBL overview in their book </w:t>
      </w:r>
      <w:r>
        <w:rPr>
          <w:rFonts w:hint="default" w:ascii="Times New Roman Italic" w:hAnsi="Times New Roman Italic" w:cs="Times New Roman Italic"/>
          <w:i/>
          <w:iCs/>
          <w:caps w:val="0"/>
          <w:color w:val="0E101A"/>
          <w:spacing w:val="0"/>
          <w:sz w:val="24"/>
          <w:szCs w:val="24"/>
          <w:u w:val="none"/>
        </w:rPr>
        <w:t>Task-Based Language Learning and Teaching</w:t>
      </w:r>
      <w:r>
        <w:rPr>
          <w:rFonts w:hint="default" w:ascii="Times New Roman Regular" w:hAnsi="Times New Roman Regular" w:cs="Times New Roman Regular"/>
          <w:i w:val="0"/>
          <w:iCs w:val="0"/>
          <w:caps w:val="0"/>
          <w:color w:val="0E101A"/>
          <w:spacing w:val="0"/>
          <w:sz w:val="24"/>
          <w:szCs w:val="24"/>
          <w:u w:val="none"/>
        </w:rPr>
        <w:t xml:space="preserve">. It explores different types of tasks, task design principles, and the role of tasks in promoting language acquisition. Emphasises the importance of task authenticity, task complexity, and task sequencing. Ellis advocates that tasks should reflect real-life language use and challenge learners at appropriate levels. Jane Willis (1996) offered a practical framework for TBL implementation, emphasising task authenticity, repetition, and language support to facilitate meaningful communication and language practice in the book </w:t>
      </w:r>
      <w:r>
        <w:rPr>
          <w:rFonts w:hint="default" w:ascii="Times New Roman Italic" w:hAnsi="Times New Roman Italic" w:cs="Times New Roman Italic"/>
          <w:i/>
          <w:iCs/>
          <w:caps w:val="0"/>
          <w:color w:val="0E101A"/>
          <w:spacing w:val="0"/>
          <w:sz w:val="24"/>
          <w:szCs w:val="24"/>
          <w:u w:val="none"/>
        </w:rPr>
        <w:t>A Framework for Task-Based Learning</w:t>
      </w:r>
      <w:r>
        <w:rPr>
          <w:rFonts w:hint="default" w:ascii="Times New Roman Regular" w:hAnsi="Times New Roman Regular" w:cs="Times New Roman Regular"/>
          <w:i w:val="0"/>
          <w:iCs w:val="0"/>
          <w:caps w:val="0"/>
          <w:color w:val="0E101A"/>
          <w:spacing w:val="0"/>
          <w:sz w:val="24"/>
          <w:szCs w:val="24"/>
          <w:u w:val="none"/>
        </w:rPr>
        <w:t>. Their studies have provided the theatrical foundation for TBL studies. For its implementation, David Nunan</w:t>
      </w:r>
      <w:r>
        <w:rPr>
          <w:rFonts w:hint="default" w:ascii="Times New Roman Regular" w:hAnsi="Times New Roman Regular" w:cs="Times New Roman Regular"/>
          <w:i w:val="0"/>
          <w:iCs w:val="0"/>
          <w:caps w:val="0"/>
          <w:color w:val="0E101A"/>
          <w:spacing w:val="0"/>
          <w:sz w:val="24"/>
          <w:szCs w:val="24"/>
          <w:u w:val="none"/>
          <w:lang w:val="en-US"/>
        </w:rPr>
        <w:t xml:space="preserve"> (</w:t>
      </w:r>
      <w:r>
        <w:rPr>
          <w:rFonts w:hint="default" w:ascii="Times New Roman Regular" w:hAnsi="Times New Roman Regular" w:cs="Times New Roman Regular"/>
          <w:i w:val="0"/>
          <w:iCs w:val="0"/>
          <w:caps w:val="0"/>
          <w:color w:val="0E101A"/>
          <w:spacing w:val="0"/>
          <w:sz w:val="24"/>
          <w:szCs w:val="24"/>
          <w:u w:val="none"/>
        </w:rPr>
        <w:t>1989)</w:t>
      </w:r>
      <w:r>
        <w:rPr>
          <w:rFonts w:hint="default" w:ascii="Times New Roman Regular" w:hAnsi="Times New Roman Regular" w:cs="Times New Roman Regular"/>
          <w:i w:val="0"/>
          <w:iCs w:val="0"/>
          <w:caps w:val="0"/>
          <w:color w:val="0E101A"/>
          <w:spacing w:val="0"/>
          <w:sz w:val="24"/>
          <w:szCs w:val="24"/>
          <w:u w:val="none"/>
        </w:rPr>
        <w:t xml:space="preserve"> </w:t>
      </w:r>
      <w:r>
        <w:rPr>
          <w:rFonts w:hint="default" w:ascii="Times New Roman Regular" w:hAnsi="Times New Roman Regular" w:cs="Times New Roman Regular"/>
          <w:i w:val="0"/>
          <w:iCs w:val="0"/>
          <w:caps w:val="0"/>
          <w:color w:val="0E101A"/>
          <w:spacing w:val="0"/>
          <w:sz w:val="24"/>
          <w:szCs w:val="24"/>
          <w:u w:val="none"/>
          <w:lang w:val="en-US"/>
        </w:rPr>
        <w:t xml:space="preserve">has </w:t>
      </w:r>
      <w:r>
        <w:rPr>
          <w:rFonts w:hint="default" w:ascii="Times New Roman Regular" w:hAnsi="Times New Roman Regular" w:cs="Times New Roman Regular"/>
          <w:i w:val="0"/>
          <w:iCs w:val="0"/>
          <w:caps w:val="0"/>
          <w:color w:val="0E101A"/>
          <w:spacing w:val="0"/>
          <w:sz w:val="24"/>
          <w:szCs w:val="24"/>
          <w:u w:val="none"/>
        </w:rPr>
        <w:t>design</w:t>
      </w:r>
      <w:r>
        <w:rPr>
          <w:rFonts w:hint="default" w:ascii="Times New Roman Regular" w:hAnsi="Times New Roman Regular" w:cs="Times New Roman Regular"/>
          <w:i w:val="0"/>
          <w:iCs w:val="0"/>
          <w:caps w:val="0"/>
          <w:color w:val="0E101A"/>
          <w:spacing w:val="0"/>
          <w:sz w:val="24"/>
          <w:szCs w:val="24"/>
          <w:u w:val="none"/>
          <w:lang w:val="en-US"/>
        </w:rPr>
        <w:t xml:space="preserve">ed </w:t>
      </w:r>
      <w:r>
        <w:rPr>
          <w:rFonts w:hint="default" w:ascii="Times New Roman Regular" w:hAnsi="Times New Roman Regular" w:cs="Times New Roman Regular"/>
          <w:i w:val="0"/>
          <w:iCs w:val="0"/>
          <w:caps w:val="0"/>
          <w:color w:val="0E101A"/>
          <w:spacing w:val="0"/>
          <w:sz w:val="24"/>
          <w:szCs w:val="24"/>
          <w:u w:val="none"/>
        </w:rPr>
        <w:t>activities for a communicative classroom covers various tasks, task-based syllabus design, task sequencing, and the integration of tasks with other language teaching approaches. TBL offers a learner-centred approach that encourages active engagement and participation. In 1998, Peter Skehan concentrated on task complexity and sequence, proposing that tasks with different cognitive requirements can support language acquisition, offering valuable insights into the cognitive processes at the core of TBL. Together, these academics underline the significance of genuine tasks, learner involvement, and cognitive challenge in fostering effective language learning through TBL.</w:t>
      </w:r>
      <w:r>
        <w:rPr>
          <w:rFonts w:hint="eastAsia" w:ascii="Times New Roman Regular" w:hAnsi="Times New Roman Regular" w:cs="Times New Roman Regular"/>
          <w:i w:val="0"/>
          <w:iCs w:val="0"/>
          <w:caps w:val="0"/>
          <w:color w:val="0E101A"/>
          <w:spacing w:val="0"/>
          <w:sz w:val="24"/>
          <w:szCs w:val="24"/>
          <w:u w:val="none"/>
          <w:lang w:val="en-US" w:eastAsia="zh-CN"/>
        </w:rPr>
        <w:t xml:space="preserve"> </w:t>
      </w:r>
    </w:p>
    <w:p>
      <w:pPr>
        <w:pStyle w:val="2"/>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rPr>
        <w:t>3.2 Significance of the investigation and motivation </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 xml:space="preserve">The significance of this investigation lies in its potential to enhance the pedagogical practices in adult ESL/EFL education and to enhance writing </w:t>
      </w:r>
      <w:r>
        <w:rPr>
          <w:rFonts w:hint="default" w:ascii="Times New Roman Regular" w:hAnsi="Times New Roman Regular" w:cs="Times New Roman Regular"/>
          <w:i w:val="0"/>
          <w:iCs w:val="0"/>
          <w:caps w:val="0"/>
          <w:color w:val="0E101A"/>
          <w:spacing w:val="0"/>
          <w:sz w:val="24"/>
          <w:szCs w:val="24"/>
          <w:u w:val="none"/>
        </w:rPr>
        <w:t xml:space="preserve">instruction </w:t>
      </w:r>
      <w:r>
        <w:rPr>
          <w:rFonts w:hint="default" w:ascii="Times New Roman Regular" w:hAnsi="Times New Roman Regular" w:cs="Times New Roman Regular"/>
          <w:i w:val="0"/>
          <w:iCs w:val="0"/>
          <w:caps w:val="0"/>
          <w:color w:val="0E101A"/>
          <w:spacing w:val="0"/>
          <w:sz w:val="24"/>
          <w:szCs w:val="24"/>
          <w:u w:val="none"/>
        </w:rPr>
        <w:t>for adult learners</w:t>
      </w:r>
      <w:r>
        <w:rPr>
          <w:rFonts w:hint="default" w:ascii="Times New Roman Regular" w:hAnsi="Times New Roman Regular" w:cs="Times New Roman Regular"/>
          <w:i w:val="0"/>
          <w:iCs w:val="0"/>
          <w:caps w:val="0"/>
          <w:color w:val="0E101A"/>
          <w:spacing w:val="0"/>
          <w:sz w:val="24"/>
          <w:szCs w:val="24"/>
          <w:u w:val="none"/>
          <w:lang w:val="en-US"/>
        </w:rPr>
        <w:t>.</w:t>
      </w:r>
      <w:r>
        <w:rPr>
          <w:rFonts w:hint="default" w:ascii="Times New Roman Regular" w:hAnsi="Times New Roman Regular" w:cs="Times New Roman Regular"/>
          <w:i w:val="0"/>
          <w:iCs w:val="0"/>
          <w:caps w:val="0"/>
          <w:color w:val="0E101A"/>
          <w:spacing w:val="0"/>
          <w:sz w:val="24"/>
          <w:szCs w:val="24"/>
          <w:u w:val="none"/>
        </w:rPr>
        <w:t xml:space="preserve"> </w:t>
      </w:r>
      <w:r>
        <w:rPr>
          <w:rFonts w:hint="default" w:ascii="Times New Roman Regular" w:hAnsi="Times New Roman Regular" w:cs="Times New Roman Regular"/>
          <w:i w:val="0"/>
          <w:iCs w:val="0"/>
          <w:caps w:val="0"/>
          <w:color w:val="0E101A"/>
          <w:spacing w:val="0"/>
          <w:sz w:val="24"/>
          <w:szCs w:val="24"/>
          <w:u w:val="none"/>
        </w:rPr>
        <w:t>Liaqat and Munteanu (2018) conducted a study and found that improving the written literacy of newcomers to English-speaking countries can lead to better education, employment, or social integration opportunities (Liaqat and Munteanu, 2018). Meanwhile, traditional approaches to writing instruction may focus heavily on grammar and structure, neglecting the development of communicative competence (Byrne, 19</w:t>
      </w:r>
      <w:r>
        <w:rPr>
          <w:rFonts w:hint="default" w:ascii="Times New Roman Regular" w:hAnsi="Times New Roman Regular" w:cs="Times New Roman Regular"/>
          <w:i w:val="0"/>
          <w:iCs w:val="0"/>
          <w:caps w:val="0"/>
          <w:color w:val="0E101A"/>
          <w:spacing w:val="0"/>
          <w:sz w:val="24"/>
          <w:szCs w:val="24"/>
          <w:u w:val="none"/>
          <w:lang w:val="en-US"/>
        </w:rPr>
        <w:t>95</w:t>
      </w:r>
      <w:r>
        <w:rPr>
          <w:rFonts w:hint="default" w:ascii="Times New Roman Regular" w:hAnsi="Times New Roman Regular" w:cs="Times New Roman Regular"/>
          <w:i w:val="0"/>
          <w:iCs w:val="0"/>
          <w:caps w:val="0"/>
          <w:color w:val="0E101A"/>
          <w:spacing w:val="0"/>
          <w:sz w:val="24"/>
          <w:szCs w:val="24"/>
          <w:u w:val="none"/>
        </w:rPr>
        <w:t>). The growing demands for effective EFL teaching methods provide inspiration to investigate EFL adult teaching methods. Adendorff (2014) conducted a research with university students in Afrikaans, finding out that by apply TBL activities, it improved learners’ communication skills</w:t>
      </w:r>
      <w:r>
        <w:rPr>
          <w:rFonts w:hint="default" w:ascii="Times New Roman Regular" w:hAnsi="Times New Roman Regular" w:cs="Times New Roman Regular"/>
          <w:i w:val="0"/>
          <w:iCs w:val="0"/>
          <w:caps w:val="0"/>
          <w:color w:val="0E101A"/>
          <w:spacing w:val="0"/>
          <w:sz w:val="24"/>
          <w:szCs w:val="24"/>
          <w:u w:val="none"/>
          <w:lang w:val="en-US"/>
        </w:rPr>
        <w:t xml:space="preserve">. TBL </w:t>
      </w:r>
      <w:r>
        <w:rPr>
          <w:rFonts w:hint="default" w:ascii="Times New Roman Regular" w:hAnsi="Times New Roman Regular" w:cs="Times New Roman Regular"/>
          <w:i w:val="0"/>
          <w:iCs w:val="0"/>
          <w:caps w:val="0"/>
          <w:color w:val="0E101A"/>
          <w:spacing w:val="0"/>
          <w:sz w:val="24"/>
          <w:szCs w:val="24"/>
          <w:u w:val="none"/>
        </w:rPr>
        <w:t>satisfie</w:t>
      </w:r>
      <w:r>
        <w:rPr>
          <w:rFonts w:hint="default" w:ascii="Times New Roman Regular" w:hAnsi="Times New Roman Regular" w:cs="Times New Roman Regular"/>
          <w:i w:val="0"/>
          <w:iCs w:val="0"/>
          <w:caps w:val="0"/>
          <w:color w:val="0E101A"/>
          <w:spacing w:val="0"/>
          <w:sz w:val="24"/>
          <w:szCs w:val="24"/>
          <w:u w:val="none"/>
          <w:lang w:val="en-US"/>
        </w:rPr>
        <w:t>s</w:t>
      </w:r>
      <w:r>
        <w:rPr>
          <w:rFonts w:hint="default" w:ascii="Times New Roman Regular" w:hAnsi="Times New Roman Regular" w:cs="Times New Roman Regular"/>
          <w:i w:val="0"/>
          <w:iCs w:val="0"/>
          <w:caps w:val="0"/>
          <w:color w:val="0E101A"/>
          <w:spacing w:val="0"/>
          <w:sz w:val="24"/>
          <w:szCs w:val="24"/>
          <w:u w:val="none"/>
        </w:rPr>
        <w:t xml:space="preserve"> the adult learners' practical needs by focusing on the communicative purpose of language. Academically, this investigation aligns with current trends in language teaching methodologies. It will provide insights for language teachers in language teaching methodologies and contribute to the ongoing discourse on effective pedagogical practices in adult language education.</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The research is necessary because it is meaningful for adult language learners, educators and EFL relevant personnel by providing application solutions to a practical issue. For adult language learners, improving the written literacy of newcomers to English-speaking countries can lead to better education, employment, or social integration opportunities (Liaqat and Munteanu, 2018). For EFL teachers, integrating writing tasks into meaningful, purposeful activities that reflect real-life language use can enhance their teaching efficiency (Skehan, 1998). Moreover, it is crucial for enhancing pedagogical practices and meeting the diverse needs of learners. Writing is a complex skill in language learning, often presenting challenges for adult EFL learners. </w:t>
      </w:r>
    </w:p>
    <w:p>
      <w:pPr>
        <w:pStyle w:val="2"/>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rPr>
        <w:t>4. Evidence to be Collected</w:t>
      </w:r>
    </w:p>
    <w:p>
      <w:pPr>
        <w:keepNext w:val="0"/>
        <w:keepLines w:val="0"/>
        <w:widowControl/>
        <w:suppressLineNumbers w:val="0"/>
        <w:spacing w:line="360" w:lineRule="auto"/>
        <w:jc w:val="left"/>
        <w:rPr>
          <w:rFonts w:hint="default" w:ascii="Times New Roman Regular" w:hAnsi="Times New Roman Regular" w:cs="Times New Roman Regular" w:eastAsiaTheme="minorEastAsia"/>
          <w:i w:val="0"/>
          <w:iCs w:val="0"/>
          <w:caps w:val="0"/>
          <w:color w:val="0E101A"/>
          <w:spacing w:val="0"/>
          <w:kern w:val="0"/>
          <w:sz w:val="24"/>
          <w:szCs w:val="24"/>
          <w:u w:val="none"/>
          <w:lang w:val="en-US" w:eastAsia="zh-CN" w:bidi="ar"/>
        </w:rPr>
      </w:pPr>
      <w:r>
        <w:rPr>
          <w:rFonts w:hint="default" w:ascii="Times New Roman Regular" w:hAnsi="Times New Roman Regular" w:cs="Times New Roman Regular" w:eastAsiaTheme="minorEastAsia"/>
          <w:i w:val="0"/>
          <w:iCs w:val="0"/>
          <w:caps w:val="0"/>
          <w:color w:val="0E101A"/>
          <w:spacing w:val="0"/>
          <w:kern w:val="0"/>
          <w:sz w:val="24"/>
          <w:szCs w:val="24"/>
          <w:u w:val="none"/>
          <w:lang w:val="en-US" w:eastAsia="zh-CN" w:bidi="ar"/>
        </w:rPr>
        <w:t>Primary and secondary data will be collected through qualitative and quantitative methods. Test scores, the teacher's syllabus, observation notes, and questionnaires will be collected at the beginning and end of the TBL activities ( Bhandari, 2022). </w:t>
      </w:r>
    </w:p>
    <w:p>
      <w:pPr>
        <w:pStyle w:val="2"/>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rPr>
        <w:t>5. Data Collection and Data Analysis </w:t>
      </w:r>
    </w:p>
    <w:p>
      <w:pPr>
        <w:pStyle w:val="2"/>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u w:val="none"/>
          <w:lang w:val="en-US"/>
        </w:rPr>
      </w:pPr>
      <w:r>
        <w:rPr>
          <w:rFonts w:hint="default" w:ascii="Times New Roman Bold" w:hAnsi="Times New Roman Bold" w:cs="Times New Roman Bold"/>
          <w:b/>
          <w:bCs/>
          <w:i w:val="0"/>
          <w:iCs w:val="0"/>
          <w:caps w:val="0"/>
          <w:color w:val="0E101A"/>
          <w:spacing w:val="0"/>
          <w:sz w:val="24"/>
          <w:szCs w:val="24"/>
          <w:u w:val="none"/>
          <w:lang w:val="en-US"/>
        </w:rPr>
        <w:t>5.1 Data Collection</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Data will be collected through a mixed-methods approach combining qualitative and quantitative techniques, including writing tests, document analysis, observation, interview, and questionnaire. The data collection covers the whole period of the investigation.</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Style w:val="6"/>
          <w:rFonts w:hint="default" w:ascii="Times New Roman Regular" w:hAnsi="Times New Roman Regular" w:cs="Times New Roman Regular"/>
          <w:i w:val="0"/>
          <w:iCs w:val="0"/>
          <w:caps w:val="0"/>
          <w:color w:val="0E101A"/>
          <w:spacing w:val="0"/>
          <w:sz w:val="24"/>
          <w:szCs w:val="24"/>
          <w:u w:val="none"/>
        </w:rPr>
        <w:t>Document analysis:</w:t>
      </w:r>
      <w:r>
        <w:rPr>
          <w:rFonts w:hint="default" w:ascii="Times New Roman Regular" w:hAnsi="Times New Roman Regular" w:cs="Times New Roman Regular"/>
          <w:i w:val="0"/>
          <w:iCs w:val="0"/>
          <w:caps w:val="0"/>
          <w:color w:val="0E101A"/>
          <w:spacing w:val="0"/>
          <w:sz w:val="24"/>
          <w:szCs w:val="24"/>
          <w:u w:val="none"/>
        </w:rPr>
        <w:t> In the planning stage of this investigation, the research will collect and study the most influential research on TBL, adult EFL teaching activities, syllabus design and other EFL studies. </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lang w:val="en-US"/>
        </w:rPr>
      </w:pPr>
      <w:r>
        <w:rPr>
          <w:rFonts w:hint="default" w:ascii="Times New Roman Regular" w:hAnsi="Times New Roman Regular" w:cs="Times New Roman Regular"/>
          <w:i w:val="0"/>
          <w:iCs w:val="0"/>
          <w:caps w:val="0"/>
          <w:color w:val="0E101A"/>
          <w:spacing w:val="0"/>
          <w:sz w:val="24"/>
          <w:szCs w:val="24"/>
          <w:u w:val="none"/>
        </w:rPr>
        <w:t>Before the test, participants will complete a pre-test to assess their writing proficiency. The pre-test will consist of a writing task that evaluates various aspects of writing skills, such as grammar, vocabulary, coherence, and organisation. The task scores and writing samples are collected to assess the change in writing proficiency</w:t>
      </w:r>
      <w:r>
        <w:rPr>
          <w:rFonts w:hint="default" w:ascii="Times New Roman Regular" w:hAnsi="Times New Roman Regular" w:cs="Times New Roman Regular"/>
          <w:i w:val="0"/>
          <w:iCs w:val="0"/>
          <w:caps w:val="0"/>
          <w:color w:val="0E101A"/>
          <w:spacing w:val="0"/>
          <w:sz w:val="24"/>
          <w:szCs w:val="24"/>
          <w:u w:val="none"/>
          <w:lang w:val="en-US"/>
        </w:rPr>
        <w:t>.</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The TBL intervention will involve designing and implementing writing tasks based on TBL principles during the test. Tasks will be authentic, meaningful, and scaffolded to support learners' language development. Activities may include collaborative writing tasks, problem-solving tasks, and project-based tasks designed to engage learners in real-world writing situations. The researcher will observe the classes monthly, focusing on participants' performance and learning status, to examine whether the application of TBL activities in EFL teaching is suitable for adults.</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After the test, participants will complete a post-test similar to the pre-test to assess their writing proficiency. The post-test will measure any changes or improvements in writing skills following the TBL intervention. The researcher will interview 10 participants from each group, and a questionnaire will be given to all the participants, including teachers. The questionnaire will be designed with both close-end and open-ended questions. Sample questions are listed below:</w:t>
      </w:r>
    </w:p>
    <w:p>
      <w:pPr>
        <w:pStyle w:val="2"/>
        <w:keepNext w:val="0"/>
        <w:keepLines w:val="0"/>
        <w:widowControl/>
        <w:suppressLineNumbers w:val="0"/>
        <w:spacing w:before="0" w:beforeAutospacing="0" w:after="0" w:afterAutospacing="0" w:line="360" w:lineRule="auto"/>
        <w:ind w:left="0" w:leftChars="10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rPr>
        <w:t>Close-end question:</w:t>
      </w:r>
      <w:r>
        <w:rPr>
          <w:rFonts w:hint="default" w:ascii="Times New Roman Regular" w:hAnsi="Times New Roman Regular" w:cs="Times New Roman Regular"/>
          <w:i w:val="0"/>
          <w:iCs w:val="0"/>
          <w:caps w:val="0"/>
          <w:color w:val="0E101A"/>
          <w:spacing w:val="0"/>
          <w:sz w:val="24"/>
          <w:szCs w:val="24"/>
          <w:u w:val="none"/>
        </w:rPr>
        <w:t xml:space="preserve"> "What is your writing test score before and after the class?"; "Do you feel engaged in the TBL activities in the writing class? Rate the level of engagement from 1 to 10."</w:t>
      </w:r>
    </w:p>
    <w:p>
      <w:pPr>
        <w:pStyle w:val="2"/>
        <w:keepNext w:val="0"/>
        <w:keepLines w:val="0"/>
        <w:widowControl/>
        <w:suppressLineNumbers w:val="0"/>
        <w:spacing w:before="0" w:beforeAutospacing="0" w:after="0" w:afterAutospacing="0" w:line="360" w:lineRule="auto"/>
        <w:ind w:left="0" w:leftChars="10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rPr>
        <w:t xml:space="preserve">Open-ended question: </w:t>
      </w:r>
      <w:r>
        <w:rPr>
          <w:rFonts w:hint="default" w:ascii="Times New Roman Regular" w:hAnsi="Times New Roman Regular" w:cs="Times New Roman Regular"/>
          <w:i w:val="0"/>
          <w:iCs w:val="0"/>
          <w:caps w:val="0"/>
          <w:color w:val="0E101A"/>
          <w:spacing w:val="0"/>
          <w:sz w:val="24"/>
          <w:szCs w:val="24"/>
          <w:u w:val="none"/>
        </w:rPr>
        <w:t>"What do you think is the mean reason for the increase/decrease of your test score?" </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Moreover, individual background information, such as age, gender, education level, and L1 language, will be collected through a questionnaire.</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The teachers' syllabus, TBL activities plan, and other related material will be collected for a thematic analysis.</w:t>
      </w:r>
    </w:p>
    <w:p>
      <w:pPr>
        <w:pStyle w:val="2"/>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lang w:val="en-US"/>
        </w:rPr>
        <w:t xml:space="preserve">5.2 </w:t>
      </w:r>
      <w:r>
        <w:rPr>
          <w:rFonts w:hint="default" w:ascii="Times New Roman Bold" w:hAnsi="Times New Roman Bold" w:cs="Times New Roman Bold"/>
          <w:b/>
          <w:bCs/>
          <w:i w:val="0"/>
          <w:iCs w:val="0"/>
          <w:caps w:val="0"/>
          <w:color w:val="0E101A"/>
          <w:spacing w:val="0"/>
          <w:sz w:val="24"/>
          <w:szCs w:val="24"/>
          <w:u w:val="none"/>
        </w:rPr>
        <w:t>Data Analysis:</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Style w:val="6"/>
          <w:rFonts w:hint="default" w:ascii="Times New Roman Regular" w:hAnsi="Times New Roman Regular" w:cs="Times New Roman Regular"/>
          <w:i w:val="0"/>
          <w:iCs w:val="0"/>
          <w:caps w:val="0"/>
          <w:color w:val="0E101A"/>
          <w:spacing w:val="0"/>
          <w:sz w:val="24"/>
          <w:szCs w:val="24"/>
          <w:u w:val="none"/>
        </w:rPr>
        <w:t>Quantitative Analysis:</w:t>
      </w:r>
      <w:r>
        <w:rPr>
          <w:rFonts w:hint="default" w:ascii="Times New Roman Regular" w:hAnsi="Times New Roman Regular" w:cs="Times New Roman Regular"/>
          <w:i w:val="0"/>
          <w:iCs w:val="0"/>
          <w:caps w:val="0"/>
          <w:color w:val="0E101A"/>
          <w:spacing w:val="0"/>
          <w:sz w:val="24"/>
          <w:szCs w:val="24"/>
          <w:u w:val="none"/>
        </w:rPr>
        <w:t> Quantitative data from the pre-test and post-test writing samples will be analysed using statistical methods to measure participant writing proficiency changes. Statistical tests, such as paired t-tests, will be conducted to compare pre-test and post-test scores and determine if there are significant improvements. In this case, the average score and standard variation will be calculated using SPSS or Excel. The maximum and minimum values of the differences between pre- and post-test scores will be finalised and analysed using qualitative data to determine the reason for score fluctuation.</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Style w:val="6"/>
          <w:rFonts w:hint="default" w:ascii="Times New Roman Regular" w:hAnsi="Times New Roman Regular" w:cs="Times New Roman Regular"/>
          <w:i w:val="0"/>
          <w:iCs w:val="0"/>
          <w:caps w:val="0"/>
          <w:color w:val="0E101A"/>
          <w:spacing w:val="0"/>
          <w:sz w:val="24"/>
          <w:szCs w:val="24"/>
          <w:u w:val="none"/>
        </w:rPr>
        <w:t>Qualitative Analysis:</w:t>
      </w:r>
      <w:r>
        <w:rPr>
          <w:rFonts w:hint="default" w:ascii="Times New Roman Regular" w:hAnsi="Times New Roman Regular" w:cs="Times New Roman Regular"/>
          <w:i w:val="0"/>
          <w:iCs w:val="0"/>
          <w:caps w:val="0"/>
          <w:color w:val="0E101A"/>
          <w:spacing w:val="0"/>
          <w:sz w:val="24"/>
          <w:szCs w:val="24"/>
          <w:u w:val="none"/>
        </w:rPr>
        <w:t> Qualitative data from the questionnaires and observations will be analysed thematically to identify themes and insights into participants' experiences with TBL</w:t>
      </w:r>
      <w:r>
        <w:rPr>
          <w:rFonts w:hint="default" w:ascii="Times New Roman Regular" w:hAnsi="Times New Roman Regular" w:cs="Times New Roman Regular"/>
          <w:i w:val="0"/>
          <w:iCs w:val="0"/>
          <w:caps w:val="0"/>
          <w:color w:val="0E101A"/>
          <w:spacing w:val="0"/>
          <w:sz w:val="24"/>
          <w:szCs w:val="24"/>
          <w:u w:val="none"/>
          <w:lang w:val="en-US"/>
        </w:rPr>
        <w:t xml:space="preserve"> </w:t>
      </w:r>
      <w:r>
        <w:rPr>
          <w:rFonts w:hint="default" w:ascii="Times New Roman Regular" w:hAnsi="Times New Roman Regular" w:cs="Times New Roman Regular"/>
          <w:i w:val="0"/>
          <w:iCs w:val="0"/>
          <w:caps w:val="0"/>
          <w:color w:val="0E101A"/>
          <w:spacing w:val="0"/>
          <w:sz w:val="24"/>
          <w:szCs w:val="24"/>
          <w:u w:val="none"/>
          <w:lang w:val="en-US"/>
        </w:rPr>
        <w:t>(</w:t>
      </w:r>
      <w:r>
        <w:rPr>
          <w:rFonts w:hint="default" w:ascii="Times New Roman Regular" w:hAnsi="Times New Roman Regular" w:cs="Times New Roman Regular"/>
          <w:i w:val="0"/>
          <w:iCs w:val="0"/>
          <w:caps w:val="0"/>
          <w:color w:val="0E101A"/>
          <w:spacing w:val="0"/>
          <w:sz w:val="24"/>
          <w:szCs w:val="24"/>
          <w:u w:val="none"/>
          <w:lang w:val="en-US"/>
        </w:rPr>
        <w:t>Caulfield, 2022)</w:t>
      </w:r>
      <w:r>
        <w:rPr>
          <w:rFonts w:hint="default" w:ascii="Times New Roman Regular" w:hAnsi="Times New Roman Regular" w:cs="Times New Roman Regular"/>
          <w:i w:val="0"/>
          <w:iCs w:val="0"/>
          <w:caps w:val="0"/>
          <w:color w:val="0E101A"/>
          <w:spacing w:val="0"/>
          <w:sz w:val="24"/>
          <w:szCs w:val="24"/>
          <w:u w:val="none"/>
        </w:rPr>
        <w:t>. Thematic analysis will be used to categorise and interpret participants' responses and observations from the classroom. By combining quantitative and qualitative data collection methods and analysis techniques</w:t>
      </w:r>
      <w:r>
        <w:rPr>
          <w:rFonts w:hint="default" w:ascii="Times New Roman Regular" w:hAnsi="Times New Roman Regular" w:cs="Times New Roman Regular"/>
          <w:i w:val="0"/>
          <w:iCs w:val="0"/>
          <w:caps w:val="0"/>
          <w:color w:val="0E101A"/>
          <w:spacing w:val="0"/>
          <w:sz w:val="24"/>
          <w:szCs w:val="24"/>
          <w:u w:val="none"/>
          <w:lang w:val="en-US"/>
        </w:rPr>
        <w:t xml:space="preserve"> (SPSS and </w:t>
      </w:r>
      <w:r>
        <w:rPr>
          <w:rFonts w:hint="default" w:ascii="Times New Roman Regular" w:hAnsi="Times New Roman Regular" w:cs="Times New Roman Regular"/>
          <w:i w:val="0"/>
          <w:iCs w:val="0"/>
          <w:caps w:val="0"/>
          <w:color w:val="0E101A"/>
          <w:spacing w:val="0"/>
          <w:sz w:val="24"/>
          <w:szCs w:val="24"/>
          <w:u w:val="none"/>
        </w:rPr>
        <w:t>NVivo</w:t>
      </w:r>
      <w:r>
        <w:rPr>
          <w:rFonts w:hint="default" w:ascii="Times New Roman Regular" w:hAnsi="Times New Roman Regular" w:cs="Times New Roman Regular"/>
          <w:i w:val="0"/>
          <w:iCs w:val="0"/>
          <w:caps w:val="0"/>
          <w:color w:val="0E101A"/>
          <w:spacing w:val="0"/>
          <w:sz w:val="24"/>
          <w:szCs w:val="24"/>
          <w:u w:val="none"/>
          <w:lang w:val="en-US"/>
        </w:rPr>
        <w:t>)</w:t>
      </w:r>
      <w:r>
        <w:rPr>
          <w:rFonts w:hint="default" w:ascii="Times New Roman Regular" w:hAnsi="Times New Roman Regular" w:cs="Times New Roman Regular"/>
          <w:i w:val="0"/>
          <w:iCs w:val="0"/>
          <w:caps w:val="0"/>
          <w:color w:val="0E101A"/>
          <w:spacing w:val="0"/>
          <w:sz w:val="24"/>
          <w:szCs w:val="24"/>
          <w:u w:val="none"/>
        </w:rPr>
        <w:t>, the experiment aims to provide comprehensive insights into the impact of TBL on adult learners' writing proficiency and its suitability for designing writing activities in adult ESL/EFL contexts . The findings will contribute to understanding the implications of TBL for syllabus design and inform best practices in language education for adult learners. </w:t>
      </w:r>
    </w:p>
    <w:p>
      <w:pPr>
        <w:pStyle w:val="2"/>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rPr>
        <w:t xml:space="preserve">6. Settings </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Considering the aim of this investigation and the practical problems, the new adult immigrants to Wales are satisfied with the research requirements of participants. The reasons lie in their motivation and demand for adaptation to a new society. This led to choose a tertiary school offering face-to-face English writing classes in Wales.</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A t-test will conduct the investigation. Thirty participants will be selected carefully, taking into consideration their writing skills. They are expected to have similar levels of English writing proficiency to minimise the impacts of individual variation. The participants will be divided into two groups for comparison. Group A ( test group) will receive TBL intervention with teaching. Group B (the control group) will continue with the traditional teaching methods. </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b/>
          <w:bCs/>
          <w:i w:val="0"/>
          <w:iCs w:val="0"/>
          <w:caps w:val="0"/>
          <w:color w:val="0E101A"/>
          <w:spacing w:val="0"/>
          <w:sz w:val="24"/>
          <w:szCs w:val="24"/>
          <w:u w:val="none"/>
        </w:rPr>
      </w:pPr>
      <w:r>
        <w:rPr>
          <w:rFonts w:hint="default" w:ascii="Times New Roman Regular" w:hAnsi="Times New Roman Regular" w:cs="Times New Roman Regular"/>
          <w:b/>
          <w:bCs/>
          <w:i w:val="0"/>
          <w:iCs w:val="0"/>
          <w:caps w:val="0"/>
          <w:color w:val="0E101A"/>
          <w:spacing w:val="0"/>
          <w:sz w:val="24"/>
          <w:szCs w:val="24"/>
          <w:u w:val="none"/>
        </w:rPr>
        <w:t>7.Ethical Considerations</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The ethical issues should be considered by referring to the guidelines of the British Educational Research Association (BERA, 20</w:t>
      </w:r>
      <w:r>
        <w:rPr>
          <w:rFonts w:hint="default" w:ascii="Times New Roman Regular" w:hAnsi="Times New Roman Regular" w:cs="Times New Roman Regular"/>
          <w:i w:val="0"/>
          <w:iCs w:val="0"/>
          <w:caps w:val="0"/>
          <w:color w:val="0E101A"/>
          <w:spacing w:val="0"/>
          <w:sz w:val="24"/>
          <w:szCs w:val="24"/>
          <w:u w:val="none"/>
          <w:lang w:val="en-US"/>
        </w:rPr>
        <w:t>18</w:t>
      </w:r>
      <w:r>
        <w:rPr>
          <w:rFonts w:hint="default" w:ascii="Times New Roman Regular" w:hAnsi="Times New Roman Regular" w:cs="Times New Roman Regular"/>
          <w:i w:val="0"/>
          <w:iCs w:val="0"/>
          <w:caps w:val="0"/>
          <w:color w:val="0E101A"/>
          <w:spacing w:val="0"/>
          <w:sz w:val="24"/>
          <w:szCs w:val="24"/>
          <w:u w:val="none"/>
        </w:rPr>
        <w:t>) and UWTSD Research Ethics &amp; Integrity Code of Practice (2022):</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Style w:val="6"/>
          <w:rFonts w:hint="default" w:ascii="Times New Roman Regular" w:hAnsi="Times New Roman Regular" w:cs="Times New Roman Regular"/>
          <w:i w:val="0"/>
          <w:iCs w:val="0"/>
          <w:caps w:val="0"/>
          <w:color w:val="0E101A"/>
          <w:spacing w:val="0"/>
          <w:sz w:val="24"/>
          <w:szCs w:val="24"/>
          <w:u w:val="none"/>
        </w:rPr>
        <w:t>Informed Consent:</w:t>
      </w:r>
      <w:r>
        <w:rPr>
          <w:rFonts w:hint="default" w:ascii="Times New Roman Regular" w:hAnsi="Times New Roman Regular" w:cs="Times New Roman Regular"/>
          <w:i w:val="0"/>
          <w:iCs w:val="0"/>
          <w:caps w:val="0"/>
          <w:color w:val="0E101A"/>
          <w:spacing w:val="0"/>
          <w:sz w:val="24"/>
          <w:szCs w:val="24"/>
          <w:u w:val="none"/>
        </w:rPr>
        <w:t> Full consent should be gained from both the tertiary school and participants. The researcher should introduce the study's nature, purpose, and procedures before consenting to participants before the investigation, and the participants are allowed to withdraw from the study at any time without penalty.</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Style w:val="6"/>
          <w:rFonts w:hint="default" w:ascii="Times New Roman Regular" w:hAnsi="Times New Roman Regular" w:cs="Times New Roman Regular"/>
          <w:i w:val="0"/>
          <w:iCs w:val="0"/>
          <w:caps w:val="0"/>
          <w:color w:val="0E101A"/>
          <w:spacing w:val="0"/>
          <w:sz w:val="24"/>
          <w:szCs w:val="24"/>
          <w:u w:val="none"/>
        </w:rPr>
        <w:t>Confidentiality and Anonymity:</w:t>
      </w:r>
      <w:r>
        <w:rPr>
          <w:rFonts w:hint="default" w:ascii="Times New Roman Regular" w:hAnsi="Times New Roman Regular" w:cs="Times New Roman Regular"/>
          <w:i w:val="0"/>
          <w:iCs w:val="0"/>
          <w:caps w:val="0"/>
          <w:color w:val="0E101A"/>
          <w:spacing w:val="0"/>
          <w:sz w:val="24"/>
          <w:szCs w:val="24"/>
          <w:u w:val="none"/>
        </w:rPr>
        <w:t> Researchers must respect the privacy and anonymity of participants' personal information and data. The relevant data should be stored securely and handled carefully. Participants' consent to the use of identifiable data is crucial.</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Style w:val="6"/>
          <w:rFonts w:hint="default" w:ascii="Times New Roman Regular" w:hAnsi="Times New Roman Regular" w:cs="Times New Roman Regular"/>
          <w:i w:val="0"/>
          <w:iCs w:val="0"/>
          <w:caps w:val="0"/>
          <w:color w:val="0E101A"/>
          <w:spacing w:val="0"/>
          <w:sz w:val="24"/>
          <w:szCs w:val="24"/>
          <w:u w:val="none"/>
        </w:rPr>
        <w:t>Voluntary Participation:</w:t>
      </w:r>
      <w:r>
        <w:rPr>
          <w:rFonts w:hint="default" w:ascii="Times New Roman Regular" w:hAnsi="Times New Roman Regular" w:cs="Times New Roman Regular"/>
          <w:i w:val="0"/>
          <w:iCs w:val="0"/>
          <w:caps w:val="0"/>
          <w:color w:val="0E101A"/>
          <w:spacing w:val="0"/>
          <w:sz w:val="24"/>
          <w:szCs w:val="24"/>
          <w:u w:val="none"/>
        </w:rPr>
        <w:t> Participation in research must be voluntary. Participants are free to make informed decisions about whether or not to participate in the study without fear of reprisal or negative consequences. </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Style w:val="6"/>
          <w:rFonts w:hint="default" w:ascii="Times New Roman Regular" w:hAnsi="Times New Roman Regular" w:cs="Times New Roman Regular"/>
          <w:i w:val="0"/>
          <w:iCs w:val="0"/>
          <w:caps w:val="0"/>
          <w:color w:val="0E101A"/>
          <w:spacing w:val="0"/>
          <w:sz w:val="24"/>
          <w:szCs w:val="24"/>
          <w:u w:val="none"/>
        </w:rPr>
        <w:t>Transparency and Accountability:</w:t>
      </w:r>
      <w:r>
        <w:rPr>
          <w:rFonts w:hint="default" w:ascii="Times New Roman Regular" w:hAnsi="Times New Roman Regular" w:cs="Times New Roman Regular"/>
          <w:i w:val="0"/>
          <w:iCs w:val="0"/>
          <w:caps w:val="0"/>
          <w:color w:val="0E101A"/>
          <w:spacing w:val="0"/>
          <w:sz w:val="24"/>
          <w:szCs w:val="24"/>
          <w:u w:val="none"/>
        </w:rPr>
        <w:t> Researchers must maintain transparency and accountability in all aspects of the research process. </w:t>
      </w:r>
    </w:p>
    <w:p>
      <w:pPr>
        <w:pStyle w:val="2"/>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u w:val="none"/>
        </w:rPr>
      </w:pPr>
      <w:r>
        <w:rPr>
          <w:rFonts w:hint="default" w:ascii="Times New Roman Bold" w:hAnsi="Times New Roman Bold" w:cs="Times New Roman Bold"/>
          <w:b/>
          <w:bCs/>
          <w:i w:val="0"/>
          <w:iCs w:val="0"/>
          <w:caps w:val="0"/>
          <w:color w:val="0E101A"/>
          <w:spacing w:val="0"/>
          <w:sz w:val="24"/>
          <w:szCs w:val="24"/>
          <w:u w:val="none"/>
        </w:rPr>
        <w:t>8. Timetable </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01/05/2024 -30/06/2024: literature review, research plan, design TBL activities and contact with participants and shareholders;</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01/7/2024 - 31/08/2024: carried out the TBL activities in class A, which class B continues with traditional teaching methods; in the beginning and at the end of the course, writing tests will be carried out;</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01/9/2024 - 31/10/2024: data collection: Interview 20 participants with ten from each group and the teachers of both groups; conduct questionnaire and collect teachers' syllabus and relevant documents;</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01/11/2024 - 31/01/2025: data analysis;</w:t>
      </w:r>
    </w:p>
    <w:p>
      <w:pPr>
        <w:pStyle w:val="2"/>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u w:val="none"/>
        </w:rPr>
      </w:pPr>
      <w:r>
        <w:rPr>
          <w:rFonts w:hint="default" w:ascii="Times New Roman Regular" w:hAnsi="Times New Roman Regular" w:cs="Times New Roman Regular"/>
          <w:i w:val="0"/>
          <w:iCs w:val="0"/>
          <w:caps w:val="0"/>
          <w:color w:val="0E101A"/>
          <w:spacing w:val="0"/>
          <w:sz w:val="24"/>
          <w:szCs w:val="24"/>
          <w:u w:val="none"/>
        </w:rPr>
        <w:t>01/02/2025 - 30/04/2025: finali</w:t>
      </w:r>
      <w:r>
        <w:rPr>
          <w:rFonts w:hint="default" w:ascii="Times New Roman Regular" w:hAnsi="Times New Roman Regular" w:cs="Times New Roman Regular"/>
          <w:i w:val="0"/>
          <w:iCs w:val="0"/>
          <w:caps w:val="0"/>
          <w:color w:val="0E101A"/>
          <w:spacing w:val="0"/>
          <w:sz w:val="24"/>
          <w:szCs w:val="24"/>
          <w:u w:val="none"/>
          <w:lang w:val="en-US"/>
        </w:rPr>
        <w:t>z</w:t>
      </w:r>
      <w:r>
        <w:rPr>
          <w:rFonts w:hint="default" w:ascii="Times New Roman Regular" w:hAnsi="Times New Roman Regular" w:cs="Times New Roman Regular"/>
          <w:i w:val="0"/>
          <w:iCs w:val="0"/>
          <w:caps w:val="0"/>
          <w:color w:val="0E101A"/>
          <w:spacing w:val="0"/>
          <w:sz w:val="24"/>
          <w:szCs w:val="24"/>
          <w:u w:val="none"/>
        </w:rPr>
        <w:t>ing the finding and writing</w:t>
      </w:r>
    </w:p>
    <w:p>
      <w:pPr>
        <w:pStyle w:val="2"/>
        <w:keepNext w:val="0"/>
        <w:keepLines w:val="0"/>
        <w:widowControl/>
        <w:numPr>
          <w:numId w:val="0"/>
        </w:numPr>
        <w:suppressLineNumbers w:val="0"/>
        <w:spacing w:before="0" w:beforeAutospacing="0" w:after="0" w:afterAutospacing="0" w:line="360" w:lineRule="auto"/>
        <w:ind w:leftChars="0" w:right="0" w:rightChars="0"/>
        <w:rPr>
          <w:rFonts w:hint="default" w:ascii="Times New Roman Bold" w:hAnsi="Times New Roman Bold" w:cs="Times New Roman Bold"/>
          <w:b/>
          <w:bCs/>
          <w:i w:val="0"/>
          <w:iCs w:val="0"/>
          <w:caps w:val="0"/>
          <w:color w:val="0E101A"/>
          <w:spacing w:val="0"/>
          <w:sz w:val="24"/>
          <w:szCs w:val="24"/>
          <w:u w:val="none"/>
          <w:lang w:val="en-US"/>
        </w:rPr>
      </w:pPr>
      <w:r>
        <w:rPr>
          <w:rFonts w:hint="default" w:ascii="Times New Roman Bold" w:hAnsi="Times New Roman Bold" w:cs="Times New Roman Bold"/>
          <w:b/>
          <w:bCs/>
          <w:i w:val="0"/>
          <w:iCs w:val="0"/>
          <w:color w:val="0E101A"/>
          <w:spacing w:val="0"/>
          <w:sz w:val="24"/>
          <w:szCs w:val="24"/>
          <w:u w:val="none"/>
          <w:lang w:val="en-US"/>
        </w:rPr>
        <w:t>9.C</w:t>
      </w:r>
      <w:r>
        <w:rPr>
          <w:rFonts w:hint="default" w:ascii="Times New Roman Bold" w:hAnsi="Times New Roman Bold" w:cs="Times New Roman Bold"/>
          <w:b/>
          <w:bCs/>
          <w:i w:val="0"/>
          <w:iCs w:val="0"/>
          <w:caps w:val="0"/>
          <w:color w:val="0E101A"/>
          <w:spacing w:val="0"/>
          <w:sz w:val="24"/>
          <w:szCs w:val="24"/>
          <w:u w:val="none"/>
          <w:lang w:val="en-US"/>
        </w:rPr>
        <w:t>onclusion</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Regular" w:hAnsi="Times New Roman Regular" w:cs="Times New Roman Regular"/>
          <w:b w:val="0"/>
          <w:bCs w:val="0"/>
          <w:sz w:val="24"/>
          <w:szCs w:val="24"/>
          <w:lang w:val="en-US"/>
        </w:rPr>
      </w:pPr>
      <w:r>
        <w:rPr>
          <w:rFonts w:hint="default" w:ascii="Times New Roman Regular" w:hAnsi="Times New Roman Regular" w:cs="Times New Roman Regular"/>
          <w:b w:val="0"/>
          <w:bCs w:val="0"/>
          <w:sz w:val="24"/>
          <w:szCs w:val="24"/>
          <w:lang w:val="en-US"/>
        </w:rPr>
        <w:t>To sum up, the objective of this survey is to evaluate the influence of Task-Based Learning (TBL) on the writing proficiency of adult learners of EFL, as well as its implications for curriculum design. A comprehensive literature review indicates that TBL has become a significant methodology in language instruction, because of its attention to authentic language usage in real-life contexts, active involvement of learners, and genuine communication. This investigation includes an experiment in a tertiary school in Wales, focusing on adult immigrants, studying the impact of TBL activities in language teaching and its implication for syllabus design. Both quantitative and qualitative approaches are applied in data collection and analysis. This study will offer empirical support for the ongoing dialogues concerning effective pedagogical tactics in adult EFL instruction and the practical implications of TBL.</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Regular" w:hAnsi="Times New Roman Regular" w:cs="Times New Roman Regular"/>
          <w:b/>
          <w:bCs/>
          <w:sz w:val="24"/>
          <w:szCs w:val="24"/>
          <w:lang w:val="en-US"/>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Regular" w:hAnsi="Times New Roman Regular" w:cs="Times New Roman Regular"/>
          <w:b/>
          <w:bCs/>
          <w:sz w:val="24"/>
          <w:szCs w:val="24"/>
          <w:lang w:val="en-US"/>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Regular" w:hAnsi="Times New Roman Regular" w:cs="Times New Roman Regular"/>
          <w:b/>
          <w:bCs/>
          <w:sz w:val="24"/>
          <w:szCs w:val="24"/>
          <w:lang w:val="en-US"/>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textAlignment w:val="auto"/>
        <w:rPr>
          <w:rFonts w:hint="default" w:ascii="Times New Roman Regular" w:hAnsi="Times New Roman Regular" w:cs="Times New Roman Regular"/>
          <w:b/>
          <w:bCs/>
          <w:sz w:val="24"/>
          <w:szCs w:val="24"/>
          <w:lang w:val="en-US"/>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bookmarkStart w:id="0" w:name="_GoBack"/>
      <w:bookmarkEnd w:id="0"/>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210" w:afterAutospacing="0" w:line="240" w:lineRule="auto"/>
        <w:rPr>
          <w:rFonts w:hint="default" w:ascii="Times New Roman Bold" w:hAnsi="Times New Roman Bold" w:cs="Times New Roman Bold" w:eastAsiaTheme="minorEastAsia"/>
          <w:b/>
          <w:bCs/>
          <w:sz w:val="24"/>
          <w:szCs w:val="24"/>
          <w:lang w:val="en-US" w:eastAsia="zh-CN"/>
        </w:rPr>
      </w:pPr>
      <w:r>
        <w:rPr>
          <w:rFonts w:hint="default" w:ascii="Times New Roman Bold" w:hAnsi="Times New Roman Bold" w:cs="Times New Roman Bold"/>
          <w:b/>
          <w:bCs/>
          <w:sz w:val="24"/>
          <w:szCs w:val="24"/>
          <w:lang w:val="en-US" w:eastAsia="zh-CN"/>
        </w:rPr>
        <w:t>Reference List:</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Adendorff, E. (2014). A task-based approach to improving the communicative skills of university students learning Afrikaans as an additional language. </w:t>
      </w:r>
      <w:r>
        <w:rPr>
          <w:rFonts w:hint="default" w:ascii="Times New Roman" w:hAnsi="Times New Roman" w:cs="Times New Roman"/>
          <w:i/>
          <w:iCs/>
          <w:sz w:val="21"/>
          <w:szCs w:val="21"/>
        </w:rPr>
        <w:t>Stellenbosch Papers in Linguistics Plus</w:t>
      </w:r>
      <w:r>
        <w:rPr>
          <w:rFonts w:hint="default" w:ascii="Times New Roman" w:hAnsi="Times New Roman" w:cs="Times New Roman"/>
          <w:sz w:val="21"/>
          <w:szCs w:val="21"/>
        </w:rPr>
        <w:t>, 43(0), p.1. doi:https://doi.org/10.5842/43-0-190.</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Bevans, R. (2022). </w:t>
      </w:r>
      <w:r>
        <w:rPr>
          <w:rFonts w:hint="default" w:ascii="Times New Roman" w:hAnsi="Times New Roman" w:cs="Times New Roman"/>
          <w:i/>
          <w:iCs/>
          <w:sz w:val="21"/>
          <w:szCs w:val="21"/>
        </w:rPr>
        <w:t>A Quick Guide to Experimental Design | 5 Steps &amp; Examples</w:t>
      </w:r>
      <w:r>
        <w:rPr>
          <w:rFonts w:hint="default" w:ascii="Times New Roman" w:hAnsi="Times New Roman" w:cs="Times New Roman"/>
          <w:sz w:val="21"/>
          <w:szCs w:val="21"/>
        </w:rPr>
        <w:t>. [online] Scribbr. Available at: https://www.scribbr.co.uk/research-methods/guide-to-experimental-design/.</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Bhandari, P. (2022). </w:t>
      </w:r>
      <w:r>
        <w:rPr>
          <w:rFonts w:hint="default" w:ascii="Times New Roman" w:hAnsi="Times New Roman" w:cs="Times New Roman"/>
          <w:i/>
          <w:iCs/>
          <w:sz w:val="21"/>
          <w:szCs w:val="21"/>
        </w:rPr>
        <w:t>Data Collection Methods | Step-by-Step Guide &amp; Examples</w:t>
      </w:r>
      <w:r>
        <w:rPr>
          <w:rFonts w:hint="default" w:ascii="Times New Roman" w:hAnsi="Times New Roman" w:cs="Times New Roman"/>
          <w:sz w:val="21"/>
          <w:szCs w:val="21"/>
        </w:rPr>
        <w:t>. [online] Scribbr. Available at: https://www.scribbr.co.uk/research-methods/data-collection-guide/.</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British Educational Research Association (2018). </w:t>
      </w:r>
      <w:r>
        <w:rPr>
          <w:rFonts w:hint="default" w:ascii="Times New Roman" w:hAnsi="Times New Roman" w:cs="Times New Roman"/>
          <w:i/>
          <w:iCs/>
          <w:sz w:val="21"/>
          <w:szCs w:val="21"/>
        </w:rPr>
        <w:t>Ethical Guidelines for Educational Research</w:t>
      </w:r>
      <w:r>
        <w:rPr>
          <w:rFonts w:hint="default" w:ascii="Times New Roman" w:hAnsi="Times New Roman" w:cs="Times New Roman"/>
          <w:sz w:val="21"/>
          <w:szCs w:val="21"/>
        </w:rPr>
        <w:t>. 4th ed. London: British Educational Research Association.</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Byrne, D. (1995). </w:t>
      </w:r>
      <w:r>
        <w:rPr>
          <w:rFonts w:hint="default" w:ascii="Times New Roman" w:hAnsi="Times New Roman" w:cs="Times New Roman"/>
          <w:i/>
          <w:iCs/>
          <w:sz w:val="21"/>
          <w:szCs w:val="21"/>
        </w:rPr>
        <w:t>Teaching writing skills</w:t>
      </w:r>
      <w:r>
        <w:rPr>
          <w:rFonts w:hint="default" w:ascii="Times New Roman" w:hAnsi="Times New Roman" w:cs="Times New Roman"/>
          <w:sz w:val="21"/>
          <w:szCs w:val="21"/>
        </w:rPr>
        <w:t>. London: Longman.</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Calvert, M. and Sheen, Y. (2014). Task-based language learning and teaching: An action-research study. </w:t>
      </w:r>
      <w:r>
        <w:rPr>
          <w:rFonts w:hint="default" w:ascii="Times New Roman" w:hAnsi="Times New Roman" w:cs="Times New Roman"/>
          <w:i/>
          <w:iCs/>
          <w:sz w:val="21"/>
          <w:szCs w:val="21"/>
        </w:rPr>
        <w:t>Language Teaching Research</w:t>
      </w:r>
      <w:r>
        <w:rPr>
          <w:rFonts w:hint="default" w:ascii="Times New Roman" w:hAnsi="Times New Roman" w:cs="Times New Roman"/>
          <w:sz w:val="21"/>
          <w:szCs w:val="21"/>
        </w:rPr>
        <w:t>, 19(2), pp.226–244. doi:https://doi.org/10.1177/1362168814547037.</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Caulfield, J. (2022). </w:t>
      </w:r>
      <w:r>
        <w:rPr>
          <w:rFonts w:hint="default" w:ascii="Times New Roman" w:hAnsi="Times New Roman" w:cs="Times New Roman"/>
          <w:i/>
          <w:iCs/>
          <w:sz w:val="21"/>
          <w:szCs w:val="21"/>
        </w:rPr>
        <w:t>How to Do Thematic Analysis | Guide &amp; Examples</w:t>
      </w:r>
      <w:r>
        <w:rPr>
          <w:rFonts w:hint="default" w:ascii="Times New Roman" w:hAnsi="Times New Roman" w:cs="Times New Roman"/>
          <w:sz w:val="21"/>
          <w:szCs w:val="21"/>
        </w:rPr>
        <w:t>. [online] Scribbr. Available at: https://www.scribbr.co.uk/research-methods/thematic-analysis-explained/.</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Ellis, R. (2003). </w:t>
      </w:r>
      <w:r>
        <w:rPr>
          <w:rFonts w:hint="default" w:ascii="Times New Roman" w:hAnsi="Times New Roman" w:cs="Times New Roman"/>
          <w:i/>
          <w:iCs/>
          <w:sz w:val="21"/>
          <w:szCs w:val="21"/>
        </w:rPr>
        <w:t>Task-based language learning and teaching</w:t>
      </w:r>
      <w:r>
        <w:rPr>
          <w:rFonts w:hint="default" w:ascii="Times New Roman" w:hAnsi="Times New Roman" w:cs="Times New Roman"/>
          <w:sz w:val="21"/>
          <w:szCs w:val="21"/>
        </w:rPr>
        <w:t>. Oxford University Press.</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Liaqat, A. and Munteanu, C. (2018). Towards a writing analytics framework for adult english language learners. </w:t>
      </w:r>
      <w:r>
        <w:rPr>
          <w:rFonts w:hint="default" w:ascii="Times New Roman" w:hAnsi="Times New Roman" w:cs="Times New Roman"/>
          <w:i/>
          <w:iCs/>
          <w:sz w:val="21"/>
          <w:szCs w:val="21"/>
        </w:rPr>
        <w:t>Proceedings of the 8th International Conference on Learning Analytics and Knowledge</w:t>
      </w:r>
      <w:r>
        <w:rPr>
          <w:rFonts w:hint="default" w:ascii="Times New Roman" w:hAnsi="Times New Roman" w:cs="Times New Roman"/>
          <w:sz w:val="21"/>
          <w:szCs w:val="21"/>
        </w:rPr>
        <w:t>. doi:https://doi.org/10.1145/3170358.3170422.</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McCombes, S. (2021). </w:t>
      </w:r>
      <w:r>
        <w:rPr>
          <w:rFonts w:hint="default" w:ascii="Times New Roman" w:hAnsi="Times New Roman" w:cs="Times New Roman"/>
          <w:i/>
          <w:iCs/>
          <w:sz w:val="21"/>
          <w:szCs w:val="21"/>
          <w:highlight w:val="none"/>
        </w:rPr>
        <w:t>How to create a research design</w:t>
      </w:r>
      <w:r>
        <w:rPr>
          <w:rFonts w:hint="default" w:ascii="Times New Roman" w:hAnsi="Times New Roman" w:cs="Times New Roman"/>
          <w:sz w:val="21"/>
          <w:szCs w:val="21"/>
          <w:highlight w:val="none"/>
        </w:rPr>
        <w:t>. [online] Scribbr. Available at: https://www.scribbr.com/methodology/research-design/.</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Morita, E. (2000). A Cognitive Approach to Language Learning by Reviewed by Peter Skehan. </w:t>
      </w:r>
      <w:r>
        <w:rPr>
          <w:rFonts w:hint="default" w:ascii="Times New Roman" w:hAnsi="Times New Roman" w:cs="Times New Roman"/>
          <w:i/>
          <w:iCs/>
          <w:sz w:val="21"/>
          <w:szCs w:val="21"/>
        </w:rPr>
        <w:t>Issues in Applied Linguistics</w:t>
      </w:r>
      <w:r>
        <w:rPr>
          <w:rFonts w:hint="default" w:ascii="Times New Roman" w:hAnsi="Times New Roman" w:cs="Times New Roman"/>
          <w:sz w:val="21"/>
          <w:szCs w:val="21"/>
        </w:rPr>
        <w:t>, 11(1), pp.129–132.</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Nunan, D. (1989). </w:t>
      </w:r>
      <w:r>
        <w:rPr>
          <w:rFonts w:hint="default" w:ascii="Times New Roman" w:hAnsi="Times New Roman" w:cs="Times New Roman"/>
          <w:i/>
          <w:iCs/>
          <w:sz w:val="21"/>
          <w:szCs w:val="21"/>
        </w:rPr>
        <w:t>Designing tasks for the communicative classroom</w:t>
      </w:r>
      <w:r>
        <w:rPr>
          <w:rFonts w:hint="default" w:ascii="Times New Roman" w:hAnsi="Times New Roman" w:cs="Times New Roman"/>
          <w:sz w:val="21"/>
          <w:szCs w:val="21"/>
        </w:rPr>
        <w:t>. Cambridge ; New York: Cambridge University Press.</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Skehan, P. (1998). </w:t>
      </w:r>
      <w:r>
        <w:rPr>
          <w:rFonts w:hint="default" w:ascii="Times New Roman" w:hAnsi="Times New Roman" w:cs="Times New Roman"/>
          <w:i/>
          <w:iCs/>
          <w:sz w:val="21"/>
          <w:szCs w:val="21"/>
        </w:rPr>
        <w:t>A cognitive approach to language learning.</w:t>
      </w:r>
      <w:r>
        <w:rPr>
          <w:rFonts w:hint="default" w:ascii="Times New Roman" w:hAnsi="Times New Roman" w:cs="Times New Roman"/>
          <w:sz w:val="21"/>
          <w:szCs w:val="21"/>
        </w:rPr>
        <w:t xml:space="preserve"> Oxford: Oxford University Press.</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Skehan, P. and Foster, P. (1999). The Influence of Task Structure and Processing Conditions on Narrative Retellings. </w:t>
      </w:r>
      <w:r>
        <w:rPr>
          <w:rFonts w:hint="default" w:ascii="Times New Roman" w:hAnsi="Times New Roman" w:cs="Times New Roman"/>
          <w:i/>
          <w:iCs/>
          <w:sz w:val="21"/>
          <w:szCs w:val="21"/>
        </w:rPr>
        <w:t>Language Learning</w:t>
      </w:r>
      <w:r>
        <w:rPr>
          <w:rFonts w:hint="default" w:ascii="Times New Roman" w:hAnsi="Times New Roman" w:cs="Times New Roman"/>
          <w:sz w:val="21"/>
          <w:szCs w:val="21"/>
        </w:rPr>
        <w:t>, 49(1), pp.93–120. doi:https://doi.org/10.1111/1467-9922.00071.</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University of Wales Trinity Saint David (2022). </w:t>
      </w:r>
      <w:r>
        <w:rPr>
          <w:rFonts w:hint="default" w:ascii="Times New Roman" w:hAnsi="Times New Roman" w:cs="Times New Roman"/>
          <w:i/>
          <w:iCs/>
          <w:sz w:val="21"/>
          <w:szCs w:val="21"/>
        </w:rPr>
        <w:t>Research Integrity and Ethics</w:t>
      </w:r>
      <w:r>
        <w:rPr>
          <w:rFonts w:hint="default" w:ascii="Times New Roman" w:hAnsi="Times New Roman" w:cs="Times New Roman"/>
          <w:sz w:val="21"/>
          <w:szCs w:val="21"/>
        </w:rPr>
        <w:t>. [online] University of Wales Trinity Saint David. Available at: https://uwtsd.ac.uk/research/research-integrity-and-ethics [Accessed 21 Apr. 2024].</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Willis, J. (1996). </w:t>
      </w:r>
      <w:r>
        <w:rPr>
          <w:rFonts w:hint="default" w:ascii="Times New Roman" w:hAnsi="Times New Roman" w:cs="Times New Roman"/>
          <w:i/>
          <w:iCs/>
          <w:sz w:val="21"/>
          <w:szCs w:val="21"/>
        </w:rPr>
        <w:t>A framework for task-based learning</w:t>
      </w:r>
      <w:r>
        <w:rPr>
          <w:rFonts w:hint="default" w:ascii="Times New Roman" w:hAnsi="Times New Roman" w:cs="Times New Roman"/>
          <w:sz w:val="21"/>
          <w:szCs w:val="21"/>
        </w:rPr>
        <w:t>. Harlow: Longman.</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default" w:ascii="Times New Roman Regular" w:hAnsi="Times New Roman Regular" w:cs="Times New Roman Regular"/>
          <w:sz w:val="21"/>
          <w:szCs w:val="21"/>
        </w:rPr>
      </w:pPr>
    </w:p>
    <w:sectPr>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Regular">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sans-serif">
    <w:altName w:val="苹方-简"/>
    <w:panose1 w:val="00000000000000000000"/>
    <w:charset w:val="00"/>
    <w:family w:val="auto"/>
    <w:pitch w:val="default"/>
    <w:sig w:usb0="00000000" w:usb1="00000000" w:usb2="00000000" w:usb3="00000000" w:csb0="00000000" w:csb1="00000000"/>
  </w:font>
  <w:font w:name="Arial Bold">
    <w:panose1 w:val="020B06040202020902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Arial">
    <w:panose1 w:val="020B0604020202090204"/>
    <w:charset w:val="00"/>
    <w:family w:val="auto"/>
    <w:pitch w:val="default"/>
    <w:sig w:usb0="E0000AFF" w:usb1="00007843" w:usb2="00000001" w:usb3="00000000" w:csb0="400001BF" w:csb1="DFF70000"/>
  </w:font>
  <w:font w:name="Times New Roman Bold Italic">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1"/>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FB79384"/>
    <w:rsid w:val="4DF9CD1D"/>
    <w:rsid w:val="65FF63F1"/>
    <w:rsid w:val="7DBBDFD1"/>
    <w:rsid w:val="966EF01B"/>
    <w:rsid w:val="EFB793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1</Lines>
  <Paragraphs>1</Paragraphs>
  <TotalTime>107</TotalTime>
  <ScaleCrop>false</ScaleCrop>
  <LinksUpToDate>false</LinksUpToDate>
  <CharactersWithSpaces>0</CharactersWithSpaces>
  <Application>WPS Office_6.6.1.8808_F1E327BC-269C-435d-A152-05C5408002CA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2024-04-19T12:26:00Z</dcterms:created>
  <dc:creator>郝豆豆</dc:creator>
  <cp:lastModifiedBy>郝豆豆</cp:lastModifiedBy>
  <dcterms:modified xsi:type="dcterms:W3CDTF">2024-04-21T12:45:04Z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2052-6.6.1.8808</vt:lpwstr>
  </property>
  <property fmtid="{D5CDD505-2E9C-101B-9397-08002B2CF9AE}" pid="3" name="ICV">
    <vt:lpwstr>9AEFE10482A365E9D7462266142B33F3_41</vt:lpwstr>
  </property>
</Properties>
</file>