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ED384" w14:textId="77777777" w:rsidR="00B96523" w:rsidRPr="00B96523" w:rsidRDefault="00B96523" w:rsidP="00B96523">
      <w:pPr>
        <w:spacing w:line="480" w:lineRule="auto"/>
        <w:jc w:val="center"/>
        <w:rPr>
          <w:rFonts w:ascii="Calibri" w:eastAsia="Calibri" w:hAnsi="Calibri" w:cs="Times New Roman"/>
          <w:lang w:val="en-US"/>
        </w:rPr>
      </w:pPr>
      <w:r w:rsidRPr="00B96523">
        <w:rPr>
          <w:rFonts w:ascii="Times New Roman" w:eastAsia="Times New Roman" w:hAnsi="Times New Roman" w:cs="Times New Roman"/>
          <w:b/>
          <w:bCs/>
          <w:sz w:val="40"/>
          <w:szCs w:val="40"/>
          <w:u w:val="single"/>
          <w:lang w:val="en-US"/>
        </w:rPr>
        <w:t>Criminal Law</w:t>
      </w:r>
    </w:p>
    <w:p w14:paraId="43553F20" w14:textId="77777777" w:rsidR="00B96523" w:rsidRPr="00B96523" w:rsidRDefault="00B96523" w:rsidP="00B96523">
      <w:pPr>
        <w:spacing w:line="480" w:lineRule="auto"/>
        <w:jc w:val="center"/>
        <w:rPr>
          <w:rFonts w:ascii="Times New Roman" w:eastAsia="Times New Roman" w:hAnsi="Times New Roman" w:cs="Times New Roman"/>
          <w:b/>
          <w:bCs/>
          <w:sz w:val="40"/>
          <w:szCs w:val="40"/>
          <w:u w:val="single"/>
          <w:lang w:val="en-US"/>
        </w:rPr>
      </w:pPr>
    </w:p>
    <w:p w14:paraId="3863961A"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The Law Commission is the statutory independent body created by the Law Commissions Act 1965 to keep the law of England and Wales under review and to recommend reform where it is needed, other</w:t>
      </w:r>
      <w:r w:rsidRPr="00B96523">
        <w:rPr>
          <w:rFonts w:ascii="Times New Roman" w:eastAsia="Times New Roman" w:hAnsi="Times New Roman" w:cs="Times New Roman"/>
          <w:sz w:val="24"/>
          <w:szCs w:val="24"/>
          <w:lang w:val="en-US"/>
        </w:rPr>
        <w:t xml:space="preserve"> aims of the Commission ensure that the law is: fair, modern, simple, and as cost-effective as possible. </w:t>
      </w:r>
      <w:r w:rsidRPr="00B96523">
        <w:rPr>
          <w:rFonts w:ascii="Times New Roman" w:eastAsia="Times New Roman" w:hAnsi="Times New Roman" w:cs="Times New Roman"/>
          <w:color w:val="333333"/>
          <w:sz w:val="24"/>
          <w:szCs w:val="24"/>
          <w:lang w:val="en-US"/>
        </w:rPr>
        <w:t xml:space="preserve">In this case the law commission would be used to reform the law governing homicide. It needs to be reformed because in modern society criminals could find loopholes (things that obviously weren’t thought of in the seventeenth century) to not be charged for the crime this could give dangerous individuals not being held accountable for their actions. Some issues that have transpired because of the unaltered law include defendants misusing partial defenses to murder like diminished responsibility and loss of self-control. This confuses the system because the intent required for murder is </w:t>
      </w:r>
      <w:proofErr w:type="gramStart"/>
      <w:r w:rsidRPr="00B96523">
        <w:rPr>
          <w:rFonts w:ascii="Times New Roman" w:eastAsia="Times New Roman" w:hAnsi="Times New Roman" w:cs="Times New Roman"/>
          <w:color w:val="333333"/>
          <w:sz w:val="24"/>
          <w:szCs w:val="24"/>
          <w:lang w:val="en-US"/>
        </w:rPr>
        <w:t>really broad</w:t>
      </w:r>
      <w:proofErr w:type="gramEnd"/>
      <w:r w:rsidRPr="00B96523">
        <w:rPr>
          <w:rFonts w:ascii="Times New Roman" w:eastAsia="Times New Roman" w:hAnsi="Times New Roman" w:cs="Times New Roman"/>
          <w:color w:val="333333"/>
          <w:sz w:val="24"/>
          <w:szCs w:val="24"/>
          <w:lang w:val="en-US"/>
        </w:rPr>
        <w:t xml:space="preserve">, be that as it may, defendants can suffice the actus and </w:t>
      </w:r>
      <w:proofErr w:type="spellStart"/>
      <w:r w:rsidRPr="00B96523">
        <w:rPr>
          <w:rFonts w:ascii="Times New Roman" w:eastAsia="Times New Roman" w:hAnsi="Times New Roman" w:cs="Times New Roman"/>
          <w:color w:val="333333"/>
          <w:sz w:val="24"/>
          <w:szCs w:val="24"/>
          <w:lang w:val="en-US"/>
        </w:rPr>
        <w:t>mens</w:t>
      </w:r>
      <w:proofErr w:type="spellEnd"/>
      <w:r w:rsidRPr="00B96523">
        <w:rPr>
          <w:rFonts w:ascii="Times New Roman" w:eastAsia="Times New Roman" w:hAnsi="Times New Roman" w:cs="Times New Roman"/>
          <w:color w:val="333333"/>
          <w:sz w:val="24"/>
          <w:szCs w:val="24"/>
          <w:lang w:val="en-US"/>
        </w:rPr>
        <w:t xml:space="preserve"> reus for murder and still be able to escape conviction which is ultimately the reason why reform is needed.</w:t>
      </w:r>
    </w:p>
    <w:p w14:paraId="5F82375D" w14:textId="77777777" w:rsidR="00B96523" w:rsidRPr="00B96523" w:rsidRDefault="00B96523" w:rsidP="00B96523">
      <w:pPr>
        <w:spacing w:line="480" w:lineRule="auto"/>
        <w:jc w:val="both"/>
        <w:rPr>
          <w:rFonts w:ascii="Times New Roman" w:eastAsia="Times New Roman" w:hAnsi="Times New Roman" w:cs="Times New Roman"/>
          <w:color w:val="000000"/>
          <w:sz w:val="24"/>
          <w:szCs w:val="24"/>
          <w:lang w:val="en-US"/>
        </w:rPr>
      </w:pPr>
      <w:r w:rsidRPr="00B96523">
        <w:rPr>
          <w:rFonts w:ascii="Times New Roman" w:eastAsia="Times New Roman" w:hAnsi="Times New Roman" w:cs="Times New Roman"/>
          <w:color w:val="000000"/>
          <w:sz w:val="24"/>
          <w:szCs w:val="24"/>
          <w:lang w:val="en-US"/>
        </w:rPr>
        <w:t xml:space="preserve">murder is 'the unlawful killing of a human being in the Queen's peace, with malice aforethought' as stated by lord Coke. There are many factors that play into murder like transferred malice and partial defenses but for now I will discuss the basic premise for Murder. The actus reus of murder is the unlawful killing of a human being in the Queen's peace. Firstly, an unlawful killing can be committed by an act or an omission. Therefore, the case law relating to omissions will also be relevant to the law of murder. All unlawful killings are crimes, and </w:t>
      </w:r>
      <w:proofErr w:type="gramStart"/>
      <w:r w:rsidRPr="00B96523">
        <w:rPr>
          <w:rFonts w:ascii="Times New Roman" w:eastAsia="Times New Roman" w:hAnsi="Times New Roman" w:cs="Times New Roman"/>
          <w:color w:val="000000"/>
          <w:sz w:val="24"/>
          <w:szCs w:val="24"/>
          <w:lang w:val="en-US"/>
        </w:rPr>
        <w:t>this is why</w:t>
      </w:r>
      <w:proofErr w:type="gramEnd"/>
      <w:r w:rsidRPr="00B96523">
        <w:rPr>
          <w:rFonts w:ascii="Times New Roman" w:eastAsia="Times New Roman" w:hAnsi="Times New Roman" w:cs="Times New Roman"/>
          <w:color w:val="000000"/>
          <w:sz w:val="24"/>
          <w:szCs w:val="24"/>
          <w:lang w:val="en-US"/>
        </w:rPr>
        <w:t xml:space="preserve"> </w:t>
      </w:r>
      <w:r w:rsidRPr="00B96523">
        <w:rPr>
          <w:rFonts w:ascii="Times New Roman" w:eastAsia="Times New Roman" w:hAnsi="Times New Roman" w:cs="Times New Roman"/>
          <w:sz w:val="24"/>
          <w:szCs w:val="24"/>
          <w:lang w:val="en-US"/>
        </w:rPr>
        <w:t>causation</w:t>
      </w:r>
      <w:r w:rsidRPr="00B96523">
        <w:rPr>
          <w:rFonts w:ascii="Times New Roman" w:eastAsia="Times New Roman" w:hAnsi="Times New Roman" w:cs="Times New Roman"/>
          <w:color w:val="000000"/>
          <w:sz w:val="24"/>
          <w:szCs w:val="24"/>
          <w:lang w:val="en-US"/>
        </w:rPr>
        <w:t xml:space="preserve"> must also be established. factual causation is decided with the but for test and legal causation is making sure the killer was more than the </w:t>
      </w:r>
      <w:proofErr w:type="spellStart"/>
      <w:r w:rsidRPr="00B96523">
        <w:rPr>
          <w:rFonts w:ascii="Times New Roman" w:eastAsia="Times New Roman" w:hAnsi="Times New Roman" w:cs="Times New Roman"/>
          <w:color w:val="000000"/>
          <w:sz w:val="24"/>
          <w:szCs w:val="24"/>
          <w:lang w:val="en-US"/>
        </w:rPr>
        <w:t>diminis</w:t>
      </w:r>
      <w:proofErr w:type="spellEnd"/>
      <w:r w:rsidRPr="00B96523">
        <w:rPr>
          <w:rFonts w:ascii="Times New Roman" w:eastAsia="Times New Roman" w:hAnsi="Times New Roman" w:cs="Times New Roman"/>
          <w:color w:val="000000"/>
          <w:sz w:val="24"/>
          <w:szCs w:val="24"/>
          <w:lang w:val="en-US"/>
        </w:rPr>
        <w:t xml:space="preserve"> link. The second element of the actus reus of murder requires the victim to be a human being. This obviously excludes animals </w:t>
      </w:r>
      <w:r w:rsidRPr="00B96523">
        <w:rPr>
          <w:rFonts w:ascii="Times New Roman" w:eastAsia="Times New Roman" w:hAnsi="Times New Roman" w:cs="Times New Roman"/>
          <w:color w:val="000000"/>
          <w:sz w:val="24"/>
          <w:szCs w:val="24"/>
          <w:lang w:val="en-US"/>
        </w:rPr>
        <w:lastRenderedPageBreak/>
        <w:t xml:space="preserve">from the remit of murder and also </w:t>
      </w:r>
      <w:proofErr w:type="spellStart"/>
      <w:r w:rsidRPr="00B96523">
        <w:rPr>
          <w:rFonts w:ascii="Times New Roman" w:eastAsia="Times New Roman" w:hAnsi="Times New Roman" w:cs="Times New Roman"/>
          <w:color w:val="000000"/>
          <w:sz w:val="24"/>
          <w:szCs w:val="24"/>
          <w:lang w:val="en-US"/>
        </w:rPr>
        <w:t>foetuses</w:t>
      </w:r>
      <w:proofErr w:type="spellEnd"/>
      <w:r w:rsidRPr="00B96523">
        <w:rPr>
          <w:rFonts w:ascii="Times New Roman" w:eastAsia="Times New Roman" w:hAnsi="Times New Roman" w:cs="Times New Roman"/>
          <w:color w:val="000000"/>
          <w:sz w:val="24"/>
          <w:szCs w:val="24"/>
          <w:lang w:val="en-US"/>
        </w:rPr>
        <w:t xml:space="preserve"> as they are not classed as a </w:t>
      </w:r>
      <w:proofErr w:type="gramStart"/>
      <w:r w:rsidRPr="00B96523">
        <w:rPr>
          <w:rFonts w:ascii="Times New Roman" w:eastAsia="Times New Roman" w:hAnsi="Times New Roman" w:cs="Times New Roman"/>
          <w:color w:val="000000"/>
          <w:sz w:val="24"/>
          <w:szCs w:val="24"/>
          <w:lang w:val="en-US"/>
        </w:rPr>
        <w:t>human beings</w:t>
      </w:r>
      <w:proofErr w:type="gramEnd"/>
      <w:r w:rsidRPr="00B96523">
        <w:rPr>
          <w:rFonts w:ascii="Times New Roman" w:eastAsia="Times New Roman" w:hAnsi="Times New Roman" w:cs="Times New Roman"/>
          <w:color w:val="000000"/>
          <w:sz w:val="24"/>
          <w:szCs w:val="24"/>
          <w:lang w:val="en-US"/>
        </w:rPr>
        <w:t xml:space="preserve"> until they are obviously born and therefore a person who kills a </w:t>
      </w:r>
      <w:proofErr w:type="spellStart"/>
      <w:r w:rsidRPr="00B96523">
        <w:rPr>
          <w:rFonts w:ascii="Times New Roman" w:eastAsia="Times New Roman" w:hAnsi="Times New Roman" w:cs="Times New Roman"/>
          <w:color w:val="000000"/>
          <w:sz w:val="24"/>
          <w:szCs w:val="24"/>
          <w:lang w:val="en-US"/>
        </w:rPr>
        <w:t>foetus</w:t>
      </w:r>
      <w:proofErr w:type="spellEnd"/>
      <w:r w:rsidRPr="00B96523">
        <w:rPr>
          <w:rFonts w:ascii="Times New Roman" w:eastAsia="Times New Roman" w:hAnsi="Times New Roman" w:cs="Times New Roman"/>
          <w:color w:val="000000"/>
          <w:sz w:val="24"/>
          <w:szCs w:val="24"/>
          <w:lang w:val="en-US"/>
        </w:rPr>
        <w:t xml:space="preserve"> cannot be charged with murder. The third stage of the actus reus of murder excludes the killing of alien enemies in the time of war. The </w:t>
      </w:r>
      <w:proofErr w:type="spellStart"/>
      <w:r w:rsidRPr="00B96523">
        <w:rPr>
          <w:rFonts w:ascii="Times New Roman" w:eastAsia="Times New Roman" w:hAnsi="Times New Roman" w:cs="Times New Roman"/>
          <w:color w:val="000000"/>
          <w:sz w:val="24"/>
          <w:szCs w:val="24"/>
          <w:lang w:val="en-US"/>
        </w:rPr>
        <w:t>mens</w:t>
      </w:r>
      <w:proofErr w:type="spellEnd"/>
      <w:r w:rsidRPr="00B96523">
        <w:rPr>
          <w:rFonts w:ascii="Times New Roman" w:eastAsia="Times New Roman" w:hAnsi="Times New Roman" w:cs="Times New Roman"/>
          <w:color w:val="000000"/>
          <w:sz w:val="24"/>
          <w:szCs w:val="24"/>
          <w:lang w:val="en-US"/>
        </w:rPr>
        <w:t xml:space="preserve"> rea for murder is malice aforethought. However, this term is misleading in that it suggests some sort of foul play and pre-meditation. Malice aforethought has been interpreted in the courts as meaning intention to kill and intention to cause GBH, the fact that this </w:t>
      </w:r>
      <w:proofErr w:type="spellStart"/>
      <w:r w:rsidRPr="00B96523">
        <w:rPr>
          <w:rFonts w:ascii="Times New Roman" w:eastAsia="Times New Roman" w:hAnsi="Times New Roman" w:cs="Times New Roman"/>
          <w:color w:val="000000"/>
          <w:sz w:val="24"/>
          <w:szCs w:val="24"/>
          <w:lang w:val="en-US"/>
        </w:rPr>
        <w:t>isnt</w:t>
      </w:r>
      <w:proofErr w:type="spellEnd"/>
      <w:r w:rsidRPr="00B96523">
        <w:rPr>
          <w:rFonts w:ascii="Times New Roman" w:eastAsia="Times New Roman" w:hAnsi="Times New Roman" w:cs="Times New Roman"/>
          <w:color w:val="000000"/>
          <w:sz w:val="24"/>
          <w:szCs w:val="24"/>
          <w:lang w:val="en-US"/>
        </w:rPr>
        <w:t xml:space="preserve"> solid and is left up to interpretation and decision making by judges is the reason why there is a lot of controversy surrounding the want for a reform.   </w:t>
      </w:r>
    </w:p>
    <w:p w14:paraId="2192D569" w14:textId="77777777" w:rsidR="00B96523" w:rsidRPr="00B96523" w:rsidRDefault="00B96523" w:rsidP="00B96523">
      <w:pPr>
        <w:spacing w:line="480" w:lineRule="auto"/>
        <w:jc w:val="both"/>
        <w:rPr>
          <w:rFonts w:ascii="Times New Roman" w:eastAsia="Times New Roman" w:hAnsi="Times New Roman" w:cs="Times New Roman"/>
          <w:color w:val="4D4D4D"/>
          <w:sz w:val="24"/>
          <w:szCs w:val="24"/>
          <w:lang w:val="en-US"/>
        </w:rPr>
      </w:pPr>
      <w:r w:rsidRPr="00B96523">
        <w:rPr>
          <w:rFonts w:ascii="Times New Roman" w:eastAsia="Times New Roman" w:hAnsi="Times New Roman" w:cs="Times New Roman"/>
          <w:color w:val="333333"/>
          <w:sz w:val="24"/>
          <w:szCs w:val="24"/>
          <w:lang w:val="en-US"/>
        </w:rPr>
        <w:t xml:space="preserve">According to the official law commission site, the current law governing homicide in England and Wales has some rules which have remained unaltered since the seventeenth century. In October 2004, the Home Office announced that a review of the law of murder would take place. This was confirmed on 21 July 2005 when the Home Office Minister Fiona MacTaggart announced the </w:t>
      </w:r>
      <w:r w:rsidRPr="00B96523">
        <w:rPr>
          <w:rFonts w:ascii="Times New Roman" w:eastAsia="Times New Roman" w:hAnsi="Times New Roman" w:cs="Times New Roman"/>
          <w:sz w:val="24"/>
          <w:szCs w:val="24"/>
          <w:lang w:val="en-US"/>
        </w:rPr>
        <w:t xml:space="preserve">terms of reference </w:t>
      </w:r>
      <w:r w:rsidRPr="00B96523">
        <w:rPr>
          <w:rFonts w:ascii="Times New Roman" w:eastAsia="Times New Roman" w:hAnsi="Times New Roman" w:cs="Times New Roman"/>
          <w:color w:val="333333"/>
          <w:sz w:val="24"/>
          <w:szCs w:val="24"/>
          <w:lang w:val="en-US"/>
        </w:rPr>
        <w:t>of a comprehensive review. On 20 December 2005 the law commission opened a consultation seeking feedback on their provisional proposals for reforming the law and sought responses from the public, criminal justice practitioners, academics and those who work with victims’ families. The consultation closed on 13 April 2006. On 29 November 2006 they published their report, “Murder, Manslaughter and Infanticide” where they stated that the law on homicide is “</w:t>
      </w:r>
      <w:r w:rsidRPr="00B96523">
        <w:rPr>
          <w:rFonts w:ascii="Times New Roman" w:eastAsia="Times New Roman" w:hAnsi="Times New Roman" w:cs="Times New Roman"/>
          <w:color w:val="4D4D4D"/>
          <w:sz w:val="24"/>
          <w:szCs w:val="24"/>
          <w:lang w:val="en-US"/>
        </w:rPr>
        <w:t>a rickety structure set upon shaky foundations”.</w:t>
      </w:r>
    </w:p>
    <w:p w14:paraId="1911E2D5"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p>
    <w:p w14:paraId="5E37B601"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The law commission has recommended that instead of the current two tier-structure of general homicide offences, namely murder and manslaughter, there should be a three-tier structure:</w:t>
      </w:r>
    </w:p>
    <w:p w14:paraId="1A4E4026"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first degree murder (mandatory life sentence)</w:t>
      </w:r>
    </w:p>
    <w:p w14:paraId="46FFA7FA"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second degree murder (discretionary life sentence), and</w:t>
      </w:r>
    </w:p>
    <w:p w14:paraId="58DC082C"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lastRenderedPageBreak/>
        <w:t>manslaughter (discretionary life sentence).</w:t>
      </w:r>
    </w:p>
    <w:p w14:paraId="0C325E79"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First degree murder would be confined to:</w:t>
      </w:r>
    </w:p>
    <w:p w14:paraId="035EFD4F"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committed with an intention to kill.</w:t>
      </w:r>
    </w:p>
    <w:p w14:paraId="6E287FC3"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committed with an intent to cause serious injury where the killer was aware that his or her conduct involved a serious risk of causing death.</w:t>
      </w:r>
    </w:p>
    <w:p w14:paraId="22BA414B"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Second degree murder would encompass:</w:t>
      </w:r>
    </w:p>
    <w:p w14:paraId="5E67B1FC"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committed with an intent to cause serious harm.</w:t>
      </w:r>
    </w:p>
    <w:p w14:paraId="4B240549"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intended to cause injury or fear or risk of injury where the killer was aware that his or her conduct involved a serious risk of causing death.</w:t>
      </w:r>
    </w:p>
    <w:p w14:paraId="3FEB9B36"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cases which would constitute first degree murder but for the fact that the accused successfully pleads provocation, diminished responsibility or that he or she had killed pursuant to a suicide pact.</w:t>
      </w:r>
    </w:p>
    <w:p w14:paraId="4CAE2A5A"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Manslaughter would consist of:</w:t>
      </w:r>
    </w:p>
    <w:p w14:paraId="509BA054"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caused by acts of gross negligence</w:t>
      </w:r>
    </w:p>
    <w:p w14:paraId="7D6283FD" w14:textId="77777777" w:rsidR="00B96523" w:rsidRPr="00B96523" w:rsidRDefault="00B96523" w:rsidP="00B96523">
      <w:pPr>
        <w:numPr>
          <w:ilvl w:val="0"/>
          <w:numId w:val="5"/>
        </w:numPr>
        <w:spacing w:line="480" w:lineRule="auto"/>
        <w:contextualSpacing/>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unlawful killings caused by a criminal act that was intended to cause injury or by a criminal act foreseen as involving a serious risk of causing some injury.</w:t>
      </w:r>
    </w:p>
    <w:p w14:paraId="476E7A12"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 xml:space="preserve">The result of this has been implemented in large part by the Coroners and Justice Act 2009 but the remainder of their recommendations have been rejected by the Government. Rejections by parliament are common with the law commission but with their time, scrutiny and effort, their demands for reformation of this law for the betterment of the people cannot go ignored by parliament forever, especially with a law of this severity. </w:t>
      </w:r>
    </w:p>
    <w:p w14:paraId="744DD370"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r w:rsidRPr="00B96523">
        <w:rPr>
          <w:rFonts w:ascii="Times New Roman" w:eastAsia="Times New Roman" w:hAnsi="Times New Roman" w:cs="Times New Roman"/>
          <w:color w:val="333333"/>
          <w:sz w:val="24"/>
          <w:szCs w:val="24"/>
          <w:lang w:val="en-US"/>
        </w:rPr>
        <w:t xml:space="preserve">There are arguments against the reform. One reason could be that </w:t>
      </w:r>
      <w:r w:rsidRPr="00B96523">
        <w:rPr>
          <w:rFonts w:ascii="Times New Roman" w:eastAsia="Times New Roman" w:hAnsi="Times New Roman" w:cs="Times New Roman"/>
          <w:color w:val="4D4D4D"/>
          <w:sz w:val="24"/>
          <w:szCs w:val="24"/>
          <w:lang w:val="en-US"/>
        </w:rPr>
        <w:t xml:space="preserve">the law of murder creates injustice for defendants as their case isn't being handled by direct law but instead a judicial member (judge jury), this means that actual criminals would get away with their crime and </w:t>
      </w:r>
      <w:r w:rsidRPr="00B96523">
        <w:rPr>
          <w:rFonts w:ascii="Times New Roman" w:eastAsia="Times New Roman" w:hAnsi="Times New Roman" w:cs="Times New Roman"/>
          <w:color w:val="4D4D4D"/>
          <w:sz w:val="24"/>
          <w:szCs w:val="24"/>
          <w:lang w:val="en-US"/>
        </w:rPr>
        <w:lastRenderedPageBreak/>
        <w:t>those who are innocent could be falsely convicted. Another</w:t>
      </w:r>
      <w:r w:rsidRPr="00B96523">
        <w:rPr>
          <w:rFonts w:ascii="Times New Roman" w:eastAsia="Times New Roman" w:hAnsi="Times New Roman" w:cs="Times New Roman"/>
          <w:color w:val="333333"/>
          <w:sz w:val="24"/>
          <w:szCs w:val="24"/>
          <w:lang w:val="en-US"/>
        </w:rPr>
        <w:t xml:space="preserve"> example is the fact that it may be very time-consuming for parliament to pass, this is unnecessary time wasted because the law will ultimately end up being adjusted by the judge and or jury in each case anyways. Another reason is that the law still applies to </w:t>
      </w:r>
      <w:proofErr w:type="gramStart"/>
      <w:r w:rsidRPr="00B96523">
        <w:rPr>
          <w:rFonts w:ascii="Times New Roman" w:eastAsia="Times New Roman" w:hAnsi="Times New Roman" w:cs="Times New Roman"/>
          <w:color w:val="333333"/>
          <w:sz w:val="24"/>
          <w:szCs w:val="24"/>
          <w:lang w:val="en-US"/>
        </w:rPr>
        <w:t>the majority of</w:t>
      </w:r>
      <w:proofErr w:type="gramEnd"/>
      <w:r w:rsidRPr="00B96523">
        <w:rPr>
          <w:rFonts w:ascii="Times New Roman" w:eastAsia="Times New Roman" w:hAnsi="Times New Roman" w:cs="Times New Roman"/>
          <w:color w:val="333333"/>
          <w:sz w:val="24"/>
          <w:szCs w:val="24"/>
          <w:lang w:val="en-US"/>
        </w:rPr>
        <w:t xml:space="preserve"> criminals, and it is quite difficult for a defendant to escape being charged. They would need to meet the actus and </w:t>
      </w:r>
      <w:proofErr w:type="spellStart"/>
      <w:r w:rsidRPr="00B96523">
        <w:rPr>
          <w:rFonts w:ascii="Times New Roman" w:eastAsia="Times New Roman" w:hAnsi="Times New Roman" w:cs="Times New Roman"/>
          <w:color w:val="333333"/>
          <w:sz w:val="24"/>
          <w:szCs w:val="24"/>
          <w:lang w:val="en-US"/>
        </w:rPr>
        <w:t>mens</w:t>
      </w:r>
      <w:proofErr w:type="spellEnd"/>
      <w:r w:rsidRPr="00B96523">
        <w:rPr>
          <w:rFonts w:ascii="Times New Roman" w:eastAsia="Times New Roman" w:hAnsi="Times New Roman" w:cs="Times New Roman"/>
          <w:color w:val="333333"/>
          <w:sz w:val="24"/>
          <w:szCs w:val="24"/>
          <w:lang w:val="en-US"/>
        </w:rPr>
        <w:t xml:space="preserve"> reus for it and if they try to claim a partial defense, heavy evidence is needed. </w:t>
      </w:r>
    </w:p>
    <w:p w14:paraId="68B553CA"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p>
    <w:p w14:paraId="0F5C6000"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p>
    <w:p w14:paraId="65DB9DE4" w14:textId="77777777" w:rsidR="00B96523" w:rsidRPr="00B96523" w:rsidRDefault="00B96523" w:rsidP="00B96523">
      <w:pPr>
        <w:spacing w:line="480" w:lineRule="auto"/>
        <w:jc w:val="both"/>
        <w:rPr>
          <w:rFonts w:ascii="Times New Roman" w:eastAsia="Times New Roman" w:hAnsi="Times New Roman" w:cs="Times New Roman"/>
          <w:color w:val="333333"/>
          <w:sz w:val="28"/>
          <w:szCs w:val="28"/>
          <w:u w:val="single"/>
          <w:lang w:val="en-US"/>
        </w:rPr>
      </w:pPr>
      <w:r w:rsidRPr="00B96523">
        <w:rPr>
          <w:rFonts w:ascii="Times New Roman" w:eastAsia="Times New Roman" w:hAnsi="Times New Roman" w:cs="Times New Roman"/>
          <w:color w:val="333333"/>
          <w:sz w:val="28"/>
          <w:szCs w:val="28"/>
          <w:u w:val="single"/>
          <w:lang w:val="en-US"/>
        </w:rPr>
        <w:t>References</w:t>
      </w:r>
      <w:r w:rsidRPr="00B96523">
        <w:rPr>
          <w:rFonts w:ascii="Times New Roman" w:eastAsia="Times New Roman" w:hAnsi="Times New Roman" w:cs="Times New Roman"/>
          <w:color w:val="333333"/>
          <w:sz w:val="28"/>
          <w:szCs w:val="28"/>
          <w:lang w:val="en-US"/>
        </w:rPr>
        <w:t xml:space="preserve"> </w:t>
      </w:r>
    </w:p>
    <w:p w14:paraId="35450F04" w14:textId="77777777" w:rsidR="00B96523" w:rsidRPr="00B96523" w:rsidRDefault="00B96523" w:rsidP="00B96523">
      <w:pPr>
        <w:spacing w:line="480" w:lineRule="auto"/>
        <w:jc w:val="both"/>
        <w:rPr>
          <w:rFonts w:ascii="Times New Roman" w:eastAsia="Times New Roman" w:hAnsi="Times New Roman" w:cs="Times New Roman"/>
          <w:color w:val="333333"/>
          <w:sz w:val="24"/>
          <w:szCs w:val="24"/>
          <w:lang w:val="en-US"/>
        </w:rPr>
      </w:pPr>
    </w:p>
    <w:p w14:paraId="355DE877" w14:textId="77777777" w:rsidR="00B96523" w:rsidRPr="00B96523" w:rsidRDefault="00B96523" w:rsidP="00B96523">
      <w:pPr>
        <w:spacing w:line="480" w:lineRule="auto"/>
        <w:jc w:val="both"/>
        <w:rPr>
          <w:rFonts w:ascii="Times New Roman" w:eastAsia="Times New Roman" w:hAnsi="Times New Roman" w:cs="Times New Roman"/>
          <w:sz w:val="24"/>
          <w:szCs w:val="24"/>
          <w:lang w:val="en-US"/>
        </w:rPr>
      </w:pPr>
      <w:hyperlink r:id="rId6">
        <w:r w:rsidRPr="00B96523">
          <w:rPr>
            <w:rFonts w:ascii="Times New Roman" w:eastAsia="Times New Roman" w:hAnsi="Times New Roman" w:cs="Times New Roman"/>
            <w:color w:val="0563C1"/>
            <w:sz w:val="24"/>
            <w:szCs w:val="24"/>
            <w:u w:val="single"/>
            <w:lang w:val="en-US"/>
          </w:rPr>
          <w:t>https://www.lawcom.gov.uk/</w:t>
        </w:r>
      </w:hyperlink>
    </w:p>
    <w:p w14:paraId="6EABF92A" w14:textId="2076EE60" w:rsidR="00B96523" w:rsidRPr="00B96523" w:rsidRDefault="00B96523" w:rsidP="00B96523">
      <w:pPr>
        <w:spacing w:line="480" w:lineRule="auto"/>
        <w:jc w:val="both"/>
        <w:rPr>
          <w:rFonts w:ascii="Times New Roman" w:eastAsia="Times New Roman" w:hAnsi="Times New Roman" w:cs="Times New Roman"/>
          <w:sz w:val="24"/>
          <w:szCs w:val="24"/>
          <w:lang w:val="en-US"/>
        </w:rPr>
      </w:pPr>
      <w:hyperlink r:id="rId7">
        <w:r w:rsidRPr="00B96523">
          <w:rPr>
            <w:rFonts w:ascii="Times New Roman" w:eastAsia="Times New Roman" w:hAnsi="Times New Roman" w:cs="Times New Roman"/>
            <w:color w:val="0563C1"/>
            <w:sz w:val="24"/>
            <w:szCs w:val="24"/>
            <w:u w:val="single"/>
            <w:lang w:val="en-US"/>
          </w:rPr>
          <w:t>https://www.linkedin.com</w:t>
        </w:r>
        <w:r w:rsidR="005B39EE">
          <w:rPr>
            <w:rFonts w:ascii="Times New Roman" w:eastAsia="Times New Roman" w:hAnsi="Times New Roman" w:cs="Times New Roman"/>
            <w:color w:val="0563C1"/>
            <w:sz w:val="24"/>
            <w:szCs w:val="24"/>
            <w:u w:val="single"/>
            <w:lang w:val="en-US"/>
          </w:rPr>
          <w:t>-</w:t>
        </w:r>
        <w:r w:rsidRPr="00B96523">
          <w:rPr>
            <w:rFonts w:ascii="Times New Roman" w:eastAsia="Times New Roman" w:hAnsi="Times New Roman" w:cs="Times New Roman"/>
            <w:color w:val="0563C1"/>
            <w:sz w:val="24"/>
            <w:szCs w:val="24"/>
            <w:u w:val="single"/>
            <w:lang w:val="en-US"/>
          </w:rPr>
          <w:t>/company/law-commission-england-and-wales-</w:t>
        </w:r>
      </w:hyperlink>
      <w:r w:rsidRPr="00B96523">
        <w:rPr>
          <w:rFonts w:ascii="Times New Roman" w:eastAsia="Times New Roman" w:hAnsi="Times New Roman" w:cs="Times New Roman"/>
          <w:sz w:val="24"/>
          <w:szCs w:val="24"/>
          <w:lang w:val="en-US"/>
        </w:rPr>
        <w:t xml:space="preserve"> </w:t>
      </w:r>
    </w:p>
    <w:p w14:paraId="5682BB97" w14:textId="77777777" w:rsidR="00B96523" w:rsidRPr="00B96523" w:rsidRDefault="00B96523" w:rsidP="00B96523">
      <w:pPr>
        <w:spacing w:line="480" w:lineRule="auto"/>
        <w:jc w:val="both"/>
        <w:rPr>
          <w:rFonts w:ascii="Times New Roman" w:eastAsia="Times New Roman" w:hAnsi="Times New Roman" w:cs="Times New Roman"/>
          <w:sz w:val="24"/>
          <w:szCs w:val="24"/>
          <w:lang w:val="en-US"/>
        </w:rPr>
      </w:pPr>
      <w:hyperlink r:id="rId8">
        <w:r w:rsidRPr="00B96523">
          <w:rPr>
            <w:rFonts w:ascii="Times New Roman" w:eastAsia="Times New Roman" w:hAnsi="Times New Roman" w:cs="Times New Roman"/>
            <w:color w:val="0563C1"/>
            <w:sz w:val="24"/>
            <w:szCs w:val="24"/>
            <w:u w:val="single"/>
            <w:lang w:val="en-US"/>
          </w:rPr>
          <w:t>https://www.lawcom.gov.uk/project/murder/</w:t>
        </w:r>
      </w:hyperlink>
      <w:r w:rsidRPr="00B96523">
        <w:rPr>
          <w:rFonts w:ascii="Times New Roman" w:eastAsia="Times New Roman" w:hAnsi="Times New Roman" w:cs="Times New Roman"/>
          <w:sz w:val="24"/>
          <w:szCs w:val="24"/>
          <w:lang w:val="en-US"/>
        </w:rPr>
        <w:t xml:space="preserve"> </w:t>
      </w:r>
    </w:p>
    <w:p w14:paraId="70636918" w14:textId="77777777" w:rsidR="00B96523" w:rsidRPr="00B96523" w:rsidRDefault="00B96523" w:rsidP="00B96523">
      <w:pPr>
        <w:spacing w:line="480" w:lineRule="auto"/>
        <w:jc w:val="both"/>
        <w:rPr>
          <w:rFonts w:ascii="Times New Roman" w:eastAsia="Times New Roman" w:hAnsi="Times New Roman" w:cs="Times New Roman"/>
          <w:sz w:val="24"/>
          <w:szCs w:val="24"/>
          <w:lang w:val="en-US"/>
        </w:rPr>
      </w:pPr>
      <w:hyperlink r:id="rId9">
        <w:r w:rsidRPr="00B96523">
          <w:rPr>
            <w:rFonts w:ascii="Times New Roman" w:eastAsia="Times New Roman" w:hAnsi="Times New Roman" w:cs="Times New Roman"/>
            <w:color w:val="0563C1"/>
            <w:sz w:val="24"/>
            <w:szCs w:val="24"/>
            <w:u w:val="single"/>
            <w:lang w:val="en-US"/>
          </w:rPr>
          <w:t>https://hansard.parliament.uk/commons/2016-06-30/debates/D5042476-8A97-4E5F-82BB-5908AB04F0AA/HomicideLawReform</w:t>
        </w:r>
      </w:hyperlink>
      <w:r w:rsidRPr="00B96523">
        <w:rPr>
          <w:rFonts w:ascii="Times New Roman" w:eastAsia="Times New Roman" w:hAnsi="Times New Roman" w:cs="Times New Roman"/>
          <w:sz w:val="24"/>
          <w:szCs w:val="24"/>
          <w:lang w:val="en-US"/>
        </w:rPr>
        <w:t xml:space="preserve"> </w:t>
      </w:r>
    </w:p>
    <w:p w14:paraId="242FD38E" w14:textId="77777777" w:rsidR="00B4397C" w:rsidRDefault="00B4397C"/>
    <w:sectPr w:rsidR="00B43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1C68"/>
    <w:multiLevelType w:val="multilevel"/>
    <w:tmpl w:val="CE788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2B27E5"/>
    <w:multiLevelType w:val="multilevel"/>
    <w:tmpl w:val="812E5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393033"/>
    <w:multiLevelType w:val="multilevel"/>
    <w:tmpl w:val="B638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140AB3"/>
    <w:multiLevelType w:val="multilevel"/>
    <w:tmpl w:val="3966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815CBF"/>
    <w:multiLevelType w:val="hybridMultilevel"/>
    <w:tmpl w:val="CE7ADCFC"/>
    <w:lvl w:ilvl="0" w:tplc="45E26C26">
      <w:start w:val="1"/>
      <w:numFmt w:val="bullet"/>
      <w:lvlText w:val=""/>
      <w:lvlJc w:val="left"/>
      <w:pPr>
        <w:ind w:left="720" w:hanging="360"/>
      </w:pPr>
      <w:rPr>
        <w:rFonts w:ascii="Symbol" w:hAnsi="Symbol" w:hint="default"/>
      </w:rPr>
    </w:lvl>
    <w:lvl w:ilvl="1" w:tplc="807CAC52">
      <w:start w:val="1"/>
      <w:numFmt w:val="bullet"/>
      <w:lvlText w:val="o"/>
      <w:lvlJc w:val="left"/>
      <w:pPr>
        <w:ind w:left="1440" w:hanging="360"/>
      </w:pPr>
      <w:rPr>
        <w:rFonts w:ascii="Courier New" w:hAnsi="Courier New" w:hint="default"/>
      </w:rPr>
    </w:lvl>
    <w:lvl w:ilvl="2" w:tplc="6F8603F4">
      <w:start w:val="1"/>
      <w:numFmt w:val="bullet"/>
      <w:lvlText w:val=""/>
      <w:lvlJc w:val="left"/>
      <w:pPr>
        <w:ind w:left="2160" w:hanging="360"/>
      </w:pPr>
      <w:rPr>
        <w:rFonts w:ascii="Wingdings" w:hAnsi="Wingdings" w:hint="default"/>
      </w:rPr>
    </w:lvl>
    <w:lvl w:ilvl="3" w:tplc="15F4A3B2">
      <w:start w:val="1"/>
      <w:numFmt w:val="bullet"/>
      <w:lvlText w:val=""/>
      <w:lvlJc w:val="left"/>
      <w:pPr>
        <w:ind w:left="2880" w:hanging="360"/>
      </w:pPr>
      <w:rPr>
        <w:rFonts w:ascii="Symbol" w:hAnsi="Symbol" w:hint="default"/>
      </w:rPr>
    </w:lvl>
    <w:lvl w:ilvl="4" w:tplc="818C4DA2">
      <w:start w:val="1"/>
      <w:numFmt w:val="bullet"/>
      <w:lvlText w:val="o"/>
      <w:lvlJc w:val="left"/>
      <w:pPr>
        <w:ind w:left="3600" w:hanging="360"/>
      </w:pPr>
      <w:rPr>
        <w:rFonts w:ascii="Courier New" w:hAnsi="Courier New" w:hint="default"/>
      </w:rPr>
    </w:lvl>
    <w:lvl w:ilvl="5" w:tplc="AB964FAA">
      <w:start w:val="1"/>
      <w:numFmt w:val="bullet"/>
      <w:lvlText w:val=""/>
      <w:lvlJc w:val="left"/>
      <w:pPr>
        <w:ind w:left="4320" w:hanging="360"/>
      </w:pPr>
      <w:rPr>
        <w:rFonts w:ascii="Wingdings" w:hAnsi="Wingdings" w:hint="default"/>
      </w:rPr>
    </w:lvl>
    <w:lvl w:ilvl="6" w:tplc="B1688A64">
      <w:start w:val="1"/>
      <w:numFmt w:val="bullet"/>
      <w:lvlText w:val=""/>
      <w:lvlJc w:val="left"/>
      <w:pPr>
        <w:ind w:left="5040" w:hanging="360"/>
      </w:pPr>
      <w:rPr>
        <w:rFonts w:ascii="Symbol" w:hAnsi="Symbol" w:hint="default"/>
      </w:rPr>
    </w:lvl>
    <w:lvl w:ilvl="7" w:tplc="99AA7A20">
      <w:start w:val="1"/>
      <w:numFmt w:val="bullet"/>
      <w:lvlText w:val="o"/>
      <w:lvlJc w:val="left"/>
      <w:pPr>
        <w:ind w:left="5760" w:hanging="360"/>
      </w:pPr>
      <w:rPr>
        <w:rFonts w:ascii="Courier New" w:hAnsi="Courier New" w:hint="default"/>
      </w:rPr>
    </w:lvl>
    <w:lvl w:ilvl="8" w:tplc="BEAC3BD0">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523"/>
    <w:rsid w:val="004D436B"/>
    <w:rsid w:val="005B39EE"/>
    <w:rsid w:val="007C21E0"/>
    <w:rsid w:val="00B4397C"/>
    <w:rsid w:val="00B96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D6CC2"/>
  <w15:chartTrackingRefBased/>
  <w15:docId w15:val="{E38D9A72-48F6-47DE-B669-CEDDAEE5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99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m.gov.uk/project/murder/" TargetMode="External"/><Relationship Id="rId3" Type="http://schemas.openxmlformats.org/officeDocument/2006/relationships/styles" Target="styles.xml"/><Relationship Id="rId7" Type="http://schemas.openxmlformats.org/officeDocument/2006/relationships/hyperlink" Target="https://www.linkedin.com/company/law-commission-england-and-wa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awcom.gov.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ansard.parliament.uk/commons/2016-06-30/debates/D5042476-8A97-4E5F-82BB-5908AB04F0AA/HomicideLaw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784E6D-7F3D-4ADB-B687-A00701F22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999</Words>
  <Characters>5697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1</cp:revision>
  <dcterms:created xsi:type="dcterms:W3CDTF">2021-11-23T12:17:00Z</dcterms:created>
  <dcterms:modified xsi:type="dcterms:W3CDTF">2021-11-23T12:37:00Z</dcterms:modified>
</cp:coreProperties>
</file>