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A785D0" w14:textId="5E94509B" w:rsidR="00241122" w:rsidRDefault="00241122">
      <w:pPr>
        <w:rPr>
          <w:b/>
          <w:bCs/>
          <w:sz w:val="32"/>
          <w:szCs w:val="32"/>
        </w:rPr>
      </w:pPr>
      <w:r w:rsidRPr="00241122">
        <w:rPr>
          <w:b/>
          <w:bCs/>
          <w:sz w:val="32"/>
          <w:szCs w:val="32"/>
        </w:rPr>
        <w:t xml:space="preserve">Matthew Davis 1901809 </w:t>
      </w:r>
    </w:p>
    <w:p w14:paraId="31A88422" w14:textId="696DCD31" w:rsidR="00241122" w:rsidRDefault="00241122">
      <w:r>
        <w:t>Pain (2014) defines terrorism as ‘related attempts to exert political control through fear</w:t>
      </w:r>
      <w:r w:rsidR="00E63102">
        <w:t>’</w:t>
      </w:r>
      <w:r>
        <w:t xml:space="preserve">. Over the years, there have been many famous incidents and so-called attempts to exert and gain control through uses of violence, terror and fear from many terrorist organisations and groups. However, </w:t>
      </w:r>
      <w:proofErr w:type="spellStart"/>
      <w:r w:rsidR="00DE244B">
        <w:t>Ganor</w:t>
      </w:r>
      <w:proofErr w:type="spellEnd"/>
      <w:r w:rsidR="00DE244B">
        <w:t xml:space="preserve"> (2002) states </w:t>
      </w:r>
      <w:r>
        <w:t>that ‘one person’s terrorism is another person’s freedom fighter’. The purpose of this essay will be to determine whether or not a chosen group which will be</w:t>
      </w:r>
      <w:r w:rsidR="00DE244B">
        <w:t xml:space="preserve"> determining whether or not</w:t>
      </w:r>
      <w:r>
        <w:t xml:space="preserve"> the</w:t>
      </w:r>
      <w:r w:rsidR="00E63102">
        <w:t xml:space="preserve"> </w:t>
      </w:r>
      <w:r>
        <w:t>Irish Republican Army (IRA)</w:t>
      </w:r>
      <w:r w:rsidR="00DE244B">
        <w:t xml:space="preserve"> and its groups</w:t>
      </w:r>
      <w:r>
        <w:t xml:space="preserve"> in this instance and looking at if the term ‘terrorist’ can really be applied to them. A brief background on the IRA according to Riches and </w:t>
      </w:r>
      <w:proofErr w:type="spellStart"/>
      <w:r>
        <w:t>Palmowski</w:t>
      </w:r>
      <w:proofErr w:type="spellEnd"/>
      <w:r>
        <w:t xml:space="preserve"> (2019) </w:t>
      </w:r>
      <w:r w:rsidR="00DE244B">
        <w:t xml:space="preserve">is that the </w:t>
      </w:r>
      <w:r>
        <w:t>‘the origin of the IRA are found to be in the Irish Republican Brotherhood, founded in Dublin and New York in 1958’. Famous incidents that the IRA have been a part of include ‘Bloody Sunday’ on the 30</w:t>
      </w:r>
      <w:r w:rsidRPr="00241122">
        <w:rPr>
          <w:vertAlign w:val="superscript"/>
        </w:rPr>
        <w:t>th</w:t>
      </w:r>
      <w:r>
        <w:t xml:space="preserve"> January 1972, ‘Bloody Friday’ on the 21</w:t>
      </w:r>
      <w:r w:rsidRPr="00241122">
        <w:rPr>
          <w:vertAlign w:val="superscript"/>
        </w:rPr>
        <w:t>st</w:t>
      </w:r>
      <w:r>
        <w:t xml:space="preserve"> July 1972 and the ‘Hunger Strike’ in 1981 to name a few. These are examples that will be used in this essay to help answer the question as to whether or not again the term ‘terrorist’ can be applied to them. </w:t>
      </w:r>
    </w:p>
    <w:p w14:paraId="7B72AC7F" w14:textId="1D927641" w:rsidR="00241122" w:rsidRDefault="00241122">
      <w:r>
        <w:t xml:space="preserve">As important as it is for the purpose of this essay, to know what terrorism is and to keep the definition of it in the back of our minds, </w:t>
      </w:r>
      <w:r w:rsidR="00DE244B">
        <w:t xml:space="preserve">it is </w:t>
      </w:r>
      <w:r>
        <w:t xml:space="preserve">also </w:t>
      </w:r>
      <w:r w:rsidR="00DE244B">
        <w:t xml:space="preserve">important to </w:t>
      </w:r>
      <w:r>
        <w:t>reflect upon and refer back to the phrase ‘freedom fighter</w:t>
      </w:r>
      <w:r w:rsidR="00DE244B">
        <w:t>’</w:t>
      </w:r>
      <w:r>
        <w:t xml:space="preserve">. </w:t>
      </w:r>
      <w:r w:rsidR="00DE244B">
        <w:t>This</w:t>
      </w:r>
      <w:r>
        <w:t xml:space="preserve"> could</w:t>
      </w:r>
      <w:r w:rsidR="00DE244B">
        <w:t xml:space="preserve"> however,</w:t>
      </w:r>
      <w:r>
        <w:t xml:space="preserve"> present a false dichotomy as it is possible to be a freedom fighter and a terrorist at the same time as </w:t>
      </w:r>
      <w:r w:rsidR="00DE244B">
        <w:t xml:space="preserve">going back to </w:t>
      </w:r>
      <w:proofErr w:type="spellStart"/>
      <w:r>
        <w:t>Ganor</w:t>
      </w:r>
      <w:proofErr w:type="spellEnd"/>
      <w:r>
        <w:t xml:space="preserve"> (2002)</w:t>
      </w:r>
      <w:r w:rsidR="00DE244B">
        <w:t xml:space="preserve"> and their famous quote and how they </w:t>
      </w:r>
      <w:r>
        <w:t xml:space="preserve">reveal here that either one could perhaps be interpreted for one another.  According to Bolt (2001) a freedom fighter is someone who has been ‘deprived of something important, such as a homeland, and their struggle is to obtain or gain it back’. This is an important term and definition to begin off the main body here as if we are to look at what the aim of the IRA is, what they are trying to accomplish and their </w:t>
      </w:r>
      <w:r>
        <w:lastRenderedPageBreak/>
        <w:t>ideology, according to Rebello (</w:t>
      </w:r>
      <w:proofErr w:type="spellStart"/>
      <w:r>
        <w:t>n.d</w:t>
      </w:r>
      <w:proofErr w:type="spellEnd"/>
      <w:r>
        <w:t xml:space="preserve">) ‘since the formation of the IRA, they have been fighting to separate Britain from Ireland and have gone to extensive lengths to get their points across’. Rebello goes onto to reveal ‘the group believe in a free and independent Ireland’. From this alone and in response to the aim of this essay, we can already make an assumption early on that the IRA are more freedom fighters than terrorism without going into too much detail as again, going back to what a freedom fighter is based on Bolt (2001) and their definition of the term, a freedom fighter is someone who is fighting to regain or gain more authority over a homeland and comparing this with the motives of the IRA, this would lead us to believe early on here that the term ‘terrorist’ cannot be applied to them here based on their ideology. Following on from this this claim, is Van </w:t>
      </w:r>
      <w:proofErr w:type="spellStart"/>
      <w:r>
        <w:t>Assche</w:t>
      </w:r>
      <w:proofErr w:type="spellEnd"/>
      <w:r>
        <w:t xml:space="preserve"> (2009) who states that the IRA ‘attack their country’s government institutions because their family and friends have socialized them to hate the dominant groups’ and that groups such as the IRA ‘emerge because of the historical/cultural/political/economic context’ which would again</w:t>
      </w:r>
      <w:r w:rsidR="00DE244B">
        <w:t xml:space="preserve"> then</w:t>
      </w:r>
      <w:r>
        <w:t xml:space="preserve"> as a result, only further lead us to believe that the IRA </w:t>
      </w:r>
      <w:r w:rsidR="00DE244B">
        <w:t>could be interpreted</w:t>
      </w:r>
      <w:r>
        <w:t xml:space="preserve"> </w:t>
      </w:r>
      <w:r w:rsidR="00DE244B">
        <w:t xml:space="preserve">as more </w:t>
      </w:r>
      <w:r>
        <w:t xml:space="preserve">of a </w:t>
      </w:r>
      <w:r w:rsidR="00DE244B">
        <w:t>‘</w:t>
      </w:r>
      <w:r>
        <w:t>freedom fighter</w:t>
      </w:r>
      <w:r w:rsidR="00DE244B">
        <w:t>’</w:t>
      </w:r>
      <w:r>
        <w:t xml:space="preserve"> group than </w:t>
      </w:r>
      <w:r w:rsidR="00DE244B">
        <w:t>‘</w:t>
      </w:r>
      <w:r>
        <w:t>terrorists</w:t>
      </w:r>
      <w:r w:rsidR="00DE244B">
        <w:t>’</w:t>
      </w:r>
      <w:r>
        <w:t xml:space="preserve"> as their members’ motives are purely based on historical context which relates back to Ireland wanting independence from the United Kingdom. In addition to this, ‘</w:t>
      </w:r>
      <w:r>
        <w:rPr>
          <w:i/>
          <w:iCs/>
        </w:rPr>
        <w:t xml:space="preserve">Mandelson says Provisional IRA are freedom fighters’ </w:t>
      </w:r>
      <w:r>
        <w:t xml:space="preserve">(2001) is an article where the self-explanatory title describes what a former Northern Ireland secretary believed and that due to the IRA engaging in the political process side of things they should be referred to as more </w:t>
      </w:r>
      <w:r w:rsidR="00DE244B">
        <w:t>‘</w:t>
      </w:r>
      <w:r>
        <w:t>freedom fighters</w:t>
      </w:r>
      <w:r w:rsidR="00DE244B">
        <w:t>’</w:t>
      </w:r>
      <w:r>
        <w:t xml:space="preserve"> than perhaps </w:t>
      </w:r>
      <w:r w:rsidR="00DE244B">
        <w:t>‘</w:t>
      </w:r>
      <w:r>
        <w:t>terrorists</w:t>
      </w:r>
      <w:r w:rsidR="00DE244B">
        <w:t>’</w:t>
      </w:r>
      <w:r>
        <w:t xml:space="preserve"> and that as a result, Mandelson says</w:t>
      </w:r>
      <w:r w:rsidR="00DE244B">
        <w:t xml:space="preserve"> they</w:t>
      </w:r>
      <w:r>
        <w:t xml:space="preserve"> ‘should no longer be seen in the same light as al-Qaeda and its leader Osama Bin Laden’. However, later on in the article, Theresa May rebuffed this claim stating</w:t>
      </w:r>
      <w:r w:rsidR="00DE244B">
        <w:t xml:space="preserve"> that she could not see</w:t>
      </w:r>
      <w:r>
        <w:t xml:space="preserve"> how anyone ‘could describe the IRA as anything other than a terrorist organisation’. Kane (2017) supports May in the belief that the IRA are a terrorist </w:t>
      </w:r>
      <w:r>
        <w:lastRenderedPageBreak/>
        <w:t>group by also saying how it was ‘impossible’ for him to believe that the IRA were not a terrorist group as well as Gerry Adams, an Irish republican who has been linked with the IRA, being a ‘spokesmen for terror’. ‘</w:t>
      </w:r>
      <w:r>
        <w:rPr>
          <w:i/>
          <w:iCs/>
        </w:rPr>
        <w:t xml:space="preserve">McGuiness was a freedom fighter not a terrorist’ </w:t>
      </w:r>
      <w:r>
        <w:t xml:space="preserve">(2017) is an article however, where Gerry Adams himself declared Martin McGuiness who was a former leader of the IRA not to be a terrorist after his death. </w:t>
      </w:r>
    </w:p>
    <w:p w14:paraId="3DCDD5A5" w14:textId="2FAD2017" w:rsidR="00241122" w:rsidRPr="00241122" w:rsidRDefault="00241122">
      <w:r>
        <w:t xml:space="preserve">To now take the contrasting side of this argument as opposed to what so far has been the suggestion by sources that the IRA are more ‘freedom fighters’ than ‘terrorists’, we can look at famous incidents where the IRA have been involved in to </w:t>
      </w:r>
      <w:r w:rsidR="00DE244B">
        <w:t>declare</w:t>
      </w:r>
      <w:r>
        <w:t xml:space="preserve"> </w:t>
      </w:r>
      <w:r w:rsidR="00DE244B">
        <w:t xml:space="preserve">whether or not </w:t>
      </w:r>
      <w:r>
        <w:t>the term ‘terrorist’ can be applied to the IRA. For the first example here of an incident we could look at would be Bloody Friday on the 21</w:t>
      </w:r>
      <w:r w:rsidRPr="00241122">
        <w:rPr>
          <w:vertAlign w:val="superscript"/>
        </w:rPr>
        <w:t>st</w:t>
      </w:r>
      <w:r>
        <w:t xml:space="preserve"> July in 1972 where the IRA detonated 20 bombs which resulted in the death of many British military personnel as well as many civilians. Coming back now to what the definition of terrorism is using a different definition for this case coming from Enders and Sandler (2012), ‘terrorism is the premeditated use or threat to use violence by individuals or subnational groups to obtain a political or social objective’. This definition here could definitely be applied to the events of what happened in Bloody Friday in 1972 as to achieve their motives, the IRA used both violence and terror which resulted in the fatalities of many and from this, we could in turn label the IRA as terrorists as opposed to other terms such as ‘freedom fighters’. In addition to this </w:t>
      </w:r>
      <w:proofErr w:type="spellStart"/>
      <w:r>
        <w:t>Empey</w:t>
      </w:r>
      <w:proofErr w:type="spellEnd"/>
      <w:r>
        <w:t xml:space="preserve"> (2017) who was not working </w:t>
      </w:r>
      <w:r w:rsidR="00DE244B">
        <w:t>too</w:t>
      </w:r>
      <w:r>
        <w:t xml:space="preserve"> far away yet witnessed first-hand the event that occurred on July 21</w:t>
      </w:r>
      <w:r w:rsidRPr="00241122">
        <w:rPr>
          <w:vertAlign w:val="superscript"/>
        </w:rPr>
        <w:t>st</w:t>
      </w:r>
      <w:r>
        <w:t xml:space="preserve"> 1972 stated that ‘Bloody Friday was textbook terrorism’ and that it was ‘designed around terror’ as well as finally stating ‘you would not do it for any </w:t>
      </w:r>
      <w:r w:rsidR="00DE244B">
        <w:t xml:space="preserve">other </w:t>
      </w:r>
      <w:r>
        <w:t xml:space="preserve">reason’ in regards to wanting to cause terror. As previously stated, this case alone would lead us to believe that at this event, the main aim of the IRA was to cause violence, terror and chaos and therefore being associated more with the term ‘terrorist’ rather than anything else. </w:t>
      </w:r>
    </w:p>
    <w:p w14:paraId="7DD2B143" w14:textId="513B6EEE" w:rsidR="00241122" w:rsidRDefault="00E63102">
      <w:r>
        <w:lastRenderedPageBreak/>
        <w:t>Of course, when at the end of this essay attempting to make a decision as to whether or not the IRA can be judged to be titled as a terrorist group it is important to remember here that this on the basis of the Provisional IRA</w:t>
      </w:r>
      <w:r w:rsidR="00DE244B">
        <w:t xml:space="preserve"> (PIRA)</w:t>
      </w:r>
      <w:r>
        <w:t xml:space="preserve">. However, as previously mentioned this does not rule out the previous versions of the IRA can also too </w:t>
      </w:r>
      <w:r w:rsidR="00DE244B">
        <w:t xml:space="preserve">not be </w:t>
      </w:r>
      <w:r>
        <w:t xml:space="preserve">deemed to be a terrorist organisation as well. Another argument supporting the reasoning for the term of the group being a ‘terrorists’ would be the events that occurred in 1979 where members of the </w:t>
      </w:r>
      <w:r w:rsidR="00DE244B">
        <w:t xml:space="preserve">P     </w:t>
      </w:r>
      <w:r>
        <w:t>IRA assassinated Lord Louis Mountbatten. Kennedy (</w:t>
      </w:r>
      <w:r w:rsidR="00DE244B">
        <w:t>2020</w:t>
      </w:r>
      <w:r>
        <w:t xml:space="preserve">) states that this was done as an act of defiance against the United Kingdom as they ‘waged a terror campaign to drive British forces from Northern Ireland’. Once again, the term ‘freedom fighter’ here could be used as this was all done in an attempt to separate the United Kingdom from Northern Ireland. However, with these cases it is important to look more at the methodology rather than the ideology as the IRA’s tactics and campaign to achieve their aims was done through causing both fear and terror. Kennedy also states the numbers of those who lost their lives by the time of when the Good Friday Agreement in 1998 had happened where British and Irish governments had agreed on how Northern Ireland should be governed. Kennedy states that all the events leading up to this agreement and for the IRA to achieve their goals, ‘more than 3,600 people had died’. Other events similar to the one that happened with the assassination </w:t>
      </w:r>
      <w:r w:rsidR="00DE244B">
        <w:t>of</w:t>
      </w:r>
      <w:r>
        <w:t xml:space="preserve"> Mountbatten would be the attempted assassination on Margaret Thatcher orchestrated by the IRA where a detonated bomb killed three people which is better known as the ‘Brighton hotel bombing’ in 1984. Once again here, we would have to make the link and say that these incidents mentioned are examples of terror and chaos being caused regardless of whether it is politically driven or not. Horgan and Taylor (2007) also label the </w:t>
      </w:r>
      <w:r w:rsidR="00DE244B">
        <w:t xml:space="preserve">PIRA </w:t>
      </w:r>
      <w:r>
        <w:t xml:space="preserve">as ‘one of the most highly organised and sophisticated terrorist groups the world has ever seen.’ </w:t>
      </w:r>
      <w:proofErr w:type="spellStart"/>
      <w:r>
        <w:t>Nimmons</w:t>
      </w:r>
      <w:proofErr w:type="spellEnd"/>
      <w:r>
        <w:t xml:space="preserve"> (2017) further explains some of the PIRA’s methods where ‘many were </w:t>
      </w:r>
      <w:r>
        <w:lastRenderedPageBreak/>
        <w:t>tortured before execution, and it has been acknowledged that false confessions were beaten out of those falsely accused.’ Of course, going right back to Pain (2014) and their definition of what terrorism is which is to ‘exert political control through fear’</w:t>
      </w:r>
      <w:r w:rsidR="00DE244B">
        <w:t>,</w:t>
      </w:r>
      <w:r>
        <w:t xml:space="preserve"> we could confidently assume that this is exactly the type of behaviour that is seen here. Aside from this and other examples where similar behaviour to this has been seen include </w:t>
      </w:r>
      <w:proofErr w:type="spellStart"/>
      <w:r>
        <w:t>Nimmons</w:t>
      </w:r>
      <w:proofErr w:type="spellEnd"/>
      <w:r>
        <w:t xml:space="preserve"> and them commenting on how women and children were also shot for ‘violating PIRA directives’ as they did not abide by the PIRA’s rules and not succumbing to their control. </w:t>
      </w:r>
      <w:proofErr w:type="spellStart"/>
      <w:r>
        <w:t>Nimmons</w:t>
      </w:r>
      <w:proofErr w:type="spellEnd"/>
      <w:r>
        <w:t xml:space="preserve"> in the article, also comments saying that indeed the PIRA were a ‘vertical terrorist organisation’. </w:t>
      </w:r>
      <w:proofErr w:type="spellStart"/>
      <w:r>
        <w:t>Nimmons</w:t>
      </w:r>
      <w:proofErr w:type="spellEnd"/>
      <w:r w:rsidR="00DE244B">
        <w:t xml:space="preserve"> also</w:t>
      </w:r>
      <w:r>
        <w:t xml:space="preserve"> reveals that the PIRA ‘attempted to create no go areas for the police and the British Army’ and how this as a result allowed ‘terrorists freedom of movement and ability to control inner-city areas and rural townlands’ indicating to us here that not only were the PIRA endeavouring to create terrorist acts in the United Kingdom, but as well that they allowed for the possibility of a higher chance of other terrorism being caused elsewhere from separate groups and organisations. </w:t>
      </w:r>
    </w:p>
    <w:p w14:paraId="431F0C5D" w14:textId="13E53647" w:rsidR="00241122" w:rsidRDefault="00E63102">
      <w:r>
        <w:t xml:space="preserve">In a newspaper article by Borders (1981) titled ‘IRA gunmen slay a protestant MP’ this again would be the type of actions we would assertively associate with terrorist behaviour. As to whether or not the IRA and their actions and methods could be justifiable through the Just War Theory, Shanahan (2008) states ‘its armed struggle was not justified according to the principles of the Just War Theory’ telling us what they did, what they were fighting for and how they went about it cannot be interpreted as ‘war’ which leads us to only further believe that the IRA </w:t>
      </w:r>
      <w:r w:rsidR="00DE244B">
        <w:t xml:space="preserve">as a whole </w:t>
      </w:r>
      <w:r>
        <w:t xml:space="preserve">in most cases is a terrorist organisation. Yet another example of the word ‘terrorist’ </w:t>
      </w:r>
      <w:r w:rsidR="00DE244B">
        <w:t>being given</w:t>
      </w:r>
      <w:r>
        <w:t xml:space="preserve"> to the </w:t>
      </w:r>
      <w:r w:rsidR="00DE244B">
        <w:t>P</w:t>
      </w:r>
      <w:r>
        <w:t xml:space="preserve">IRA comes from Van </w:t>
      </w:r>
      <w:proofErr w:type="spellStart"/>
      <w:r>
        <w:t>Voris</w:t>
      </w:r>
      <w:proofErr w:type="spellEnd"/>
      <w:r>
        <w:t xml:space="preserve"> (1975) claiming that the PIRA are ‘the best known of several guerrilla terrorist organisations’ and that the ‘Provisionals are defining the limits of guerrilla terrorism’. In regards to what the term ‘guerrilla terrorism’ </w:t>
      </w:r>
      <w:r>
        <w:lastRenderedPageBreak/>
        <w:t xml:space="preserve">means, Van </w:t>
      </w:r>
      <w:proofErr w:type="spellStart"/>
      <w:r>
        <w:t>Voris</w:t>
      </w:r>
      <w:proofErr w:type="spellEnd"/>
      <w:r>
        <w:t xml:space="preserve"> describes them as people who ‘make unpredictable strikes and avoid confrontation with their enemies; they aim to destroy an enemy with </w:t>
      </w:r>
      <w:r w:rsidR="00DE244B">
        <w:t xml:space="preserve">their </w:t>
      </w:r>
      <w:r>
        <w:t xml:space="preserve">own emotions of confusion, exhaustion, fear’ which is exactly the type of detail or description that we would use to describe major and famous terrorist attacks </w:t>
      </w:r>
      <w:r w:rsidR="00DE244B">
        <w:t xml:space="preserve">and the atmosphere that these groups want to create in events </w:t>
      </w:r>
      <w:r>
        <w:t>that have happened over the years as the PIRA</w:t>
      </w:r>
      <w:r w:rsidR="00DE244B">
        <w:t xml:space="preserve"> appear to</w:t>
      </w:r>
      <w:r>
        <w:t xml:space="preserve"> have used the same exact approach. </w:t>
      </w:r>
    </w:p>
    <w:p w14:paraId="68A47D46" w14:textId="11728997" w:rsidR="00E63102" w:rsidRDefault="00E63102">
      <w:r>
        <w:t xml:space="preserve">In conclusion to answering the overall question as to whether or not the term ‘terrorist’ can be used to describe the IRA in particular the Provisional Irish Republican Army, it would be very reasonable to assume that they are indeed a terrorist group as gathering all pieces of evidence such as their reasoning, their methodology behind what they were trying to achieve resembles very heavily what we expect when we hear about the details of modern day terrorism. As well as this, whilst looking at multiple definitions from different sources and their opinion on what the word ‘terrorism’ actually means, the PIRA fall very much into that category. Briefly touching upon the phrase ‘freedom fighter’ again, we can in some instances say they are simply doing this to regain or have more control over a homeland as </w:t>
      </w:r>
      <w:proofErr w:type="spellStart"/>
      <w:r>
        <w:t>Ganor</w:t>
      </w:r>
      <w:proofErr w:type="spellEnd"/>
      <w:r>
        <w:t xml:space="preserve"> (2002) and their famous quote.   However, despite this and regardless of whether or not this could be used to describe their ideology and methods, it is important to remember that you can be both of these labels which is why all things considered, it is very hard to argue that the term ‘terrorist’ does not apply to the IRA. </w:t>
      </w:r>
      <w:proofErr w:type="spellStart"/>
      <w:r>
        <w:t>Ganor</w:t>
      </w:r>
      <w:proofErr w:type="spellEnd"/>
      <w:r>
        <w:t xml:space="preserve"> does mention later on that the term ‘freedom fighter’ can only be used to an extent as a terrorist ‘deliberately targets civilians’ and how due to this ‘a terrorist organisation can no longer claim to be freedom fighters’ which looking at some of their famous incidents has most certainly been the case in regards to the events of Bloody Friday and how many people were killed as well as at the assassination on Lord Mountbatten attempted murder of Margaret Thatcher. Finally, in </w:t>
      </w:r>
      <w:r>
        <w:lastRenderedPageBreak/>
        <w:t xml:space="preserve">addition to the groups already mentioned in the IRA, Gregory (2010) also lists two IRA separate groups in Real and Continuity IRA who Gregory says, ‘still practice terrorism and remain on the EU’s and the State Department’s terrorist group lists as recently as 2009’. </w:t>
      </w:r>
      <w:r w:rsidR="00DE244B">
        <w:t xml:space="preserve">In regards to the IRA overall, </w:t>
      </w:r>
      <w:r>
        <w:t xml:space="preserve">Gregory also mentions how the ‘British Home Office lists any group under the IRA name, as well as various splinter organisations, as proscribed terrorist groups’ meaning that the United Kingdom’s main department which is responsible for dealing with security and law and order in the country no matter the group, their history, their ideology or methodology is taken into account and all groups associated with the IRA fall into the category of being a terrorist group.  </w:t>
      </w:r>
    </w:p>
    <w:p w14:paraId="7592721A" w14:textId="5AE29C38" w:rsidR="00241122" w:rsidRDefault="00241122">
      <w:pPr>
        <w:rPr>
          <w:b/>
          <w:bCs/>
        </w:rPr>
      </w:pPr>
      <w:r w:rsidRPr="00241122">
        <w:rPr>
          <w:b/>
          <w:bCs/>
        </w:rPr>
        <w:t xml:space="preserve">References: </w:t>
      </w:r>
    </w:p>
    <w:p w14:paraId="4B0B6E14" w14:textId="1A5E9C82" w:rsidR="00DE244B" w:rsidRDefault="00DE244B" w:rsidP="00DE244B">
      <w:pPr>
        <w:spacing w:after="0" w:line="240" w:lineRule="auto"/>
        <w:rPr>
          <w:rFonts w:ascii="Arial" w:eastAsia="Times New Roman" w:hAnsi="Arial" w:cs="Arial"/>
          <w:color w:val="000000"/>
          <w:sz w:val="20"/>
          <w:szCs w:val="20"/>
          <w:shd w:val="clear" w:color="auto" w:fill="FFFFFF"/>
          <w:lang w:eastAsia="en-GB"/>
        </w:rPr>
      </w:pPr>
      <w:r w:rsidRPr="00DE244B">
        <w:rPr>
          <w:rFonts w:ascii="Arial" w:eastAsia="Times New Roman" w:hAnsi="Arial" w:cs="Arial"/>
          <w:color w:val="000000"/>
          <w:sz w:val="20"/>
          <w:szCs w:val="20"/>
          <w:shd w:val="clear" w:color="auto" w:fill="FFFFFF"/>
          <w:lang w:eastAsia="en-GB"/>
        </w:rPr>
        <w:t>Pain, R., 2004. </w:t>
      </w:r>
      <w:r w:rsidRPr="00DE244B">
        <w:rPr>
          <w:rFonts w:ascii="Arial" w:eastAsia="Times New Roman" w:hAnsi="Arial" w:cs="Arial"/>
          <w:i/>
          <w:iCs/>
          <w:color w:val="000000"/>
          <w:sz w:val="20"/>
          <w:szCs w:val="20"/>
          <w:shd w:val="clear" w:color="auto" w:fill="FFFFFF"/>
          <w:lang w:eastAsia="en-GB"/>
        </w:rPr>
        <w:t>Everyday terrorism: Connecting domestic violence and global terrorism</w:t>
      </w:r>
      <w:r w:rsidRPr="00DE244B">
        <w:rPr>
          <w:rFonts w:ascii="Arial" w:eastAsia="Times New Roman" w:hAnsi="Arial" w:cs="Arial"/>
          <w:color w:val="000000"/>
          <w:sz w:val="20"/>
          <w:szCs w:val="20"/>
          <w:shd w:val="clear" w:color="auto" w:fill="FFFFFF"/>
          <w:lang w:eastAsia="en-GB"/>
        </w:rPr>
        <w:t>.</w:t>
      </w:r>
      <w:r>
        <w:rPr>
          <w:rFonts w:ascii="Arial" w:eastAsia="Times New Roman" w:hAnsi="Arial" w:cs="Arial"/>
          <w:color w:val="000000"/>
          <w:sz w:val="20"/>
          <w:szCs w:val="20"/>
          <w:shd w:val="clear" w:color="auto" w:fill="FFFFFF"/>
          <w:lang w:eastAsia="en-GB"/>
        </w:rPr>
        <w:t xml:space="preserve"> pp 1</w:t>
      </w:r>
      <w:r w:rsidRPr="00DE244B">
        <w:rPr>
          <w:rFonts w:ascii="Arial" w:eastAsia="Times New Roman" w:hAnsi="Arial" w:cs="Arial"/>
          <w:color w:val="000000"/>
          <w:sz w:val="20"/>
          <w:szCs w:val="20"/>
          <w:shd w:val="clear" w:color="auto" w:fill="FFFFFF"/>
          <w:lang w:eastAsia="en-GB"/>
        </w:rPr>
        <w:t xml:space="preserve"> [online] Journals-sagepub-com.ezproxy.uwtsd.ac.uk. Available at: &lt;https://journals-sagepub-com.ezproxy.uwtsd.ac.uk/doi/pdf/10.1177/0309132513512231&gt; [Accessed 27 February 2021].</w:t>
      </w:r>
    </w:p>
    <w:p w14:paraId="3AA6F381" w14:textId="31D87242" w:rsidR="00DE244B" w:rsidRDefault="00DE244B" w:rsidP="00DE244B">
      <w:pPr>
        <w:spacing w:after="0" w:line="240" w:lineRule="auto"/>
        <w:rPr>
          <w:rFonts w:ascii="Arial" w:eastAsia="Times New Roman" w:hAnsi="Arial" w:cs="Arial"/>
          <w:color w:val="000000"/>
          <w:sz w:val="20"/>
          <w:szCs w:val="20"/>
          <w:shd w:val="clear" w:color="auto" w:fill="FFFFFF"/>
          <w:lang w:eastAsia="en-GB"/>
        </w:rPr>
      </w:pPr>
    </w:p>
    <w:p w14:paraId="57A41203" w14:textId="77777777" w:rsidR="00DE244B" w:rsidRPr="00DE244B" w:rsidRDefault="00DE244B" w:rsidP="00DE244B">
      <w:pPr>
        <w:spacing w:after="0" w:line="240" w:lineRule="auto"/>
        <w:rPr>
          <w:rFonts w:ascii="Times New Roman" w:eastAsia="Times New Roman" w:hAnsi="Times New Roman" w:cs="Times New Roman"/>
          <w:lang w:eastAsia="en-GB"/>
        </w:rPr>
      </w:pPr>
    </w:p>
    <w:p w14:paraId="3AFD157B" w14:textId="6F8F7DE6" w:rsidR="00DE244B" w:rsidRPr="00DE244B" w:rsidRDefault="00DE244B" w:rsidP="00DE244B">
      <w:pPr>
        <w:spacing w:after="0" w:line="240" w:lineRule="auto"/>
        <w:rPr>
          <w:rFonts w:ascii="Times New Roman" w:eastAsia="Times New Roman" w:hAnsi="Times New Roman" w:cs="Times New Roman"/>
          <w:lang w:eastAsia="en-GB"/>
        </w:rPr>
      </w:pPr>
      <w:proofErr w:type="spellStart"/>
      <w:r w:rsidRPr="00DE244B">
        <w:rPr>
          <w:rFonts w:ascii="Arial" w:eastAsia="Times New Roman" w:hAnsi="Arial" w:cs="Arial"/>
          <w:color w:val="000000"/>
          <w:sz w:val="20"/>
          <w:szCs w:val="20"/>
          <w:shd w:val="clear" w:color="auto" w:fill="FFFFFF"/>
          <w:lang w:eastAsia="en-GB"/>
        </w:rPr>
        <w:t>Byman</w:t>
      </w:r>
      <w:proofErr w:type="spellEnd"/>
      <w:r w:rsidRPr="00DE244B">
        <w:rPr>
          <w:rFonts w:ascii="Arial" w:eastAsia="Times New Roman" w:hAnsi="Arial" w:cs="Arial"/>
          <w:color w:val="000000"/>
          <w:sz w:val="20"/>
          <w:szCs w:val="20"/>
          <w:shd w:val="clear" w:color="auto" w:fill="FFFFFF"/>
          <w:lang w:eastAsia="en-GB"/>
        </w:rPr>
        <w:t>, D., 2020. </w:t>
      </w:r>
      <w:r w:rsidRPr="00DE244B">
        <w:rPr>
          <w:rFonts w:ascii="Arial" w:eastAsia="Times New Roman" w:hAnsi="Arial" w:cs="Arial"/>
          <w:i/>
          <w:iCs/>
          <w:color w:val="000000"/>
          <w:sz w:val="20"/>
          <w:szCs w:val="20"/>
          <w:shd w:val="clear" w:color="auto" w:fill="FFFFFF"/>
          <w:lang w:eastAsia="en-GB"/>
        </w:rPr>
        <w:t xml:space="preserve">Who is a terrorist, </w:t>
      </w:r>
      <w:r w:rsidRPr="00DE244B">
        <w:rPr>
          <w:rFonts w:ascii="Arial" w:eastAsia="Times New Roman" w:hAnsi="Arial" w:cs="Arial"/>
          <w:i/>
          <w:iCs/>
          <w:color w:val="000000"/>
          <w:sz w:val="20"/>
          <w:szCs w:val="20"/>
          <w:shd w:val="clear" w:color="auto" w:fill="FFFFFF"/>
          <w:lang w:eastAsia="en-GB"/>
        </w:rPr>
        <w:t>actually?</w:t>
      </w:r>
      <w:r w:rsidRPr="00DE244B">
        <w:rPr>
          <w:rFonts w:ascii="Arial" w:eastAsia="Times New Roman" w:hAnsi="Arial" w:cs="Arial"/>
          <w:color w:val="000000"/>
          <w:sz w:val="20"/>
          <w:szCs w:val="20"/>
          <w:shd w:val="clear" w:color="auto" w:fill="FFFFFF"/>
          <w:lang w:eastAsia="en-GB"/>
        </w:rPr>
        <w:t xml:space="preserve"> [online] Brookings. Available at: &lt;https://www.brookings.edu/blog/order-from-chaos/2020/09/22/who-is-a-terrorist-actually/&gt; [Accessed 27 February 2021].</w:t>
      </w:r>
    </w:p>
    <w:p w14:paraId="179C851A" w14:textId="4F482F1A" w:rsidR="00DE244B" w:rsidRDefault="00DE244B"/>
    <w:p w14:paraId="404E26F3" w14:textId="52B5BA62" w:rsidR="00DE244B" w:rsidRDefault="00DE244B" w:rsidP="00DE244B">
      <w:pPr>
        <w:spacing w:after="0" w:line="240" w:lineRule="auto"/>
        <w:rPr>
          <w:rFonts w:ascii="Arial" w:eastAsia="Times New Roman" w:hAnsi="Arial" w:cs="Arial"/>
          <w:color w:val="000000"/>
          <w:sz w:val="20"/>
          <w:szCs w:val="20"/>
          <w:shd w:val="clear" w:color="auto" w:fill="FFFFFF"/>
          <w:lang w:eastAsia="en-GB"/>
        </w:rPr>
      </w:pPr>
      <w:r w:rsidRPr="00DE244B">
        <w:rPr>
          <w:rFonts w:ascii="Arial" w:eastAsia="Times New Roman" w:hAnsi="Arial" w:cs="Arial"/>
          <w:color w:val="000000"/>
          <w:sz w:val="20"/>
          <w:szCs w:val="20"/>
          <w:shd w:val="clear" w:color="auto" w:fill="FFFFFF"/>
          <w:lang w:eastAsia="en-GB"/>
        </w:rPr>
        <w:t xml:space="preserve">Riches, C. and </w:t>
      </w:r>
      <w:proofErr w:type="spellStart"/>
      <w:r w:rsidRPr="00DE244B">
        <w:rPr>
          <w:rFonts w:ascii="Arial" w:eastAsia="Times New Roman" w:hAnsi="Arial" w:cs="Arial"/>
          <w:color w:val="000000"/>
          <w:sz w:val="20"/>
          <w:szCs w:val="20"/>
          <w:shd w:val="clear" w:color="auto" w:fill="FFFFFF"/>
          <w:lang w:eastAsia="en-GB"/>
        </w:rPr>
        <w:t>Palmowski</w:t>
      </w:r>
      <w:proofErr w:type="spellEnd"/>
      <w:r w:rsidRPr="00DE244B">
        <w:rPr>
          <w:rFonts w:ascii="Arial" w:eastAsia="Times New Roman" w:hAnsi="Arial" w:cs="Arial"/>
          <w:color w:val="000000"/>
          <w:sz w:val="20"/>
          <w:szCs w:val="20"/>
          <w:shd w:val="clear" w:color="auto" w:fill="FFFFFF"/>
          <w:lang w:eastAsia="en-GB"/>
        </w:rPr>
        <w:t>, J., 2019. </w:t>
      </w:r>
      <w:r w:rsidRPr="00DE244B">
        <w:rPr>
          <w:rFonts w:ascii="Arial" w:eastAsia="Times New Roman" w:hAnsi="Arial" w:cs="Arial"/>
          <w:i/>
          <w:iCs/>
          <w:color w:val="000000"/>
          <w:sz w:val="20"/>
          <w:szCs w:val="20"/>
          <w:shd w:val="clear" w:color="auto" w:fill="FFFFFF"/>
          <w:lang w:eastAsia="en-GB"/>
        </w:rPr>
        <w:t>A Dictionary of Contemporary World History</w:t>
      </w:r>
      <w:r w:rsidRPr="00DE244B">
        <w:rPr>
          <w:rFonts w:ascii="Arial" w:eastAsia="Times New Roman" w:hAnsi="Arial" w:cs="Arial"/>
          <w:color w:val="000000"/>
          <w:sz w:val="20"/>
          <w:szCs w:val="20"/>
          <w:shd w:val="clear" w:color="auto" w:fill="FFFFFF"/>
          <w:lang w:eastAsia="en-GB"/>
        </w:rPr>
        <w:t>. [online] Www-oxfordreference-com.ezproxy.uwtsd.ac.uk. Available at: &lt;https://www-oxfordreference-com.ezproxy.uwtsd.ac.uk/view/10.1093/acref/9780191870903.001.0001/acref-9780191870903-e-1136&gt; [Accessed 5 February 2021].</w:t>
      </w:r>
    </w:p>
    <w:p w14:paraId="20BC2B54" w14:textId="77777777" w:rsidR="00DE244B" w:rsidRPr="00DE244B" w:rsidRDefault="00DE244B" w:rsidP="00DE244B">
      <w:pPr>
        <w:spacing w:after="0" w:line="240" w:lineRule="auto"/>
        <w:rPr>
          <w:rFonts w:ascii="Times New Roman" w:eastAsia="Times New Roman" w:hAnsi="Times New Roman" w:cs="Times New Roman"/>
          <w:lang w:eastAsia="en-GB"/>
        </w:rPr>
      </w:pPr>
    </w:p>
    <w:p w14:paraId="19CA9B4D" w14:textId="77777777" w:rsidR="00DE244B" w:rsidRDefault="00DE244B" w:rsidP="00DE244B">
      <w:pPr>
        <w:spacing w:after="0" w:line="240" w:lineRule="auto"/>
      </w:pPr>
    </w:p>
    <w:p w14:paraId="6A1CEE9C" w14:textId="72FAC7A9" w:rsidR="00DE244B" w:rsidRPr="00DE244B" w:rsidRDefault="00DE244B" w:rsidP="00DE244B">
      <w:pPr>
        <w:spacing w:after="0" w:line="240" w:lineRule="auto"/>
        <w:rPr>
          <w:rFonts w:ascii="Times New Roman" w:eastAsia="Times New Roman" w:hAnsi="Times New Roman" w:cs="Times New Roman"/>
          <w:lang w:eastAsia="en-GB"/>
        </w:rPr>
      </w:pPr>
      <w:proofErr w:type="spellStart"/>
      <w:r w:rsidRPr="00DE244B">
        <w:rPr>
          <w:rFonts w:ascii="Arial" w:eastAsia="Times New Roman" w:hAnsi="Arial" w:cs="Arial"/>
          <w:color w:val="000000"/>
          <w:sz w:val="20"/>
          <w:szCs w:val="20"/>
          <w:shd w:val="clear" w:color="auto" w:fill="FFFFFF"/>
          <w:lang w:eastAsia="en-GB"/>
        </w:rPr>
        <w:t>Melaugh</w:t>
      </w:r>
      <w:proofErr w:type="spellEnd"/>
      <w:r w:rsidRPr="00DE244B">
        <w:rPr>
          <w:rFonts w:ascii="Arial" w:eastAsia="Times New Roman" w:hAnsi="Arial" w:cs="Arial"/>
          <w:color w:val="000000"/>
          <w:sz w:val="20"/>
          <w:szCs w:val="20"/>
          <w:shd w:val="clear" w:color="auto" w:fill="FFFFFF"/>
          <w:lang w:eastAsia="en-GB"/>
        </w:rPr>
        <w:t>, M., n.d. </w:t>
      </w:r>
      <w:r w:rsidRPr="00DE244B">
        <w:rPr>
          <w:rFonts w:ascii="Arial" w:eastAsia="Times New Roman" w:hAnsi="Arial" w:cs="Arial"/>
          <w:i/>
          <w:iCs/>
          <w:color w:val="000000"/>
          <w:sz w:val="20"/>
          <w:szCs w:val="20"/>
          <w:shd w:val="clear" w:color="auto" w:fill="FFFFFF"/>
          <w:lang w:eastAsia="en-GB"/>
        </w:rPr>
        <w:t>CAIN: Key Events of the Northern Ireland Conflict</w:t>
      </w:r>
      <w:r w:rsidRPr="00DE244B">
        <w:rPr>
          <w:rFonts w:ascii="Arial" w:eastAsia="Times New Roman" w:hAnsi="Arial" w:cs="Arial"/>
          <w:color w:val="000000"/>
          <w:sz w:val="20"/>
          <w:szCs w:val="20"/>
          <w:shd w:val="clear" w:color="auto" w:fill="FFFFFF"/>
          <w:lang w:eastAsia="en-GB"/>
        </w:rPr>
        <w:t>. [online] Cain.ulster.ac.uk. Available at: &lt;https://cain.ulster.ac.uk/events/index.html&gt; [Accessed 27 February 2021].</w:t>
      </w:r>
    </w:p>
    <w:p w14:paraId="6A67366A" w14:textId="77777777" w:rsidR="00DE244B" w:rsidRDefault="00DE244B"/>
    <w:p w14:paraId="60636E7E" w14:textId="746525EF"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 xml:space="preserve">Van </w:t>
      </w:r>
      <w:proofErr w:type="spellStart"/>
      <w:r w:rsidRPr="00DE244B">
        <w:rPr>
          <w:rFonts w:ascii="Arial" w:eastAsia="Times New Roman" w:hAnsi="Arial" w:cs="Arial"/>
          <w:color w:val="000000"/>
          <w:sz w:val="20"/>
          <w:szCs w:val="20"/>
          <w:shd w:val="clear" w:color="auto" w:fill="FFFFFF"/>
          <w:lang w:eastAsia="en-GB"/>
        </w:rPr>
        <w:t>Assche</w:t>
      </w:r>
      <w:proofErr w:type="spellEnd"/>
      <w:r w:rsidRPr="00DE244B">
        <w:rPr>
          <w:rFonts w:ascii="Arial" w:eastAsia="Times New Roman" w:hAnsi="Arial" w:cs="Arial"/>
          <w:color w:val="000000"/>
          <w:sz w:val="20"/>
          <w:szCs w:val="20"/>
          <w:shd w:val="clear" w:color="auto" w:fill="FFFFFF"/>
          <w:lang w:eastAsia="en-GB"/>
        </w:rPr>
        <w:t>, T., 2019. </w:t>
      </w:r>
      <w:r w:rsidRPr="00DE244B">
        <w:rPr>
          <w:rFonts w:ascii="Arial" w:eastAsia="Times New Roman" w:hAnsi="Arial" w:cs="Arial"/>
          <w:i/>
          <w:iCs/>
          <w:color w:val="000000"/>
          <w:sz w:val="20"/>
          <w:szCs w:val="20"/>
          <w:shd w:val="clear" w:color="auto" w:fill="FFFFFF"/>
          <w:lang w:eastAsia="en-GB"/>
        </w:rPr>
        <w:t>The Mind of the Terrorist: The Psychology of Terrorism from the IRA to Al-Qaeda by Jerrold M. Post</w:t>
      </w:r>
      <w:r w:rsidRPr="00DE244B">
        <w:rPr>
          <w:rFonts w:ascii="Arial" w:eastAsia="Times New Roman" w:hAnsi="Arial" w:cs="Arial"/>
          <w:color w:val="000000"/>
          <w:sz w:val="20"/>
          <w:szCs w:val="20"/>
          <w:shd w:val="clear" w:color="auto" w:fill="FFFFFF"/>
          <w:lang w:eastAsia="en-GB"/>
        </w:rPr>
        <w:t>.</w:t>
      </w:r>
      <w:r>
        <w:rPr>
          <w:rFonts w:ascii="Arial" w:eastAsia="Times New Roman" w:hAnsi="Arial" w:cs="Arial"/>
          <w:color w:val="000000"/>
          <w:sz w:val="20"/>
          <w:szCs w:val="20"/>
          <w:shd w:val="clear" w:color="auto" w:fill="FFFFFF"/>
          <w:lang w:eastAsia="en-GB"/>
        </w:rPr>
        <w:t xml:space="preserve"> pp 835-836 </w:t>
      </w:r>
      <w:r w:rsidRPr="00DE244B">
        <w:rPr>
          <w:rFonts w:ascii="Arial" w:eastAsia="Times New Roman" w:hAnsi="Arial" w:cs="Arial"/>
          <w:color w:val="000000"/>
          <w:sz w:val="20"/>
          <w:szCs w:val="20"/>
          <w:shd w:val="clear" w:color="auto" w:fill="FFFFFF"/>
          <w:lang w:eastAsia="en-GB"/>
        </w:rPr>
        <w:t>[online] Www-jstor-org.ezproxy.uwtsd.ac.uk. Available at: &lt;https://www-jstor-org.ezproxy.uwtsd.ac.uk/stable/41502463?seq=2#metadata_info_tab_contents&gt; [Accessed 27 February 2021].</w:t>
      </w:r>
    </w:p>
    <w:p w14:paraId="3BDC7D63" w14:textId="676D4240" w:rsidR="00DE244B" w:rsidRDefault="00DE244B"/>
    <w:p w14:paraId="071F4810"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Rebello, N., n.d. </w:t>
      </w:r>
      <w:r w:rsidRPr="00DE244B">
        <w:rPr>
          <w:rFonts w:ascii="Arial" w:eastAsia="Times New Roman" w:hAnsi="Arial" w:cs="Arial"/>
          <w:i/>
          <w:iCs/>
          <w:color w:val="000000"/>
          <w:sz w:val="20"/>
          <w:szCs w:val="20"/>
          <w:shd w:val="clear" w:color="auto" w:fill="FFFFFF"/>
          <w:lang w:eastAsia="en-GB"/>
        </w:rPr>
        <w:t>Irish Republican Army (Revised): IRA Ideology</w:t>
      </w:r>
      <w:r w:rsidRPr="00DE244B">
        <w:rPr>
          <w:rFonts w:ascii="Arial" w:eastAsia="Times New Roman" w:hAnsi="Arial" w:cs="Arial"/>
          <w:color w:val="000000"/>
          <w:sz w:val="20"/>
          <w:szCs w:val="20"/>
          <w:shd w:val="clear" w:color="auto" w:fill="FFFFFF"/>
          <w:lang w:eastAsia="en-GB"/>
        </w:rPr>
        <w:t>. [online] Irish Republican Army (Revised). Available at: &lt;https://scalar.usc.edu/works/irish-republican-army-revised/ira-ideology.vis&gt; [Accessed 27 February 2021].</w:t>
      </w:r>
    </w:p>
    <w:p w14:paraId="3BAC01FC"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lastRenderedPageBreak/>
        <w:t>The Irish Times. 2001. </w:t>
      </w:r>
      <w:r w:rsidRPr="00DE244B">
        <w:rPr>
          <w:rFonts w:ascii="Arial" w:eastAsia="Times New Roman" w:hAnsi="Arial" w:cs="Arial"/>
          <w:i/>
          <w:iCs/>
          <w:color w:val="000000"/>
          <w:sz w:val="20"/>
          <w:szCs w:val="20"/>
          <w:shd w:val="clear" w:color="auto" w:fill="FFFFFF"/>
          <w:lang w:eastAsia="en-GB"/>
        </w:rPr>
        <w:t>Mandelson says Provisional IRA are freedom fighters</w:t>
      </w:r>
      <w:r w:rsidRPr="00DE244B">
        <w:rPr>
          <w:rFonts w:ascii="Arial" w:eastAsia="Times New Roman" w:hAnsi="Arial" w:cs="Arial"/>
          <w:color w:val="000000"/>
          <w:sz w:val="20"/>
          <w:szCs w:val="20"/>
          <w:shd w:val="clear" w:color="auto" w:fill="FFFFFF"/>
          <w:lang w:eastAsia="en-GB"/>
        </w:rPr>
        <w:t>. [online] Available at: &lt;https://www.irishtimes.com/news/mandelson-says-provisional-ira-are-freedom-fighters-1.408559&gt; [Accessed 27 February 2021].</w:t>
      </w:r>
    </w:p>
    <w:p w14:paraId="659377FA" w14:textId="3BB6B5EE" w:rsidR="00DE244B" w:rsidRDefault="00DE244B"/>
    <w:p w14:paraId="6B65C684"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Kane, A., 2017. </w:t>
      </w:r>
      <w:r w:rsidRPr="00DE244B">
        <w:rPr>
          <w:rFonts w:ascii="Arial" w:eastAsia="Times New Roman" w:hAnsi="Arial" w:cs="Arial"/>
          <w:i/>
          <w:iCs/>
          <w:color w:val="000000"/>
          <w:sz w:val="20"/>
          <w:szCs w:val="20"/>
          <w:shd w:val="clear" w:color="auto" w:fill="FFFFFF"/>
          <w:lang w:eastAsia="en-GB"/>
        </w:rPr>
        <w:t>Republicans can say what they want, I believe the IRA was a terrorist group</w:t>
      </w:r>
      <w:r w:rsidRPr="00DE244B">
        <w:rPr>
          <w:rFonts w:ascii="Arial" w:eastAsia="Times New Roman" w:hAnsi="Arial" w:cs="Arial"/>
          <w:color w:val="000000"/>
          <w:sz w:val="20"/>
          <w:szCs w:val="20"/>
          <w:shd w:val="clear" w:color="auto" w:fill="FFFFFF"/>
          <w:lang w:eastAsia="en-GB"/>
        </w:rPr>
        <w:t>. [online] Newsletter.co.uk. Available at: &lt;https://www.newsletter.co.uk/news/republicans-can-say-what-they-want-i-believe-ira-was-terrorist-group-1067784&gt; [Accessed 27 February 2021].</w:t>
      </w:r>
    </w:p>
    <w:p w14:paraId="6B6E49B8" w14:textId="0240BF9D" w:rsidR="00DE244B" w:rsidRDefault="00DE244B"/>
    <w:p w14:paraId="1FF7E4C1"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BBC News. 2017. </w:t>
      </w:r>
      <w:r w:rsidRPr="00DE244B">
        <w:rPr>
          <w:rFonts w:ascii="Arial" w:eastAsia="Times New Roman" w:hAnsi="Arial" w:cs="Arial"/>
          <w:i/>
          <w:iCs/>
          <w:color w:val="000000"/>
          <w:sz w:val="20"/>
          <w:szCs w:val="20"/>
          <w:shd w:val="clear" w:color="auto" w:fill="FFFFFF"/>
          <w:lang w:eastAsia="en-GB"/>
        </w:rPr>
        <w:t>McGuinness 'was a freedom fighter, not a terrorist'</w:t>
      </w:r>
      <w:r w:rsidRPr="00DE244B">
        <w:rPr>
          <w:rFonts w:ascii="Arial" w:eastAsia="Times New Roman" w:hAnsi="Arial" w:cs="Arial"/>
          <w:color w:val="000000"/>
          <w:sz w:val="20"/>
          <w:szCs w:val="20"/>
          <w:shd w:val="clear" w:color="auto" w:fill="FFFFFF"/>
          <w:lang w:eastAsia="en-GB"/>
        </w:rPr>
        <w:t>. [online] Available at: &lt;https://www.bbc.co.uk/news/uk-northern-ireland-39368451&gt; [Accessed 27 February 2021].</w:t>
      </w:r>
    </w:p>
    <w:p w14:paraId="09038CCE" w14:textId="5F7BFD68" w:rsidR="00DE244B" w:rsidRDefault="00DE244B"/>
    <w:p w14:paraId="263240A9" w14:textId="77777777" w:rsidR="00DE244B" w:rsidRPr="00DE244B" w:rsidRDefault="00DE244B" w:rsidP="00DE244B">
      <w:pPr>
        <w:spacing w:after="0" w:line="240" w:lineRule="auto"/>
        <w:rPr>
          <w:rFonts w:ascii="Times New Roman" w:eastAsia="Times New Roman" w:hAnsi="Times New Roman" w:cs="Times New Roman"/>
          <w:lang w:eastAsia="en-GB"/>
        </w:rPr>
      </w:pPr>
      <w:proofErr w:type="spellStart"/>
      <w:r w:rsidRPr="00DE244B">
        <w:rPr>
          <w:rFonts w:ascii="Arial" w:eastAsia="Times New Roman" w:hAnsi="Arial" w:cs="Arial"/>
          <w:color w:val="000000"/>
          <w:sz w:val="20"/>
          <w:szCs w:val="20"/>
          <w:shd w:val="clear" w:color="auto" w:fill="FFFFFF"/>
          <w:lang w:eastAsia="en-GB"/>
        </w:rPr>
        <w:t>Ganor</w:t>
      </w:r>
      <w:proofErr w:type="spellEnd"/>
      <w:r w:rsidRPr="00DE244B">
        <w:rPr>
          <w:rFonts w:ascii="Arial" w:eastAsia="Times New Roman" w:hAnsi="Arial" w:cs="Arial"/>
          <w:color w:val="000000"/>
          <w:sz w:val="20"/>
          <w:szCs w:val="20"/>
          <w:shd w:val="clear" w:color="auto" w:fill="FFFFFF"/>
          <w:lang w:eastAsia="en-GB"/>
        </w:rPr>
        <w:t>, B., 2002. </w:t>
      </w:r>
      <w:r w:rsidRPr="00DE244B">
        <w:rPr>
          <w:rFonts w:ascii="Arial" w:eastAsia="Times New Roman" w:hAnsi="Arial" w:cs="Arial"/>
          <w:i/>
          <w:iCs/>
          <w:color w:val="000000"/>
          <w:sz w:val="20"/>
          <w:szCs w:val="20"/>
          <w:shd w:val="clear" w:color="auto" w:fill="FFFFFF"/>
          <w:lang w:eastAsia="en-GB"/>
        </w:rPr>
        <w:t>Defining Terrorism: Is One Man's Terrorist Another Man's Freedom Fighter? | Request PDF</w:t>
      </w:r>
      <w:r w:rsidRPr="00DE244B">
        <w:rPr>
          <w:rFonts w:ascii="Arial" w:eastAsia="Times New Roman" w:hAnsi="Arial" w:cs="Arial"/>
          <w:color w:val="000000"/>
          <w:sz w:val="20"/>
          <w:szCs w:val="20"/>
          <w:shd w:val="clear" w:color="auto" w:fill="FFFFFF"/>
          <w:lang w:eastAsia="en-GB"/>
        </w:rPr>
        <w:t>. [online] ResearchGate. Available at: &lt;https://www.researchgate.net/publication/237933825_Defining_Terrorism_Is_One_Man's_Terrorist_Another_Man's_Freedom_Fighter&gt; [Accessed 2 March 2021].</w:t>
      </w:r>
    </w:p>
    <w:p w14:paraId="32B560B7" w14:textId="74BBDD7D" w:rsidR="00DE244B" w:rsidRDefault="00DE244B"/>
    <w:p w14:paraId="353B50F5"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Sandler, T., 2014. </w:t>
      </w:r>
      <w:r w:rsidRPr="00DE244B">
        <w:rPr>
          <w:rFonts w:ascii="Arial" w:eastAsia="Times New Roman" w:hAnsi="Arial" w:cs="Arial"/>
          <w:i/>
          <w:iCs/>
          <w:color w:val="000000"/>
          <w:sz w:val="20"/>
          <w:szCs w:val="20"/>
          <w:shd w:val="clear" w:color="auto" w:fill="FFFFFF"/>
          <w:lang w:eastAsia="en-GB"/>
        </w:rPr>
        <w:t>The analytical study of terrorism: Taking stock</w:t>
      </w:r>
      <w:r w:rsidRPr="00DE244B">
        <w:rPr>
          <w:rFonts w:ascii="Arial" w:eastAsia="Times New Roman" w:hAnsi="Arial" w:cs="Arial"/>
          <w:color w:val="000000"/>
          <w:sz w:val="20"/>
          <w:szCs w:val="20"/>
          <w:shd w:val="clear" w:color="auto" w:fill="FFFFFF"/>
          <w:lang w:eastAsia="en-GB"/>
        </w:rPr>
        <w:t>. [online] Journals.sagepub.com. Available at: &lt;https://journals.sagepub.com/doi/pdf/10.1177/0022343313491277#:~:text=Terrorism%20is%20the%20premeditated%20use,Enders%20%26%20Sandler%2C%202012).&gt; [Accessed 2 March 2021].</w:t>
      </w:r>
    </w:p>
    <w:p w14:paraId="662D05CF" w14:textId="1AB22CDB" w:rsidR="00DE244B" w:rsidRDefault="00DE244B"/>
    <w:p w14:paraId="65DE5D72" w14:textId="72344A50"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Newsletter.co.uk. 2021. </w:t>
      </w:r>
      <w:proofErr w:type="spellStart"/>
      <w:r w:rsidRPr="00DE244B">
        <w:rPr>
          <w:rFonts w:ascii="Arial" w:eastAsia="Times New Roman" w:hAnsi="Arial" w:cs="Arial"/>
          <w:i/>
          <w:iCs/>
          <w:color w:val="000000"/>
          <w:sz w:val="20"/>
          <w:szCs w:val="20"/>
          <w:shd w:val="clear" w:color="auto" w:fill="FFFFFF"/>
          <w:lang w:eastAsia="en-GB"/>
        </w:rPr>
        <w:t>Empey</w:t>
      </w:r>
      <w:proofErr w:type="spellEnd"/>
      <w:r w:rsidRPr="00DE244B">
        <w:rPr>
          <w:rFonts w:ascii="Arial" w:eastAsia="Times New Roman" w:hAnsi="Arial" w:cs="Arial"/>
          <w:i/>
          <w:iCs/>
          <w:color w:val="000000"/>
          <w:sz w:val="20"/>
          <w:szCs w:val="20"/>
          <w:shd w:val="clear" w:color="auto" w:fill="FFFFFF"/>
          <w:lang w:eastAsia="en-GB"/>
        </w:rPr>
        <w:t xml:space="preserve"> on 45th anniversary: '˜Bloody Friday was </w:t>
      </w:r>
      <w:r w:rsidRPr="00DE244B">
        <w:rPr>
          <w:rFonts w:ascii="Arial" w:eastAsia="Times New Roman" w:hAnsi="Arial" w:cs="Arial"/>
          <w:i/>
          <w:iCs/>
          <w:color w:val="000000"/>
          <w:sz w:val="20"/>
          <w:szCs w:val="20"/>
          <w:shd w:val="clear" w:color="auto" w:fill="FFFFFF"/>
          <w:lang w:eastAsia="en-GB"/>
        </w:rPr>
        <w:t>textbook</w:t>
      </w:r>
      <w:r w:rsidRPr="00DE244B">
        <w:rPr>
          <w:rFonts w:ascii="Arial" w:eastAsia="Times New Roman" w:hAnsi="Arial" w:cs="Arial"/>
          <w:i/>
          <w:iCs/>
          <w:color w:val="000000"/>
          <w:sz w:val="20"/>
          <w:szCs w:val="20"/>
          <w:shd w:val="clear" w:color="auto" w:fill="FFFFFF"/>
          <w:lang w:eastAsia="en-GB"/>
        </w:rPr>
        <w:t xml:space="preserve"> terrorism'</w:t>
      </w:r>
      <w:r w:rsidRPr="00DE244B">
        <w:rPr>
          <w:rFonts w:ascii="Arial" w:eastAsia="Times New Roman" w:hAnsi="Arial" w:cs="Arial"/>
          <w:color w:val="000000"/>
          <w:sz w:val="20"/>
          <w:szCs w:val="20"/>
          <w:shd w:val="clear" w:color="auto" w:fill="FFFFFF"/>
          <w:lang w:eastAsia="en-GB"/>
        </w:rPr>
        <w:t>. [online] Available at: &lt;https://www.newsletter.co.uk/news/empey-45th-anniversary-bloody-friday-was-text-book-terrorism-1097536&gt; [Accessed 2 March 2021].</w:t>
      </w:r>
    </w:p>
    <w:p w14:paraId="406F7ABE" w14:textId="701B88AF" w:rsidR="00DE244B" w:rsidRDefault="00DE244B"/>
    <w:p w14:paraId="659E0723"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Kennedy, L., 2020. </w:t>
      </w:r>
      <w:r w:rsidRPr="00DE244B">
        <w:rPr>
          <w:rFonts w:ascii="Arial" w:eastAsia="Times New Roman" w:hAnsi="Arial" w:cs="Arial"/>
          <w:i/>
          <w:iCs/>
          <w:color w:val="000000"/>
          <w:sz w:val="20"/>
          <w:szCs w:val="20"/>
          <w:shd w:val="clear" w:color="auto" w:fill="FFFFFF"/>
          <w:lang w:eastAsia="en-GB"/>
        </w:rPr>
        <w:t>The IRA Assassination of Lord Mountbatten: Facts and Fallout</w:t>
      </w:r>
      <w:r w:rsidRPr="00DE244B">
        <w:rPr>
          <w:rFonts w:ascii="Arial" w:eastAsia="Times New Roman" w:hAnsi="Arial" w:cs="Arial"/>
          <w:color w:val="000000"/>
          <w:sz w:val="20"/>
          <w:szCs w:val="20"/>
          <w:shd w:val="clear" w:color="auto" w:fill="FFFFFF"/>
          <w:lang w:eastAsia="en-GB"/>
        </w:rPr>
        <w:t>. [online] HISTORY. Available at: &lt;https://www.history.com/news/mountbatten-assassination-ira-thatcher?li_source=LI&amp;li_medium=m2m-rcw-history&gt; [Accessed 2 March 2021].</w:t>
      </w:r>
    </w:p>
    <w:p w14:paraId="6B5794D0" w14:textId="5243398D" w:rsidR="00DE244B" w:rsidRDefault="00DE244B"/>
    <w:p w14:paraId="0CF4B94D"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Education.niassembly.gov.uk. n.d. </w:t>
      </w:r>
      <w:r w:rsidRPr="00DE244B">
        <w:rPr>
          <w:rFonts w:ascii="Arial" w:eastAsia="Times New Roman" w:hAnsi="Arial" w:cs="Arial"/>
          <w:i/>
          <w:iCs/>
          <w:color w:val="000000"/>
          <w:sz w:val="20"/>
          <w:szCs w:val="20"/>
          <w:shd w:val="clear" w:color="auto" w:fill="FFFFFF"/>
          <w:lang w:eastAsia="en-GB"/>
        </w:rPr>
        <w:t>The Belfast Agreement/Good Friday Agreement 1998 | Northern Ireland Assembly Education Service</w:t>
      </w:r>
      <w:r w:rsidRPr="00DE244B">
        <w:rPr>
          <w:rFonts w:ascii="Arial" w:eastAsia="Times New Roman" w:hAnsi="Arial" w:cs="Arial"/>
          <w:color w:val="000000"/>
          <w:sz w:val="20"/>
          <w:szCs w:val="20"/>
          <w:shd w:val="clear" w:color="auto" w:fill="FFFFFF"/>
          <w:lang w:eastAsia="en-GB"/>
        </w:rPr>
        <w:t>. [online] Available at: &lt;https://education.niassembly.gov.uk/post_16/snapshots_of_devolution/gfa&gt; [Accessed 2 March 2021].</w:t>
      </w:r>
    </w:p>
    <w:p w14:paraId="7803C530" w14:textId="6A9DA3FE" w:rsidR="00DE244B" w:rsidRDefault="00DE244B"/>
    <w:p w14:paraId="4F40B45C"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CBC. 2019. </w:t>
      </w:r>
      <w:r w:rsidRPr="00DE244B">
        <w:rPr>
          <w:rFonts w:ascii="Arial" w:eastAsia="Times New Roman" w:hAnsi="Arial" w:cs="Arial"/>
          <w:i/>
          <w:iCs/>
          <w:color w:val="000000"/>
          <w:sz w:val="20"/>
          <w:szCs w:val="20"/>
          <w:shd w:val="clear" w:color="auto" w:fill="FFFFFF"/>
          <w:lang w:eastAsia="en-GB"/>
        </w:rPr>
        <w:t>The deadly hotel bombing that Margaret Thatcher survived 35 years ago | CBC Archives</w:t>
      </w:r>
      <w:r w:rsidRPr="00DE244B">
        <w:rPr>
          <w:rFonts w:ascii="Arial" w:eastAsia="Times New Roman" w:hAnsi="Arial" w:cs="Arial"/>
          <w:color w:val="000000"/>
          <w:sz w:val="20"/>
          <w:szCs w:val="20"/>
          <w:shd w:val="clear" w:color="auto" w:fill="FFFFFF"/>
          <w:lang w:eastAsia="en-GB"/>
        </w:rPr>
        <w:t>. [online] Available at: &lt;https://www.cbc.ca/archives/the-deadly-hotel-bombing-that-margaret-thatcher-survived-35-years-ago-1.5314562&gt; [Accessed 2 March 2021].</w:t>
      </w:r>
    </w:p>
    <w:p w14:paraId="3CA930C6" w14:textId="3245AB69" w:rsidR="00DE244B" w:rsidRDefault="00DE244B"/>
    <w:p w14:paraId="3CAA8679"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Horgan, J. and Taylor, M., 2007. </w:t>
      </w:r>
      <w:r w:rsidRPr="00DE244B">
        <w:rPr>
          <w:rFonts w:ascii="Arial" w:eastAsia="Times New Roman" w:hAnsi="Arial" w:cs="Arial"/>
          <w:i/>
          <w:iCs/>
          <w:color w:val="000000"/>
          <w:sz w:val="20"/>
          <w:szCs w:val="20"/>
          <w:shd w:val="clear" w:color="auto" w:fill="FFFFFF"/>
          <w:lang w:eastAsia="en-GB"/>
        </w:rPr>
        <w:t>The provisional Irish republican army: Command and functional structure</w:t>
      </w:r>
      <w:r w:rsidRPr="00DE244B">
        <w:rPr>
          <w:rFonts w:ascii="Arial" w:eastAsia="Times New Roman" w:hAnsi="Arial" w:cs="Arial"/>
          <w:color w:val="000000"/>
          <w:sz w:val="20"/>
          <w:szCs w:val="20"/>
          <w:shd w:val="clear" w:color="auto" w:fill="FFFFFF"/>
          <w:lang w:eastAsia="en-GB"/>
        </w:rPr>
        <w:t xml:space="preserve">. [online] Taylor &amp; Francis. Available at: </w:t>
      </w:r>
      <w:r w:rsidRPr="00DE244B">
        <w:rPr>
          <w:rFonts w:ascii="Arial" w:eastAsia="Times New Roman" w:hAnsi="Arial" w:cs="Arial"/>
          <w:color w:val="000000"/>
          <w:sz w:val="20"/>
          <w:szCs w:val="20"/>
          <w:shd w:val="clear" w:color="auto" w:fill="FFFFFF"/>
          <w:lang w:eastAsia="en-GB"/>
        </w:rPr>
        <w:lastRenderedPageBreak/>
        <w:t>&lt;https://www.tandfonline.com/doi/abs/10.1080/09546559708427413?journalCode=ftpv20&gt; [Accessed 2 March 2021].</w:t>
      </w:r>
    </w:p>
    <w:p w14:paraId="35CDA733" w14:textId="0DB6BD59" w:rsidR="00DE244B" w:rsidRDefault="00DE244B"/>
    <w:p w14:paraId="09C3CF45" w14:textId="77777777" w:rsidR="00DE244B" w:rsidRPr="00DE244B" w:rsidRDefault="00DE244B" w:rsidP="00DE244B">
      <w:pPr>
        <w:spacing w:after="0" w:line="240" w:lineRule="auto"/>
        <w:rPr>
          <w:rFonts w:ascii="Times New Roman" w:eastAsia="Times New Roman" w:hAnsi="Times New Roman" w:cs="Times New Roman"/>
          <w:lang w:eastAsia="en-GB"/>
        </w:rPr>
      </w:pPr>
      <w:proofErr w:type="spellStart"/>
      <w:r w:rsidRPr="00DE244B">
        <w:rPr>
          <w:rFonts w:ascii="Arial" w:eastAsia="Times New Roman" w:hAnsi="Arial" w:cs="Arial"/>
          <w:color w:val="000000"/>
          <w:sz w:val="20"/>
          <w:szCs w:val="20"/>
          <w:shd w:val="clear" w:color="auto" w:fill="FFFFFF"/>
          <w:lang w:eastAsia="en-GB"/>
        </w:rPr>
        <w:t>Nimmons</w:t>
      </w:r>
      <w:proofErr w:type="spellEnd"/>
      <w:r w:rsidRPr="00DE244B">
        <w:rPr>
          <w:rFonts w:ascii="Arial" w:eastAsia="Times New Roman" w:hAnsi="Arial" w:cs="Arial"/>
          <w:color w:val="000000"/>
          <w:sz w:val="20"/>
          <w:szCs w:val="20"/>
          <w:shd w:val="clear" w:color="auto" w:fill="FFFFFF"/>
          <w:lang w:eastAsia="en-GB"/>
        </w:rPr>
        <w:t>, S., 2017. </w:t>
      </w:r>
      <w:r w:rsidRPr="00DE244B">
        <w:rPr>
          <w:rFonts w:ascii="Arial" w:eastAsia="Times New Roman" w:hAnsi="Arial" w:cs="Arial"/>
          <w:i/>
          <w:iCs/>
          <w:color w:val="000000"/>
          <w:sz w:val="20"/>
          <w:szCs w:val="20"/>
          <w:shd w:val="clear" w:color="auto" w:fill="FFFFFF"/>
          <w:lang w:eastAsia="en-GB"/>
        </w:rPr>
        <w:t>A Profile of the Irish Republican Army</w:t>
      </w:r>
      <w:r w:rsidRPr="00DE244B">
        <w:rPr>
          <w:rFonts w:ascii="Arial" w:eastAsia="Times New Roman" w:hAnsi="Arial" w:cs="Arial"/>
          <w:color w:val="000000"/>
          <w:sz w:val="20"/>
          <w:szCs w:val="20"/>
          <w:shd w:val="clear" w:color="auto" w:fill="FFFFFF"/>
          <w:lang w:eastAsia="en-GB"/>
        </w:rPr>
        <w:t xml:space="preserve">. [online] </w:t>
      </w:r>
      <w:proofErr w:type="spellStart"/>
      <w:r w:rsidRPr="00DE244B">
        <w:rPr>
          <w:rFonts w:ascii="Arial" w:eastAsia="Times New Roman" w:hAnsi="Arial" w:cs="Arial"/>
          <w:color w:val="000000"/>
          <w:sz w:val="20"/>
          <w:szCs w:val="20"/>
          <w:shd w:val="clear" w:color="auto" w:fill="FFFFFF"/>
          <w:lang w:eastAsia="en-GB"/>
        </w:rPr>
        <w:t>Nimmons</w:t>
      </w:r>
      <w:proofErr w:type="spellEnd"/>
      <w:r w:rsidRPr="00DE244B">
        <w:rPr>
          <w:rFonts w:ascii="Arial" w:eastAsia="Times New Roman" w:hAnsi="Arial" w:cs="Arial"/>
          <w:color w:val="000000"/>
          <w:sz w:val="20"/>
          <w:szCs w:val="20"/>
          <w:shd w:val="clear" w:color="auto" w:fill="FFFFFF"/>
          <w:lang w:eastAsia="en-GB"/>
        </w:rPr>
        <w:t xml:space="preserve"> Consulting. Available at: &lt;https://www.nimmonsconsulting.com/pira-brief-profile/#IRA_Terrorist_Attacks&gt; [Accessed 3 March 2021].</w:t>
      </w:r>
    </w:p>
    <w:p w14:paraId="368AB582" w14:textId="77777777" w:rsidR="00DE244B" w:rsidRDefault="00DE244B"/>
    <w:p w14:paraId="3BF28108"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Borders, W., 1981. </w:t>
      </w:r>
      <w:r w:rsidRPr="00DE244B">
        <w:rPr>
          <w:rFonts w:ascii="Arial" w:eastAsia="Times New Roman" w:hAnsi="Arial" w:cs="Arial"/>
          <w:i/>
          <w:iCs/>
          <w:color w:val="000000"/>
          <w:sz w:val="20"/>
          <w:szCs w:val="20"/>
          <w:shd w:val="clear" w:color="auto" w:fill="FFFFFF"/>
          <w:lang w:eastAsia="en-GB"/>
        </w:rPr>
        <w:t>I.R.A. GUNMEN SLAY A PROTESTANT M.P. (Published 1981)</w:t>
      </w:r>
      <w:r w:rsidRPr="00DE244B">
        <w:rPr>
          <w:rFonts w:ascii="Arial" w:eastAsia="Times New Roman" w:hAnsi="Arial" w:cs="Arial"/>
          <w:color w:val="000000"/>
          <w:sz w:val="20"/>
          <w:szCs w:val="20"/>
          <w:shd w:val="clear" w:color="auto" w:fill="FFFFFF"/>
          <w:lang w:eastAsia="en-GB"/>
        </w:rPr>
        <w:t>. [online] Nytimes.com. Available at: &lt;https://www.nytimes.com/1981/11/15/world/ira-gunmen-slay-a-protestant-mp.html&gt; [Accessed 3 March 2021].</w:t>
      </w:r>
    </w:p>
    <w:p w14:paraId="1EE2AC21" w14:textId="77777777" w:rsidR="00DE244B" w:rsidRDefault="00DE244B"/>
    <w:p w14:paraId="27DD856B"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Shanahan, T., 2008. </w:t>
      </w:r>
      <w:r w:rsidRPr="00DE244B">
        <w:rPr>
          <w:rFonts w:ascii="Arial" w:eastAsia="Times New Roman" w:hAnsi="Arial" w:cs="Arial"/>
          <w:i/>
          <w:iCs/>
          <w:color w:val="000000"/>
          <w:sz w:val="20"/>
          <w:szCs w:val="20"/>
          <w:shd w:val="clear" w:color="auto" w:fill="FFFFFF"/>
          <w:lang w:eastAsia="en-GB"/>
        </w:rPr>
        <w:t>Permission to Kill: Just War Theory and the IRA's Armed Struggle</w:t>
      </w:r>
      <w:r w:rsidRPr="00DE244B">
        <w:rPr>
          <w:rFonts w:ascii="Arial" w:eastAsia="Times New Roman" w:hAnsi="Arial" w:cs="Arial"/>
          <w:color w:val="000000"/>
          <w:sz w:val="20"/>
          <w:szCs w:val="20"/>
          <w:shd w:val="clear" w:color="auto" w:fill="FFFFFF"/>
          <w:lang w:eastAsia="en-GB"/>
        </w:rPr>
        <w:t>. [online] Edinburgh Scholarship Online. Available at: &lt;https://edinburgh.universitypressscholarship.com/view/10.3366/edinburgh/9780748635290.001.0001/upso-9780748635290-chapter-4&gt; [Accessed 3 March 2021].</w:t>
      </w:r>
    </w:p>
    <w:p w14:paraId="7F4E5DE0" w14:textId="77777777" w:rsidR="00DE244B" w:rsidRDefault="00DE244B"/>
    <w:p w14:paraId="35CB897E"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 xml:space="preserve">Van </w:t>
      </w:r>
      <w:proofErr w:type="spellStart"/>
      <w:r w:rsidRPr="00DE244B">
        <w:rPr>
          <w:rFonts w:ascii="Arial" w:eastAsia="Times New Roman" w:hAnsi="Arial" w:cs="Arial"/>
          <w:color w:val="000000"/>
          <w:sz w:val="20"/>
          <w:szCs w:val="20"/>
          <w:shd w:val="clear" w:color="auto" w:fill="FFFFFF"/>
          <w:lang w:eastAsia="en-GB"/>
        </w:rPr>
        <w:t>Voris</w:t>
      </w:r>
      <w:proofErr w:type="spellEnd"/>
      <w:r w:rsidRPr="00DE244B">
        <w:rPr>
          <w:rFonts w:ascii="Arial" w:eastAsia="Times New Roman" w:hAnsi="Arial" w:cs="Arial"/>
          <w:color w:val="000000"/>
          <w:sz w:val="20"/>
          <w:szCs w:val="20"/>
          <w:shd w:val="clear" w:color="auto" w:fill="FFFFFF"/>
          <w:lang w:eastAsia="en-GB"/>
        </w:rPr>
        <w:t>, W., 1975. </w:t>
      </w:r>
      <w:r w:rsidRPr="00DE244B">
        <w:rPr>
          <w:rFonts w:ascii="Arial" w:eastAsia="Times New Roman" w:hAnsi="Arial" w:cs="Arial"/>
          <w:i/>
          <w:iCs/>
          <w:color w:val="000000"/>
          <w:sz w:val="20"/>
          <w:szCs w:val="20"/>
          <w:shd w:val="clear" w:color="auto" w:fill="FFFFFF"/>
          <w:lang w:eastAsia="en-GB"/>
        </w:rPr>
        <w:t>The Provisional IRA and the Limits of Terrorism</w:t>
      </w:r>
      <w:r w:rsidRPr="00DE244B">
        <w:rPr>
          <w:rFonts w:ascii="Arial" w:eastAsia="Times New Roman" w:hAnsi="Arial" w:cs="Arial"/>
          <w:color w:val="000000"/>
          <w:sz w:val="20"/>
          <w:szCs w:val="20"/>
          <w:shd w:val="clear" w:color="auto" w:fill="FFFFFF"/>
          <w:lang w:eastAsia="en-GB"/>
        </w:rPr>
        <w:t>. [online] JSTOR. Available at: &lt;https://www.jstor.org/stable/25088556?seq=1&gt; [Accessed 3 March 2021].</w:t>
      </w:r>
    </w:p>
    <w:p w14:paraId="4B154887" w14:textId="77777777" w:rsidR="00DE244B" w:rsidRDefault="00DE244B"/>
    <w:p w14:paraId="1BB34864" w14:textId="77777777" w:rsidR="00DE244B" w:rsidRPr="00DE244B" w:rsidRDefault="00DE244B" w:rsidP="00DE244B">
      <w:pPr>
        <w:spacing w:after="0" w:line="240" w:lineRule="auto"/>
        <w:rPr>
          <w:rFonts w:ascii="Times New Roman" w:eastAsia="Times New Roman" w:hAnsi="Times New Roman" w:cs="Times New Roman"/>
          <w:lang w:eastAsia="en-GB"/>
        </w:rPr>
      </w:pPr>
      <w:r w:rsidRPr="00DE244B">
        <w:rPr>
          <w:rFonts w:ascii="Arial" w:eastAsia="Times New Roman" w:hAnsi="Arial" w:cs="Arial"/>
          <w:color w:val="000000"/>
          <w:sz w:val="20"/>
          <w:szCs w:val="20"/>
          <w:shd w:val="clear" w:color="auto" w:fill="FFFFFF"/>
          <w:lang w:eastAsia="en-GB"/>
        </w:rPr>
        <w:t>Gregory, K., 2010. </w:t>
      </w:r>
      <w:r w:rsidRPr="00DE244B">
        <w:rPr>
          <w:rFonts w:ascii="Arial" w:eastAsia="Times New Roman" w:hAnsi="Arial" w:cs="Arial"/>
          <w:i/>
          <w:iCs/>
          <w:color w:val="000000"/>
          <w:sz w:val="20"/>
          <w:szCs w:val="20"/>
          <w:shd w:val="clear" w:color="auto" w:fill="FFFFFF"/>
          <w:lang w:eastAsia="en-GB"/>
        </w:rPr>
        <w:t xml:space="preserve">Provisional Irish Republican Army (IRA) (aka, PIRA, "the </w:t>
      </w:r>
      <w:proofErr w:type="spellStart"/>
      <w:r w:rsidRPr="00DE244B">
        <w:rPr>
          <w:rFonts w:ascii="Arial" w:eastAsia="Times New Roman" w:hAnsi="Arial" w:cs="Arial"/>
          <w:i/>
          <w:iCs/>
          <w:color w:val="000000"/>
          <w:sz w:val="20"/>
          <w:szCs w:val="20"/>
          <w:shd w:val="clear" w:color="auto" w:fill="FFFFFF"/>
          <w:lang w:eastAsia="en-GB"/>
        </w:rPr>
        <w:t>provos</w:t>
      </w:r>
      <w:proofErr w:type="spellEnd"/>
      <w:r w:rsidRPr="00DE244B">
        <w:rPr>
          <w:rFonts w:ascii="Arial" w:eastAsia="Times New Roman" w:hAnsi="Arial" w:cs="Arial"/>
          <w:i/>
          <w:iCs/>
          <w:color w:val="000000"/>
          <w:sz w:val="20"/>
          <w:szCs w:val="20"/>
          <w:shd w:val="clear" w:color="auto" w:fill="FFFFFF"/>
          <w:lang w:eastAsia="en-GB"/>
        </w:rPr>
        <w:t xml:space="preserve">," </w:t>
      </w:r>
      <w:proofErr w:type="spellStart"/>
      <w:r w:rsidRPr="00DE244B">
        <w:rPr>
          <w:rFonts w:ascii="Arial" w:eastAsia="Times New Roman" w:hAnsi="Arial" w:cs="Arial"/>
          <w:i/>
          <w:iCs/>
          <w:color w:val="000000"/>
          <w:sz w:val="20"/>
          <w:szCs w:val="20"/>
          <w:shd w:val="clear" w:color="auto" w:fill="FFFFFF"/>
          <w:lang w:eastAsia="en-GB"/>
        </w:rPr>
        <w:t>Óglaigh</w:t>
      </w:r>
      <w:proofErr w:type="spellEnd"/>
      <w:r w:rsidRPr="00DE244B">
        <w:rPr>
          <w:rFonts w:ascii="Arial" w:eastAsia="Times New Roman" w:hAnsi="Arial" w:cs="Arial"/>
          <w:i/>
          <w:iCs/>
          <w:color w:val="000000"/>
          <w:sz w:val="20"/>
          <w:szCs w:val="20"/>
          <w:shd w:val="clear" w:color="auto" w:fill="FFFFFF"/>
          <w:lang w:eastAsia="en-GB"/>
        </w:rPr>
        <w:t xml:space="preserve"> </w:t>
      </w:r>
      <w:proofErr w:type="spellStart"/>
      <w:r w:rsidRPr="00DE244B">
        <w:rPr>
          <w:rFonts w:ascii="Arial" w:eastAsia="Times New Roman" w:hAnsi="Arial" w:cs="Arial"/>
          <w:i/>
          <w:iCs/>
          <w:color w:val="000000"/>
          <w:sz w:val="20"/>
          <w:szCs w:val="20"/>
          <w:shd w:val="clear" w:color="auto" w:fill="FFFFFF"/>
          <w:lang w:eastAsia="en-GB"/>
        </w:rPr>
        <w:t>na</w:t>
      </w:r>
      <w:proofErr w:type="spellEnd"/>
      <w:r w:rsidRPr="00DE244B">
        <w:rPr>
          <w:rFonts w:ascii="Arial" w:eastAsia="Times New Roman" w:hAnsi="Arial" w:cs="Arial"/>
          <w:i/>
          <w:iCs/>
          <w:color w:val="000000"/>
          <w:sz w:val="20"/>
          <w:szCs w:val="20"/>
          <w:shd w:val="clear" w:color="auto" w:fill="FFFFFF"/>
          <w:lang w:eastAsia="en-GB"/>
        </w:rPr>
        <w:t xml:space="preserve"> </w:t>
      </w:r>
      <w:proofErr w:type="spellStart"/>
      <w:r w:rsidRPr="00DE244B">
        <w:rPr>
          <w:rFonts w:ascii="Arial" w:eastAsia="Times New Roman" w:hAnsi="Arial" w:cs="Arial"/>
          <w:i/>
          <w:iCs/>
          <w:color w:val="000000"/>
          <w:sz w:val="20"/>
          <w:szCs w:val="20"/>
          <w:shd w:val="clear" w:color="auto" w:fill="FFFFFF"/>
          <w:lang w:eastAsia="en-GB"/>
        </w:rPr>
        <w:t>hÉireann</w:t>
      </w:r>
      <w:proofErr w:type="spellEnd"/>
      <w:r w:rsidRPr="00DE244B">
        <w:rPr>
          <w:rFonts w:ascii="Arial" w:eastAsia="Times New Roman" w:hAnsi="Arial" w:cs="Arial"/>
          <w:i/>
          <w:iCs/>
          <w:color w:val="000000"/>
          <w:sz w:val="20"/>
          <w:szCs w:val="20"/>
          <w:shd w:val="clear" w:color="auto" w:fill="FFFFFF"/>
          <w:lang w:eastAsia="en-GB"/>
        </w:rPr>
        <w:t>) (UK separatists)</w:t>
      </w:r>
      <w:r w:rsidRPr="00DE244B">
        <w:rPr>
          <w:rFonts w:ascii="Arial" w:eastAsia="Times New Roman" w:hAnsi="Arial" w:cs="Arial"/>
          <w:color w:val="000000"/>
          <w:sz w:val="20"/>
          <w:szCs w:val="20"/>
          <w:shd w:val="clear" w:color="auto" w:fill="FFFFFF"/>
          <w:lang w:eastAsia="en-GB"/>
        </w:rPr>
        <w:t>. [online] Council on Foreign Relations. Available at: &lt;https://www.cfr.org/backgrounder/provisional-irish-republican-army-ira-aka-pira-provos-oglaigh-na-heireann-uk&gt; [Accessed 3 March 2021].</w:t>
      </w:r>
    </w:p>
    <w:p w14:paraId="432A60BC" w14:textId="77777777" w:rsidR="00E63102" w:rsidRDefault="00E63102"/>
    <w:p w14:paraId="7EBC32E7" w14:textId="77777777" w:rsidR="00241122" w:rsidRPr="00241122" w:rsidRDefault="00241122"/>
    <w:sectPr w:rsidR="00241122" w:rsidRPr="002411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122"/>
    <w:rsid w:val="00241122"/>
    <w:rsid w:val="00DE244B"/>
    <w:rsid w:val="00E63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2FF70"/>
  <w15:chartTrackingRefBased/>
  <w15:docId w15:val="{3EC04C75-EE8F-7D42-B63B-3B77CF55D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1122"/>
    <w:rPr>
      <w:color w:val="0563C1" w:themeColor="hyperlink"/>
      <w:u w:val="single"/>
    </w:rPr>
  </w:style>
  <w:style w:type="character" w:styleId="UnresolvedMention">
    <w:name w:val="Unresolved Mention"/>
    <w:basedOn w:val="DefaultParagraphFont"/>
    <w:uiPriority w:val="99"/>
    <w:semiHidden/>
    <w:unhideWhenUsed/>
    <w:rsid w:val="002411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860534">
      <w:bodyDiv w:val="1"/>
      <w:marLeft w:val="0"/>
      <w:marRight w:val="0"/>
      <w:marTop w:val="0"/>
      <w:marBottom w:val="0"/>
      <w:divBdr>
        <w:top w:val="none" w:sz="0" w:space="0" w:color="auto"/>
        <w:left w:val="none" w:sz="0" w:space="0" w:color="auto"/>
        <w:bottom w:val="none" w:sz="0" w:space="0" w:color="auto"/>
        <w:right w:val="none" w:sz="0" w:space="0" w:color="auto"/>
      </w:divBdr>
    </w:div>
    <w:div w:id="174879406">
      <w:bodyDiv w:val="1"/>
      <w:marLeft w:val="0"/>
      <w:marRight w:val="0"/>
      <w:marTop w:val="0"/>
      <w:marBottom w:val="0"/>
      <w:divBdr>
        <w:top w:val="none" w:sz="0" w:space="0" w:color="auto"/>
        <w:left w:val="none" w:sz="0" w:space="0" w:color="auto"/>
        <w:bottom w:val="none" w:sz="0" w:space="0" w:color="auto"/>
        <w:right w:val="none" w:sz="0" w:space="0" w:color="auto"/>
      </w:divBdr>
    </w:div>
    <w:div w:id="198591604">
      <w:bodyDiv w:val="1"/>
      <w:marLeft w:val="0"/>
      <w:marRight w:val="0"/>
      <w:marTop w:val="0"/>
      <w:marBottom w:val="0"/>
      <w:divBdr>
        <w:top w:val="none" w:sz="0" w:space="0" w:color="auto"/>
        <w:left w:val="none" w:sz="0" w:space="0" w:color="auto"/>
        <w:bottom w:val="none" w:sz="0" w:space="0" w:color="auto"/>
        <w:right w:val="none" w:sz="0" w:space="0" w:color="auto"/>
      </w:divBdr>
    </w:div>
    <w:div w:id="217278517">
      <w:bodyDiv w:val="1"/>
      <w:marLeft w:val="0"/>
      <w:marRight w:val="0"/>
      <w:marTop w:val="0"/>
      <w:marBottom w:val="0"/>
      <w:divBdr>
        <w:top w:val="none" w:sz="0" w:space="0" w:color="auto"/>
        <w:left w:val="none" w:sz="0" w:space="0" w:color="auto"/>
        <w:bottom w:val="none" w:sz="0" w:space="0" w:color="auto"/>
        <w:right w:val="none" w:sz="0" w:space="0" w:color="auto"/>
      </w:divBdr>
    </w:div>
    <w:div w:id="252472922">
      <w:bodyDiv w:val="1"/>
      <w:marLeft w:val="0"/>
      <w:marRight w:val="0"/>
      <w:marTop w:val="0"/>
      <w:marBottom w:val="0"/>
      <w:divBdr>
        <w:top w:val="none" w:sz="0" w:space="0" w:color="auto"/>
        <w:left w:val="none" w:sz="0" w:space="0" w:color="auto"/>
        <w:bottom w:val="none" w:sz="0" w:space="0" w:color="auto"/>
        <w:right w:val="none" w:sz="0" w:space="0" w:color="auto"/>
      </w:divBdr>
    </w:div>
    <w:div w:id="310915253">
      <w:bodyDiv w:val="1"/>
      <w:marLeft w:val="0"/>
      <w:marRight w:val="0"/>
      <w:marTop w:val="0"/>
      <w:marBottom w:val="0"/>
      <w:divBdr>
        <w:top w:val="none" w:sz="0" w:space="0" w:color="auto"/>
        <w:left w:val="none" w:sz="0" w:space="0" w:color="auto"/>
        <w:bottom w:val="none" w:sz="0" w:space="0" w:color="auto"/>
        <w:right w:val="none" w:sz="0" w:space="0" w:color="auto"/>
      </w:divBdr>
    </w:div>
    <w:div w:id="687876905">
      <w:bodyDiv w:val="1"/>
      <w:marLeft w:val="0"/>
      <w:marRight w:val="0"/>
      <w:marTop w:val="0"/>
      <w:marBottom w:val="0"/>
      <w:divBdr>
        <w:top w:val="none" w:sz="0" w:space="0" w:color="auto"/>
        <w:left w:val="none" w:sz="0" w:space="0" w:color="auto"/>
        <w:bottom w:val="none" w:sz="0" w:space="0" w:color="auto"/>
        <w:right w:val="none" w:sz="0" w:space="0" w:color="auto"/>
      </w:divBdr>
    </w:div>
    <w:div w:id="788477838">
      <w:bodyDiv w:val="1"/>
      <w:marLeft w:val="0"/>
      <w:marRight w:val="0"/>
      <w:marTop w:val="0"/>
      <w:marBottom w:val="0"/>
      <w:divBdr>
        <w:top w:val="none" w:sz="0" w:space="0" w:color="auto"/>
        <w:left w:val="none" w:sz="0" w:space="0" w:color="auto"/>
        <w:bottom w:val="none" w:sz="0" w:space="0" w:color="auto"/>
        <w:right w:val="none" w:sz="0" w:space="0" w:color="auto"/>
      </w:divBdr>
    </w:div>
    <w:div w:id="843596676">
      <w:bodyDiv w:val="1"/>
      <w:marLeft w:val="0"/>
      <w:marRight w:val="0"/>
      <w:marTop w:val="0"/>
      <w:marBottom w:val="0"/>
      <w:divBdr>
        <w:top w:val="none" w:sz="0" w:space="0" w:color="auto"/>
        <w:left w:val="none" w:sz="0" w:space="0" w:color="auto"/>
        <w:bottom w:val="none" w:sz="0" w:space="0" w:color="auto"/>
        <w:right w:val="none" w:sz="0" w:space="0" w:color="auto"/>
      </w:divBdr>
    </w:div>
    <w:div w:id="1293561706">
      <w:bodyDiv w:val="1"/>
      <w:marLeft w:val="0"/>
      <w:marRight w:val="0"/>
      <w:marTop w:val="0"/>
      <w:marBottom w:val="0"/>
      <w:divBdr>
        <w:top w:val="none" w:sz="0" w:space="0" w:color="auto"/>
        <w:left w:val="none" w:sz="0" w:space="0" w:color="auto"/>
        <w:bottom w:val="none" w:sz="0" w:space="0" w:color="auto"/>
        <w:right w:val="none" w:sz="0" w:space="0" w:color="auto"/>
      </w:divBdr>
    </w:div>
    <w:div w:id="1307315584">
      <w:bodyDiv w:val="1"/>
      <w:marLeft w:val="0"/>
      <w:marRight w:val="0"/>
      <w:marTop w:val="0"/>
      <w:marBottom w:val="0"/>
      <w:divBdr>
        <w:top w:val="none" w:sz="0" w:space="0" w:color="auto"/>
        <w:left w:val="none" w:sz="0" w:space="0" w:color="auto"/>
        <w:bottom w:val="none" w:sz="0" w:space="0" w:color="auto"/>
        <w:right w:val="none" w:sz="0" w:space="0" w:color="auto"/>
      </w:divBdr>
    </w:div>
    <w:div w:id="1428386354">
      <w:bodyDiv w:val="1"/>
      <w:marLeft w:val="0"/>
      <w:marRight w:val="0"/>
      <w:marTop w:val="0"/>
      <w:marBottom w:val="0"/>
      <w:divBdr>
        <w:top w:val="none" w:sz="0" w:space="0" w:color="auto"/>
        <w:left w:val="none" w:sz="0" w:space="0" w:color="auto"/>
        <w:bottom w:val="none" w:sz="0" w:space="0" w:color="auto"/>
        <w:right w:val="none" w:sz="0" w:space="0" w:color="auto"/>
      </w:divBdr>
    </w:div>
    <w:div w:id="1429500807">
      <w:bodyDiv w:val="1"/>
      <w:marLeft w:val="0"/>
      <w:marRight w:val="0"/>
      <w:marTop w:val="0"/>
      <w:marBottom w:val="0"/>
      <w:divBdr>
        <w:top w:val="none" w:sz="0" w:space="0" w:color="auto"/>
        <w:left w:val="none" w:sz="0" w:space="0" w:color="auto"/>
        <w:bottom w:val="none" w:sz="0" w:space="0" w:color="auto"/>
        <w:right w:val="none" w:sz="0" w:space="0" w:color="auto"/>
      </w:divBdr>
    </w:div>
    <w:div w:id="1437555853">
      <w:bodyDiv w:val="1"/>
      <w:marLeft w:val="0"/>
      <w:marRight w:val="0"/>
      <w:marTop w:val="0"/>
      <w:marBottom w:val="0"/>
      <w:divBdr>
        <w:top w:val="none" w:sz="0" w:space="0" w:color="auto"/>
        <w:left w:val="none" w:sz="0" w:space="0" w:color="auto"/>
        <w:bottom w:val="none" w:sz="0" w:space="0" w:color="auto"/>
        <w:right w:val="none" w:sz="0" w:space="0" w:color="auto"/>
      </w:divBdr>
    </w:div>
    <w:div w:id="1681003592">
      <w:bodyDiv w:val="1"/>
      <w:marLeft w:val="0"/>
      <w:marRight w:val="0"/>
      <w:marTop w:val="0"/>
      <w:marBottom w:val="0"/>
      <w:divBdr>
        <w:top w:val="none" w:sz="0" w:space="0" w:color="auto"/>
        <w:left w:val="none" w:sz="0" w:space="0" w:color="auto"/>
        <w:bottom w:val="none" w:sz="0" w:space="0" w:color="auto"/>
        <w:right w:val="none" w:sz="0" w:space="0" w:color="auto"/>
      </w:divBdr>
    </w:div>
    <w:div w:id="1720281376">
      <w:bodyDiv w:val="1"/>
      <w:marLeft w:val="0"/>
      <w:marRight w:val="0"/>
      <w:marTop w:val="0"/>
      <w:marBottom w:val="0"/>
      <w:divBdr>
        <w:top w:val="none" w:sz="0" w:space="0" w:color="auto"/>
        <w:left w:val="none" w:sz="0" w:space="0" w:color="auto"/>
        <w:bottom w:val="none" w:sz="0" w:space="0" w:color="auto"/>
        <w:right w:val="none" w:sz="0" w:space="0" w:color="auto"/>
      </w:divBdr>
    </w:div>
    <w:div w:id="1749226667">
      <w:bodyDiv w:val="1"/>
      <w:marLeft w:val="0"/>
      <w:marRight w:val="0"/>
      <w:marTop w:val="0"/>
      <w:marBottom w:val="0"/>
      <w:divBdr>
        <w:top w:val="none" w:sz="0" w:space="0" w:color="auto"/>
        <w:left w:val="none" w:sz="0" w:space="0" w:color="auto"/>
        <w:bottom w:val="none" w:sz="0" w:space="0" w:color="auto"/>
        <w:right w:val="none" w:sz="0" w:space="0" w:color="auto"/>
      </w:divBdr>
    </w:div>
    <w:div w:id="1766875874">
      <w:bodyDiv w:val="1"/>
      <w:marLeft w:val="0"/>
      <w:marRight w:val="0"/>
      <w:marTop w:val="0"/>
      <w:marBottom w:val="0"/>
      <w:divBdr>
        <w:top w:val="none" w:sz="0" w:space="0" w:color="auto"/>
        <w:left w:val="none" w:sz="0" w:space="0" w:color="auto"/>
        <w:bottom w:val="none" w:sz="0" w:space="0" w:color="auto"/>
        <w:right w:val="none" w:sz="0" w:space="0" w:color="auto"/>
      </w:divBdr>
    </w:div>
    <w:div w:id="1782531128">
      <w:bodyDiv w:val="1"/>
      <w:marLeft w:val="0"/>
      <w:marRight w:val="0"/>
      <w:marTop w:val="0"/>
      <w:marBottom w:val="0"/>
      <w:divBdr>
        <w:top w:val="none" w:sz="0" w:space="0" w:color="auto"/>
        <w:left w:val="none" w:sz="0" w:space="0" w:color="auto"/>
        <w:bottom w:val="none" w:sz="0" w:space="0" w:color="auto"/>
        <w:right w:val="none" w:sz="0" w:space="0" w:color="auto"/>
      </w:divBdr>
    </w:div>
    <w:div w:id="1899894035">
      <w:bodyDiv w:val="1"/>
      <w:marLeft w:val="0"/>
      <w:marRight w:val="0"/>
      <w:marTop w:val="0"/>
      <w:marBottom w:val="0"/>
      <w:divBdr>
        <w:top w:val="none" w:sz="0" w:space="0" w:color="auto"/>
        <w:left w:val="none" w:sz="0" w:space="0" w:color="auto"/>
        <w:bottom w:val="none" w:sz="0" w:space="0" w:color="auto"/>
        <w:right w:val="none" w:sz="0" w:space="0" w:color="auto"/>
      </w:divBdr>
    </w:div>
    <w:div w:id="2131319453">
      <w:bodyDiv w:val="1"/>
      <w:marLeft w:val="0"/>
      <w:marRight w:val="0"/>
      <w:marTop w:val="0"/>
      <w:marBottom w:val="0"/>
      <w:divBdr>
        <w:top w:val="none" w:sz="0" w:space="0" w:color="auto"/>
        <w:left w:val="none" w:sz="0" w:space="0" w:color="auto"/>
        <w:bottom w:val="none" w:sz="0" w:space="0" w:color="auto"/>
        <w:right w:val="none" w:sz="0" w:space="0" w:color="auto"/>
      </w:divBdr>
    </w:div>
    <w:div w:id="2139948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308</TotalTime>
  <Pages>9</Pages>
  <Words>2797</Words>
  <Characters>15948</Characters>
  <Application>Microsoft Office Word</Application>
  <DocSecurity>0</DocSecurity>
  <Lines>132</Lines>
  <Paragraphs>37</Paragraphs>
  <ScaleCrop>false</ScaleCrop>
  <Company/>
  <LinksUpToDate>false</LinksUpToDate>
  <CharactersWithSpaces>18708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Davis (1901809)</dc:creator>
  <cp:keywords/>
  <dc:description/>
  <cp:lastModifiedBy>Matthew Davis (1901809)</cp:lastModifiedBy>
  <cp:revision>3</cp:revision>
  <dcterms:created xsi:type="dcterms:W3CDTF">2021-03-04T00:22:00Z</dcterms:created>
  <dcterms:modified xsi:type="dcterms:W3CDTF">2021-03-05T16:59:00Z</dcterms:modified>
</cp:coreProperties>
</file>