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207886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9211A">
              <w:rPr>
                <w:b/>
                <w:color w:val="auto"/>
                <w:sz w:val="32"/>
              </w:rPr>
              <w:t>Patric Rogers</w:t>
            </w:r>
          </w:p>
          <w:p w14:paraId="44290483" w14:textId="77777777" w:rsidR="00FF6BE0" w:rsidRDefault="00FF6BE0" w:rsidP="00340E9A">
            <w:pPr>
              <w:overflowPunct/>
              <w:autoSpaceDE/>
              <w:autoSpaceDN/>
              <w:adjustRightInd/>
              <w:ind w:right="237"/>
              <w:textAlignment w:val="auto"/>
              <w:rPr>
                <w:b/>
                <w:color w:val="auto"/>
                <w:sz w:val="32"/>
              </w:rPr>
            </w:pPr>
          </w:p>
          <w:p w14:paraId="4A4B1989" w14:textId="6E40D340"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9211A">
              <w:rPr>
                <w:b/>
                <w:color w:val="auto"/>
                <w:sz w:val="32"/>
              </w:rPr>
              <w:t xml:space="preserve"> 1922408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96CD306" w:rsidR="00190913"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EE865BF" w14:textId="54941EB0" w:rsidR="0029211A" w:rsidRDefault="0029211A" w:rsidP="31856DE5">
      <w:pPr>
        <w:overflowPunct/>
        <w:autoSpaceDE/>
        <w:autoSpaceDN/>
        <w:adjustRightInd/>
        <w:ind w:right="237"/>
        <w:textAlignment w:val="auto"/>
        <w:rPr>
          <w:b/>
          <w:bCs/>
          <w:i/>
          <w:iCs/>
          <w:color w:val="auto"/>
          <w:sz w:val="24"/>
          <w:szCs w:val="24"/>
        </w:rPr>
      </w:pPr>
    </w:p>
    <w:p w14:paraId="516A18A8" w14:textId="77777777" w:rsidR="0029211A" w:rsidRPr="00932CCA" w:rsidRDefault="0029211A" w:rsidP="31856DE5">
      <w:pPr>
        <w:overflowPunct/>
        <w:autoSpaceDE/>
        <w:autoSpaceDN/>
        <w:adjustRightInd/>
        <w:ind w:right="237"/>
        <w:textAlignment w:val="auto"/>
        <w:rPr>
          <w:b/>
          <w:bCs/>
          <w:i/>
          <w:iCs/>
          <w:color w:val="auto"/>
          <w:sz w:val="24"/>
          <w:szCs w:val="24"/>
        </w:rPr>
      </w:pP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CB59E17" w14:textId="77777777" w:rsidR="00680C25" w:rsidRDefault="00680C25" w:rsidP="00680C25">
      <w:pPr>
        <w:ind w:right="237"/>
        <w:rPr>
          <w:color w:val="auto"/>
          <w:sz w:val="24"/>
        </w:rPr>
      </w:pPr>
    </w:p>
    <w:p w14:paraId="1F082882" w14:textId="77777777" w:rsidR="00680C25" w:rsidRDefault="00680C25" w:rsidP="00680C25">
      <w:pPr>
        <w:ind w:right="237"/>
        <w:rPr>
          <w:color w:val="auto"/>
          <w:sz w:val="24"/>
        </w:rPr>
      </w:pPr>
    </w:p>
    <w:p w14:paraId="6D58F4AD" w14:textId="3E7EBC3C" w:rsidR="00680C25" w:rsidRDefault="00680C25" w:rsidP="00680C25">
      <w:pPr>
        <w:ind w:right="237"/>
        <w:rPr>
          <w:b/>
          <w:sz w:val="24"/>
          <w:szCs w:val="24"/>
        </w:rPr>
      </w:pPr>
      <w:r>
        <w:rPr>
          <w:b/>
          <w:sz w:val="24"/>
          <w:szCs w:val="24"/>
        </w:rPr>
        <w:t xml:space="preserve"> </w:t>
      </w:r>
    </w:p>
    <w:p w14:paraId="1DD51F52" w14:textId="0704A760" w:rsidR="007C1D94" w:rsidRPr="00270EEB" w:rsidRDefault="00450C83" w:rsidP="00340E9A">
      <w:pPr>
        <w:ind w:right="237"/>
        <w:jc w:val="center"/>
        <w:rPr>
          <w:b/>
          <w:sz w:val="24"/>
          <w:szCs w:val="24"/>
        </w:rPr>
      </w:pPr>
      <w:r>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B4671AE" w14:textId="77777777" w:rsidR="00680C25" w:rsidRPr="00680C25" w:rsidRDefault="00680C25" w:rsidP="00680C25">
      <w:pPr>
        <w:suppressAutoHyphens/>
        <w:overflowPunct/>
        <w:autoSpaceDE/>
        <w:adjustRightInd/>
        <w:spacing w:after="160" w:line="251"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 xml:space="preserve">In this task I will consider and reflect on the impact of organisational justice on myself as a member of the police by looking at the wider issues of organisational justice within policing as a whole and illustrating what similar issues I have faced. I will also consider the steps that my organisation South Wales Police and the wider policing community are taking to raise those ethical standards. </w:t>
      </w:r>
    </w:p>
    <w:p w14:paraId="7883DF5F" w14:textId="77777777" w:rsidR="00680C25" w:rsidRPr="00680C25" w:rsidRDefault="00680C25" w:rsidP="00680C25">
      <w:pPr>
        <w:suppressAutoHyphens/>
        <w:overflowPunct/>
        <w:autoSpaceDE/>
        <w:adjustRightInd/>
        <w:spacing w:after="160" w:line="251"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Organisational justice is said to be the employee’s perception of fairness within a workplace and the perceptions can be classified into four categories which are: distributive, procedural, informational, and interactional (Oxford Bibliographies, 2015).</w:t>
      </w:r>
    </w:p>
    <w:p w14:paraId="761D446E" w14:textId="3DB43197" w:rsidR="00680C25" w:rsidRPr="00680C25" w:rsidRDefault="00680C25" w:rsidP="00680C25">
      <w:pPr>
        <w:suppressAutoHyphens/>
        <w:overflowPunct/>
        <w:autoSpaceDE/>
        <w:adjustRightInd/>
        <w:spacing w:after="160" w:line="251"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As a member of the police service, I am governed by the policing code of ethics which was launched in 2014 for all officers throughout England and Wales. The nine policing principles originate from the committee of public life which was published in 1995 and the ten standards of professional behaviour originate from the police (conduct) regulations 2012 and the Police Staff Council Joint Circular 54 (Gov.uk, 2014). When the code is taught to new recruits, it is made clear that breaches of the code of ethics will range minor shortcomings in conduct, performance, or attendance to gross misconduct (College of Police, 2014</w:t>
      </w:r>
      <w:r w:rsidR="00E774C7">
        <w:rPr>
          <w:rFonts w:ascii="Calibri" w:eastAsia="Calibri" w:hAnsi="Calibri" w:cs="Times New Roman"/>
          <w:color w:val="auto"/>
          <w:sz w:val="22"/>
          <w:szCs w:val="22"/>
          <w:lang w:eastAsia="en-US"/>
        </w:rPr>
        <w:t>b</w:t>
      </w:r>
      <w:r w:rsidRPr="00680C25">
        <w:rPr>
          <w:rFonts w:ascii="Calibri" w:eastAsia="Calibri" w:hAnsi="Calibri" w:cs="Times New Roman"/>
          <w:color w:val="auto"/>
          <w:sz w:val="22"/>
          <w:szCs w:val="22"/>
          <w:lang w:eastAsia="en-US"/>
        </w:rPr>
        <w:t xml:space="preserve">). This forms an opinion in my mind that it sets a fair and clear example from the outset of joining the police service which provides me with a positive perception of fairness. </w:t>
      </w:r>
    </w:p>
    <w:p w14:paraId="5BD73927" w14:textId="77777777" w:rsidR="00680C25" w:rsidRPr="00680C25" w:rsidRDefault="00680C25" w:rsidP="00680C25">
      <w:pPr>
        <w:suppressAutoHyphens/>
        <w:overflowPunct/>
        <w:autoSpaceDE/>
        <w:adjustRightInd/>
        <w:spacing w:after="160" w:line="251"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Employees that experience fairness and respect within the workplace will have an increased level of inclusion and pride in the work they do (College of Policing, 2015). I am able to relate to this theory. If I was to be treated without fairness and respect, I would be less likely to take pride in the work that I do causing an undesirable effect on me and the organisation. This is supported by research that shows organisational justice has a direct link to how employees identify more with the organisation adapting their attitudes and behaviours towards the work (Blader and Tyler, 2002).</w:t>
      </w:r>
    </w:p>
    <w:p w14:paraId="6AB87D7C" w14:textId="77777777" w:rsidR="00680C25" w:rsidRPr="00680C25" w:rsidRDefault="00680C25" w:rsidP="00680C25">
      <w:pPr>
        <w:suppressAutoHyphens/>
        <w:overflowPunct/>
        <w:autoSpaceDE/>
        <w:adjustRightInd/>
        <w:spacing w:after="160" w:line="251"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 xml:space="preserve">Research into organisational justice within the British Police force has found that there’s a willingness to ‘go the extra mile’, the willingness to follow instructions and organisational policies, willingness to follow them instructions and policies even if they believe them to be wrong, and it’s believed the driver for this are risk of punishments and loyalty/attachment to the force (College of Police, 2015a). Research has also suggested that procedural justice within the workplace that brings a greater amount of self-belonging, value and self-worth will promote greater mental health to employees (Begeny, Et al. 2021) meaning that it has greater long-term effects to the health and wellbeing effect to the </w:t>
      </w:r>
      <w:r w:rsidRPr="00680C25">
        <w:rPr>
          <w:rFonts w:ascii="Calibri" w:eastAsia="Calibri" w:hAnsi="Calibri" w:cs="Times New Roman"/>
          <w:color w:val="auto"/>
          <w:sz w:val="22"/>
          <w:szCs w:val="22"/>
          <w:lang w:eastAsia="en-US"/>
        </w:rPr>
        <w:lastRenderedPageBreak/>
        <w:t xml:space="preserve">employee and additionally, creating a desire within the employee to perform to a higher quality within the workplace.  </w:t>
      </w:r>
    </w:p>
    <w:p w14:paraId="42B2E29A" w14:textId="48900CE5" w:rsidR="00680C25" w:rsidRPr="00680C25" w:rsidRDefault="00680C25" w:rsidP="00680C25">
      <w:pPr>
        <w:suppressAutoHyphens/>
        <w:overflowPunct/>
        <w:autoSpaceDE/>
        <w:adjustRightInd/>
        <w:spacing w:after="160" w:line="251"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 xml:space="preserve">In an aid to increase ethical standards within policing in the United Kingdom, there have been a number of systems put in place to help it. One, system is the roll out of body worn video cameras across police forces including South Wales Police. Body worn video has reduced complaints against officers, it reminds officers that they are accountable for their actions and has changed officers’ attitudes to how they police and increased training on ethical standards (College of Policing, 2015b). Research conducted in a US police department in 2012 – 2013 over a period of 12 month of officers being equipped with body worn cameras showed that there was a 50% reduction in use of force incidents which recorded on the year before and had a slight positive effect on public complaints that were put in on the force (Farrar, 2013). When I am at incidents in in work, I am actively aware when I am recording with my body worn video that I am accountable for my actions and that if I treat someone wrongly and un-ethically, that BWV can be watched by management. I believe this makes me a better officer and act ethically at all times when dealing with incidents. The police agency also undergoes continuous training on ethical standards throughout an officer’s career, making it a constant reminder that officers are accountable to their actions through the complaint system. A report set out by South Wales Police sets out the policy for complaint are dealt with by the service and states that South Wales Police commits itself to upholding the highest ethical standard and commits itself to investigating complaints fully (South Wales Police and Crime Commissioner, </w:t>
      </w:r>
      <w:r w:rsidR="00FD45A9">
        <w:rPr>
          <w:rFonts w:ascii="Calibri" w:eastAsia="Calibri" w:hAnsi="Calibri" w:cs="Times New Roman"/>
          <w:color w:val="auto"/>
          <w:sz w:val="22"/>
          <w:szCs w:val="22"/>
          <w:lang w:eastAsia="en-US"/>
        </w:rPr>
        <w:t>d</w:t>
      </w:r>
      <w:r w:rsidRPr="00680C25">
        <w:rPr>
          <w:rFonts w:ascii="Calibri" w:eastAsia="Calibri" w:hAnsi="Calibri" w:cs="Times New Roman"/>
          <w:color w:val="auto"/>
          <w:sz w:val="22"/>
          <w:szCs w:val="22"/>
          <w:lang w:eastAsia="en-US"/>
        </w:rPr>
        <w:t>). An experiment conducted on Dutch Riot Police in 1991 whereby one group of officers were told they would be held accountable for their actions by a panel and another group was not told anything showed that officers who were reminded they were accountable had a greater level of self-awareness during the exercises than those who didn’t (Kroon et al.,1991). I can relate to this as every time I have undergone training so far. When I come from training awareness to ethical standards, I have a greater awareness to the way I act and feel an increased level of accountability.</w:t>
      </w:r>
    </w:p>
    <w:p w14:paraId="63ABFEA4" w14:textId="77777777" w:rsidR="00680C25" w:rsidRPr="00680C25" w:rsidRDefault="00680C25" w:rsidP="00680C25">
      <w:pPr>
        <w:suppressAutoHyphens/>
        <w:overflowPunct/>
        <w:autoSpaceDE/>
        <w:adjustRightInd/>
        <w:spacing w:after="160" w:line="251"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In conclusion, I believe that being governed by the police code of ethics is a fair and ethical principle to work by. I feel that I have had a clear example of how I should act from the beginning of my service as this was made clear to me upon joining. I feel as if I am treated with respect within the workplace and I am instilled with inclusion and pride in the work I do because of that. I also feel with a fairer procedural justice within the workplace, I work at a higher quality and causes me to have increased health and wellbeing. I believe that policing throughout the UK and South Wales Police have done well to raise ethical standards using body worn video and continuous training of police ethics as a way of keeping officers accountable for their actions.</w:t>
      </w:r>
    </w:p>
    <w:p w14:paraId="5854CB78" w14:textId="4F19F933" w:rsidR="00680C25" w:rsidRPr="00680C25" w:rsidRDefault="00680C25" w:rsidP="00680C25">
      <w:pPr>
        <w:suppressAutoHyphens/>
        <w:overflowPunct/>
        <w:autoSpaceDE/>
        <w:adjustRightInd/>
        <w:spacing w:after="160" w:line="251"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Word Count: 987</w:t>
      </w:r>
      <w:r>
        <w:rPr>
          <w:rFonts w:ascii="Calibri" w:eastAsia="Calibri" w:hAnsi="Calibri" w:cs="Times New Roman"/>
          <w:color w:val="auto"/>
          <w:sz w:val="22"/>
          <w:szCs w:val="22"/>
          <w:lang w:eastAsia="en-US"/>
        </w:rPr>
        <w:t>.</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39E63C7C" w14:textId="77777777" w:rsidR="000F7ECD" w:rsidRDefault="000F7ECD" w:rsidP="00340E9A">
      <w:pPr>
        <w:ind w:right="237"/>
        <w:jc w:val="both"/>
        <w:rPr>
          <w:sz w:val="24"/>
          <w:szCs w:val="24"/>
        </w:rPr>
      </w:pPr>
    </w:p>
    <w:p w14:paraId="3D4900DE" w14:textId="1336D717" w:rsidR="00680C25" w:rsidRPr="00270EEB" w:rsidRDefault="00680C25" w:rsidP="00340E9A">
      <w:pPr>
        <w:ind w:right="237"/>
        <w:jc w:val="both"/>
        <w:rPr>
          <w:sz w:val="24"/>
          <w:szCs w:val="24"/>
        </w:rPr>
        <w:sectPr w:rsidR="00680C25" w:rsidRPr="00270EEB" w:rsidSect="0022001B">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95E478" w14:textId="77777777" w:rsidR="00680C25" w:rsidRPr="00680C25" w:rsidRDefault="00680C25" w:rsidP="00680C25">
      <w:pPr>
        <w:suppressAutoHyphens/>
        <w:overflowPunct/>
        <w:autoSpaceDE/>
        <w:adjustRightInd/>
        <w:spacing w:after="160" w:line="254"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 xml:space="preserve">In this task I will be discussing an incident whereby I took a partnership approach and played a significant role with an offender and victim. I will reflect on what approach I took to the incident and what the outcomes are of this incident. I will discuss what agencies I involved in my investigation and how I worked with them to secure the best outcome from my service users. </w:t>
      </w:r>
    </w:p>
    <w:p w14:paraId="066AC3A9" w14:textId="0BFCAF16" w:rsidR="00680C25" w:rsidRPr="00680C25" w:rsidRDefault="00680C25" w:rsidP="00680C25">
      <w:pPr>
        <w:suppressAutoHyphens/>
        <w:overflowPunct/>
        <w:autoSpaceDE/>
        <w:adjustRightInd/>
        <w:spacing w:after="160" w:line="254" w:lineRule="auto"/>
        <w:jc w:val="both"/>
        <w:rPr>
          <w:rFonts w:ascii="Calibri" w:eastAsia="Calibri" w:hAnsi="Calibri" w:cs="Times New Roman"/>
          <w:color w:val="auto"/>
          <w:lang w:eastAsia="en-US"/>
        </w:rPr>
      </w:pPr>
      <w:r w:rsidRPr="00680C25">
        <w:rPr>
          <w:rFonts w:ascii="Calibri" w:eastAsia="Calibri" w:hAnsi="Calibri" w:cs="Times New Roman"/>
          <w:color w:val="auto"/>
          <w:sz w:val="22"/>
          <w:szCs w:val="22"/>
          <w:lang w:eastAsia="en-US"/>
        </w:rPr>
        <w:t>I will be choosing to discuss an incident that was reported to the police by a primary school. The report stated that a young child in their school had come in with bruising to his forearm and that when teachers questioned him regarding the bruising, he stated that his father was angry with him, shouted at him and grabbed him by the arm. This was also reported to children’s services as part of the school’s duty of care to the child. The child lives at home with his mother, father and two other siblings, a younger brother and older sister. This incident got passed to me as a Grade 4 response, which is a slow time response to carry out the investigations. Due to the type of allegation, I was potentially dealing with a Section 39 assault by beating (</w:t>
      </w:r>
      <w:r w:rsidRPr="00680C25">
        <w:rPr>
          <w:rFonts w:ascii="Calibri" w:eastAsia="Calibri" w:hAnsi="Calibri" w:cs="Times New Roman"/>
          <w:i/>
          <w:iCs/>
          <w:color w:val="auto"/>
          <w:sz w:val="22"/>
          <w:szCs w:val="22"/>
          <w:lang w:eastAsia="en-US"/>
        </w:rPr>
        <w:t>Criminal Justice Act</w:t>
      </w:r>
      <w:r w:rsidRPr="00680C25">
        <w:rPr>
          <w:rFonts w:ascii="Calibri" w:eastAsia="Calibri" w:hAnsi="Calibri" w:cs="Times New Roman"/>
          <w:color w:val="auto"/>
          <w:sz w:val="22"/>
          <w:szCs w:val="22"/>
          <w:lang w:eastAsia="en-US"/>
        </w:rPr>
        <w:t xml:space="preserve"> </w:t>
      </w:r>
      <w:r w:rsidRPr="00680C25">
        <w:rPr>
          <w:rFonts w:ascii="Calibri" w:eastAsia="Calibri" w:hAnsi="Calibri" w:cs="Times New Roman"/>
          <w:i/>
          <w:iCs/>
          <w:color w:val="auto"/>
          <w:sz w:val="22"/>
          <w:szCs w:val="22"/>
          <w:lang w:eastAsia="en-US"/>
        </w:rPr>
        <w:t>1988</w:t>
      </w:r>
      <w:r w:rsidRPr="00680C25">
        <w:rPr>
          <w:rFonts w:ascii="Calibri" w:eastAsia="Calibri" w:hAnsi="Calibri" w:cs="Times New Roman"/>
          <w:color w:val="auto"/>
          <w:sz w:val="22"/>
          <w:szCs w:val="22"/>
          <w:lang w:eastAsia="en-US"/>
        </w:rPr>
        <w:t>) and potentially dealing with a form of child abuse which is described by the NSPCC (2022</w:t>
      </w:r>
      <w:r w:rsidR="00E774C7">
        <w:rPr>
          <w:rFonts w:ascii="Calibri" w:eastAsia="Calibri" w:hAnsi="Calibri" w:cs="Times New Roman"/>
          <w:color w:val="auto"/>
          <w:sz w:val="22"/>
          <w:szCs w:val="22"/>
          <w:lang w:eastAsia="en-US"/>
        </w:rPr>
        <w:t>b</w:t>
      </w:r>
      <w:r w:rsidRPr="00680C25">
        <w:rPr>
          <w:rFonts w:ascii="Calibri" w:eastAsia="Calibri" w:hAnsi="Calibri" w:cs="Times New Roman"/>
          <w:color w:val="auto"/>
          <w:sz w:val="22"/>
          <w:szCs w:val="22"/>
          <w:lang w:eastAsia="en-US"/>
        </w:rPr>
        <w:t>) as when a child is abused by an adult and can happen over a period of time or be a one-off action. However, in England and Wales, there is still the defence of reasonable punishment (Chastisement) in the law which is a defence to assault by beating (Child Law Advice, n.d.</w:t>
      </w:r>
      <w:r w:rsidR="00FD45A9">
        <w:rPr>
          <w:rFonts w:ascii="Calibri" w:eastAsia="Calibri" w:hAnsi="Calibri" w:cs="Times New Roman"/>
          <w:color w:val="auto"/>
          <w:sz w:val="22"/>
          <w:szCs w:val="22"/>
          <w:lang w:eastAsia="en-US"/>
        </w:rPr>
        <w:t xml:space="preserve"> a</w:t>
      </w:r>
      <w:r w:rsidRPr="00680C25">
        <w:rPr>
          <w:rFonts w:ascii="Calibri" w:eastAsia="Calibri" w:hAnsi="Calibri" w:cs="Times New Roman"/>
          <w:color w:val="auto"/>
          <w:sz w:val="22"/>
          <w:szCs w:val="22"/>
          <w:lang w:eastAsia="en-US"/>
        </w:rPr>
        <w:t>), however this will not be the case for much longer as the law will be changing in March 2022 making it illegal to physical punish a child (Welsh Government, n.d.).</w:t>
      </w:r>
    </w:p>
    <w:p w14:paraId="48E0EBCF" w14:textId="77777777" w:rsidR="00680C25" w:rsidRPr="00680C25" w:rsidRDefault="00680C25" w:rsidP="00680C25">
      <w:pPr>
        <w:suppressAutoHyphens/>
        <w:overflowPunct/>
        <w:autoSpaceDE/>
        <w:adjustRightInd/>
        <w:spacing w:after="160" w:line="254"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 xml:space="preserve">Initially, I have had to assess the Threat, Risk and Harm to the subject child. I initially linked in with children’s services who had made me aware that they have never had interactions with the family before, there also was no relevant history of the family on internal police systems. Due to the child being seen by the school and no other concerns raised, I assessed that there were no immediate safeguarding issues. </w:t>
      </w:r>
    </w:p>
    <w:p w14:paraId="77C32DA0" w14:textId="77777777" w:rsidR="00680C25" w:rsidRPr="00680C25" w:rsidRDefault="00680C25" w:rsidP="00680C25">
      <w:pPr>
        <w:suppressAutoHyphens/>
        <w:overflowPunct/>
        <w:autoSpaceDE/>
        <w:adjustRightInd/>
        <w:spacing w:after="160" w:line="254"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lastRenderedPageBreak/>
        <w:t xml:space="preserve">My first option that I considered was if a ‘Section 47’ investigation would be necessary under the circumstances. Section 47 of the Children’s Act 1989 states that if a local authority believes a child is suffering or is likely to suffer significant harm then the authority should carry out an investigation of that child’s needs and the ability of those caring for the child to carry them out (Social Care Institute for Excellence, 2012). I also assessed if a joint investigation between Children’s Services and the police would be appropriate. I decided due to the level of the injury and my assessment that there were no immediate safeguarding issues, the investigations did not warrant a joint 47 investigation. Instead, I would allow Children’s Services carry out their investigation separate to the police, but link in with them, giving them the opportunity to share their findings and the share ours vice versa. </w:t>
      </w:r>
    </w:p>
    <w:p w14:paraId="15BA53A1" w14:textId="77777777" w:rsidR="00680C25" w:rsidRPr="00680C25" w:rsidRDefault="00680C25" w:rsidP="00680C25">
      <w:pPr>
        <w:suppressAutoHyphens/>
        <w:overflowPunct/>
        <w:autoSpaceDE/>
        <w:adjustRightInd/>
        <w:spacing w:after="160" w:line="254"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Other options I also took into consideration was working with the school and education board how and work out how to further safeguard the child with their assistance.</w:t>
      </w:r>
    </w:p>
    <w:p w14:paraId="28270EBF" w14:textId="77777777" w:rsidR="00680C25" w:rsidRPr="00680C25" w:rsidRDefault="00680C25" w:rsidP="00680C25">
      <w:pPr>
        <w:suppressAutoHyphens/>
        <w:overflowPunct/>
        <w:autoSpaceDE/>
        <w:adjustRightInd/>
        <w:spacing w:after="160" w:line="254"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 xml:space="preserve">As part of my initial investigation, I decided that I should contact the reporting person who was the teacher at the school. The teacher was able to inform me that the child presented at the school with bruising all around his forearm in the shape of a handprint, and when asked about it, stated that his father done it. However, they also disclosed that the child showed little concern for it and seemed in high spirits, and they have never noticed injuries prior on the child. I subsequently took a section 9 statement from the teacher which is stated in the Criminal Justice Act of 1967 as being admissible in court the same as oral evidence would be (CPS, 2017). </w:t>
      </w:r>
    </w:p>
    <w:p w14:paraId="7D6D8542" w14:textId="77777777" w:rsidR="00680C25" w:rsidRPr="00680C25" w:rsidRDefault="00680C25" w:rsidP="00680C25">
      <w:pPr>
        <w:suppressAutoHyphens/>
        <w:overflowPunct/>
        <w:autoSpaceDE/>
        <w:adjustRightInd/>
        <w:spacing w:after="160" w:line="254"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 xml:space="preserve">Throughout the course of this investigation, children’s services had visited the family first to make an assessment to which they found that the child did have slight bruising to his arm and when they questioned the father regarding the marks, he stated that he pulled grabbed him by the arm in attempt stop his son form misbehaving. Children’s services subsequently put a monitoring plan in place for the father to not use force on the child and offered coping strategies for the father and places to go for support around parenting issues. </w:t>
      </w:r>
    </w:p>
    <w:p w14:paraId="6D9E26F1" w14:textId="77777777" w:rsidR="00680C25" w:rsidRPr="00680C25" w:rsidRDefault="00680C25" w:rsidP="00680C25">
      <w:pPr>
        <w:suppressAutoHyphens/>
        <w:overflowPunct/>
        <w:autoSpaceDE/>
        <w:adjustRightInd/>
        <w:spacing w:after="160" w:line="254"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 xml:space="preserve">Children’s services fed this information back to me and stated they haven’t any major concerns for the child’s welfare. However, as part of my duty of care, I visited the child to check the extent of the injuries and to check on the welfare of the child myself. Upon doing so, I was also able to see that the child had slight bruising on his arm which would amount to assault by beating, however the child would not tell me what happened, but I was able to see that the child seemed well cared for and presented well. When asking the child if it was anything, he wanted to tell me, he didn’t tell me anything of concern. I was also able to talk to the mother and other children in the house and everyone presented well and shared no concerns. </w:t>
      </w:r>
    </w:p>
    <w:p w14:paraId="6748D007" w14:textId="74EB4914" w:rsidR="00680C25" w:rsidRPr="00680C25" w:rsidRDefault="00680C25" w:rsidP="00680C25">
      <w:pPr>
        <w:suppressAutoHyphens/>
        <w:overflowPunct/>
        <w:autoSpaceDE/>
        <w:adjustRightInd/>
        <w:spacing w:after="160" w:line="254"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Investigations by HMICFRS (2015</w:t>
      </w:r>
      <w:r w:rsidR="00E774C7">
        <w:rPr>
          <w:rFonts w:ascii="Calibri" w:eastAsia="Calibri" w:hAnsi="Calibri" w:cs="Times New Roman"/>
          <w:color w:val="auto"/>
          <w:sz w:val="22"/>
          <w:szCs w:val="22"/>
          <w:lang w:eastAsia="en-US"/>
        </w:rPr>
        <w:t>a</w:t>
      </w:r>
      <w:r w:rsidRPr="00680C25">
        <w:rPr>
          <w:rFonts w:ascii="Calibri" w:eastAsia="Calibri" w:hAnsi="Calibri" w:cs="Times New Roman"/>
          <w:color w:val="auto"/>
          <w:sz w:val="22"/>
          <w:szCs w:val="22"/>
          <w:lang w:eastAsia="en-US"/>
        </w:rPr>
        <w:t>) showed that there have been failures in the past due to authorities failing to identify abuse and neglect of a child, failure to understand a child’s circumstances and put in plans to change them, failure to communicate effectively between agencies and failures to listen to the child. Throughout this investigation, these common failures in history have been negated. I have identified the abuse that has taken place. I have communicated with partner agencies such as children’s services and education authority, and with the help of these partner agencies, we have been able to create plans for the family to stop further abuse in future. I have also taken the step to talk to the child and listen to what the child’s concerns were.</w:t>
      </w:r>
    </w:p>
    <w:p w14:paraId="6F618CB5" w14:textId="2A99D2DE" w:rsidR="00680C25" w:rsidRPr="00680C25" w:rsidRDefault="00680C25" w:rsidP="00680C25">
      <w:pPr>
        <w:suppressAutoHyphens/>
        <w:overflowPunct/>
        <w:autoSpaceDE/>
        <w:adjustRightInd/>
        <w:spacing w:after="160" w:line="254"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 xml:space="preserve">My justification to launch an investigation into this case is </w:t>
      </w:r>
      <w:r w:rsidRPr="00680C25">
        <w:rPr>
          <w:rFonts w:ascii="Calibri" w:eastAsia="Calibri" w:hAnsi="Calibri" w:cs="Times New Roman"/>
          <w:color w:val="auto"/>
          <w:sz w:val="22"/>
          <w:szCs w:val="22"/>
          <w:lang w:eastAsia="en-US"/>
        </w:rPr>
        <w:t>because of</w:t>
      </w:r>
      <w:r w:rsidRPr="00680C25">
        <w:rPr>
          <w:rFonts w:ascii="Calibri" w:eastAsia="Calibri" w:hAnsi="Calibri" w:cs="Times New Roman"/>
          <w:color w:val="auto"/>
          <w:sz w:val="22"/>
          <w:szCs w:val="22"/>
          <w:lang w:eastAsia="en-US"/>
        </w:rPr>
        <w:t xml:space="preserve"> </w:t>
      </w:r>
      <w:r w:rsidRPr="00680C25">
        <w:rPr>
          <w:rFonts w:ascii="Calibri" w:eastAsia="Calibri" w:hAnsi="Calibri" w:cs="Times New Roman"/>
          <w:color w:val="auto"/>
          <w:sz w:val="22"/>
          <w:szCs w:val="22"/>
          <w:lang w:eastAsia="en-US"/>
        </w:rPr>
        <w:t>several</w:t>
      </w:r>
      <w:r w:rsidRPr="00680C25">
        <w:rPr>
          <w:rFonts w:ascii="Calibri" w:eastAsia="Calibri" w:hAnsi="Calibri" w:cs="Times New Roman"/>
          <w:color w:val="auto"/>
          <w:sz w:val="22"/>
          <w:szCs w:val="22"/>
          <w:lang w:eastAsia="en-US"/>
        </w:rPr>
        <w:t xml:space="preserve"> reasons. One being that I am law bound to safeguard children as a police officer under Section 11 of the Children Act (</w:t>
      </w:r>
      <w:r w:rsidRPr="00680C25">
        <w:rPr>
          <w:rFonts w:ascii="Calibri" w:eastAsia="Calibri" w:hAnsi="Calibri" w:cs="Times New Roman"/>
          <w:i/>
          <w:iCs/>
          <w:color w:val="auto"/>
          <w:sz w:val="22"/>
          <w:szCs w:val="22"/>
          <w:lang w:eastAsia="en-US"/>
        </w:rPr>
        <w:t>Children Act 2004</w:t>
      </w:r>
      <w:r w:rsidRPr="00680C25">
        <w:rPr>
          <w:rFonts w:ascii="Calibri" w:eastAsia="Calibri" w:hAnsi="Calibri" w:cs="Times New Roman"/>
          <w:color w:val="auto"/>
          <w:sz w:val="22"/>
          <w:szCs w:val="22"/>
          <w:lang w:eastAsia="en-US"/>
        </w:rPr>
        <w:t>). It also a duty of a local authority structures to safeguard children under the Section 17 of the Children Act (</w:t>
      </w:r>
      <w:r w:rsidRPr="00680C25">
        <w:rPr>
          <w:rFonts w:ascii="Calibri" w:eastAsia="Calibri" w:hAnsi="Calibri" w:cs="Times New Roman"/>
          <w:i/>
          <w:iCs/>
          <w:color w:val="auto"/>
          <w:sz w:val="22"/>
          <w:szCs w:val="22"/>
          <w:lang w:eastAsia="en-US"/>
        </w:rPr>
        <w:t>Children Act 1989</w:t>
      </w:r>
      <w:r w:rsidRPr="00680C25">
        <w:rPr>
          <w:rFonts w:ascii="Calibri" w:eastAsia="Calibri" w:hAnsi="Calibri" w:cs="Times New Roman"/>
          <w:color w:val="auto"/>
          <w:sz w:val="22"/>
          <w:szCs w:val="22"/>
          <w:lang w:eastAsia="en-US"/>
        </w:rPr>
        <w:t xml:space="preserve">). I am also motivated by previous failings by police forces and local authority failings throughout history. One prominent failing is the failing of Peter Connelly (Baby P) </w:t>
      </w:r>
      <w:r w:rsidRPr="00680C25">
        <w:rPr>
          <w:rFonts w:ascii="Calibri" w:eastAsia="Calibri" w:hAnsi="Calibri" w:cs="Times New Roman"/>
          <w:color w:val="auto"/>
          <w:sz w:val="22"/>
          <w:szCs w:val="22"/>
          <w:lang w:eastAsia="en-US"/>
        </w:rPr>
        <w:lastRenderedPageBreak/>
        <w:t xml:space="preserve">who was killed by his family in 2007. The inquiry into his death found massive failings such as not following procedures in the investigation and not carrying out thorough investigations (All Wales Basic Safeguarding, n.d.). Another prominent failing is the death of Victoria Climbié in 2000 by the persons who were meant to be caring for her. The enquiry into her death found that there were multiple missed opportunities by the local authority to pick up on the abuse that Victoria was facing and failed to identify the abuse that was taking place (House of Commons Health Committee, 2003). However, there is some concern that there are </w:t>
      </w:r>
      <w:r w:rsidRPr="00680C25">
        <w:rPr>
          <w:rFonts w:ascii="Calibri" w:eastAsia="Calibri" w:hAnsi="Calibri" w:cs="Times New Roman"/>
          <w:color w:val="auto"/>
          <w:sz w:val="22"/>
          <w:szCs w:val="22"/>
          <w:lang w:eastAsia="en-US"/>
        </w:rPr>
        <w:t>too</w:t>
      </w:r>
      <w:r w:rsidRPr="00680C25">
        <w:rPr>
          <w:rFonts w:ascii="Calibri" w:eastAsia="Calibri" w:hAnsi="Calibri" w:cs="Times New Roman"/>
          <w:color w:val="auto"/>
          <w:sz w:val="22"/>
          <w:szCs w:val="22"/>
          <w:lang w:eastAsia="en-US"/>
        </w:rPr>
        <w:t xml:space="preserve"> many investigations of this nature and that a lot of investigations are having an inadequate </w:t>
      </w:r>
      <w:r w:rsidRPr="00680C25">
        <w:rPr>
          <w:rFonts w:ascii="Calibri" w:eastAsia="Calibri" w:hAnsi="Calibri" w:cs="Times New Roman"/>
          <w:color w:val="auto"/>
          <w:sz w:val="22"/>
          <w:szCs w:val="22"/>
          <w:lang w:eastAsia="en-US"/>
        </w:rPr>
        <w:t>effect</w:t>
      </w:r>
      <w:r w:rsidRPr="00680C25">
        <w:rPr>
          <w:rFonts w:ascii="Calibri" w:eastAsia="Calibri" w:hAnsi="Calibri" w:cs="Times New Roman"/>
          <w:color w:val="auto"/>
          <w:sz w:val="22"/>
          <w:szCs w:val="22"/>
          <w:lang w:eastAsia="en-US"/>
        </w:rPr>
        <w:t xml:space="preserve"> on families (BBC News, 2021). Although, I do recognise there may be significant consequences for a family once an investigation is beginning, I do my upmost to risk assess what level of intervention is needed and try to reduce impact as much as possible. I reduced the impact on this occasion by not requesting a joint 47 investigation and not progressing my investigation prior to gaining a background knowledge of concerns raised and understanding of background of the family from children’s services which in fact there wasn’t a history.</w:t>
      </w:r>
    </w:p>
    <w:p w14:paraId="06142432" w14:textId="77777777" w:rsidR="00680C25" w:rsidRPr="00680C25" w:rsidRDefault="00680C25" w:rsidP="00680C25">
      <w:pPr>
        <w:suppressAutoHyphens/>
        <w:overflowPunct/>
        <w:autoSpaceDE/>
        <w:adjustRightInd/>
        <w:spacing w:after="160" w:line="254"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 xml:space="preserve">In conclusion, I took the relevant and appropriate steps throughout this investigation. I began this investigation by gaining all appropriate information prior to taking any actions. By doing this it helped reduce the impact which my investigation may have on the family. I also took an appropriate partnership response to the investigation by firstly linking in with the educations authorities which were the first to raise the issues, I then linked in with children’s services who I let lead the investigation and drew information from to let me measure the appropriate response from myself. I was able investigate with as little impact on the family as possible and impact on the child. I was able to establish the safeguarding of the child adequately. I was also able to evaluate available evidence such as the statement I took from the teacher, the evidence from the support worker and evidence from the child and father to make an informed decision which led me to believe that this was a one-off </w:t>
      </w:r>
      <w:r w:rsidRPr="00680C25">
        <w:rPr>
          <w:rFonts w:ascii="Calibri" w:eastAsia="Calibri" w:hAnsi="Calibri" w:cs="Times New Roman"/>
          <w:color w:val="auto"/>
          <w:sz w:val="22"/>
          <w:szCs w:val="22"/>
          <w:lang w:eastAsia="en-US"/>
        </w:rPr>
        <w:t>incident,</w:t>
      </w:r>
      <w:r w:rsidRPr="00680C25">
        <w:rPr>
          <w:rFonts w:ascii="Calibri" w:eastAsia="Calibri" w:hAnsi="Calibri" w:cs="Times New Roman"/>
          <w:color w:val="auto"/>
          <w:sz w:val="22"/>
          <w:szCs w:val="22"/>
          <w:lang w:eastAsia="en-US"/>
        </w:rPr>
        <w:t xml:space="preserve"> and the child was not at risk. Considering my duties as a police officer and previous failings by local authorities in high profile cases of the past, I was able to fully justify my response while assessing and minimising the possible consequences of an investigation. </w:t>
      </w:r>
    </w:p>
    <w:p w14:paraId="58D61D3C" w14:textId="327A0B58" w:rsidR="00680C25" w:rsidRPr="00680C25" w:rsidRDefault="00680C25" w:rsidP="00680C25">
      <w:pPr>
        <w:suppressAutoHyphens/>
        <w:overflowPunct/>
        <w:autoSpaceDE/>
        <w:adjustRightInd/>
        <w:spacing w:after="160" w:line="254" w:lineRule="auto"/>
        <w:jc w:val="both"/>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Word Count: 1557</w:t>
      </w:r>
      <w:r>
        <w:rPr>
          <w:rFonts w:ascii="Calibri" w:eastAsia="Calibri" w:hAnsi="Calibri" w:cs="Times New Roman"/>
          <w:color w:val="auto"/>
          <w:sz w:val="22"/>
          <w:szCs w:val="22"/>
          <w:lang w:eastAsia="en-US"/>
        </w:rPr>
        <w:t>.</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2DC80C57" w14:textId="77777777" w:rsidR="00680C25" w:rsidRPr="00680C25" w:rsidRDefault="00680C25" w:rsidP="00680C25">
      <w:pPr>
        <w:suppressAutoHyphens/>
        <w:overflowPunct/>
        <w:autoSpaceDE/>
        <w:adjustRightInd/>
        <w:spacing w:after="160" w:line="254" w:lineRule="auto"/>
        <w:textAlignment w:val="auto"/>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In this text I will discuss an incident whereby I dealt with both a victim and offender of domestic abuse. I will discuss the approaches I took to safeguard the victim and the use of external agencies and charities to make the victim feel supported and to help prevent repeat victimisation of the victim.</w:t>
      </w:r>
    </w:p>
    <w:p w14:paraId="6E8E3241" w14:textId="77777777" w:rsidR="00680C25" w:rsidRPr="00680C25" w:rsidRDefault="00680C25" w:rsidP="00680C25">
      <w:pPr>
        <w:suppressAutoHyphens/>
        <w:overflowPunct/>
        <w:autoSpaceDE/>
        <w:adjustRightInd/>
        <w:spacing w:after="160" w:line="254" w:lineRule="auto"/>
        <w:textAlignment w:val="auto"/>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South Wales Police received a call via the 101 reports line from a female victim that wanted to report harassment from her ex-partner. I attended to the female and took further details from her. The couple had previously been in a relationship for a little over three years and have now been split up for several months. Since splitting, her ex-partner has been in contact with her almost constantly, however the victim described that she had been returning messages with the perpetrator to keep things amicable, not to sound rude and to prevent any further problems originating from him. The victim described to me that her and the perpetrator had a on and off relationship and disclosed historic domestic abuse incidents between them that hadn’t been reported to the police whereby he had previously assaulted her and threatened her with a knife. In the recent incidents which had led up to her contacting police are that she eventually informed the perpetrator that she no longer wanted to be in contact with him, however he persisted in contacting her causing her to feel harassed, alarmed and distressed and eventually threated to ‘slit her throat’. The victim believed that the perpetrator would carry out his threat. The victim had four children, none of the children she had are with the perpetrator, however she does believe that her children are at risk from him.</w:t>
      </w:r>
    </w:p>
    <w:p w14:paraId="602AE0D8" w14:textId="77777777" w:rsidR="00680C25" w:rsidRPr="00680C25" w:rsidRDefault="00680C25" w:rsidP="00680C25">
      <w:pPr>
        <w:suppressAutoHyphens/>
        <w:overflowPunct/>
        <w:autoSpaceDE/>
        <w:adjustRightInd/>
        <w:spacing w:after="160" w:line="254" w:lineRule="auto"/>
        <w:textAlignment w:val="auto"/>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I believed my victim to be classed as vulnerable. I made this classification with the victim code of practice in mind as the code describes vulnerability as someone who is a repeat victim and someone who is subject to the most serious crime which includes domestic abuse (Ministry of Justice, 2020). Due to this, under the code, the victim qualifies for an advanced service.</w:t>
      </w:r>
    </w:p>
    <w:p w14:paraId="6800BAC6" w14:textId="188C4F66" w:rsidR="00680C25" w:rsidRPr="00680C25" w:rsidRDefault="00680C25" w:rsidP="00680C25">
      <w:pPr>
        <w:suppressAutoHyphens/>
        <w:overflowPunct/>
        <w:autoSpaceDE/>
        <w:adjustRightInd/>
        <w:spacing w:after="160" w:line="254" w:lineRule="auto"/>
        <w:textAlignment w:val="auto"/>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 xml:space="preserve">Due to the disclosures made, I felt appropriate that I take a statement of evidence under section 9 of the Criminal Justice Act 1967 from the victim. A section 9 statement is admissible in court the same as an oral account (CPS, 2018). Next, I took witness statements from her daughter to back the case </w:t>
      </w:r>
      <w:r w:rsidRPr="00680C25">
        <w:rPr>
          <w:rFonts w:ascii="Calibri" w:eastAsia="Calibri" w:hAnsi="Calibri" w:cs="Times New Roman"/>
          <w:color w:val="auto"/>
          <w:sz w:val="22"/>
          <w:szCs w:val="22"/>
          <w:lang w:eastAsia="en-US"/>
        </w:rPr>
        <w:lastRenderedPageBreak/>
        <w:t>up. The victim feared the perpetrator and due to this was hiding at a family members house with her children, however, it was late, and she wanted to take her children home. Due to this, I escorted the family home and made sure they got into their house safe prior to leaving them. I now decided the best action to take was to arrest the perpetrator, so that I could preserve evidence by the way of questioning, and this way be able to set conditions upon his release not to contact the victim as a measure of safeguarding and to reduce the risk to the victim. I also made referral on behalf of the victim by submitting a Public Protection Notification (PPN). This is a document which summarises the vulnerability of the victim and involved persons which can be shared with partner agencies to allow further safeguarding. Once completed, they go to the force public protection unit who risk assess the PPN and decide which agencies to share the information with (HMICFRS, 2015</w:t>
      </w:r>
      <w:r w:rsidR="00E774C7">
        <w:rPr>
          <w:rFonts w:ascii="Calibri" w:eastAsia="Calibri" w:hAnsi="Calibri" w:cs="Times New Roman"/>
          <w:color w:val="auto"/>
          <w:sz w:val="22"/>
          <w:szCs w:val="22"/>
          <w:lang w:eastAsia="en-US"/>
        </w:rPr>
        <w:t>b</w:t>
      </w:r>
      <w:r w:rsidRPr="00680C25">
        <w:rPr>
          <w:rFonts w:ascii="Calibri" w:eastAsia="Calibri" w:hAnsi="Calibri" w:cs="Times New Roman"/>
          <w:color w:val="auto"/>
          <w:sz w:val="22"/>
          <w:szCs w:val="22"/>
          <w:lang w:eastAsia="en-US"/>
        </w:rPr>
        <w:t>). Part of the PPN for domestic situations is a Domestic Abuse, Stalking and Honour Based Violence (DASH) Risk Identification form which allows the police and other agencies to identify the risk and to establish what indicators are there (Dash Risk Model, 2022). Due to the information, I gathered through the use of these forms, information was shared with RISE, an agency that provided care and services to woman in these situations (RISE, 2022) and referral was made to education authorities to make them aware of the children’s circumstances. A further measure was put in place by me, by putting a referral to South Wales Victim Focus. South Wales victim focus is a service that is ran by the national charity victim focus and are there to support anyone in South Wales who’s been affected by crime (South Wales Victim Focus, 2022). By doing this (with the victim’s consent), it allows the charity to get in touch with the victim and offer further support and re-assurance. I also encouraged the victim to seek support from services such as Live Fear Free which is a charity open to anyone suffering domestic abuse (Live Fear Free, n.d.) and charity RISE Cardiff who support woman and children who are experiencing domestic situations (RISE, 2022).</w:t>
      </w:r>
    </w:p>
    <w:p w14:paraId="7F0A24E1" w14:textId="77777777" w:rsidR="00680C25" w:rsidRPr="00680C25" w:rsidRDefault="00680C25" w:rsidP="00680C25">
      <w:pPr>
        <w:suppressAutoHyphens/>
        <w:overflowPunct/>
        <w:autoSpaceDE/>
        <w:adjustRightInd/>
        <w:spacing w:after="160" w:line="254" w:lineRule="auto"/>
        <w:textAlignment w:val="auto"/>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These measures that have been put in place have so far been appropriate to the situation. Referrals were made to the correct organisations and identification has been made of the abuse which is happening. They have also been able to safeguard all those involved including the victim’s children by informing the education authorities.</w:t>
      </w:r>
    </w:p>
    <w:p w14:paraId="4335BB9B" w14:textId="77777777" w:rsidR="00680C25" w:rsidRPr="00680C25" w:rsidRDefault="00680C25" w:rsidP="00680C25">
      <w:pPr>
        <w:suppressAutoHyphens/>
        <w:overflowPunct/>
        <w:autoSpaceDE/>
        <w:adjustRightInd/>
        <w:spacing w:after="160" w:line="254" w:lineRule="auto"/>
        <w:textAlignment w:val="auto"/>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 xml:space="preserve">In effort to tackle the repeat victimisation of the victim, the measure taken to arrest the suspect was correct. By arresting the offender, South Wales Police were able to put conditions on the offender by means of pre-charge bail to not to contact the victim. It is said that that using pre charge bail to directly change a perpetrators behaviour and allowing victim’s and witnesses to feel safer is one of the central benefits of the disposal (Gov.uk, 2021). Police also have a power of arrest if the conditions which are imposed on a bail are broken by the one, they’re set on, giving further protection to the victim and witnesses of the case by acting as a preventative measure. </w:t>
      </w:r>
    </w:p>
    <w:p w14:paraId="7F6B0A7D" w14:textId="77777777" w:rsidR="00680C25" w:rsidRPr="00680C25" w:rsidRDefault="00680C25" w:rsidP="00680C25">
      <w:pPr>
        <w:suppressAutoHyphens/>
        <w:overflowPunct/>
        <w:autoSpaceDE/>
        <w:adjustRightInd/>
        <w:spacing w:after="160" w:line="254" w:lineRule="auto"/>
        <w:textAlignment w:val="auto"/>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 xml:space="preserve">Repeat victimisation is helped stopped with the correct implementation of services within the police and aid of partner agencies. When a crime takes place, the officer who’s dealing will need to correctly identify at that point if the victim is vulnerable or not. For the majority of domestic abuse cases, the victim will be vulnerable due to the usual repeat nature of offences. Once a victim has been classed as vulnerable, and if the victim has been categorised as high risk, they will be assigned an independent domestic violence advisor (IDVA). An IDVA is able to offer further support through a short to medium term on a path to long term safety and advise the victim throughout, providing a clear point of contact (Save Lives, 2014). With the additional support of services, repeat victimisation is decreased as it aids the conviction rate and helps the victim stay on bored with the prosecution (HMICFRS, 2014). </w:t>
      </w:r>
    </w:p>
    <w:p w14:paraId="487E4DCD" w14:textId="46489CE2" w:rsidR="00680C25" w:rsidRDefault="00680C25" w:rsidP="00680C25">
      <w:pPr>
        <w:suppressAutoHyphens/>
        <w:overflowPunct/>
        <w:autoSpaceDE/>
        <w:adjustRightInd/>
        <w:spacing w:after="160" w:line="254" w:lineRule="auto"/>
        <w:textAlignment w:val="auto"/>
        <w:rPr>
          <w:rFonts w:ascii="Calibri" w:eastAsia="Calibri" w:hAnsi="Calibri" w:cs="Times New Roman"/>
          <w:color w:val="auto"/>
          <w:sz w:val="22"/>
          <w:szCs w:val="22"/>
          <w:lang w:eastAsia="en-US"/>
        </w:rPr>
      </w:pPr>
      <w:r w:rsidRPr="00680C25">
        <w:rPr>
          <w:rFonts w:ascii="Calibri" w:eastAsia="Calibri" w:hAnsi="Calibri" w:cs="Times New Roman"/>
          <w:color w:val="auto"/>
          <w:sz w:val="22"/>
          <w:szCs w:val="22"/>
          <w:lang w:eastAsia="en-US"/>
        </w:rPr>
        <w:t xml:space="preserve">In conclusion, I believe this incident was handled well as the victim was safeguarded from the very start of police intervention. I was able to quickly an adequately secure and preserve evidence, I was </w:t>
      </w:r>
      <w:r w:rsidRPr="00680C25">
        <w:rPr>
          <w:rFonts w:ascii="Calibri" w:eastAsia="Calibri" w:hAnsi="Calibri" w:cs="Times New Roman"/>
          <w:color w:val="auto"/>
          <w:sz w:val="22"/>
          <w:szCs w:val="22"/>
          <w:lang w:eastAsia="en-US"/>
        </w:rPr>
        <w:lastRenderedPageBreak/>
        <w:t>able to provide further support and safeguarding measure for the family. I was able to take the steps to involve the correct partners in aid of supporting the victim. I was also able to quickly apprehend the perpetrator to allow for a prompt and effective investigation and to protect the victim from any contact from there out. Finally with the correct use of services such as an IDVA, the victim was supported through an investigation and remained supportive throughout the prosecution allowing that victim to be safeguarded going forward into the long term.</w:t>
      </w:r>
    </w:p>
    <w:p w14:paraId="38B05BFD" w14:textId="75C62F85" w:rsidR="00680C25" w:rsidRPr="00680C25" w:rsidRDefault="00680C25" w:rsidP="00680C25">
      <w:pPr>
        <w:suppressAutoHyphens/>
        <w:overflowPunct/>
        <w:autoSpaceDE/>
        <w:adjustRightInd/>
        <w:spacing w:after="160" w:line="254" w:lineRule="auto"/>
        <w:textAlignment w:val="auto"/>
        <w:rPr>
          <w:rFonts w:ascii="Calibri" w:eastAsia="Calibri" w:hAnsi="Calibri" w:cs="Times New Roman"/>
          <w:color w:val="auto"/>
          <w:sz w:val="22"/>
          <w:szCs w:val="22"/>
          <w:lang w:eastAsia="en-US"/>
        </w:rPr>
      </w:pPr>
      <w:r>
        <w:rPr>
          <w:rFonts w:ascii="Calibri" w:eastAsia="Calibri" w:hAnsi="Calibri" w:cs="Times New Roman"/>
          <w:color w:val="auto"/>
          <w:sz w:val="22"/>
          <w:szCs w:val="22"/>
          <w:lang w:eastAsia="en-US"/>
        </w:rPr>
        <w:t>Word Count: 1241.</w:t>
      </w: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B2128CE" w14:textId="77777777" w:rsidR="00680C25" w:rsidRPr="00680C25" w:rsidRDefault="00680C25" w:rsidP="00680C25">
      <w:pPr>
        <w:suppressAutoHyphens/>
        <w:adjustRightInd/>
        <w:spacing w:before="240"/>
        <w:rPr>
          <w:rFonts w:ascii="Calibri" w:hAnsi="Calibri" w:cs="Calibri"/>
          <w:sz w:val="22"/>
          <w:szCs w:val="22"/>
        </w:rPr>
      </w:pPr>
      <w:r w:rsidRPr="00680C25">
        <w:rPr>
          <w:rFonts w:ascii="Calibri" w:hAnsi="Calibri" w:cs="Calibri"/>
          <w:sz w:val="22"/>
          <w:szCs w:val="22"/>
        </w:rPr>
        <w:t>In this task I will be talking about a complex and serious incident that I played a significant role in and explain what my actions were within the incident and how I played a part with the victims of the incident and how I used information and intelligence to help apprehend the offenders and safeguard the victims of the incident.</w:t>
      </w:r>
    </w:p>
    <w:p w14:paraId="12271C6A" w14:textId="77777777" w:rsidR="00680C25" w:rsidRPr="00680C25" w:rsidRDefault="00680C25" w:rsidP="00680C25">
      <w:pPr>
        <w:suppressAutoHyphens/>
        <w:adjustRightInd/>
        <w:spacing w:before="240"/>
        <w:rPr>
          <w:rFonts w:ascii="Calibri" w:hAnsi="Calibri" w:cs="Calibri"/>
          <w:sz w:val="22"/>
          <w:szCs w:val="22"/>
        </w:rPr>
      </w:pPr>
      <w:r w:rsidRPr="00680C25">
        <w:rPr>
          <w:rFonts w:ascii="Calibri" w:hAnsi="Calibri" w:cs="Calibri"/>
          <w:sz w:val="22"/>
          <w:szCs w:val="22"/>
        </w:rPr>
        <w:t xml:space="preserve">A report was made to 999 emergency call line informing of an attempted armed burglary that has taken place moments before the call. The call was made by the victim of the attempted burglary. The initial report stated two males had arrived at the victim house thought to be buying a watch they had for sale, however one of the males threatened the victim and with a gun. The victim’s husband managed to stop them from entering the house however and stopped them from getting the watch. From the window of their house, the victims were able to see the two males run back to a white transit van that was parked outside the house and drive off. The victims locked themselves inside the house. Initially this incident automatically went straight through to the Force Incident Manager (FIM) who holds the rank of Inspector or above. The FIM is then able to coordinate the most appropriate response from here on out. The FIM therefore set out a response from firearms officers. However, firearms officers were just standing down from their previous incident and unfortunately at least 30 minutes away. Due to the information that had been passed by the victims in the house that the men had driven away. It was deemed necessary that Specially Trained Taser officers (STO) are moved forward to secure the victims and convey them to a place of safety. As an STO myself, I progressed forward to the property in company of another STO. I progressed while </w:t>
      </w:r>
      <w:r w:rsidRPr="00680C25">
        <w:rPr>
          <w:rFonts w:ascii="Calibri" w:hAnsi="Calibri" w:cs="Calibri"/>
          <w:sz w:val="22"/>
          <w:szCs w:val="22"/>
        </w:rPr>
        <w:lastRenderedPageBreak/>
        <w:t>taking consideration of the National Decision Model, specifically with the information and intelligence I had at this time and my assessment of the risk and threat. Prior to arriving at the property, I requested information form the police control room for any intelligence markers that are on the address or people residing at the address. No markers were present. Once at the location, I was not able to see a white transit van anywhere and deemed the risk low enough to progress forward. I approached the house and was greeted by both victims inside the house. There were only the two elderly persons (Victims) inside the house currently. According to Bryant, et al (2019, pp. 225), human life always becomes before physical evidence, as I was the first officer at the scene (FOAS), should no delay protecting life to preserve a scene. I was able to secure the property and then remove the victims from the property and take them to my police vehicle and convey them to a place of safety, which was the nearest police station. Once at this location, I was able to progress the investigation at a slower speed as the immediate threat was reduced. However, I was aware that potentially there are two persons with a firearm that still potentially pose a risk to members of the public.</w:t>
      </w:r>
    </w:p>
    <w:p w14:paraId="0179BD1E" w14:textId="77777777" w:rsidR="00680C25" w:rsidRPr="00680C25" w:rsidRDefault="00680C25" w:rsidP="00680C25">
      <w:pPr>
        <w:suppressAutoHyphens/>
        <w:adjustRightInd/>
        <w:spacing w:before="240"/>
        <w:rPr>
          <w:rFonts w:ascii="Calibri" w:hAnsi="Calibri" w:cs="Calibri"/>
          <w:sz w:val="22"/>
          <w:szCs w:val="22"/>
        </w:rPr>
      </w:pPr>
      <w:r w:rsidRPr="00680C25">
        <w:rPr>
          <w:rFonts w:ascii="Calibri" w:hAnsi="Calibri" w:cs="Calibri"/>
          <w:sz w:val="22"/>
          <w:szCs w:val="22"/>
        </w:rPr>
        <w:t>Moving forward, my aim was to conduct golden hour enquiries. The Golden Hour is described as the first period of a major/critical incident, whereby events are still fresh, scenes can be preserved, and evidence can be gathered (Bryant, R. et al., 2019, pp. 225). I immediately began taking details of what they remembered from the incident so that I could help coordinate a response for firearm’s units once they attend. I made sure to keep my body worn video (BWV) activated in the process of my questioning to preserve as much evidence as possible. The College of Policing (2021) suggests that BWV can help capture evidence to an incident and enhance officers recall of events. By capturing the victims initial account on BWV, it can be used as evidence if this case would proceed to court and if I miss any details, I could refer to it. BWV also increases the transparency of how officers operate and subsequently can be reviewed and scrutinised (Police Federation, n.d.). The initial account that the victims were able to give me were the description of the suspects, such as physical appearance, clothing, and importantly, what the firearm looked like. They described that the firearm as a sawn-off shotgun. I was able to pass this information on so that firearms units were able to plan their response and build their Intelligence prior to arriving at scene. Information is any can be obtained in many ways through many different sources. In this case, the information is all from the victim’s at this point. Intelligence is information that is extracted from multiple sources, recorded, graded and evaluated (Bryant, R. et al., 2019, pp. 523). Next, I was able to take further details of the vehicle that was used by the suspects. Unfortunately, the victims knew nothing else regarding this vehicle. Passing on this information, allowed a coordinated response to focus officers on finding CCTV in the surrounding vicinity which may show the vehicle details.</w:t>
      </w:r>
    </w:p>
    <w:p w14:paraId="3658DAA0" w14:textId="77777777" w:rsidR="00680C25" w:rsidRPr="00680C25" w:rsidRDefault="00680C25" w:rsidP="00680C25">
      <w:pPr>
        <w:suppressAutoHyphens/>
        <w:adjustRightInd/>
        <w:spacing w:before="240"/>
        <w:rPr>
          <w:rFonts w:ascii="Calibri" w:hAnsi="Calibri" w:cs="Calibri"/>
          <w:sz w:val="22"/>
          <w:szCs w:val="22"/>
        </w:rPr>
      </w:pPr>
      <w:r w:rsidRPr="00680C25">
        <w:rPr>
          <w:rFonts w:ascii="Calibri" w:hAnsi="Calibri" w:cs="Calibri"/>
          <w:sz w:val="22"/>
          <w:szCs w:val="22"/>
        </w:rPr>
        <w:t>Once firearms units had arrived, I was able to return to the scene, while leaving the victims at the police station with other officers. My role was to now gather further information to build the intelligence. To do this, I started by conducting house to house enquires as part of the investigation and as a way to build information and intelligence. The reason for house-to-house enquires is a way to cover an area surrounding the scene to look for potential witnesses and to aid to identify suspects; this can generate a large volume of information that can be processed and built into intelligence (College of Policing, 2013a). Furthermore, while conducting house to house enquires, I was able to search for CCTV cameras in the vicinity to feed into the information and intelligence model. I was also able to utilise police record management systems during the process of my investigations to build an understanding if there have been similar incidents with a similar modus operandi (MO) that have taken place anywhere in the area involving the use of a white transit van. An MO describes how a particular crime is committed and can help officers identify links between crimes committed and to aid in building a pattern and links to other incidents (College of Policing, 2013b).</w:t>
      </w:r>
    </w:p>
    <w:p w14:paraId="09C804D8" w14:textId="77777777" w:rsidR="00680C25" w:rsidRPr="00680C25" w:rsidRDefault="00680C25" w:rsidP="00680C25">
      <w:pPr>
        <w:suppressAutoHyphens/>
        <w:adjustRightInd/>
        <w:spacing w:before="240"/>
        <w:rPr>
          <w:rFonts w:ascii="Calibri" w:hAnsi="Calibri" w:cs="Calibri"/>
          <w:sz w:val="22"/>
          <w:szCs w:val="22"/>
        </w:rPr>
      </w:pPr>
      <w:r w:rsidRPr="00680C25">
        <w:rPr>
          <w:rFonts w:ascii="Calibri" w:hAnsi="Calibri" w:cs="Calibri"/>
          <w:sz w:val="22"/>
          <w:szCs w:val="22"/>
        </w:rPr>
        <w:lastRenderedPageBreak/>
        <w:t>Through my house-to-house enquiries, I was able to find CCTV on a residential house nearby the scene. Upon inspecting the CCTV, I was able to see that the footage picked up the van that was involved in the incident and was able to pick up a partial registration. With the use of police record management system, I was able to search for the partial registration and find a matching vehicle that’s been involved with similar incidents in the South Wales area. I decided to make use of Automatic Number Plate Recognition (ANPR) cameras to check if this vehicle had been in the area at the time of interest. ANPR is a system of cameras used across the UK which automatically reads vehicle VRM’s, it is linked to police data bases and can be used to disrupt criminality and build intelligence (Home Officer, 2022). ANPR can assist to tell officers where a vehicle is being used and help to build intelligence on the use of the vehicle (College of Policing, 2013c). Due to this, I was able to pass the information to the relevant department to build the intelligence that was needed to disrupt the criminality.</w:t>
      </w:r>
    </w:p>
    <w:p w14:paraId="596E93CE" w14:textId="77777777" w:rsidR="00680C25" w:rsidRPr="00680C25" w:rsidRDefault="00680C25" w:rsidP="00680C25">
      <w:pPr>
        <w:suppressAutoHyphens/>
        <w:adjustRightInd/>
        <w:spacing w:before="240"/>
        <w:rPr>
          <w:rFonts w:ascii="Calibri" w:hAnsi="Calibri" w:cs="Calibri"/>
          <w:sz w:val="22"/>
          <w:szCs w:val="22"/>
        </w:rPr>
      </w:pPr>
      <w:r w:rsidRPr="00680C25">
        <w:rPr>
          <w:rFonts w:ascii="Calibri" w:hAnsi="Calibri" w:cs="Calibri"/>
          <w:sz w:val="22"/>
          <w:szCs w:val="22"/>
        </w:rPr>
        <w:t xml:space="preserve">During this incident, I used several methods to gather, analyse and evaluate information and intelligence. One tool I have discussed, is the use of is my police body worn camera which I used in the process of gathering information. I also conducted house-to-house enquires whereby I found CCTV on a neighbour’s house which proved to invaluable evidence which I was able to identify the vehicle used in the offence. I also gathered information and built intelligence by talking with the victims of the crime who were able to identify the persons who committed the offence. I made use of ANPR cameras to assist in identifying if a similar vehicle had been used in the area. I also made use of police databases to look for trends in similar incidents to find linked MO’s. Through this wide variety of resources, I was able to establish a linked vehicle and details of who operates that vehicle through the use of Police National Computer (PNC). PNC takes information from the DVLA database and finds the driver records for the person linked to the vehicle and provides this information to the officer requesting (Church, 2021). Throughout learning in my role as an officer so far, I have been able to adapt my knowledge and understanding of how incidents play out. I feel I was able to take a more leading role within this incident by taking my learning from previous incidents where I have failed to get the golden hour enquires early enough and subsequently lost valuable information such as CCTV or first had accounts. </w:t>
      </w:r>
    </w:p>
    <w:p w14:paraId="02292EAA" w14:textId="42ACC57A" w:rsidR="00680C25" w:rsidRPr="00680C25" w:rsidRDefault="00680C25" w:rsidP="00680C25">
      <w:pPr>
        <w:suppressAutoHyphens/>
        <w:adjustRightInd/>
        <w:spacing w:before="240"/>
        <w:rPr>
          <w:rFonts w:ascii="Calibri" w:hAnsi="Calibri" w:cs="Calibri"/>
          <w:sz w:val="22"/>
          <w:szCs w:val="22"/>
        </w:rPr>
      </w:pPr>
      <w:r w:rsidRPr="00680C25">
        <w:rPr>
          <w:rFonts w:ascii="Calibri" w:hAnsi="Calibri" w:cs="Calibri"/>
          <w:sz w:val="22"/>
          <w:szCs w:val="22"/>
        </w:rPr>
        <w:t>During this serious and complex investigation. Myself as a police officer, I was able to complete my core principle of protecting life and property, which comes before all else (College of Policing, 2013d). During this incident, I was also able to effectively maintain articles two, three and five of the European convention of human rights which as a Police Officer is my duty to withhold (College of Policing, 2013d). These articles include the right to life, prohibition of torture, and right to liberty and security (European Court of Human Rights, 1950). I done this be conveying the victims from a place of potential danger and taking them to a place of safety. Throughout the incident, I acted in line with the police Code of Ethics which includes acting with accountability, integrity, openness, fairness, leadership, respect, honesty, objectivity, and selflessness (College of Policing, 2014</w:t>
      </w:r>
      <w:r w:rsidR="00E774C7">
        <w:rPr>
          <w:rFonts w:ascii="Calibri" w:hAnsi="Calibri" w:cs="Calibri"/>
          <w:sz w:val="22"/>
          <w:szCs w:val="22"/>
        </w:rPr>
        <w:t>a</w:t>
      </w:r>
      <w:r w:rsidRPr="00680C25">
        <w:rPr>
          <w:rFonts w:ascii="Calibri" w:hAnsi="Calibri" w:cs="Calibri"/>
          <w:sz w:val="22"/>
          <w:szCs w:val="22"/>
        </w:rPr>
        <w:t xml:space="preserve">). I acted with accountability by using my police body worn camera throughout the incident. I acted with integrity by being honest and sticking with my principles of how I believed I would want an investigation to be investigated if I was victim. I acted with openness by being clear with the actions I was taking. I acted with fairness by treating everyone fairly at the incident. I acted with leadership by taking a lead at the beginning of the incident and being decisive in my decision making. I acted with respect by treating everyone with respect. I acted with honesty by recording all the details of the incident accurately as possible. I acted with objectivity by being decisive with the actions I took and made the actions with my best professional judgement. I acted with selflessness by putting myself into a potentially dangerous situation in order to protect the victims. </w:t>
      </w:r>
    </w:p>
    <w:p w14:paraId="32933C98" w14:textId="1EBC4A55" w:rsidR="00AA666E" w:rsidRDefault="00680C25" w:rsidP="00E774C7">
      <w:pPr>
        <w:suppressAutoHyphens/>
        <w:adjustRightInd/>
        <w:spacing w:before="240"/>
        <w:rPr>
          <w:rFonts w:ascii="Calibri" w:hAnsi="Calibri" w:cs="Calibri"/>
          <w:sz w:val="22"/>
          <w:szCs w:val="22"/>
        </w:rPr>
      </w:pPr>
      <w:r w:rsidRPr="00680C25">
        <w:rPr>
          <w:rFonts w:ascii="Calibri" w:hAnsi="Calibri" w:cs="Calibri"/>
          <w:sz w:val="22"/>
          <w:szCs w:val="22"/>
        </w:rPr>
        <w:t>Word Count: 1826.</w:t>
      </w:r>
    </w:p>
    <w:p w14:paraId="387C6DC7" w14:textId="77777777" w:rsidR="00E774C7" w:rsidRPr="00E774C7" w:rsidRDefault="00E774C7" w:rsidP="00E774C7">
      <w:pPr>
        <w:suppressAutoHyphens/>
        <w:adjustRightInd/>
        <w:spacing w:before="240"/>
        <w:rPr>
          <w:rFonts w:ascii="Calibri" w:hAnsi="Calibri" w:cs="Calibri"/>
          <w:sz w:val="22"/>
          <w:szCs w:val="22"/>
        </w:rPr>
      </w:pP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2804B1C7" w14:textId="77777777" w:rsidR="00680C25" w:rsidRPr="00680C25" w:rsidRDefault="00680C25" w:rsidP="00680C25">
      <w:pPr>
        <w:suppressAutoHyphens/>
        <w:adjustRightInd/>
        <w:textAlignment w:val="auto"/>
        <w:rPr>
          <w:rFonts w:ascii="Calibri" w:hAnsi="Calibri" w:cs="Calibri"/>
          <w:sz w:val="22"/>
          <w:szCs w:val="22"/>
        </w:rPr>
      </w:pPr>
      <w:r w:rsidRPr="00680C25">
        <w:rPr>
          <w:rFonts w:ascii="Calibri" w:hAnsi="Calibri" w:cs="Calibri"/>
          <w:sz w:val="22"/>
          <w:szCs w:val="22"/>
        </w:rPr>
        <w:t>In this task I will discussing an incident involving online child grooming. I will discuss what actions I took in the incident, and how I provided an initial police response to this incident. I will also explain the immediate actions I took to reduce the harm caused to the victim and detail who is vulnerable in this type of incident.</w:t>
      </w:r>
    </w:p>
    <w:p w14:paraId="5724E367" w14:textId="77777777" w:rsidR="00680C25" w:rsidRPr="00680C25" w:rsidRDefault="00680C25" w:rsidP="00680C25">
      <w:pPr>
        <w:suppressAutoHyphens/>
        <w:adjustRightInd/>
        <w:textAlignment w:val="auto"/>
        <w:rPr>
          <w:rFonts w:ascii="Calibri" w:hAnsi="Calibri" w:cs="Calibri"/>
          <w:sz w:val="22"/>
          <w:szCs w:val="22"/>
        </w:rPr>
      </w:pPr>
    </w:p>
    <w:p w14:paraId="3D34C487" w14:textId="77777777" w:rsidR="00680C25" w:rsidRPr="00680C25" w:rsidRDefault="00680C25" w:rsidP="00680C25">
      <w:pPr>
        <w:suppressAutoHyphens/>
        <w:adjustRightInd/>
        <w:textAlignment w:val="auto"/>
        <w:rPr>
          <w:rFonts w:ascii="Calibri" w:hAnsi="Calibri" w:cs="Calibri"/>
          <w:sz w:val="22"/>
          <w:szCs w:val="22"/>
        </w:rPr>
      </w:pPr>
      <w:r w:rsidRPr="00680C25">
        <w:rPr>
          <w:rFonts w:ascii="Calibri" w:hAnsi="Calibri" w:cs="Calibri"/>
          <w:sz w:val="22"/>
          <w:szCs w:val="22"/>
        </w:rPr>
        <w:t>Police received a report via the 101 reports line from a parent of a young child of 11 years of age. The report detailed how the mother of the child had her sons phone linked to hers and she could view her child’s phone from hers. She looked at it and saw he was messaging a person on the social media platform Instagram. When looking at the content, she realised that the child had been sent indecent photos of a male’s genitalia on the chat from this user. Immediately, the mother took action and took the phone from her son and reported the incident to South Wales Police.</w:t>
      </w:r>
    </w:p>
    <w:p w14:paraId="2C644E47" w14:textId="77777777" w:rsidR="00680C25" w:rsidRPr="00680C25" w:rsidRDefault="00680C25" w:rsidP="00680C25">
      <w:pPr>
        <w:suppressAutoHyphens/>
        <w:adjustRightInd/>
        <w:textAlignment w:val="auto"/>
        <w:rPr>
          <w:rFonts w:ascii="Calibri" w:hAnsi="Calibri" w:cs="Calibri"/>
          <w:sz w:val="22"/>
          <w:szCs w:val="22"/>
        </w:rPr>
      </w:pPr>
    </w:p>
    <w:p w14:paraId="1F1BCE77" w14:textId="77777777" w:rsidR="00680C25" w:rsidRPr="00680C25" w:rsidRDefault="00680C25" w:rsidP="00680C25">
      <w:pPr>
        <w:suppressAutoHyphens/>
        <w:adjustRightInd/>
        <w:textAlignment w:val="auto"/>
        <w:rPr>
          <w:rFonts w:ascii="Calibri" w:hAnsi="Calibri" w:cs="Calibri"/>
          <w:sz w:val="22"/>
          <w:szCs w:val="22"/>
        </w:rPr>
      </w:pPr>
      <w:r w:rsidRPr="00680C25">
        <w:rPr>
          <w:rFonts w:ascii="Calibri" w:hAnsi="Calibri" w:cs="Calibri"/>
          <w:sz w:val="22"/>
          <w:szCs w:val="22"/>
        </w:rPr>
        <w:t>I responded to this call on a grade three priority and arrived at the child’s home within approximately three hours of the report being made. Upon arrival, it was explained to me by the parents of the child what had happened, and they described the above while showing me the chat log on their son’s phone. I could see that this person initiated the chat with the child and the child disclosed his age to the perpetrator. Once the child disclosed his age, the perpetrator started to engage in sexual chat with the child that was very disturbing to me. In the United Kingdom, it is an offence for an adult to engage in sexual communication with a child under the age of 16 for the purpose of sexual gratification and is often referred to as online grooming (CPS, 2021).</w:t>
      </w:r>
    </w:p>
    <w:p w14:paraId="08CC6873" w14:textId="77777777" w:rsidR="00680C25" w:rsidRPr="00680C25" w:rsidRDefault="00680C25" w:rsidP="00680C25">
      <w:pPr>
        <w:suppressAutoHyphens/>
        <w:adjustRightInd/>
        <w:textAlignment w:val="auto"/>
        <w:rPr>
          <w:rFonts w:ascii="Calibri" w:hAnsi="Calibri" w:cs="Calibri"/>
          <w:sz w:val="22"/>
          <w:szCs w:val="22"/>
        </w:rPr>
      </w:pPr>
      <w:r w:rsidRPr="00680C25">
        <w:rPr>
          <w:rFonts w:ascii="Calibri" w:hAnsi="Calibri" w:cs="Calibri"/>
          <w:sz w:val="22"/>
          <w:szCs w:val="22"/>
        </w:rPr>
        <w:t xml:space="preserve"> </w:t>
      </w:r>
    </w:p>
    <w:p w14:paraId="24CFC69E" w14:textId="77777777" w:rsidR="00680C25" w:rsidRPr="00680C25" w:rsidRDefault="00680C25" w:rsidP="00680C25">
      <w:pPr>
        <w:suppressAutoHyphens/>
        <w:adjustRightInd/>
        <w:ind w:left="720"/>
        <w:textAlignment w:val="auto"/>
        <w:rPr>
          <w:rFonts w:ascii="Calibri" w:hAnsi="Calibri" w:cs="Calibri"/>
          <w:sz w:val="22"/>
          <w:szCs w:val="22"/>
        </w:rPr>
      </w:pPr>
      <w:r w:rsidRPr="00680C25">
        <w:rPr>
          <w:rFonts w:ascii="Calibri" w:hAnsi="Calibri" w:cs="Calibri"/>
          <w:sz w:val="22"/>
          <w:szCs w:val="22"/>
        </w:rPr>
        <w:t>Sexual communication with a child</w:t>
      </w:r>
    </w:p>
    <w:p w14:paraId="52034FC6" w14:textId="77777777" w:rsidR="00680C25" w:rsidRPr="00680C25" w:rsidRDefault="00680C25" w:rsidP="00680C25">
      <w:pPr>
        <w:numPr>
          <w:ilvl w:val="0"/>
          <w:numId w:val="6"/>
        </w:numPr>
        <w:suppressAutoHyphens/>
        <w:adjustRightInd/>
        <w:contextualSpacing/>
        <w:textAlignment w:val="auto"/>
        <w:rPr>
          <w:rFonts w:ascii="Calibri" w:hAnsi="Calibri" w:cs="Calibri"/>
          <w:sz w:val="22"/>
          <w:szCs w:val="22"/>
        </w:rPr>
      </w:pPr>
      <w:r w:rsidRPr="00680C25">
        <w:rPr>
          <w:rFonts w:ascii="Calibri" w:hAnsi="Calibri" w:cs="Calibri"/>
          <w:sz w:val="22"/>
          <w:szCs w:val="22"/>
        </w:rPr>
        <w:t>A person aged 18 or over (A) commits an offence if—</w:t>
      </w:r>
    </w:p>
    <w:p w14:paraId="6418377E" w14:textId="77777777" w:rsidR="00680C25" w:rsidRPr="00680C25" w:rsidRDefault="00680C25" w:rsidP="00680C25">
      <w:pPr>
        <w:numPr>
          <w:ilvl w:val="1"/>
          <w:numId w:val="6"/>
        </w:numPr>
        <w:suppressAutoHyphens/>
        <w:adjustRightInd/>
        <w:contextualSpacing/>
        <w:textAlignment w:val="auto"/>
        <w:rPr>
          <w:rFonts w:ascii="Calibri" w:hAnsi="Calibri" w:cs="Calibri"/>
          <w:sz w:val="22"/>
          <w:szCs w:val="22"/>
        </w:rPr>
      </w:pPr>
      <w:r w:rsidRPr="00680C25">
        <w:rPr>
          <w:rFonts w:ascii="Calibri" w:hAnsi="Calibri" w:cs="Calibri"/>
          <w:sz w:val="22"/>
          <w:szCs w:val="22"/>
        </w:rPr>
        <w:t>for the purpose of obtaining sexual gratification, A intentionally communicates with another person (B),</w:t>
      </w:r>
    </w:p>
    <w:p w14:paraId="1015D171" w14:textId="77777777" w:rsidR="00680C25" w:rsidRPr="00680C25" w:rsidRDefault="00680C25" w:rsidP="00680C25">
      <w:pPr>
        <w:numPr>
          <w:ilvl w:val="1"/>
          <w:numId w:val="6"/>
        </w:numPr>
        <w:suppressAutoHyphens/>
        <w:adjustRightInd/>
        <w:contextualSpacing/>
        <w:textAlignment w:val="auto"/>
        <w:rPr>
          <w:rFonts w:ascii="Calibri" w:hAnsi="Calibri" w:cs="Calibri"/>
          <w:sz w:val="22"/>
          <w:szCs w:val="22"/>
        </w:rPr>
      </w:pPr>
      <w:r w:rsidRPr="00680C25">
        <w:rPr>
          <w:rFonts w:ascii="Calibri" w:hAnsi="Calibri" w:cs="Calibri"/>
          <w:sz w:val="22"/>
          <w:szCs w:val="22"/>
        </w:rPr>
        <w:t>the communication is sexual or is intended to encourage B to make (whether to A or to another) a communication that is sexual, and</w:t>
      </w:r>
    </w:p>
    <w:p w14:paraId="30108869" w14:textId="77777777" w:rsidR="00680C25" w:rsidRPr="00680C25" w:rsidRDefault="00680C25" w:rsidP="00680C25">
      <w:pPr>
        <w:numPr>
          <w:ilvl w:val="1"/>
          <w:numId w:val="6"/>
        </w:numPr>
        <w:suppressAutoHyphens/>
        <w:adjustRightInd/>
        <w:contextualSpacing/>
        <w:textAlignment w:val="auto"/>
        <w:rPr>
          <w:rFonts w:ascii="Calibri" w:hAnsi="Calibri" w:cs="Calibri"/>
          <w:sz w:val="22"/>
          <w:szCs w:val="22"/>
        </w:rPr>
      </w:pPr>
      <w:r w:rsidRPr="00680C25">
        <w:rPr>
          <w:rFonts w:ascii="Calibri" w:hAnsi="Calibri" w:cs="Calibri"/>
          <w:sz w:val="22"/>
          <w:szCs w:val="22"/>
        </w:rPr>
        <w:t>B is under 16 and A does not reasonably believe that B is 16 or over.</w:t>
      </w:r>
    </w:p>
    <w:p w14:paraId="054DEC01" w14:textId="77777777" w:rsidR="00680C25" w:rsidRPr="00680C25" w:rsidRDefault="00680C25" w:rsidP="00680C25">
      <w:pPr>
        <w:suppressAutoHyphens/>
        <w:adjustRightInd/>
        <w:ind w:left="360"/>
        <w:contextualSpacing/>
        <w:jc w:val="right"/>
        <w:textAlignment w:val="auto"/>
      </w:pPr>
      <w:r w:rsidRPr="00680C25">
        <w:rPr>
          <w:rFonts w:ascii="Calibri" w:hAnsi="Calibri" w:cs="Calibri"/>
          <w:sz w:val="18"/>
          <w:szCs w:val="18"/>
        </w:rPr>
        <w:t>(</w:t>
      </w:r>
      <w:r w:rsidRPr="00680C25">
        <w:rPr>
          <w:rFonts w:ascii="Calibri" w:hAnsi="Calibri" w:cs="Calibri"/>
          <w:i/>
          <w:iCs/>
          <w:sz w:val="18"/>
          <w:szCs w:val="18"/>
        </w:rPr>
        <w:t>Sexual Offences Act 2003 a</w:t>
      </w:r>
      <w:r w:rsidRPr="00680C25">
        <w:rPr>
          <w:rFonts w:ascii="Calibri" w:hAnsi="Calibri" w:cs="Calibri"/>
          <w:sz w:val="18"/>
          <w:szCs w:val="18"/>
        </w:rPr>
        <w:t xml:space="preserve">) </w:t>
      </w:r>
    </w:p>
    <w:p w14:paraId="19639D42" w14:textId="77777777" w:rsidR="00680C25" w:rsidRPr="00680C25" w:rsidRDefault="00680C25" w:rsidP="00680C25">
      <w:pPr>
        <w:suppressAutoHyphens/>
        <w:adjustRightInd/>
        <w:textAlignment w:val="auto"/>
        <w:rPr>
          <w:rFonts w:ascii="Calibri" w:hAnsi="Calibri" w:cs="Calibri"/>
          <w:sz w:val="22"/>
          <w:szCs w:val="22"/>
        </w:rPr>
      </w:pPr>
    </w:p>
    <w:p w14:paraId="1D94BDFA" w14:textId="7089362C" w:rsidR="00680C25" w:rsidRPr="00680C25" w:rsidRDefault="00680C25" w:rsidP="00680C25">
      <w:pPr>
        <w:suppressAutoHyphens/>
        <w:adjustRightInd/>
        <w:textAlignment w:val="auto"/>
        <w:rPr>
          <w:rFonts w:ascii="Calibri" w:hAnsi="Calibri" w:cs="Calibri"/>
          <w:sz w:val="22"/>
          <w:szCs w:val="22"/>
        </w:rPr>
      </w:pPr>
      <w:r w:rsidRPr="00680C25">
        <w:rPr>
          <w:rFonts w:ascii="Calibri" w:hAnsi="Calibri" w:cs="Calibri"/>
          <w:sz w:val="22"/>
          <w:szCs w:val="22"/>
        </w:rPr>
        <w:t>In the course of messages to this child, there was also a image sent to the child of an adult male genitalia from the perpetrator. Again, under the law in the United Kingdom, it is an offence for an adult to send a sexual image to a child under the age of 18 (Child Law Advice, n.d.</w:t>
      </w:r>
      <w:r w:rsidR="00FD45A9">
        <w:rPr>
          <w:rFonts w:ascii="Calibri" w:hAnsi="Calibri" w:cs="Calibri"/>
          <w:sz w:val="22"/>
          <w:szCs w:val="22"/>
        </w:rPr>
        <w:t xml:space="preserve"> b</w:t>
      </w:r>
      <w:r w:rsidRPr="00680C25">
        <w:rPr>
          <w:rFonts w:ascii="Calibri" w:hAnsi="Calibri" w:cs="Calibri"/>
          <w:sz w:val="22"/>
          <w:szCs w:val="22"/>
        </w:rPr>
        <w:t xml:space="preserve">). </w:t>
      </w:r>
    </w:p>
    <w:p w14:paraId="6E48E0DB" w14:textId="77777777" w:rsidR="00680C25" w:rsidRPr="00680C25" w:rsidRDefault="00680C25" w:rsidP="00680C25">
      <w:pPr>
        <w:suppressAutoHyphens/>
        <w:adjustRightInd/>
        <w:textAlignment w:val="auto"/>
        <w:rPr>
          <w:rFonts w:ascii="Calibri" w:hAnsi="Calibri" w:cs="Calibri"/>
          <w:sz w:val="22"/>
          <w:szCs w:val="22"/>
        </w:rPr>
      </w:pPr>
    </w:p>
    <w:p w14:paraId="7CE724DF" w14:textId="77777777" w:rsidR="00680C25" w:rsidRPr="00680C25" w:rsidRDefault="00680C25" w:rsidP="00680C25">
      <w:pPr>
        <w:suppressAutoHyphens/>
        <w:adjustRightInd/>
        <w:ind w:left="720"/>
        <w:textAlignment w:val="auto"/>
        <w:rPr>
          <w:rFonts w:ascii="Calibri" w:hAnsi="Calibri" w:cs="Calibri"/>
          <w:sz w:val="22"/>
          <w:szCs w:val="22"/>
        </w:rPr>
      </w:pPr>
      <w:r w:rsidRPr="00680C25">
        <w:rPr>
          <w:rFonts w:ascii="Calibri" w:hAnsi="Calibri" w:cs="Calibri"/>
          <w:sz w:val="22"/>
          <w:szCs w:val="22"/>
        </w:rPr>
        <w:t>Indecent photographs of children.</w:t>
      </w:r>
    </w:p>
    <w:p w14:paraId="4A7E6DD5" w14:textId="77777777" w:rsidR="00680C25" w:rsidRPr="00680C25" w:rsidRDefault="00680C25" w:rsidP="00680C25">
      <w:pPr>
        <w:numPr>
          <w:ilvl w:val="3"/>
          <w:numId w:val="7"/>
        </w:numPr>
        <w:suppressAutoHyphens/>
        <w:adjustRightInd/>
        <w:contextualSpacing/>
        <w:textAlignment w:val="auto"/>
        <w:rPr>
          <w:rFonts w:ascii="Calibri" w:hAnsi="Calibri" w:cs="Calibri"/>
          <w:sz w:val="22"/>
          <w:szCs w:val="22"/>
        </w:rPr>
      </w:pPr>
      <w:r w:rsidRPr="00680C25">
        <w:rPr>
          <w:rFonts w:ascii="Calibri" w:hAnsi="Calibri" w:cs="Calibri"/>
          <w:sz w:val="22"/>
          <w:szCs w:val="22"/>
        </w:rPr>
        <w:lastRenderedPageBreak/>
        <w:t>it is an offence for a person—</w:t>
      </w:r>
    </w:p>
    <w:p w14:paraId="6F4850BA" w14:textId="77777777" w:rsidR="00680C25" w:rsidRPr="00680C25" w:rsidRDefault="00680C25" w:rsidP="00680C25">
      <w:pPr>
        <w:numPr>
          <w:ilvl w:val="0"/>
          <w:numId w:val="8"/>
        </w:numPr>
        <w:suppressAutoHyphens/>
        <w:adjustRightInd/>
        <w:contextualSpacing/>
        <w:textAlignment w:val="auto"/>
        <w:rPr>
          <w:rFonts w:ascii="Calibri" w:hAnsi="Calibri" w:cs="Calibri"/>
          <w:sz w:val="22"/>
          <w:szCs w:val="22"/>
        </w:rPr>
      </w:pPr>
      <w:r w:rsidRPr="00680C25">
        <w:rPr>
          <w:rFonts w:ascii="Calibri" w:hAnsi="Calibri" w:cs="Calibri"/>
          <w:sz w:val="22"/>
          <w:szCs w:val="22"/>
        </w:rPr>
        <w:t>to take, or permit to be taken, any indecent photograph of a child; or</w:t>
      </w:r>
    </w:p>
    <w:p w14:paraId="444DF34B" w14:textId="77777777" w:rsidR="00680C25" w:rsidRPr="00680C25" w:rsidRDefault="00680C25" w:rsidP="00680C25">
      <w:pPr>
        <w:numPr>
          <w:ilvl w:val="0"/>
          <w:numId w:val="8"/>
        </w:numPr>
        <w:suppressAutoHyphens/>
        <w:adjustRightInd/>
        <w:contextualSpacing/>
        <w:textAlignment w:val="auto"/>
        <w:rPr>
          <w:rFonts w:ascii="Calibri" w:hAnsi="Calibri" w:cs="Calibri"/>
          <w:sz w:val="22"/>
          <w:szCs w:val="22"/>
        </w:rPr>
      </w:pPr>
      <w:r w:rsidRPr="00680C25">
        <w:rPr>
          <w:rFonts w:ascii="Calibri" w:hAnsi="Calibri" w:cs="Calibri"/>
          <w:sz w:val="22"/>
          <w:szCs w:val="22"/>
        </w:rPr>
        <w:t>to distribute or show such indecent photographs; or</w:t>
      </w:r>
    </w:p>
    <w:p w14:paraId="7D7B6AAB" w14:textId="77777777" w:rsidR="00680C25" w:rsidRPr="00680C25" w:rsidRDefault="00680C25" w:rsidP="00680C25">
      <w:pPr>
        <w:numPr>
          <w:ilvl w:val="0"/>
          <w:numId w:val="8"/>
        </w:numPr>
        <w:suppressAutoHyphens/>
        <w:adjustRightInd/>
        <w:contextualSpacing/>
        <w:textAlignment w:val="auto"/>
        <w:rPr>
          <w:rFonts w:ascii="Calibri" w:hAnsi="Calibri" w:cs="Calibri"/>
          <w:sz w:val="22"/>
          <w:szCs w:val="22"/>
        </w:rPr>
      </w:pPr>
      <w:r w:rsidRPr="00680C25">
        <w:rPr>
          <w:rFonts w:ascii="Calibri" w:hAnsi="Calibri" w:cs="Calibri"/>
          <w:sz w:val="22"/>
          <w:szCs w:val="22"/>
        </w:rPr>
        <w:t>to have in his possession such indecent photographs, with a view to their being distributed or shown by himself or others; or</w:t>
      </w:r>
    </w:p>
    <w:p w14:paraId="02B82DF1" w14:textId="77777777" w:rsidR="00680C25" w:rsidRPr="00680C25" w:rsidRDefault="00680C25" w:rsidP="00680C25">
      <w:pPr>
        <w:numPr>
          <w:ilvl w:val="0"/>
          <w:numId w:val="8"/>
        </w:numPr>
        <w:suppressAutoHyphens/>
        <w:adjustRightInd/>
        <w:contextualSpacing/>
        <w:textAlignment w:val="auto"/>
        <w:rPr>
          <w:rFonts w:ascii="Calibri" w:hAnsi="Calibri" w:cs="Calibri"/>
          <w:sz w:val="22"/>
          <w:szCs w:val="22"/>
        </w:rPr>
      </w:pPr>
      <w:r w:rsidRPr="00680C25">
        <w:rPr>
          <w:rFonts w:ascii="Calibri" w:hAnsi="Calibri" w:cs="Calibri"/>
          <w:sz w:val="22"/>
          <w:szCs w:val="22"/>
        </w:rPr>
        <w:t>to publish or cause to be published any advertisement likely to be understood as conveying that the advertiser distributes or shows such indecent photographs, or intends to do so.</w:t>
      </w:r>
    </w:p>
    <w:p w14:paraId="6EC727ED" w14:textId="77777777" w:rsidR="00680C25" w:rsidRPr="00680C25" w:rsidRDefault="00680C25" w:rsidP="00680C25">
      <w:pPr>
        <w:suppressAutoHyphens/>
        <w:adjustRightInd/>
        <w:jc w:val="right"/>
        <w:textAlignment w:val="auto"/>
        <w:rPr>
          <w:rFonts w:ascii="Calibri" w:hAnsi="Calibri" w:cs="Calibri"/>
          <w:i/>
          <w:iCs/>
          <w:sz w:val="18"/>
          <w:szCs w:val="18"/>
        </w:rPr>
      </w:pPr>
      <w:r w:rsidRPr="00680C25">
        <w:rPr>
          <w:rFonts w:ascii="Calibri" w:hAnsi="Calibri" w:cs="Calibri"/>
          <w:i/>
          <w:iCs/>
          <w:sz w:val="18"/>
          <w:szCs w:val="18"/>
        </w:rPr>
        <w:t>(Protection of Children Act 1978)</w:t>
      </w:r>
    </w:p>
    <w:p w14:paraId="6953A3D6" w14:textId="77777777" w:rsidR="00680C25" w:rsidRPr="00680C25" w:rsidRDefault="00680C25" w:rsidP="00680C25">
      <w:pPr>
        <w:suppressAutoHyphens/>
        <w:adjustRightInd/>
        <w:textAlignment w:val="auto"/>
        <w:rPr>
          <w:rFonts w:ascii="Calibri" w:hAnsi="Calibri" w:cs="Calibri"/>
          <w:sz w:val="22"/>
          <w:szCs w:val="22"/>
        </w:rPr>
      </w:pPr>
    </w:p>
    <w:p w14:paraId="48C13982" w14:textId="77777777" w:rsidR="00680C25" w:rsidRPr="00680C25" w:rsidRDefault="00680C25" w:rsidP="00680C25">
      <w:pPr>
        <w:suppressAutoHyphens/>
        <w:adjustRightInd/>
        <w:textAlignment w:val="auto"/>
        <w:rPr>
          <w:rFonts w:ascii="Calibri" w:hAnsi="Calibri" w:cs="Calibri"/>
          <w:sz w:val="22"/>
          <w:szCs w:val="22"/>
        </w:rPr>
      </w:pPr>
      <w:r w:rsidRPr="00680C25">
        <w:rPr>
          <w:rFonts w:ascii="Calibri" w:hAnsi="Calibri" w:cs="Calibri"/>
          <w:sz w:val="22"/>
          <w:szCs w:val="22"/>
        </w:rPr>
        <w:t xml:space="preserve">During the final parts of the chat log, the perpetrator was talking in a very sexualised manner with the child and asking the child questions of a sexual manner. The perpetrator asked the child about meeting in person, it was at this stage that the parents had interjected on the messages and stopped their son messaging on there. Under law in the United Kingdom, this again is a further offence of inciting to meet a child after online grooming (Stop It Now, n.d.). This act often follow the online grooming of a child and once the adult has gained an element of trust from the child. </w:t>
      </w:r>
    </w:p>
    <w:p w14:paraId="37C8183A" w14:textId="77777777" w:rsidR="00680C25" w:rsidRPr="00680C25" w:rsidRDefault="00680C25" w:rsidP="00680C25">
      <w:pPr>
        <w:suppressAutoHyphens/>
        <w:adjustRightInd/>
        <w:textAlignment w:val="auto"/>
        <w:rPr>
          <w:rFonts w:ascii="Calibri" w:hAnsi="Calibri" w:cs="Calibri"/>
          <w:sz w:val="22"/>
          <w:szCs w:val="22"/>
        </w:rPr>
      </w:pPr>
    </w:p>
    <w:p w14:paraId="12564768" w14:textId="77777777" w:rsidR="00680C25" w:rsidRPr="00680C25" w:rsidRDefault="00680C25" w:rsidP="00680C25">
      <w:pPr>
        <w:suppressAutoHyphens/>
        <w:adjustRightInd/>
        <w:ind w:left="720"/>
        <w:textAlignment w:val="auto"/>
        <w:rPr>
          <w:rFonts w:ascii="Calibri" w:hAnsi="Calibri" w:cs="Calibri"/>
          <w:sz w:val="22"/>
          <w:szCs w:val="22"/>
        </w:rPr>
      </w:pPr>
      <w:r w:rsidRPr="00680C25">
        <w:rPr>
          <w:rFonts w:ascii="Calibri" w:hAnsi="Calibri" w:cs="Calibri"/>
          <w:sz w:val="22"/>
          <w:szCs w:val="22"/>
        </w:rPr>
        <w:t>Arranging or facilitating commission of a child sex offence</w:t>
      </w:r>
    </w:p>
    <w:p w14:paraId="12FE2E8F" w14:textId="77777777" w:rsidR="00680C25" w:rsidRPr="00680C25" w:rsidRDefault="00680C25" w:rsidP="00680C25">
      <w:pPr>
        <w:numPr>
          <w:ilvl w:val="0"/>
          <w:numId w:val="9"/>
        </w:numPr>
        <w:suppressAutoHyphens/>
        <w:adjustRightInd/>
        <w:contextualSpacing/>
        <w:textAlignment w:val="auto"/>
        <w:rPr>
          <w:rFonts w:ascii="Calibri" w:hAnsi="Calibri" w:cs="Calibri"/>
          <w:sz w:val="22"/>
          <w:szCs w:val="22"/>
        </w:rPr>
      </w:pPr>
      <w:r w:rsidRPr="00680C25">
        <w:rPr>
          <w:rFonts w:ascii="Calibri" w:hAnsi="Calibri" w:cs="Calibri"/>
          <w:sz w:val="22"/>
          <w:szCs w:val="22"/>
        </w:rPr>
        <w:t>A person commits an offence if—</w:t>
      </w:r>
    </w:p>
    <w:p w14:paraId="3C4CEC41" w14:textId="77777777" w:rsidR="00680C25" w:rsidRPr="00680C25" w:rsidRDefault="00680C25" w:rsidP="00680C25">
      <w:pPr>
        <w:numPr>
          <w:ilvl w:val="0"/>
          <w:numId w:val="10"/>
        </w:numPr>
        <w:suppressAutoHyphens/>
        <w:adjustRightInd/>
        <w:contextualSpacing/>
        <w:textAlignment w:val="auto"/>
        <w:rPr>
          <w:rFonts w:ascii="Calibri" w:hAnsi="Calibri" w:cs="Calibri"/>
          <w:sz w:val="22"/>
          <w:szCs w:val="22"/>
        </w:rPr>
      </w:pPr>
      <w:r w:rsidRPr="00680C25">
        <w:rPr>
          <w:rFonts w:ascii="Calibri" w:hAnsi="Calibri" w:cs="Calibri"/>
          <w:sz w:val="22"/>
          <w:szCs w:val="22"/>
        </w:rPr>
        <w:t>he intentionally arranges or facilitates something that he intends to do, intends another person to do, or believes that another person will do, in any part of the world, and</w:t>
      </w:r>
    </w:p>
    <w:p w14:paraId="6E105E50" w14:textId="77777777" w:rsidR="00680C25" w:rsidRPr="00680C25" w:rsidRDefault="00680C25" w:rsidP="00680C25">
      <w:pPr>
        <w:numPr>
          <w:ilvl w:val="0"/>
          <w:numId w:val="10"/>
        </w:numPr>
        <w:suppressAutoHyphens/>
        <w:adjustRightInd/>
        <w:contextualSpacing/>
        <w:textAlignment w:val="auto"/>
        <w:rPr>
          <w:rFonts w:ascii="Calibri" w:hAnsi="Calibri" w:cs="Calibri"/>
          <w:sz w:val="22"/>
          <w:szCs w:val="22"/>
        </w:rPr>
      </w:pPr>
      <w:r w:rsidRPr="00680C25">
        <w:rPr>
          <w:rFonts w:ascii="Calibri" w:hAnsi="Calibri" w:cs="Calibri"/>
          <w:sz w:val="22"/>
          <w:szCs w:val="22"/>
        </w:rPr>
        <w:t>doing it will involve the commission of an offence under any of sections 9 to 13.</w:t>
      </w:r>
    </w:p>
    <w:p w14:paraId="04FF2810" w14:textId="77777777" w:rsidR="00680C25" w:rsidRPr="00680C25" w:rsidRDefault="00680C25" w:rsidP="00680C25">
      <w:pPr>
        <w:suppressAutoHyphens/>
        <w:adjustRightInd/>
        <w:jc w:val="right"/>
        <w:textAlignment w:val="auto"/>
        <w:rPr>
          <w:rFonts w:ascii="Calibri" w:hAnsi="Calibri" w:cs="Calibri"/>
          <w:i/>
          <w:iCs/>
          <w:sz w:val="18"/>
          <w:szCs w:val="18"/>
        </w:rPr>
      </w:pPr>
      <w:r w:rsidRPr="00680C25">
        <w:rPr>
          <w:rFonts w:ascii="Calibri" w:hAnsi="Calibri" w:cs="Calibri"/>
          <w:i/>
          <w:iCs/>
          <w:sz w:val="18"/>
          <w:szCs w:val="18"/>
        </w:rPr>
        <w:t>(Sexual Offences Act 2003 b)</w:t>
      </w:r>
    </w:p>
    <w:p w14:paraId="4BB0B12C" w14:textId="77777777" w:rsidR="00680C25" w:rsidRPr="00680C25" w:rsidRDefault="00680C25" w:rsidP="00680C25">
      <w:pPr>
        <w:suppressAutoHyphens/>
        <w:adjustRightInd/>
        <w:textAlignment w:val="auto"/>
        <w:rPr>
          <w:rFonts w:ascii="Calibri" w:hAnsi="Calibri" w:cs="Calibri"/>
          <w:sz w:val="22"/>
          <w:szCs w:val="22"/>
        </w:rPr>
      </w:pPr>
    </w:p>
    <w:p w14:paraId="5489CA23" w14:textId="77777777" w:rsidR="00680C25" w:rsidRPr="00680C25" w:rsidRDefault="00680C25" w:rsidP="00680C25">
      <w:pPr>
        <w:suppressAutoHyphens/>
        <w:adjustRightInd/>
        <w:textAlignment w:val="auto"/>
        <w:rPr>
          <w:rFonts w:ascii="Calibri" w:hAnsi="Calibri" w:cs="Calibri"/>
          <w:sz w:val="22"/>
          <w:szCs w:val="22"/>
        </w:rPr>
      </w:pPr>
      <w:r w:rsidRPr="00680C25">
        <w:rPr>
          <w:rFonts w:ascii="Calibri" w:hAnsi="Calibri" w:cs="Calibri"/>
          <w:sz w:val="22"/>
          <w:szCs w:val="22"/>
        </w:rPr>
        <w:t>To summarise so far, I have potentially discovered up to three offences at the short period I have now been at this incident. However, my priority at this moment in time was to safeguard the child due to him being a vulnerable person. The police have an obligation to safeguard children under Section 11 of the Children’s Act 2004 (Bryant, R. et al. 2019). The Police as an agency are also responsible for making enquiries to safeguard a child who they believe is suffering or they think is likely to suffer harm under the Children Act 1989 (HMICFRS, 2015a). However, due to the child being in a place of safety with his parents, I didn’t see it necessary to investigate the child’s home life. During my visit at the child’s home, nothing warranted me to have concern regarding the child’s home life and upon talking the child he didn’t express any concerns regarding being at home with his parents.</w:t>
      </w:r>
    </w:p>
    <w:p w14:paraId="451C82CC" w14:textId="77777777" w:rsidR="00680C25" w:rsidRPr="00680C25" w:rsidRDefault="00680C25" w:rsidP="00680C25">
      <w:pPr>
        <w:suppressAutoHyphens/>
        <w:adjustRightInd/>
        <w:textAlignment w:val="auto"/>
        <w:rPr>
          <w:rFonts w:ascii="Calibri" w:hAnsi="Calibri" w:cs="Calibri"/>
          <w:sz w:val="22"/>
          <w:szCs w:val="22"/>
        </w:rPr>
      </w:pPr>
    </w:p>
    <w:p w14:paraId="71D29D07" w14:textId="77777777" w:rsidR="00680C25" w:rsidRPr="00680C25" w:rsidRDefault="00680C25" w:rsidP="00680C25">
      <w:pPr>
        <w:suppressAutoHyphens/>
        <w:adjustRightInd/>
        <w:textAlignment w:val="auto"/>
        <w:rPr>
          <w:rFonts w:ascii="Calibri" w:hAnsi="Calibri" w:cs="Calibri"/>
          <w:sz w:val="22"/>
          <w:szCs w:val="22"/>
        </w:rPr>
      </w:pPr>
      <w:r w:rsidRPr="00680C25">
        <w:rPr>
          <w:rFonts w:ascii="Calibri" w:hAnsi="Calibri" w:cs="Calibri"/>
          <w:sz w:val="22"/>
          <w:szCs w:val="22"/>
        </w:rPr>
        <w:t xml:space="preserve">As part of my early safeguarding duties while at this incident, I must assess the vulnerability level of the victim as per the Victims Code, which sets out the minimum standards that must be provided by the police to the victim (College of Policing, 2022). Subsequently these rights extend to the parents of the child who’s affected under the victims’ charter (Ministry of Justice, 2020). Victims’ can be categorized into three groups, any of which they are placed in makes them eligible for an enhanced service under the victims’ code (Ministry of Justice, 2015). These three categories include being vulnerable or intimidated, persistently targeted, and/or victims of the most serious crime (College of Policing, 2022). A person under the age of 18 is automatically classed as vulnerable under this code (Ministry of Justice, 2015). The victim has not been persistently targeted, and this has incident has only happened over the course of one evening. However, under the code, a victim of sexual offences which the child has been, is also eligible for enhanced services (Ministry of Justice, 2015). As a vulnerable victim, the child would be eligible for measure through the process of the investigation and beyond. Some of these measures included special measures in court if it was to proceed to that point. Special measures for a child include giving evidence by video link, removal of wigs and gowns in the court and video recorded statements (Ministry of Justice, 2015). Other measure that all </w:t>
      </w:r>
      <w:r w:rsidRPr="00680C25">
        <w:rPr>
          <w:rFonts w:ascii="Calibri" w:hAnsi="Calibri" w:cs="Calibri"/>
          <w:sz w:val="22"/>
          <w:szCs w:val="22"/>
        </w:rPr>
        <w:lastRenderedPageBreak/>
        <w:t>victims are eligible for is written communication that and offence has been recorded, a clear explanation of what to expect during the criminal justice procedure, and an assessment as to if you want additional support in the form of victim services. I asked the family if they’d like to accept support from South Wales Victim Focus who are a local service that provide support to anyone affected by crime in South Wales (South Wales Victim Focus, 2022). The family each requested this additional support; as part of the victims’ code, I referred them to victim focus for additional support.</w:t>
      </w:r>
    </w:p>
    <w:p w14:paraId="37DF1C57" w14:textId="77777777" w:rsidR="00680C25" w:rsidRPr="00680C25" w:rsidRDefault="00680C25" w:rsidP="00680C25">
      <w:pPr>
        <w:suppressAutoHyphens/>
        <w:adjustRightInd/>
        <w:textAlignment w:val="auto"/>
        <w:rPr>
          <w:rFonts w:ascii="Calibri" w:hAnsi="Calibri" w:cs="Calibri"/>
          <w:sz w:val="22"/>
          <w:szCs w:val="22"/>
        </w:rPr>
      </w:pPr>
    </w:p>
    <w:p w14:paraId="054F06C2" w14:textId="77777777" w:rsidR="00680C25" w:rsidRPr="00680C25" w:rsidRDefault="00680C25" w:rsidP="00680C25">
      <w:pPr>
        <w:suppressAutoHyphens/>
        <w:adjustRightInd/>
        <w:textAlignment w:val="auto"/>
        <w:rPr>
          <w:rFonts w:ascii="Calibri" w:hAnsi="Calibri" w:cs="Calibri"/>
          <w:sz w:val="22"/>
          <w:szCs w:val="22"/>
        </w:rPr>
      </w:pPr>
      <w:r w:rsidRPr="00680C25">
        <w:rPr>
          <w:rFonts w:ascii="Calibri" w:hAnsi="Calibri" w:cs="Calibri"/>
          <w:sz w:val="22"/>
          <w:szCs w:val="22"/>
        </w:rPr>
        <w:t>At the time of this incident, I decided that it would not be the best course of action to take a section 9 statement from the child which would normally be admissible in court as evidence the same as oral evidence would be (CPS, 2018). Due to being vulnerable with his age, it means he is eligible for an ABE (Achieve Best Evidence) interview. An ABE interview can be conducted by a specially trained ABE officer within a specially designed room for these types of statements and will be audio and video recoded so that it can be played back in a court (Ministry of Justice, 2011). Due to the disastrous effects this kind of crime can have on a child however, I didn’t deem it necessary to arrange for the victim to be put through the stresses of replaying events to someone unless it was necessary in future.</w:t>
      </w:r>
    </w:p>
    <w:p w14:paraId="43C2E916" w14:textId="77777777" w:rsidR="00680C25" w:rsidRPr="00680C25" w:rsidRDefault="00680C25" w:rsidP="00680C25">
      <w:pPr>
        <w:suppressAutoHyphens/>
        <w:adjustRightInd/>
        <w:textAlignment w:val="auto"/>
        <w:rPr>
          <w:rFonts w:ascii="Calibri" w:hAnsi="Calibri" w:cs="Calibri"/>
          <w:sz w:val="22"/>
          <w:szCs w:val="22"/>
        </w:rPr>
      </w:pPr>
    </w:p>
    <w:p w14:paraId="2774DC11" w14:textId="77D59B88" w:rsidR="00680C25" w:rsidRPr="00680C25" w:rsidRDefault="00680C25" w:rsidP="00680C25">
      <w:pPr>
        <w:suppressAutoHyphens/>
        <w:adjustRightInd/>
        <w:textAlignment w:val="auto"/>
        <w:rPr>
          <w:rFonts w:ascii="Calibri" w:hAnsi="Calibri" w:cs="Calibri"/>
          <w:sz w:val="22"/>
          <w:szCs w:val="22"/>
        </w:rPr>
      </w:pPr>
      <w:r w:rsidRPr="00680C25">
        <w:rPr>
          <w:rFonts w:ascii="Calibri" w:hAnsi="Calibri" w:cs="Calibri"/>
          <w:sz w:val="22"/>
          <w:szCs w:val="22"/>
        </w:rPr>
        <w:t>The result of child sexual exploitation can be disastrous on children, it can make it difficult for children to form relationships when they grow older, it can leave them suffering with mental health over their lifetime, it affects their physical wellbeing and endless amounts more (Safe and Sound, n.d.). It is also proposed that “Victims and survivors can also be two to four times more likely to become victims of sexual, physical or emotional abuse again in their lifetime” (Independent Inquiry Child Sexual Abuse, n.d.). Research by the NSPCC (2022</w:t>
      </w:r>
      <w:r w:rsidR="00E774C7">
        <w:rPr>
          <w:rFonts w:ascii="Calibri" w:hAnsi="Calibri" w:cs="Calibri"/>
          <w:sz w:val="22"/>
          <w:szCs w:val="22"/>
        </w:rPr>
        <w:t>a</w:t>
      </w:r>
      <w:r w:rsidRPr="00680C25">
        <w:rPr>
          <w:rFonts w:ascii="Calibri" w:hAnsi="Calibri" w:cs="Calibri"/>
          <w:sz w:val="22"/>
          <w:szCs w:val="22"/>
        </w:rPr>
        <w:t xml:space="preserve">) shows that lonely children are twice as likely to be groomed online due to them relying on social media and are more easily susceptible to online grooming. </w:t>
      </w:r>
    </w:p>
    <w:p w14:paraId="492B414E" w14:textId="77777777" w:rsidR="00680C25" w:rsidRPr="00680C25" w:rsidRDefault="00680C25" w:rsidP="00680C25">
      <w:pPr>
        <w:suppressAutoHyphens/>
        <w:adjustRightInd/>
        <w:textAlignment w:val="auto"/>
        <w:rPr>
          <w:rFonts w:ascii="Calibri" w:hAnsi="Calibri" w:cs="Calibri"/>
          <w:sz w:val="22"/>
          <w:szCs w:val="22"/>
        </w:rPr>
      </w:pPr>
    </w:p>
    <w:p w14:paraId="1B7531F8" w14:textId="77777777" w:rsidR="00680C25" w:rsidRPr="00680C25" w:rsidRDefault="00680C25" w:rsidP="00680C25">
      <w:pPr>
        <w:suppressAutoHyphens/>
        <w:adjustRightInd/>
        <w:textAlignment w:val="auto"/>
        <w:rPr>
          <w:rFonts w:ascii="Calibri" w:hAnsi="Calibri" w:cs="Calibri"/>
          <w:sz w:val="22"/>
          <w:szCs w:val="22"/>
        </w:rPr>
      </w:pPr>
      <w:r w:rsidRPr="00680C25">
        <w:rPr>
          <w:rFonts w:ascii="Calibri" w:hAnsi="Calibri" w:cs="Calibri"/>
          <w:sz w:val="22"/>
          <w:szCs w:val="22"/>
        </w:rPr>
        <w:t xml:space="preserve">Prior to finishing my shift, I completed a PPN (Public Protection Notification). A PPN is a document which should be filled out for incidents where children are in need of safeguarding, it contains a questionnaire that I fill out to assess the risk of the child and a space for me to fill out my observations of the situation (HMICFRS, 2015b). This PPN then gets sent to the Public Protection Unit within South Wales Police who will risk assess the PPN from the details that I pass to them in the PPN. Once a PPN is risk assessed, it may then be shared with the partner agencies of South Wales Police such as social services, education services and so on. </w:t>
      </w:r>
    </w:p>
    <w:p w14:paraId="7A0AA865" w14:textId="77777777" w:rsidR="00680C25" w:rsidRPr="00680C25" w:rsidRDefault="00680C25" w:rsidP="00680C25">
      <w:pPr>
        <w:suppressAutoHyphens/>
        <w:adjustRightInd/>
        <w:textAlignment w:val="auto"/>
        <w:rPr>
          <w:rFonts w:ascii="Calibri" w:hAnsi="Calibri" w:cs="Calibri"/>
          <w:sz w:val="22"/>
          <w:szCs w:val="22"/>
        </w:rPr>
      </w:pPr>
    </w:p>
    <w:p w14:paraId="05EB1877" w14:textId="77777777" w:rsidR="00680C25" w:rsidRPr="00680C25" w:rsidRDefault="00680C25" w:rsidP="00680C25">
      <w:pPr>
        <w:suppressAutoHyphens/>
        <w:adjustRightInd/>
        <w:textAlignment w:val="auto"/>
        <w:rPr>
          <w:rFonts w:ascii="Calibri" w:hAnsi="Calibri" w:cs="Calibri"/>
          <w:sz w:val="22"/>
          <w:szCs w:val="22"/>
        </w:rPr>
      </w:pPr>
      <w:r w:rsidRPr="00680C25">
        <w:rPr>
          <w:rFonts w:ascii="Calibri" w:hAnsi="Calibri" w:cs="Calibri"/>
          <w:sz w:val="22"/>
          <w:szCs w:val="22"/>
        </w:rPr>
        <w:t>Whittle et al (2013) suggest that children are massively susceptible to online grooming, but not all young people are vulnerable in the same way. It’s also suggested that if a child is subject to increased risk factors outside of online grooming, that child may be less likely to keep quiet if approached by a groomer and more likely to respond (Whittle et al, 2013).</w:t>
      </w:r>
    </w:p>
    <w:p w14:paraId="271644C1" w14:textId="77777777" w:rsidR="00680C25" w:rsidRPr="00680C25" w:rsidRDefault="00680C25" w:rsidP="00680C25">
      <w:pPr>
        <w:suppressAutoHyphens/>
        <w:adjustRightInd/>
        <w:textAlignment w:val="auto"/>
        <w:rPr>
          <w:rFonts w:ascii="Calibri" w:hAnsi="Calibri" w:cs="Calibri"/>
          <w:sz w:val="22"/>
          <w:szCs w:val="22"/>
        </w:rPr>
      </w:pPr>
    </w:p>
    <w:p w14:paraId="1C586A72" w14:textId="77777777" w:rsidR="00680C25" w:rsidRPr="00680C25" w:rsidRDefault="00680C25" w:rsidP="00680C25">
      <w:pPr>
        <w:suppressAutoHyphens/>
        <w:adjustRightInd/>
        <w:textAlignment w:val="auto"/>
        <w:rPr>
          <w:rFonts w:ascii="Calibri" w:hAnsi="Calibri" w:cs="Calibri"/>
          <w:sz w:val="22"/>
          <w:szCs w:val="22"/>
        </w:rPr>
      </w:pPr>
      <w:r w:rsidRPr="00680C25">
        <w:rPr>
          <w:rFonts w:ascii="Calibri" w:hAnsi="Calibri" w:cs="Calibri"/>
          <w:sz w:val="22"/>
          <w:szCs w:val="22"/>
        </w:rPr>
        <w:t xml:space="preserve">In conclusion, I have discussed the actions I have taken to safeguard the child in this incident. I have attended and made sure the child is safe and the family are safe to look after the child. I have risk assessed the child and have categorized him as a vulnerable victim which he and his family will benefit from further support. I have also referred the child and his parents to South Wales Victim Focus who are able to provide the family with further support. I have completed a PPN by the end of my tour of duty which will make our Public Protection Unit aware of the incident. Through these steps which I have taken, I believe they are the relevant steps to protect the victim from the risk of further harm. Along with doing this, I am free to progress the investigation into the offence. </w:t>
      </w:r>
    </w:p>
    <w:p w14:paraId="7F71D215" w14:textId="77777777" w:rsidR="00680C25" w:rsidRPr="00680C25" w:rsidRDefault="00680C25" w:rsidP="00680C25">
      <w:pPr>
        <w:suppressAutoHyphens/>
        <w:adjustRightInd/>
        <w:textAlignment w:val="auto"/>
        <w:rPr>
          <w:rFonts w:ascii="Calibri" w:hAnsi="Calibri" w:cs="Calibri"/>
          <w:sz w:val="22"/>
          <w:szCs w:val="22"/>
        </w:rPr>
      </w:pPr>
    </w:p>
    <w:p w14:paraId="4C956365" w14:textId="77777777" w:rsidR="00680C25" w:rsidRPr="00680C25" w:rsidRDefault="00680C25" w:rsidP="00680C25">
      <w:pPr>
        <w:suppressAutoHyphens/>
        <w:adjustRightInd/>
        <w:textAlignment w:val="auto"/>
        <w:rPr>
          <w:rFonts w:ascii="Calibri" w:hAnsi="Calibri" w:cs="Calibri"/>
          <w:sz w:val="22"/>
          <w:szCs w:val="22"/>
        </w:rPr>
      </w:pPr>
      <w:r w:rsidRPr="00680C25">
        <w:rPr>
          <w:rFonts w:ascii="Calibri" w:hAnsi="Calibri" w:cs="Calibri"/>
          <w:sz w:val="22"/>
          <w:szCs w:val="22"/>
        </w:rPr>
        <w:t>Word Count: 1546.</w:t>
      </w: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7148B036"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632E06">
        <w:rPr>
          <w:rStyle w:val="normaltextrun"/>
          <w:rFonts w:eastAsia="Arial"/>
          <w:color w:val="000000" w:themeColor="text1"/>
          <w:sz w:val="24"/>
          <w:szCs w:val="24"/>
        </w:rPr>
        <w:t xml:space="preserve">Patric Rogers </w:t>
      </w:r>
      <w:r w:rsidRPr="4C3E8AB8">
        <w:rPr>
          <w:rStyle w:val="normaltextrun"/>
          <w:rFonts w:eastAsia="Arial"/>
          <w:color w:val="000000" w:themeColor="text1"/>
          <w:sz w:val="24"/>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62E1BDDA"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632E06">
        <w:rPr>
          <w:rStyle w:val="normaltextrun"/>
          <w:rFonts w:eastAsia="Arial"/>
          <w:color w:val="000000" w:themeColor="text1"/>
          <w:sz w:val="24"/>
          <w:szCs w:val="24"/>
        </w:rPr>
        <w:t>28/02/2022</w:t>
      </w:r>
    </w:p>
    <w:p w14:paraId="5A604814" w14:textId="3ABA1676" w:rsidR="0029211A" w:rsidRDefault="0029211A" w:rsidP="00340E9A">
      <w:pPr>
        <w:keepNext/>
        <w:spacing w:before="240" w:after="60"/>
        <w:ind w:right="237"/>
        <w:jc w:val="both"/>
        <w:rPr>
          <w:b/>
          <w:bCs/>
          <w:color w:val="000000" w:themeColor="text1"/>
          <w:sz w:val="24"/>
          <w:szCs w:val="24"/>
        </w:rPr>
      </w:pPr>
    </w:p>
    <w:p w14:paraId="0FFC75A0" w14:textId="63393CE9" w:rsidR="0029211A" w:rsidRDefault="0029211A" w:rsidP="00340E9A">
      <w:pPr>
        <w:keepNext/>
        <w:spacing w:before="240" w:after="60"/>
        <w:ind w:right="237"/>
        <w:jc w:val="both"/>
        <w:rPr>
          <w:b/>
          <w:bCs/>
          <w:color w:val="000000" w:themeColor="text1"/>
          <w:sz w:val="24"/>
          <w:szCs w:val="24"/>
        </w:rPr>
      </w:pPr>
    </w:p>
    <w:p w14:paraId="25E2A2EB" w14:textId="0290D6E9" w:rsidR="0029211A" w:rsidRDefault="0029211A" w:rsidP="00340E9A">
      <w:pPr>
        <w:keepNext/>
        <w:spacing w:before="240" w:after="60"/>
        <w:ind w:right="237"/>
        <w:jc w:val="both"/>
        <w:rPr>
          <w:b/>
          <w:bCs/>
          <w:color w:val="000000" w:themeColor="text1"/>
          <w:sz w:val="24"/>
          <w:szCs w:val="24"/>
        </w:rPr>
      </w:pPr>
    </w:p>
    <w:p w14:paraId="09914B57" w14:textId="77777777" w:rsidR="0029211A" w:rsidRDefault="0029211A" w:rsidP="00340E9A">
      <w:pPr>
        <w:keepNext/>
        <w:spacing w:before="240" w:after="60"/>
        <w:ind w:right="237"/>
        <w:jc w:val="both"/>
        <w:rPr>
          <w:b/>
          <w:bCs/>
          <w:color w:val="000000" w:themeColor="text1"/>
          <w:sz w:val="24"/>
          <w:szCs w:val="24"/>
        </w:rPr>
      </w:pPr>
    </w:p>
    <w:p w14:paraId="488DAA9F" w14:textId="73DAE3A4" w:rsidR="00632E06" w:rsidRPr="00632E06" w:rsidRDefault="00632E06" w:rsidP="0029211A">
      <w:pPr>
        <w:keepNext/>
        <w:spacing w:before="240" w:after="60"/>
        <w:ind w:right="237"/>
        <w:jc w:val="both"/>
        <w:rPr>
          <w:rFonts w:ascii="Calibri" w:hAnsi="Calibri" w:cs="Calibri"/>
          <w:b/>
          <w:bCs/>
          <w:color w:val="000000" w:themeColor="text1"/>
          <w:sz w:val="36"/>
          <w:szCs w:val="36"/>
        </w:rPr>
      </w:pPr>
      <w:r w:rsidRPr="00632E06">
        <w:rPr>
          <w:rFonts w:ascii="Calibri" w:hAnsi="Calibri" w:cs="Calibri"/>
          <w:b/>
          <w:bCs/>
          <w:color w:val="000000" w:themeColor="text1"/>
          <w:sz w:val="36"/>
          <w:szCs w:val="36"/>
        </w:rPr>
        <w:t>Bibliography</w:t>
      </w:r>
      <w:bookmarkStart w:id="0" w:name="_Hlk96952740"/>
    </w:p>
    <w:p w14:paraId="7DD76003" w14:textId="77777777"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All Wales Basic Safeguarding (n.d.) </w:t>
      </w:r>
      <w:r w:rsidRPr="00632E06">
        <w:rPr>
          <w:rFonts w:ascii="Calibri" w:eastAsia="Calibri" w:hAnsi="Calibri" w:cs="Calibri"/>
          <w:i/>
          <w:iCs/>
          <w:color w:val="auto"/>
          <w:sz w:val="22"/>
          <w:szCs w:val="22"/>
          <w:lang w:eastAsia="en-US"/>
        </w:rPr>
        <w:t>Practice case review 1: Baby P</w:t>
      </w:r>
      <w:r w:rsidRPr="00632E06">
        <w:rPr>
          <w:rFonts w:ascii="Calibri" w:eastAsia="Calibri" w:hAnsi="Calibri" w:cs="Calibri"/>
          <w:color w:val="auto"/>
          <w:sz w:val="22"/>
          <w:szCs w:val="22"/>
          <w:lang w:eastAsia="en-US"/>
        </w:rPr>
        <w:t xml:space="preserve">, Available at: </w:t>
      </w:r>
      <w:hyperlink r:id="rId18" w:history="1">
        <w:r w:rsidRPr="00632E06">
          <w:rPr>
            <w:rFonts w:ascii="Calibri" w:eastAsia="Calibri" w:hAnsi="Calibri" w:cs="Calibri"/>
            <w:color w:val="0563C1"/>
            <w:sz w:val="22"/>
            <w:szCs w:val="22"/>
            <w:u w:val="single"/>
            <w:lang w:eastAsia="en-US"/>
          </w:rPr>
          <w:t>https://socialcare.wales/cms_assets/file-uploads/30-All-Wales-Basic-Safeguarding-Awareness-Training-Practice-case-review-1-%E2%80%93-Baby-P.pdf</w:t>
        </w:r>
      </w:hyperlink>
      <w:r w:rsidRPr="00632E06">
        <w:rPr>
          <w:rFonts w:ascii="Calibri" w:eastAsia="Calibri" w:hAnsi="Calibri" w:cs="Calibri"/>
          <w:color w:val="auto"/>
          <w:sz w:val="22"/>
          <w:szCs w:val="22"/>
          <w:lang w:eastAsia="en-US"/>
        </w:rPr>
        <w:t xml:space="preserve"> (Accessed: 28 February 2022). </w:t>
      </w:r>
    </w:p>
    <w:p w14:paraId="4A8B5384" w14:textId="77777777"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BBC News (2021) </w:t>
      </w:r>
      <w:r w:rsidRPr="00632E06">
        <w:rPr>
          <w:rFonts w:ascii="Calibri" w:eastAsia="Calibri" w:hAnsi="Calibri" w:cs="Calibri"/>
          <w:i/>
          <w:iCs/>
          <w:color w:val="auto"/>
          <w:sz w:val="22"/>
          <w:szCs w:val="22"/>
          <w:lang w:eastAsia="en-US"/>
        </w:rPr>
        <w:t xml:space="preserve">Care services too focused on investigating families in crisis, says review </w:t>
      </w:r>
      <w:r w:rsidRPr="00632E06">
        <w:rPr>
          <w:rFonts w:ascii="Calibri" w:eastAsia="Calibri" w:hAnsi="Calibri" w:cs="Calibri"/>
          <w:color w:val="auto"/>
          <w:sz w:val="22"/>
          <w:szCs w:val="22"/>
          <w:lang w:eastAsia="en-US"/>
        </w:rPr>
        <w:t xml:space="preserve">[Internet], Available at: </w:t>
      </w:r>
      <w:hyperlink r:id="rId19" w:history="1">
        <w:r w:rsidRPr="00632E06">
          <w:rPr>
            <w:rFonts w:ascii="Calibri" w:eastAsia="Calibri" w:hAnsi="Calibri" w:cs="Calibri"/>
            <w:color w:val="0563C1"/>
            <w:sz w:val="22"/>
            <w:szCs w:val="22"/>
            <w:u w:val="single"/>
            <w:lang w:eastAsia="en-US"/>
          </w:rPr>
          <w:t>file://swp-rest.police.int/data/home/swp6704/Documents/University/Essay%20help%20documents/Harvard-eng_v.1.2.pdf</w:t>
        </w:r>
      </w:hyperlink>
      <w:r w:rsidRPr="00632E06">
        <w:rPr>
          <w:rFonts w:ascii="Calibri" w:eastAsia="Calibri" w:hAnsi="Calibri" w:cs="Calibri"/>
          <w:color w:val="auto"/>
          <w:sz w:val="22"/>
          <w:szCs w:val="22"/>
          <w:lang w:eastAsia="en-US"/>
        </w:rPr>
        <w:t xml:space="preserve"> (Accessed: 28 February 2022).</w:t>
      </w:r>
    </w:p>
    <w:p w14:paraId="5E0FD5AE" w14:textId="77777777"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Begeny et al. (2021) ‘Being treated fairly in groups is important, but not sufficient: The role of distinctive treatment in groups, and its implications for mental health’, </w:t>
      </w:r>
      <w:r w:rsidRPr="00632E06">
        <w:rPr>
          <w:rFonts w:ascii="Calibri" w:eastAsia="Calibri" w:hAnsi="Calibri" w:cs="Calibri"/>
          <w:i/>
          <w:iCs/>
          <w:color w:val="auto"/>
          <w:sz w:val="22"/>
          <w:szCs w:val="22"/>
          <w:lang w:eastAsia="en-US"/>
        </w:rPr>
        <w:t>PLoS ONE</w:t>
      </w:r>
      <w:r w:rsidRPr="00632E06">
        <w:rPr>
          <w:rFonts w:ascii="Calibri" w:eastAsia="Calibri" w:hAnsi="Calibri" w:cs="Calibri"/>
          <w:color w:val="auto"/>
          <w:sz w:val="22"/>
          <w:szCs w:val="22"/>
          <w:lang w:eastAsia="en-US"/>
        </w:rPr>
        <w:t xml:space="preserve">, 16(5), pp. 19 DOI: </w:t>
      </w:r>
      <w:hyperlink r:id="rId20" w:history="1">
        <w:r w:rsidRPr="00632E06">
          <w:rPr>
            <w:rFonts w:ascii="Calibri" w:eastAsia="Calibri" w:hAnsi="Calibri" w:cs="Calibri"/>
            <w:color w:val="0563C1"/>
            <w:sz w:val="22"/>
            <w:szCs w:val="22"/>
            <w:u w:val="single"/>
            <w:lang w:eastAsia="en-US"/>
          </w:rPr>
          <w:t>https://doi.org/10.1371/journal.pone.0251871</w:t>
        </w:r>
      </w:hyperlink>
      <w:r w:rsidRPr="00632E06">
        <w:rPr>
          <w:rFonts w:ascii="Calibri" w:eastAsia="Calibri" w:hAnsi="Calibri" w:cs="Calibri"/>
          <w:color w:val="auto"/>
          <w:sz w:val="22"/>
          <w:szCs w:val="22"/>
          <w:lang w:eastAsia="en-US"/>
        </w:rPr>
        <w:t xml:space="preserve">. </w:t>
      </w:r>
    </w:p>
    <w:p w14:paraId="20854F2D" w14:textId="77777777"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lastRenderedPageBreak/>
        <w:t xml:space="preserve">Blader, S. L and Tyler, T. R. (2002) </w:t>
      </w:r>
      <w:r w:rsidRPr="00632E06">
        <w:rPr>
          <w:rFonts w:ascii="Calibri" w:eastAsia="Calibri" w:hAnsi="Calibri" w:cs="Calibri"/>
          <w:i/>
          <w:iCs/>
          <w:color w:val="auto"/>
          <w:sz w:val="22"/>
          <w:szCs w:val="22"/>
          <w:lang w:eastAsia="en-US"/>
        </w:rPr>
        <w:t xml:space="preserve">What constitutes fairness in work settings? </w:t>
      </w:r>
      <w:r w:rsidRPr="00632E06">
        <w:rPr>
          <w:rFonts w:ascii="Calibri" w:eastAsia="Calibri" w:hAnsi="Calibri" w:cs="Calibri"/>
          <w:color w:val="auto"/>
          <w:sz w:val="22"/>
          <w:szCs w:val="22"/>
          <w:lang w:eastAsia="en-US"/>
        </w:rPr>
        <w:t xml:space="preserve">DOI: 10.1016/S1053-4822(02)00101-8 (Accessed: 13 January 2022). </w:t>
      </w:r>
    </w:p>
    <w:p w14:paraId="353B3875"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 xml:space="preserve">Bryant, R. et al. (2019) </w:t>
      </w:r>
      <w:r w:rsidRPr="00632E06">
        <w:rPr>
          <w:rFonts w:ascii="Calibri" w:hAnsi="Calibri" w:cs="Calibri"/>
          <w:i/>
          <w:iCs/>
          <w:sz w:val="22"/>
          <w:szCs w:val="22"/>
        </w:rPr>
        <w:t xml:space="preserve">Blackstone’s Handbook for Policing Students. </w:t>
      </w:r>
      <w:r w:rsidRPr="00632E06">
        <w:rPr>
          <w:rFonts w:ascii="Calibri" w:hAnsi="Calibri" w:cs="Calibri"/>
          <w:sz w:val="22"/>
          <w:szCs w:val="22"/>
        </w:rPr>
        <w:t>14</w:t>
      </w:r>
      <w:r w:rsidRPr="00632E06">
        <w:rPr>
          <w:rFonts w:ascii="Calibri" w:hAnsi="Calibri" w:cs="Calibri"/>
          <w:sz w:val="22"/>
          <w:szCs w:val="22"/>
          <w:vertAlign w:val="superscript"/>
        </w:rPr>
        <w:t>th</w:t>
      </w:r>
      <w:r w:rsidRPr="00632E06">
        <w:rPr>
          <w:rFonts w:ascii="Calibri" w:hAnsi="Calibri" w:cs="Calibri"/>
          <w:sz w:val="22"/>
          <w:szCs w:val="22"/>
        </w:rPr>
        <w:t xml:space="preserve"> edn. New York: Oxford University Press.</w:t>
      </w:r>
    </w:p>
    <w:bookmarkEnd w:id="0"/>
    <w:p w14:paraId="3FF19CE5" w14:textId="3E374FAA"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Child Law Advice (n.d.</w:t>
      </w:r>
      <w:r w:rsidR="00FD45A9">
        <w:rPr>
          <w:rFonts w:ascii="Calibri" w:hAnsi="Calibri" w:cs="Calibri"/>
          <w:sz w:val="22"/>
          <w:szCs w:val="22"/>
        </w:rPr>
        <w:t xml:space="preserve"> b</w:t>
      </w:r>
      <w:r w:rsidRPr="00632E06">
        <w:rPr>
          <w:rFonts w:ascii="Calibri" w:hAnsi="Calibri" w:cs="Calibri"/>
          <w:sz w:val="22"/>
          <w:szCs w:val="22"/>
        </w:rPr>
        <w:t xml:space="preserve">) </w:t>
      </w:r>
      <w:r w:rsidRPr="00632E06">
        <w:rPr>
          <w:rFonts w:ascii="Calibri" w:hAnsi="Calibri" w:cs="Calibri"/>
          <w:i/>
          <w:iCs/>
          <w:sz w:val="22"/>
          <w:szCs w:val="22"/>
        </w:rPr>
        <w:t xml:space="preserve">Sexting </w:t>
      </w:r>
      <w:r w:rsidRPr="00632E06">
        <w:rPr>
          <w:rFonts w:ascii="Calibri" w:hAnsi="Calibri" w:cs="Calibri"/>
          <w:sz w:val="22"/>
          <w:szCs w:val="22"/>
        </w:rPr>
        <w:t xml:space="preserve">[Internet], Available at: </w:t>
      </w:r>
      <w:hyperlink r:id="rId21" w:history="1">
        <w:r w:rsidRPr="00632E06">
          <w:rPr>
            <w:rFonts w:ascii="Calibri" w:hAnsi="Calibri" w:cs="Calibri"/>
            <w:color w:val="0563C1"/>
            <w:sz w:val="22"/>
            <w:szCs w:val="22"/>
            <w:u w:val="single"/>
          </w:rPr>
          <w:t>https://childlawadvice.org.uk/information-pages/sexting/</w:t>
        </w:r>
      </w:hyperlink>
      <w:r w:rsidRPr="00632E06">
        <w:rPr>
          <w:rFonts w:ascii="Calibri" w:hAnsi="Calibri" w:cs="Calibri"/>
          <w:sz w:val="22"/>
          <w:szCs w:val="22"/>
        </w:rPr>
        <w:t xml:space="preserve"> (Accessed: 21 February 2022).</w:t>
      </w:r>
    </w:p>
    <w:p w14:paraId="331CE0D9" w14:textId="491EE1DF"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Child Law Advice (n.d.</w:t>
      </w:r>
      <w:r w:rsidR="00FD45A9">
        <w:rPr>
          <w:rFonts w:ascii="Calibri" w:eastAsia="Calibri" w:hAnsi="Calibri" w:cs="Calibri"/>
          <w:color w:val="auto"/>
          <w:sz w:val="22"/>
          <w:szCs w:val="22"/>
          <w:lang w:eastAsia="en-US"/>
        </w:rPr>
        <w:t xml:space="preserve"> a</w:t>
      </w:r>
      <w:r w:rsidRPr="00632E06">
        <w:rPr>
          <w:rFonts w:ascii="Calibri" w:eastAsia="Calibri" w:hAnsi="Calibri" w:cs="Calibri"/>
          <w:color w:val="auto"/>
          <w:sz w:val="22"/>
          <w:szCs w:val="22"/>
          <w:lang w:eastAsia="en-US"/>
        </w:rPr>
        <w:t xml:space="preserve">) </w:t>
      </w:r>
      <w:r w:rsidRPr="00632E06">
        <w:rPr>
          <w:rFonts w:ascii="Calibri" w:eastAsia="Calibri" w:hAnsi="Calibri" w:cs="Calibri"/>
          <w:i/>
          <w:iCs/>
          <w:color w:val="auto"/>
          <w:sz w:val="22"/>
          <w:szCs w:val="22"/>
          <w:lang w:eastAsia="en-US"/>
        </w:rPr>
        <w:t>The law on smacking children</w:t>
      </w:r>
      <w:r w:rsidRPr="00632E06">
        <w:rPr>
          <w:rFonts w:ascii="Calibri" w:eastAsia="Calibri" w:hAnsi="Calibri" w:cs="Calibri"/>
          <w:color w:val="auto"/>
          <w:sz w:val="22"/>
          <w:szCs w:val="22"/>
          <w:lang w:eastAsia="en-US"/>
        </w:rPr>
        <w:t xml:space="preserve">, Available at: </w:t>
      </w:r>
      <w:hyperlink r:id="rId22" w:history="1">
        <w:r w:rsidRPr="00632E06">
          <w:rPr>
            <w:rFonts w:ascii="Calibri" w:eastAsia="Calibri" w:hAnsi="Calibri" w:cs="Calibri"/>
            <w:color w:val="0563C1"/>
            <w:sz w:val="22"/>
            <w:szCs w:val="22"/>
            <w:u w:val="single"/>
            <w:lang w:eastAsia="en-US"/>
          </w:rPr>
          <w:t>https://childlawadvice.org.uk/information-pages/the-law-on-smacking-children/</w:t>
        </w:r>
      </w:hyperlink>
      <w:r w:rsidRPr="00632E06">
        <w:rPr>
          <w:rFonts w:ascii="Calibri" w:eastAsia="Calibri" w:hAnsi="Calibri" w:cs="Calibri"/>
          <w:color w:val="auto"/>
          <w:sz w:val="22"/>
          <w:szCs w:val="22"/>
          <w:lang w:eastAsia="en-US"/>
        </w:rPr>
        <w:t xml:space="preserve"> (Accessed: 21 January 2022). </w:t>
      </w:r>
    </w:p>
    <w:p w14:paraId="75EAAEA2" w14:textId="77777777"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i/>
          <w:iCs/>
          <w:color w:val="auto"/>
          <w:sz w:val="22"/>
          <w:szCs w:val="22"/>
          <w:lang w:eastAsia="en-US"/>
        </w:rPr>
        <w:t xml:space="preserve">Children Act 1989, </w:t>
      </w:r>
      <w:r w:rsidRPr="00632E06">
        <w:rPr>
          <w:rFonts w:ascii="Calibri" w:eastAsia="Calibri" w:hAnsi="Calibri" w:cs="Calibri"/>
          <w:color w:val="auto"/>
          <w:sz w:val="22"/>
          <w:szCs w:val="22"/>
          <w:lang w:eastAsia="en-US"/>
        </w:rPr>
        <w:t xml:space="preserve">Section 17, Available at: </w:t>
      </w:r>
      <w:hyperlink r:id="rId23" w:history="1">
        <w:r w:rsidRPr="00632E06">
          <w:rPr>
            <w:rFonts w:ascii="Calibri" w:eastAsia="Calibri" w:hAnsi="Calibri" w:cs="Calibri"/>
            <w:color w:val="0563C1"/>
            <w:sz w:val="22"/>
            <w:szCs w:val="22"/>
            <w:u w:val="single"/>
            <w:lang w:eastAsia="en-US"/>
          </w:rPr>
          <w:t>https://www.legislation.gov.uk/ukpga/1989/41/section/17</w:t>
        </w:r>
      </w:hyperlink>
      <w:r w:rsidRPr="00632E06">
        <w:rPr>
          <w:rFonts w:ascii="Calibri" w:eastAsia="Calibri" w:hAnsi="Calibri" w:cs="Calibri"/>
          <w:color w:val="auto"/>
          <w:sz w:val="22"/>
          <w:szCs w:val="22"/>
          <w:lang w:eastAsia="en-US"/>
        </w:rPr>
        <w:t xml:space="preserve"> (Accessed: 28 February 2022).</w:t>
      </w:r>
    </w:p>
    <w:p w14:paraId="473A79D5" w14:textId="77777777"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i/>
          <w:iCs/>
          <w:color w:val="auto"/>
          <w:sz w:val="22"/>
          <w:szCs w:val="22"/>
          <w:lang w:eastAsia="en-US"/>
        </w:rPr>
        <w:t xml:space="preserve">Children Act 2004, </w:t>
      </w:r>
      <w:r w:rsidRPr="00632E06">
        <w:rPr>
          <w:rFonts w:ascii="Calibri" w:eastAsia="Calibri" w:hAnsi="Calibri" w:cs="Calibri"/>
          <w:color w:val="auto"/>
          <w:sz w:val="22"/>
          <w:szCs w:val="22"/>
          <w:lang w:eastAsia="en-US"/>
        </w:rPr>
        <w:t xml:space="preserve">Section 11, Available at: </w:t>
      </w:r>
      <w:hyperlink r:id="rId24" w:history="1">
        <w:r w:rsidRPr="00632E06">
          <w:rPr>
            <w:rFonts w:ascii="Calibri" w:eastAsia="Calibri" w:hAnsi="Calibri" w:cs="Calibri"/>
            <w:color w:val="0563C1"/>
            <w:sz w:val="22"/>
            <w:szCs w:val="22"/>
            <w:u w:val="single"/>
            <w:lang w:eastAsia="en-US"/>
          </w:rPr>
          <w:t>https://www.legislation.gov.uk/ukpga/2004/31/section/11</w:t>
        </w:r>
      </w:hyperlink>
      <w:r w:rsidRPr="00632E06">
        <w:rPr>
          <w:rFonts w:ascii="Calibri" w:eastAsia="Calibri" w:hAnsi="Calibri" w:cs="Calibri"/>
          <w:color w:val="auto"/>
          <w:sz w:val="22"/>
          <w:szCs w:val="22"/>
          <w:lang w:eastAsia="en-US"/>
        </w:rPr>
        <w:t xml:space="preserve"> (Accessed: 28 February 2022).</w:t>
      </w:r>
    </w:p>
    <w:p w14:paraId="2960B952"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 xml:space="preserve">Church, J (2021) </w:t>
      </w:r>
      <w:r w:rsidRPr="00632E06">
        <w:rPr>
          <w:rFonts w:ascii="Calibri" w:hAnsi="Calibri" w:cs="Calibri"/>
          <w:i/>
          <w:iCs/>
          <w:sz w:val="22"/>
          <w:szCs w:val="22"/>
        </w:rPr>
        <w:t xml:space="preserve">DVLA brings latest tech to police roadside checks </w:t>
      </w:r>
      <w:r w:rsidRPr="00632E06">
        <w:rPr>
          <w:rFonts w:ascii="Calibri" w:hAnsi="Calibri" w:cs="Calibri"/>
          <w:sz w:val="22"/>
          <w:szCs w:val="22"/>
        </w:rPr>
        <w:t xml:space="preserve">[Internet], Available at: </w:t>
      </w:r>
      <w:hyperlink r:id="rId25" w:history="1">
        <w:r w:rsidRPr="00632E06">
          <w:rPr>
            <w:rFonts w:ascii="Calibri" w:hAnsi="Calibri" w:cs="Calibri"/>
            <w:color w:val="0563C1"/>
            <w:sz w:val="22"/>
            <w:szCs w:val="22"/>
            <w:u w:val="single"/>
          </w:rPr>
          <w:t>https://dvladigital.blog.gov.uk/2021/07/16/dvla-brings-latest-tech-to-police-roadside-checks/</w:t>
        </w:r>
      </w:hyperlink>
      <w:r w:rsidRPr="00632E06">
        <w:rPr>
          <w:rFonts w:ascii="Calibri" w:hAnsi="Calibri" w:cs="Calibri"/>
          <w:sz w:val="22"/>
          <w:szCs w:val="22"/>
        </w:rPr>
        <w:t xml:space="preserve"> (Accessed: 20 February 2022).</w:t>
      </w:r>
    </w:p>
    <w:p w14:paraId="7EB24990"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 xml:space="preserve">College of Policing (2013a) </w:t>
      </w:r>
      <w:r w:rsidRPr="00632E06">
        <w:rPr>
          <w:rFonts w:ascii="Calibri" w:hAnsi="Calibri" w:cs="Calibri"/>
          <w:i/>
          <w:iCs/>
          <w:sz w:val="22"/>
          <w:szCs w:val="22"/>
        </w:rPr>
        <w:t>House-to-house enquiries</w:t>
      </w:r>
      <w:r w:rsidRPr="00632E06">
        <w:rPr>
          <w:rFonts w:ascii="Calibri" w:hAnsi="Calibri" w:cs="Calibri"/>
          <w:sz w:val="22"/>
          <w:szCs w:val="22"/>
        </w:rPr>
        <w:t xml:space="preserve"> [Internet], Available at: </w:t>
      </w:r>
      <w:hyperlink r:id="rId26" w:history="1">
        <w:r w:rsidRPr="00632E06">
          <w:rPr>
            <w:rFonts w:ascii="Calibri" w:hAnsi="Calibri" w:cs="Calibri"/>
            <w:color w:val="0563C1"/>
            <w:sz w:val="22"/>
            <w:szCs w:val="22"/>
            <w:u w:val="single"/>
          </w:rPr>
          <w:t>https://www.app.college.police.uk/app-content/investigations/investigative-strategies/house-to-house-enquiries/</w:t>
        </w:r>
      </w:hyperlink>
      <w:r w:rsidRPr="00632E06">
        <w:rPr>
          <w:rFonts w:ascii="Calibri" w:hAnsi="Calibri" w:cs="Calibri"/>
          <w:sz w:val="22"/>
          <w:szCs w:val="22"/>
        </w:rPr>
        <w:t xml:space="preserve"> (Accessed: 18 February 2022).</w:t>
      </w:r>
    </w:p>
    <w:p w14:paraId="18BD2428"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 xml:space="preserve">College of Policing (2013b) </w:t>
      </w:r>
      <w:r w:rsidRPr="00632E06">
        <w:rPr>
          <w:rFonts w:ascii="Calibri" w:hAnsi="Calibri" w:cs="Calibri"/>
          <w:i/>
          <w:iCs/>
          <w:sz w:val="22"/>
          <w:szCs w:val="22"/>
        </w:rPr>
        <w:t xml:space="preserve">Introduction </w:t>
      </w:r>
      <w:r w:rsidRPr="00632E06">
        <w:rPr>
          <w:rFonts w:ascii="Calibri" w:hAnsi="Calibri" w:cs="Calibri"/>
          <w:sz w:val="22"/>
          <w:szCs w:val="22"/>
        </w:rPr>
        <w:t xml:space="preserve">[Internet], Available at: </w:t>
      </w:r>
      <w:hyperlink r:id="rId27" w:history="1">
        <w:r w:rsidRPr="00632E06">
          <w:rPr>
            <w:rFonts w:ascii="Calibri" w:hAnsi="Calibri" w:cs="Calibri"/>
            <w:color w:val="0563C1"/>
            <w:sz w:val="22"/>
            <w:szCs w:val="22"/>
            <w:u w:val="single"/>
          </w:rPr>
          <w:t>https://www.app.college.police.uk/ap</w:t>
        </w:r>
        <w:bookmarkStart w:id="1" w:name="_Hlt96158081"/>
        <w:bookmarkStart w:id="2" w:name="_Hlt96158082"/>
        <w:r w:rsidRPr="00632E06">
          <w:rPr>
            <w:rFonts w:ascii="Calibri" w:hAnsi="Calibri" w:cs="Calibri"/>
            <w:color w:val="0563C1"/>
            <w:sz w:val="22"/>
            <w:szCs w:val="22"/>
            <w:u w:val="single"/>
          </w:rPr>
          <w:t>p</w:t>
        </w:r>
        <w:bookmarkEnd w:id="1"/>
        <w:bookmarkEnd w:id="2"/>
        <w:r w:rsidRPr="00632E06">
          <w:rPr>
            <w:rFonts w:ascii="Calibri" w:hAnsi="Calibri" w:cs="Calibri"/>
            <w:color w:val="0563C1"/>
            <w:sz w:val="22"/>
            <w:szCs w:val="22"/>
            <w:u w:val="single"/>
          </w:rPr>
          <w:t>-content/investigations/introduction/</w:t>
        </w:r>
      </w:hyperlink>
      <w:r w:rsidRPr="00632E06">
        <w:rPr>
          <w:rFonts w:ascii="Calibri" w:hAnsi="Calibri" w:cs="Calibri"/>
          <w:sz w:val="22"/>
          <w:szCs w:val="22"/>
        </w:rPr>
        <w:t xml:space="preserve"> (Accessed: 18 February 2022).</w:t>
      </w:r>
    </w:p>
    <w:p w14:paraId="2B20DC56"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 xml:space="preserve">College of Policing (2013c) </w:t>
      </w:r>
      <w:r w:rsidRPr="00632E06">
        <w:rPr>
          <w:rFonts w:ascii="Calibri" w:hAnsi="Calibri" w:cs="Calibri"/>
          <w:i/>
          <w:iCs/>
          <w:sz w:val="22"/>
          <w:szCs w:val="22"/>
        </w:rPr>
        <w:t xml:space="preserve">ANPR </w:t>
      </w:r>
      <w:r w:rsidRPr="00632E06">
        <w:rPr>
          <w:rFonts w:ascii="Calibri" w:hAnsi="Calibri" w:cs="Calibri"/>
          <w:sz w:val="22"/>
          <w:szCs w:val="22"/>
        </w:rPr>
        <w:t xml:space="preserve">[Internet], Available at: </w:t>
      </w:r>
      <w:hyperlink r:id="rId28" w:history="1">
        <w:r w:rsidRPr="00632E06">
          <w:rPr>
            <w:rFonts w:ascii="Calibri" w:hAnsi="Calibri" w:cs="Calibri"/>
            <w:color w:val="0563C1"/>
            <w:sz w:val="22"/>
            <w:szCs w:val="22"/>
            <w:u w:val="single"/>
          </w:rPr>
          <w:t>https://www.app.college.police.uk/app-content/investigations/investigative-strategies/investigative-strategiesanpr/</w:t>
        </w:r>
      </w:hyperlink>
      <w:r w:rsidRPr="00632E06">
        <w:rPr>
          <w:rFonts w:ascii="Calibri" w:hAnsi="Calibri" w:cs="Calibri"/>
          <w:sz w:val="22"/>
          <w:szCs w:val="22"/>
        </w:rPr>
        <w:t xml:space="preserve"> (Accessed: 19 February 2022).</w:t>
      </w:r>
    </w:p>
    <w:p w14:paraId="26B1A5DC"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 xml:space="preserve">College of Policing (2013d) </w:t>
      </w:r>
      <w:r w:rsidRPr="00632E06">
        <w:rPr>
          <w:rFonts w:ascii="Calibri" w:hAnsi="Calibri" w:cs="Calibri"/>
          <w:i/>
          <w:iCs/>
          <w:sz w:val="22"/>
          <w:szCs w:val="22"/>
        </w:rPr>
        <w:t xml:space="preserve">Core Planning Principles </w:t>
      </w:r>
      <w:r w:rsidRPr="00632E06">
        <w:rPr>
          <w:rFonts w:ascii="Calibri" w:hAnsi="Calibri" w:cs="Calibri"/>
          <w:sz w:val="22"/>
          <w:szCs w:val="22"/>
        </w:rPr>
        <w:t xml:space="preserve">[Internet], Available at: </w:t>
      </w:r>
      <w:hyperlink r:id="rId29" w:history="1">
        <w:r w:rsidRPr="00632E06">
          <w:rPr>
            <w:rFonts w:ascii="Calibri" w:hAnsi="Calibri" w:cs="Calibri"/>
            <w:color w:val="0563C1"/>
            <w:sz w:val="22"/>
            <w:szCs w:val="22"/>
            <w:u w:val="single"/>
          </w:rPr>
          <w:t>https://www.app.college.police.uk/app-content/operations/operational-planning/core-principles/</w:t>
        </w:r>
      </w:hyperlink>
      <w:r w:rsidRPr="00632E06">
        <w:rPr>
          <w:rFonts w:ascii="Calibri" w:hAnsi="Calibri" w:cs="Calibri"/>
          <w:sz w:val="22"/>
          <w:szCs w:val="22"/>
        </w:rPr>
        <w:t xml:space="preserve"> (Accessed: 20 February 2022). </w:t>
      </w:r>
    </w:p>
    <w:p w14:paraId="0834C1DE" w14:textId="13ED9DDF"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College of Policing (2014</w:t>
      </w:r>
      <w:r w:rsidR="00FD45A9">
        <w:rPr>
          <w:rFonts w:ascii="Calibri" w:hAnsi="Calibri" w:cs="Calibri"/>
          <w:sz w:val="22"/>
          <w:szCs w:val="22"/>
        </w:rPr>
        <w:t>a</w:t>
      </w:r>
      <w:r w:rsidRPr="00632E06">
        <w:rPr>
          <w:rFonts w:ascii="Calibri" w:hAnsi="Calibri" w:cs="Calibri"/>
          <w:sz w:val="22"/>
          <w:szCs w:val="22"/>
        </w:rPr>
        <w:t xml:space="preserve">) </w:t>
      </w:r>
      <w:r w:rsidRPr="00632E06">
        <w:rPr>
          <w:rFonts w:ascii="Calibri" w:hAnsi="Calibri" w:cs="Calibri"/>
          <w:i/>
          <w:iCs/>
          <w:sz w:val="22"/>
          <w:szCs w:val="22"/>
        </w:rPr>
        <w:t>Code of Ethics</w:t>
      </w:r>
      <w:r w:rsidRPr="00632E06">
        <w:rPr>
          <w:rFonts w:ascii="Calibri" w:hAnsi="Calibri" w:cs="Calibri"/>
          <w:sz w:val="22"/>
          <w:szCs w:val="22"/>
        </w:rPr>
        <w:t xml:space="preserve">, Available at: </w:t>
      </w:r>
      <w:hyperlink r:id="rId30" w:history="1">
        <w:r w:rsidRPr="00632E06">
          <w:rPr>
            <w:rFonts w:ascii="Calibri" w:hAnsi="Calibri" w:cs="Calibri"/>
            <w:color w:val="0563C1"/>
            <w:sz w:val="22"/>
            <w:szCs w:val="22"/>
            <w:u w:val="single"/>
          </w:rPr>
          <w:t>https://assets.college.police.uk/s3fs-public/2021-02/code_of_ethics.pdf</w:t>
        </w:r>
      </w:hyperlink>
      <w:r w:rsidRPr="00632E06">
        <w:rPr>
          <w:rFonts w:ascii="Calibri" w:hAnsi="Calibri" w:cs="Calibri"/>
          <w:sz w:val="22"/>
          <w:szCs w:val="22"/>
        </w:rPr>
        <w:t xml:space="preserve"> (Accessed: 19 February 2022).</w:t>
      </w:r>
    </w:p>
    <w:p w14:paraId="6AFE0610" w14:textId="1DCE373A"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College of Policing (2014</w:t>
      </w:r>
      <w:r w:rsidR="00FD45A9">
        <w:rPr>
          <w:rFonts w:ascii="Calibri" w:eastAsia="Calibri" w:hAnsi="Calibri" w:cs="Calibri"/>
          <w:color w:val="auto"/>
          <w:sz w:val="22"/>
          <w:szCs w:val="22"/>
          <w:lang w:eastAsia="en-US"/>
        </w:rPr>
        <w:t>b</w:t>
      </w:r>
      <w:r w:rsidRPr="00632E06">
        <w:rPr>
          <w:rFonts w:ascii="Calibri" w:eastAsia="Calibri" w:hAnsi="Calibri" w:cs="Calibri"/>
          <w:color w:val="auto"/>
          <w:sz w:val="22"/>
          <w:szCs w:val="22"/>
          <w:lang w:eastAsia="en-US"/>
        </w:rPr>
        <w:t xml:space="preserve">) </w:t>
      </w:r>
      <w:r w:rsidRPr="00632E06">
        <w:rPr>
          <w:rFonts w:ascii="Calibri" w:eastAsia="Calibri" w:hAnsi="Calibri" w:cs="Calibri"/>
          <w:i/>
          <w:iCs/>
          <w:color w:val="auto"/>
          <w:sz w:val="22"/>
          <w:szCs w:val="22"/>
          <w:lang w:eastAsia="en-US"/>
        </w:rPr>
        <w:t xml:space="preserve">The Code of Ethics – Summary July 2014, </w:t>
      </w:r>
      <w:r w:rsidRPr="00632E06">
        <w:rPr>
          <w:rFonts w:ascii="Calibri" w:eastAsia="Calibri" w:hAnsi="Calibri" w:cs="Calibri"/>
          <w:color w:val="auto"/>
          <w:sz w:val="22"/>
          <w:szCs w:val="22"/>
          <w:lang w:eastAsia="en-US"/>
        </w:rPr>
        <w:t xml:space="preserve">Available at: </w:t>
      </w:r>
      <w:hyperlink r:id="rId31" w:history="1">
        <w:r w:rsidRPr="00632E06">
          <w:rPr>
            <w:rFonts w:ascii="Calibri" w:eastAsia="Calibri" w:hAnsi="Calibri" w:cs="Calibri"/>
            <w:color w:val="0563C1"/>
            <w:sz w:val="22"/>
            <w:szCs w:val="22"/>
            <w:u w:val="single"/>
            <w:lang w:eastAsia="en-US"/>
          </w:rPr>
          <w:t>https://assets.college.police.uk/s3fs-public/2021-02/code_of_ethics_summary.pdf</w:t>
        </w:r>
      </w:hyperlink>
      <w:r w:rsidRPr="00632E06">
        <w:rPr>
          <w:rFonts w:ascii="Calibri" w:eastAsia="Calibri" w:hAnsi="Calibri" w:cs="Calibri"/>
          <w:color w:val="auto"/>
          <w:sz w:val="22"/>
          <w:szCs w:val="22"/>
          <w:lang w:eastAsia="en-US"/>
        </w:rPr>
        <w:t xml:space="preserve"> (Accessed: 13 January 2022).</w:t>
      </w:r>
    </w:p>
    <w:p w14:paraId="2E3B784B" w14:textId="77777777"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College of Policing (2015a) </w:t>
      </w:r>
      <w:r w:rsidRPr="00632E06">
        <w:rPr>
          <w:rFonts w:ascii="Calibri" w:eastAsia="Calibri" w:hAnsi="Calibri" w:cs="Calibri"/>
          <w:i/>
          <w:iCs/>
          <w:color w:val="auto"/>
          <w:sz w:val="22"/>
          <w:szCs w:val="22"/>
          <w:lang w:eastAsia="en-US"/>
        </w:rPr>
        <w:t xml:space="preserve">Fair cop 2: Organisational justice, behaviour and ethical policing, </w:t>
      </w:r>
      <w:r w:rsidRPr="00632E06">
        <w:rPr>
          <w:rFonts w:ascii="Calibri" w:eastAsia="Calibri" w:hAnsi="Calibri" w:cs="Calibri"/>
          <w:color w:val="auto"/>
          <w:sz w:val="22"/>
          <w:szCs w:val="22"/>
          <w:lang w:eastAsia="en-US"/>
        </w:rPr>
        <w:t xml:space="preserve">Available at: </w:t>
      </w:r>
      <w:hyperlink r:id="rId32" w:history="1">
        <w:r w:rsidRPr="00632E06">
          <w:rPr>
            <w:rFonts w:ascii="Calibri" w:eastAsia="Calibri" w:hAnsi="Calibri" w:cs="Calibri"/>
            <w:color w:val="0563C1"/>
            <w:sz w:val="22"/>
            <w:szCs w:val="22"/>
            <w:u w:val="single"/>
            <w:lang w:eastAsia="en-US"/>
          </w:rPr>
          <w:t>https://whatworks.college.police.uk/Research/Documents/150317_Fair_cop%202_FINAL_REPORT.pdf</w:t>
        </w:r>
      </w:hyperlink>
      <w:r w:rsidRPr="00632E06">
        <w:rPr>
          <w:rFonts w:ascii="Calibri" w:eastAsia="Calibri" w:hAnsi="Calibri" w:cs="Calibri"/>
          <w:color w:val="auto"/>
          <w:sz w:val="22"/>
          <w:szCs w:val="22"/>
          <w:lang w:eastAsia="en-US"/>
        </w:rPr>
        <w:t xml:space="preserve"> (Accessed: 13 January 2022).   </w:t>
      </w:r>
    </w:p>
    <w:p w14:paraId="3A829F0D" w14:textId="77777777"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lastRenderedPageBreak/>
        <w:t xml:space="preserve">College of Policing (2015b) </w:t>
      </w:r>
      <w:r w:rsidRPr="00632E06">
        <w:rPr>
          <w:rFonts w:ascii="Calibri" w:eastAsia="Calibri" w:hAnsi="Calibri" w:cs="Calibri"/>
          <w:i/>
          <w:iCs/>
          <w:color w:val="auto"/>
          <w:sz w:val="22"/>
          <w:szCs w:val="22"/>
          <w:lang w:eastAsia="en-US"/>
        </w:rPr>
        <w:t>Promoting ethical behaviour and preventing wrongdoing in organisations</w:t>
      </w:r>
      <w:r w:rsidRPr="00632E06">
        <w:rPr>
          <w:rFonts w:ascii="Calibri" w:eastAsia="Calibri" w:hAnsi="Calibri" w:cs="Calibri"/>
          <w:color w:val="auto"/>
          <w:sz w:val="22"/>
          <w:szCs w:val="22"/>
          <w:lang w:eastAsia="en-US"/>
        </w:rPr>
        <w:t xml:space="preserve"> [Internet], Available at: </w:t>
      </w:r>
      <w:hyperlink r:id="rId33" w:history="1">
        <w:r w:rsidRPr="00632E06">
          <w:rPr>
            <w:rFonts w:ascii="Calibri" w:eastAsia="Calibri" w:hAnsi="Calibri" w:cs="Calibri"/>
            <w:color w:val="0563C1"/>
            <w:sz w:val="22"/>
            <w:szCs w:val="22"/>
            <w:u w:val="single"/>
            <w:lang w:eastAsia="en-US"/>
          </w:rPr>
          <w:t>https://whatworks.college.police.uk/Research/Documents/150317_Integrity_REA_FINAL_REPORT.pdf</w:t>
        </w:r>
      </w:hyperlink>
      <w:r w:rsidRPr="00632E06">
        <w:rPr>
          <w:rFonts w:ascii="Calibri" w:eastAsia="Calibri" w:hAnsi="Calibri" w:cs="Calibri"/>
          <w:color w:val="auto"/>
          <w:sz w:val="22"/>
          <w:szCs w:val="22"/>
          <w:lang w:eastAsia="en-US"/>
        </w:rPr>
        <w:t xml:space="preserve"> (Accessed: 25 February 2022).</w:t>
      </w:r>
    </w:p>
    <w:p w14:paraId="401C8C57"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 xml:space="preserve">College of Policing (2021) </w:t>
      </w:r>
      <w:r w:rsidRPr="00632E06">
        <w:rPr>
          <w:rFonts w:ascii="Calibri" w:hAnsi="Calibri" w:cs="Calibri"/>
          <w:i/>
          <w:iCs/>
          <w:sz w:val="22"/>
          <w:szCs w:val="22"/>
        </w:rPr>
        <w:t xml:space="preserve">Spotlight on the evidence: Body-worn Cameras (BWCs) </w:t>
      </w:r>
      <w:r w:rsidRPr="00632E06">
        <w:rPr>
          <w:rFonts w:ascii="Calibri" w:hAnsi="Calibri" w:cs="Calibri"/>
          <w:sz w:val="22"/>
          <w:szCs w:val="22"/>
        </w:rPr>
        <w:t xml:space="preserve">[Internet], Available at: </w:t>
      </w:r>
      <w:hyperlink r:id="rId34" w:history="1">
        <w:r w:rsidRPr="00632E06">
          <w:rPr>
            <w:rFonts w:ascii="Calibri" w:hAnsi="Calibri" w:cs="Calibri"/>
            <w:color w:val="0563C1"/>
            <w:sz w:val="22"/>
            <w:szCs w:val="22"/>
            <w:u w:val="single"/>
          </w:rPr>
          <w:t>https://whatworks.college.police.uk/About/News/Pages/BWC.aspx</w:t>
        </w:r>
      </w:hyperlink>
      <w:r w:rsidRPr="00632E06">
        <w:rPr>
          <w:rFonts w:ascii="Calibri" w:hAnsi="Calibri" w:cs="Calibri"/>
          <w:sz w:val="22"/>
          <w:szCs w:val="22"/>
        </w:rPr>
        <w:t xml:space="preserve"> (Accessed: 18 February 2022).</w:t>
      </w:r>
    </w:p>
    <w:p w14:paraId="2240BE8C"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 xml:space="preserve">College of Policing (2022) </w:t>
      </w:r>
      <w:r w:rsidRPr="00632E06">
        <w:rPr>
          <w:rFonts w:ascii="Calibri" w:hAnsi="Calibri" w:cs="Calibri"/>
          <w:i/>
          <w:iCs/>
          <w:sz w:val="22"/>
          <w:szCs w:val="22"/>
        </w:rPr>
        <w:t xml:space="preserve">Victims’ code for policing, </w:t>
      </w:r>
      <w:r w:rsidRPr="00632E06">
        <w:rPr>
          <w:rFonts w:ascii="Calibri" w:hAnsi="Calibri" w:cs="Calibri"/>
          <w:sz w:val="22"/>
          <w:szCs w:val="22"/>
        </w:rPr>
        <w:t xml:space="preserve">Available at: </w:t>
      </w:r>
      <w:hyperlink r:id="rId35" w:history="1">
        <w:r w:rsidRPr="00632E06">
          <w:rPr>
            <w:rFonts w:ascii="Calibri" w:hAnsi="Calibri" w:cs="Calibri"/>
            <w:color w:val="0563C1"/>
            <w:sz w:val="22"/>
            <w:szCs w:val="22"/>
            <w:u w:val="single"/>
          </w:rPr>
          <w:t>file:///C:/Users/swp6704/Downloads/Victims%20Code%20for%20policing.pdf</w:t>
        </w:r>
      </w:hyperlink>
      <w:r w:rsidRPr="00632E06">
        <w:rPr>
          <w:rFonts w:ascii="Calibri" w:hAnsi="Calibri" w:cs="Calibri"/>
          <w:sz w:val="22"/>
          <w:szCs w:val="22"/>
        </w:rPr>
        <w:t xml:space="preserve"> (Accessed: 21 February 2022). </w:t>
      </w:r>
    </w:p>
    <w:p w14:paraId="6CC310B1" w14:textId="77777777" w:rsidR="00632E06" w:rsidRP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CPS (2018) </w:t>
      </w:r>
      <w:r w:rsidRPr="00632E06">
        <w:rPr>
          <w:rFonts w:ascii="Calibri" w:eastAsia="Calibri" w:hAnsi="Calibri" w:cs="Calibri"/>
          <w:i/>
          <w:iCs/>
          <w:color w:val="auto"/>
          <w:sz w:val="22"/>
          <w:szCs w:val="22"/>
          <w:lang w:eastAsia="en-US"/>
        </w:rPr>
        <w:t xml:space="preserve">Admitting Evidence Under Sections 9 and 10 Criminal Justice Act 1967, </w:t>
      </w:r>
      <w:r w:rsidRPr="00632E06">
        <w:rPr>
          <w:rFonts w:ascii="Calibri" w:eastAsia="Calibri" w:hAnsi="Calibri" w:cs="Calibri"/>
          <w:color w:val="auto"/>
          <w:sz w:val="22"/>
          <w:szCs w:val="22"/>
          <w:lang w:eastAsia="en-US"/>
        </w:rPr>
        <w:t xml:space="preserve">Available at: </w:t>
      </w:r>
      <w:hyperlink r:id="rId36" w:history="1">
        <w:r w:rsidRPr="00632E06">
          <w:rPr>
            <w:rFonts w:ascii="Calibri" w:eastAsia="Calibri" w:hAnsi="Calibri" w:cs="Calibri"/>
            <w:color w:val="0563C1"/>
            <w:sz w:val="22"/>
            <w:szCs w:val="22"/>
            <w:u w:val="single"/>
            <w:lang w:eastAsia="en-US"/>
          </w:rPr>
          <w:t>https://www.cps.gov.uk/legal-guidance/admitting-evidence-under-sections-9-and-10-criminal-justice-act-1967</w:t>
        </w:r>
      </w:hyperlink>
      <w:r w:rsidRPr="00632E06">
        <w:rPr>
          <w:rFonts w:ascii="Calibri" w:eastAsia="Calibri" w:hAnsi="Calibri" w:cs="Calibri"/>
          <w:color w:val="auto"/>
          <w:sz w:val="22"/>
          <w:szCs w:val="22"/>
          <w:lang w:eastAsia="en-US"/>
        </w:rPr>
        <w:t xml:space="preserve"> (Accessed: 29 January 2022).</w:t>
      </w:r>
    </w:p>
    <w:p w14:paraId="2BED6057"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 xml:space="preserve">CPS (2021) </w:t>
      </w:r>
      <w:r w:rsidRPr="00632E06">
        <w:rPr>
          <w:rFonts w:ascii="Calibri" w:hAnsi="Calibri" w:cs="Calibri"/>
          <w:i/>
          <w:iCs/>
          <w:sz w:val="22"/>
          <w:szCs w:val="22"/>
        </w:rPr>
        <w:t xml:space="preserve">Rape and Sexual Offences - Chapter 7: Key Legislation and Offences </w:t>
      </w:r>
      <w:r w:rsidRPr="00632E06">
        <w:rPr>
          <w:rFonts w:ascii="Calibri" w:hAnsi="Calibri" w:cs="Calibri"/>
          <w:sz w:val="22"/>
          <w:szCs w:val="22"/>
        </w:rPr>
        <w:t xml:space="preserve">[Internet], Available at: </w:t>
      </w:r>
      <w:hyperlink r:id="rId37" w:history="1">
        <w:r w:rsidRPr="00632E06">
          <w:rPr>
            <w:rFonts w:ascii="Calibri" w:hAnsi="Calibri" w:cs="Calibri"/>
            <w:color w:val="0563C1"/>
            <w:sz w:val="22"/>
            <w:szCs w:val="22"/>
            <w:u w:val="single"/>
          </w:rPr>
          <w:t>https://www.cps.gov.uk/legal-guidance/rape-and-sexual-offences-chapter-7-key-legislation-and-offences</w:t>
        </w:r>
      </w:hyperlink>
      <w:r w:rsidRPr="00632E06">
        <w:rPr>
          <w:rFonts w:ascii="Calibri" w:hAnsi="Calibri" w:cs="Calibri"/>
          <w:sz w:val="22"/>
          <w:szCs w:val="22"/>
        </w:rPr>
        <w:t xml:space="preserve"> (Accessed: 21 February 2022). </w:t>
      </w:r>
    </w:p>
    <w:p w14:paraId="4C95C6AA" w14:textId="77777777"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i/>
          <w:iCs/>
          <w:color w:val="auto"/>
          <w:sz w:val="22"/>
          <w:szCs w:val="22"/>
          <w:lang w:eastAsia="en-US"/>
        </w:rPr>
        <w:t xml:space="preserve">Criminal Justice Act 1988, </w:t>
      </w:r>
      <w:r w:rsidRPr="00632E06">
        <w:rPr>
          <w:rFonts w:ascii="Calibri" w:eastAsia="Calibri" w:hAnsi="Calibri" w:cs="Calibri"/>
          <w:color w:val="auto"/>
          <w:sz w:val="22"/>
          <w:szCs w:val="22"/>
          <w:lang w:eastAsia="en-US"/>
        </w:rPr>
        <w:t xml:space="preserve">c, 39, Available at: </w:t>
      </w:r>
      <w:hyperlink r:id="rId38" w:history="1">
        <w:r w:rsidRPr="00632E06">
          <w:rPr>
            <w:rFonts w:ascii="Calibri" w:eastAsia="Calibri" w:hAnsi="Calibri" w:cs="Calibri"/>
            <w:color w:val="0563C1"/>
            <w:sz w:val="22"/>
            <w:szCs w:val="22"/>
            <w:u w:val="single"/>
            <w:lang w:eastAsia="en-US"/>
          </w:rPr>
          <w:t>https://www.legislation.gov.uk/ukpga/1988/33/section/39</w:t>
        </w:r>
      </w:hyperlink>
      <w:r w:rsidRPr="00632E06">
        <w:rPr>
          <w:rFonts w:ascii="Calibri" w:eastAsia="Calibri" w:hAnsi="Calibri" w:cs="Calibri"/>
          <w:color w:val="auto"/>
          <w:sz w:val="22"/>
          <w:szCs w:val="22"/>
          <w:lang w:eastAsia="en-US"/>
        </w:rPr>
        <w:t xml:space="preserve"> (Accessed: 21 January 2022).</w:t>
      </w:r>
    </w:p>
    <w:p w14:paraId="28F35887" w14:textId="77777777" w:rsidR="00632E06" w:rsidRP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Dash Risk Model (2022) </w:t>
      </w:r>
      <w:r w:rsidRPr="00632E06">
        <w:rPr>
          <w:rFonts w:ascii="Calibri" w:eastAsia="Calibri" w:hAnsi="Calibri" w:cs="Calibri"/>
          <w:i/>
          <w:iCs/>
          <w:color w:val="auto"/>
          <w:sz w:val="22"/>
          <w:szCs w:val="22"/>
          <w:lang w:eastAsia="en-US"/>
        </w:rPr>
        <w:t xml:space="preserve">DASH RISK MODEL, </w:t>
      </w:r>
      <w:r w:rsidRPr="00632E06">
        <w:rPr>
          <w:rFonts w:ascii="Calibri" w:eastAsia="Calibri" w:hAnsi="Calibri" w:cs="Calibri"/>
          <w:color w:val="auto"/>
          <w:sz w:val="22"/>
          <w:szCs w:val="22"/>
          <w:lang w:eastAsia="en-US"/>
        </w:rPr>
        <w:t xml:space="preserve">[Internet] Available at: </w:t>
      </w:r>
      <w:hyperlink r:id="rId39" w:history="1">
        <w:r w:rsidRPr="00632E06">
          <w:rPr>
            <w:rFonts w:ascii="Calibri" w:eastAsia="Calibri" w:hAnsi="Calibri" w:cs="Calibri"/>
            <w:color w:val="0563C1"/>
            <w:sz w:val="22"/>
            <w:szCs w:val="22"/>
            <w:u w:val="single"/>
            <w:lang w:eastAsia="en-US"/>
          </w:rPr>
          <w:t>https://www.dashriskchecklist.co.uk/</w:t>
        </w:r>
      </w:hyperlink>
      <w:r w:rsidRPr="00632E06">
        <w:rPr>
          <w:rFonts w:ascii="Calibri" w:eastAsia="Calibri" w:hAnsi="Calibri" w:cs="Calibri"/>
          <w:color w:val="auto"/>
          <w:sz w:val="22"/>
          <w:szCs w:val="22"/>
          <w:lang w:eastAsia="en-US"/>
        </w:rPr>
        <w:t xml:space="preserve"> (Accessed: 29 January 2022). </w:t>
      </w:r>
    </w:p>
    <w:p w14:paraId="1A97F4AF" w14:textId="77777777"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Farrar, T. (2013) </w:t>
      </w:r>
      <w:r w:rsidRPr="00632E06">
        <w:rPr>
          <w:rFonts w:ascii="Calibri" w:eastAsia="Calibri" w:hAnsi="Calibri" w:cs="Calibri"/>
          <w:i/>
          <w:iCs/>
          <w:color w:val="auto"/>
          <w:sz w:val="22"/>
          <w:szCs w:val="22"/>
          <w:lang w:eastAsia="en-US"/>
        </w:rPr>
        <w:t xml:space="preserve">Self-awareness to being watched and socially-desirable behavior: A field experiment on the effect of body-worn cameras on police use-of-force, </w:t>
      </w:r>
      <w:r w:rsidRPr="00632E06">
        <w:rPr>
          <w:rFonts w:ascii="Calibri" w:eastAsia="Calibri" w:hAnsi="Calibri" w:cs="Calibri"/>
          <w:color w:val="auto"/>
          <w:sz w:val="22"/>
          <w:szCs w:val="22"/>
          <w:lang w:eastAsia="en-US"/>
        </w:rPr>
        <w:t xml:space="preserve">Available at: </w:t>
      </w:r>
      <w:hyperlink r:id="rId40" w:history="1">
        <w:r w:rsidRPr="00632E06">
          <w:rPr>
            <w:rFonts w:ascii="Calibri" w:eastAsia="Calibri" w:hAnsi="Calibri" w:cs="Calibri"/>
            <w:color w:val="0563C1"/>
            <w:sz w:val="22"/>
            <w:szCs w:val="22"/>
            <w:u w:val="single"/>
            <w:lang w:eastAsia="en-US"/>
          </w:rPr>
          <w:t>https://www.policefoundation.org/wp-content/uploads/2015/06/The-Effect-of-Body-Worn-Cameras-on-Police-Use-of-Force.pdf</w:t>
        </w:r>
      </w:hyperlink>
      <w:r w:rsidRPr="00632E06">
        <w:rPr>
          <w:rFonts w:ascii="Calibri" w:eastAsia="Calibri" w:hAnsi="Calibri" w:cs="Calibri"/>
          <w:color w:val="auto"/>
          <w:sz w:val="22"/>
          <w:szCs w:val="22"/>
          <w:lang w:eastAsia="en-US"/>
        </w:rPr>
        <w:t xml:space="preserve"> (Accessed: 25 February 2022).</w:t>
      </w:r>
    </w:p>
    <w:p w14:paraId="5292958B" w14:textId="77777777"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Gov.uk (2014) </w:t>
      </w:r>
      <w:r w:rsidRPr="00632E06">
        <w:rPr>
          <w:rFonts w:ascii="Calibri" w:eastAsia="Calibri" w:hAnsi="Calibri" w:cs="Calibri"/>
          <w:i/>
          <w:iCs/>
          <w:color w:val="auto"/>
          <w:sz w:val="22"/>
          <w:szCs w:val="22"/>
          <w:lang w:eastAsia="en-US"/>
        </w:rPr>
        <w:t xml:space="preserve">Code of Ethics launched, </w:t>
      </w:r>
      <w:r w:rsidRPr="00632E06">
        <w:rPr>
          <w:rFonts w:ascii="Calibri" w:eastAsia="Calibri" w:hAnsi="Calibri" w:cs="Calibri"/>
          <w:color w:val="auto"/>
          <w:sz w:val="22"/>
          <w:szCs w:val="22"/>
          <w:lang w:eastAsia="en-US"/>
        </w:rPr>
        <w:t xml:space="preserve">[Internet] Available at: </w:t>
      </w:r>
      <w:hyperlink r:id="rId41" w:history="1">
        <w:r w:rsidRPr="00632E06">
          <w:rPr>
            <w:rFonts w:ascii="Calibri" w:eastAsia="Calibri" w:hAnsi="Calibri" w:cs="Calibri"/>
            <w:color w:val="0563C1"/>
            <w:sz w:val="22"/>
            <w:szCs w:val="22"/>
            <w:u w:val="single"/>
            <w:lang w:eastAsia="en-US"/>
          </w:rPr>
          <w:t>file://swp-rest.police.int/data/home/swp6704/Documents/University/Essay%20help%20documents/Harvard-eng_v.1.2.pdf</w:t>
        </w:r>
      </w:hyperlink>
      <w:r w:rsidRPr="00632E06">
        <w:rPr>
          <w:rFonts w:ascii="Calibri" w:eastAsia="Calibri" w:hAnsi="Calibri" w:cs="Calibri"/>
          <w:color w:val="auto"/>
          <w:sz w:val="22"/>
          <w:szCs w:val="22"/>
          <w:lang w:eastAsia="en-US"/>
        </w:rPr>
        <w:t xml:space="preserve"> (Accessed: 13 January 2022). </w:t>
      </w:r>
    </w:p>
    <w:p w14:paraId="5C7FE9A2" w14:textId="77777777" w:rsidR="00632E06" w:rsidRP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Gov.uk (2021) </w:t>
      </w:r>
      <w:r w:rsidRPr="00632E06">
        <w:rPr>
          <w:rFonts w:ascii="Calibri" w:eastAsia="Calibri" w:hAnsi="Calibri" w:cs="Calibri"/>
          <w:i/>
          <w:iCs/>
          <w:color w:val="auto"/>
          <w:sz w:val="22"/>
          <w:szCs w:val="22"/>
          <w:lang w:eastAsia="en-US"/>
        </w:rPr>
        <w:t xml:space="preserve">Police powers: pre-charge bail overview of the evidence, </w:t>
      </w:r>
      <w:r w:rsidRPr="00632E06">
        <w:rPr>
          <w:rFonts w:ascii="Calibri" w:eastAsia="Calibri" w:hAnsi="Calibri" w:cs="Calibri"/>
          <w:color w:val="auto"/>
          <w:sz w:val="22"/>
          <w:szCs w:val="22"/>
          <w:lang w:eastAsia="en-US"/>
        </w:rPr>
        <w:t xml:space="preserve">[Internet] Available at: </w:t>
      </w:r>
      <w:hyperlink r:id="rId42" w:history="1">
        <w:r w:rsidRPr="00632E06">
          <w:rPr>
            <w:rFonts w:ascii="Calibri" w:eastAsia="Calibri" w:hAnsi="Calibri" w:cs="Calibri"/>
            <w:color w:val="0563C1"/>
            <w:sz w:val="22"/>
            <w:szCs w:val="22"/>
            <w:u w:val="single"/>
            <w:lang w:eastAsia="en-US"/>
          </w:rPr>
          <w:t>https://www.gov.uk/government/consultations/police-powers-pre-charge-bail/outcome/police-powers-pre-charge-bail-overview-of-the-evidence-accessible</w:t>
        </w:r>
      </w:hyperlink>
      <w:r w:rsidRPr="00632E06">
        <w:rPr>
          <w:rFonts w:ascii="Calibri" w:eastAsia="Calibri" w:hAnsi="Calibri" w:cs="Calibri"/>
          <w:color w:val="auto"/>
          <w:sz w:val="22"/>
          <w:szCs w:val="22"/>
          <w:lang w:eastAsia="en-US"/>
        </w:rPr>
        <w:t xml:space="preserve"> (Accessed: 29 January 2022).</w:t>
      </w:r>
    </w:p>
    <w:p w14:paraId="3232DA86"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HMICFRS (2014) </w:t>
      </w:r>
      <w:r w:rsidRPr="00632E06">
        <w:rPr>
          <w:rFonts w:ascii="Calibri" w:eastAsia="Calibri" w:hAnsi="Calibri" w:cs="Calibri"/>
          <w:i/>
          <w:iCs/>
          <w:color w:val="auto"/>
          <w:sz w:val="22"/>
          <w:szCs w:val="22"/>
          <w:lang w:eastAsia="en-US"/>
        </w:rPr>
        <w:t xml:space="preserve">South Wales Police’s approach to tackling domestic abuse, </w:t>
      </w:r>
      <w:r w:rsidRPr="00632E06">
        <w:rPr>
          <w:rFonts w:ascii="Calibri" w:eastAsia="Calibri" w:hAnsi="Calibri" w:cs="Calibri"/>
          <w:color w:val="auto"/>
          <w:sz w:val="22"/>
          <w:szCs w:val="22"/>
          <w:lang w:eastAsia="en-US"/>
        </w:rPr>
        <w:t xml:space="preserve">[Internet] Available at: </w:t>
      </w:r>
      <w:hyperlink r:id="rId43" w:history="1">
        <w:r w:rsidRPr="00632E06">
          <w:rPr>
            <w:rFonts w:ascii="Calibri" w:eastAsia="Calibri" w:hAnsi="Calibri" w:cs="Calibri"/>
            <w:color w:val="0563C1"/>
            <w:sz w:val="22"/>
            <w:szCs w:val="22"/>
            <w:u w:val="single"/>
            <w:lang w:eastAsia="en-US"/>
          </w:rPr>
          <w:t>https://www.justiceinspectorates.gov.uk/hmicfrs/wp-content/uploads/2014/03/south-wales-approach-to-tackling-domestic-abuse.pdf</w:t>
        </w:r>
      </w:hyperlink>
      <w:r w:rsidRPr="00632E06">
        <w:rPr>
          <w:rFonts w:ascii="Calibri" w:eastAsia="Calibri" w:hAnsi="Calibri" w:cs="Calibri"/>
          <w:color w:val="auto"/>
          <w:sz w:val="22"/>
          <w:szCs w:val="22"/>
          <w:lang w:eastAsia="en-US"/>
        </w:rPr>
        <w:t xml:space="preserve"> (Accessed: 15 February 2022). </w:t>
      </w:r>
    </w:p>
    <w:p w14:paraId="4D5F786D"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 xml:space="preserve">HMICFRS (2015a) </w:t>
      </w:r>
      <w:r w:rsidRPr="00632E06">
        <w:rPr>
          <w:rFonts w:ascii="Calibri" w:hAnsi="Calibri" w:cs="Calibri"/>
          <w:i/>
          <w:iCs/>
          <w:sz w:val="22"/>
          <w:szCs w:val="22"/>
        </w:rPr>
        <w:t xml:space="preserve">In harm's way: The role of the police in keeping children safe, </w:t>
      </w:r>
      <w:r w:rsidRPr="00632E06">
        <w:rPr>
          <w:rFonts w:ascii="Calibri" w:hAnsi="Calibri" w:cs="Calibri"/>
          <w:sz w:val="22"/>
          <w:szCs w:val="22"/>
        </w:rPr>
        <w:t xml:space="preserve">Available at: </w:t>
      </w:r>
      <w:hyperlink r:id="rId44" w:history="1">
        <w:r w:rsidRPr="00632E06">
          <w:rPr>
            <w:rFonts w:ascii="Calibri" w:hAnsi="Calibri" w:cs="Calibri"/>
            <w:color w:val="0563C1"/>
            <w:sz w:val="22"/>
            <w:szCs w:val="22"/>
            <w:u w:val="single"/>
          </w:rPr>
          <w:t>https://www.justiceinspectorates.gov.uk/hmicfrs/wp-content/uploads/in-harms-way.pdf</w:t>
        </w:r>
      </w:hyperlink>
      <w:r w:rsidRPr="00632E06">
        <w:rPr>
          <w:rFonts w:ascii="Calibri" w:hAnsi="Calibri" w:cs="Calibri"/>
          <w:sz w:val="22"/>
          <w:szCs w:val="22"/>
        </w:rPr>
        <w:t xml:space="preserve"> (Accessed: 21 February 2022).</w:t>
      </w:r>
    </w:p>
    <w:p w14:paraId="629BCBEE"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lastRenderedPageBreak/>
        <w:t xml:space="preserve">HMICFRS (2015b) </w:t>
      </w:r>
      <w:r w:rsidRPr="00632E06">
        <w:rPr>
          <w:rFonts w:ascii="Calibri" w:hAnsi="Calibri" w:cs="Calibri"/>
          <w:i/>
          <w:iCs/>
          <w:sz w:val="22"/>
          <w:szCs w:val="22"/>
        </w:rPr>
        <w:t xml:space="preserve">PEEL: Police effectiveness 2015 (Vulnerability), </w:t>
      </w:r>
      <w:r w:rsidRPr="00632E06">
        <w:rPr>
          <w:rFonts w:ascii="Calibri" w:hAnsi="Calibri" w:cs="Calibri"/>
          <w:sz w:val="22"/>
          <w:szCs w:val="22"/>
        </w:rPr>
        <w:t xml:space="preserve">Available at: </w:t>
      </w:r>
      <w:hyperlink r:id="rId45" w:history="1">
        <w:r w:rsidRPr="00632E06">
          <w:rPr>
            <w:rFonts w:ascii="Calibri" w:hAnsi="Calibri" w:cs="Calibri"/>
            <w:color w:val="0563C1"/>
            <w:sz w:val="22"/>
            <w:szCs w:val="22"/>
            <w:u w:val="single"/>
          </w:rPr>
          <w:t>https://www.justiceinspectorates.gov.uk/hmicfrs/wp-content/uploads/police-effectiveness-vulnerability-2015-south-wales.pdf</w:t>
        </w:r>
      </w:hyperlink>
      <w:r w:rsidRPr="00632E06">
        <w:rPr>
          <w:rFonts w:ascii="Calibri" w:hAnsi="Calibri" w:cs="Calibri"/>
          <w:sz w:val="22"/>
          <w:szCs w:val="22"/>
        </w:rPr>
        <w:t xml:space="preserve"> (Accessed: 22 February 2022). </w:t>
      </w:r>
    </w:p>
    <w:p w14:paraId="0DEB5D9A" w14:textId="59CEC94E"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 xml:space="preserve">Home Office (2022) </w:t>
      </w:r>
      <w:r w:rsidRPr="00632E06">
        <w:rPr>
          <w:rFonts w:ascii="Calibri" w:hAnsi="Calibri" w:cs="Calibri"/>
          <w:i/>
          <w:iCs/>
          <w:sz w:val="22"/>
          <w:szCs w:val="22"/>
        </w:rPr>
        <w:t xml:space="preserve">National ANPR Standards for Policing and Law Enforcement, </w:t>
      </w:r>
      <w:r w:rsidRPr="00632E06">
        <w:rPr>
          <w:rFonts w:ascii="Calibri" w:hAnsi="Calibri" w:cs="Calibri"/>
          <w:sz w:val="22"/>
          <w:szCs w:val="22"/>
        </w:rPr>
        <w:t xml:space="preserve">Available at: </w:t>
      </w:r>
      <w:hyperlink r:id="rId46" w:history="1">
        <w:r w:rsidRPr="00632E06">
          <w:rPr>
            <w:rFonts w:ascii="Calibri" w:hAnsi="Calibri" w:cs="Calibri"/>
            <w:color w:val="0563C1"/>
            <w:sz w:val="22"/>
            <w:szCs w:val="22"/>
            <w:u w:val="single"/>
          </w:rPr>
          <w:t>https://assets.publishing.service.gov.uk/government/uploads/system/uploads/attachment_data/file/1048914/</w:t>
        </w:r>
        <w:r w:rsidRPr="00632E06">
          <w:rPr>
            <w:rFonts w:ascii="Calibri" w:hAnsi="Calibri" w:cs="Calibri"/>
            <w:color w:val="0563C1"/>
            <w:sz w:val="22"/>
            <w:szCs w:val="22"/>
            <w:u w:val="single"/>
          </w:rPr>
          <w:t>N</w:t>
        </w:r>
        <w:r w:rsidRPr="00632E06">
          <w:rPr>
            <w:rFonts w:ascii="Calibri" w:hAnsi="Calibri" w:cs="Calibri"/>
            <w:color w:val="0563C1"/>
            <w:sz w:val="22"/>
            <w:szCs w:val="22"/>
            <w:u w:val="single"/>
          </w:rPr>
          <w:t>ASPLE_Version_2.3_January_2022.pdf</w:t>
        </w:r>
      </w:hyperlink>
      <w:r w:rsidRPr="00632E06">
        <w:rPr>
          <w:rFonts w:ascii="Calibri" w:hAnsi="Calibri" w:cs="Calibri"/>
          <w:sz w:val="22"/>
          <w:szCs w:val="22"/>
        </w:rPr>
        <w:t xml:space="preserve"> (Accessed: 19 February 2022). </w:t>
      </w:r>
    </w:p>
    <w:p w14:paraId="1972A541" w14:textId="77777777"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House of Commons Health Committee (2003) </w:t>
      </w:r>
      <w:r w:rsidRPr="00632E06">
        <w:rPr>
          <w:rFonts w:ascii="Calibri" w:eastAsia="Calibri" w:hAnsi="Calibri" w:cs="Calibri"/>
          <w:i/>
          <w:iCs/>
          <w:color w:val="auto"/>
          <w:sz w:val="22"/>
          <w:szCs w:val="22"/>
          <w:lang w:eastAsia="en-US"/>
        </w:rPr>
        <w:t xml:space="preserve">The Victoria Climbié Inquiry Report, </w:t>
      </w:r>
      <w:r w:rsidRPr="00632E06">
        <w:rPr>
          <w:rFonts w:ascii="Calibri" w:eastAsia="Calibri" w:hAnsi="Calibri" w:cs="Calibri"/>
          <w:color w:val="auto"/>
          <w:sz w:val="22"/>
          <w:szCs w:val="22"/>
          <w:lang w:eastAsia="en-US"/>
        </w:rPr>
        <w:t xml:space="preserve">Available at: </w:t>
      </w:r>
      <w:hyperlink r:id="rId47" w:history="1">
        <w:r w:rsidRPr="00632E06">
          <w:rPr>
            <w:rFonts w:ascii="Calibri" w:eastAsia="Calibri" w:hAnsi="Calibri" w:cs="Calibri"/>
            <w:color w:val="0563C1"/>
            <w:sz w:val="22"/>
            <w:szCs w:val="22"/>
            <w:u w:val="single"/>
            <w:lang w:eastAsia="en-US"/>
          </w:rPr>
          <w:t>https://publications.parliament.uk/pa/cm200203/cmselect/cmhealth/570/570.pdf</w:t>
        </w:r>
      </w:hyperlink>
      <w:r w:rsidRPr="00632E06">
        <w:rPr>
          <w:rFonts w:ascii="Calibri" w:eastAsia="Calibri" w:hAnsi="Calibri" w:cs="Calibri"/>
          <w:color w:val="auto"/>
          <w:sz w:val="22"/>
          <w:szCs w:val="22"/>
          <w:lang w:eastAsia="en-US"/>
        </w:rPr>
        <w:t xml:space="preserve"> (Accessed: 28 February 2022). </w:t>
      </w:r>
    </w:p>
    <w:p w14:paraId="5E3A6CF4"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 xml:space="preserve">Independent Inquiry Child Sexual Abuse (n.d.) </w:t>
      </w:r>
      <w:r w:rsidRPr="00632E06">
        <w:rPr>
          <w:rFonts w:ascii="Calibri" w:hAnsi="Calibri" w:cs="Calibri"/>
          <w:i/>
          <w:iCs/>
          <w:sz w:val="22"/>
          <w:szCs w:val="22"/>
        </w:rPr>
        <w:t xml:space="preserve">3.2 The effects of child sexual abuse </w:t>
      </w:r>
      <w:r w:rsidRPr="00632E06">
        <w:rPr>
          <w:rFonts w:ascii="Calibri" w:hAnsi="Calibri" w:cs="Calibri"/>
          <w:sz w:val="22"/>
          <w:szCs w:val="22"/>
        </w:rPr>
        <w:t xml:space="preserve">[Internet], Available at: </w:t>
      </w:r>
      <w:hyperlink r:id="rId48" w:history="1">
        <w:r w:rsidRPr="00632E06">
          <w:rPr>
            <w:rFonts w:ascii="Calibri" w:hAnsi="Calibri" w:cs="Calibri"/>
            <w:color w:val="0563C1"/>
            <w:sz w:val="22"/>
            <w:szCs w:val="22"/>
            <w:u w:val="single"/>
          </w:rPr>
          <w:t>https://www.iicsa.org.uk/reports-recommendations/publications/inquiry/interim/nature-effects-child-sexual-abuse/effects-child-sexual-abuse</w:t>
        </w:r>
      </w:hyperlink>
      <w:r w:rsidRPr="00632E06">
        <w:rPr>
          <w:rFonts w:ascii="Calibri" w:hAnsi="Calibri" w:cs="Calibri"/>
          <w:sz w:val="22"/>
          <w:szCs w:val="22"/>
        </w:rPr>
        <w:t xml:space="preserve"> (Accessed: 22 February 2022).</w:t>
      </w:r>
    </w:p>
    <w:p w14:paraId="0272AB47" w14:textId="77777777" w:rsidR="00632E06" w:rsidRP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Live Fear Free (n.d.) </w:t>
      </w:r>
      <w:r w:rsidRPr="00632E06">
        <w:rPr>
          <w:rFonts w:ascii="Calibri" w:eastAsia="Calibri" w:hAnsi="Calibri" w:cs="Calibri"/>
          <w:i/>
          <w:iCs/>
          <w:color w:val="auto"/>
          <w:sz w:val="22"/>
          <w:szCs w:val="22"/>
          <w:lang w:eastAsia="en-US"/>
        </w:rPr>
        <w:t xml:space="preserve">Domestic abuse, </w:t>
      </w:r>
      <w:r w:rsidRPr="00632E06">
        <w:rPr>
          <w:rFonts w:ascii="Calibri" w:eastAsia="Calibri" w:hAnsi="Calibri" w:cs="Calibri"/>
          <w:color w:val="auto"/>
          <w:sz w:val="22"/>
          <w:szCs w:val="22"/>
          <w:lang w:eastAsia="en-US"/>
        </w:rPr>
        <w:t xml:space="preserve">[Internet] Available at: </w:t>
      </w:r>
      <w:hyperlink r:id="rId49" w:history="1">
        <w:r w:rsidRPr="00632E06">
          <w:rPr>
            <w:rFonts w:ascii="Calibri" w:eastAsia="Calibri" w:hAnsi="Calibri" w:cs="Calibri"/>
            <w:color w:val="0563C1"/>
            <w:sz w:val="22"/>
            <w:szCs w:val="22"/>
            <w:u w:val="single"/>
            <w:lang w:eastAsia="en-US"/>
          </w:rPr>
          <w:t>https://gov.wales/live-fear-free/domestic-abuse-wales</w:t>
        </w:r>
      </w:hyperlink>
      <w:r w:rsidRPr="00632E06">
        <w:rPr>
          <w:rFonts w:ascii="Calibri" w:eastAsia="Calibri" w:hAnsi="Calibri" w:cs="Calibri"/>
          <w:color w:val="auto"/>
          <w:sz w:val="22"/>
          <w:szCs w:val="22"/>
          <w:lang w:eastAsia="en-US"/>
        </w:rPr>
        <w:t xml:space="preserve"> (Accessed: 15 February 2022). </w:t>
      </w:r>
    </w:p>
    <w:p w14:paraId="04218615"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 xml:space="preserve">Ministry of Justice (2011) </w:t>
      </w:r>
      <w:r w:rsidRPr="00632E06">
        <w:rPr>
          <w:rFonts w:ascii="Calibri" w:hAnsi="Calibri" w:cs="Calibri"/>
          <w:i/>
          <w:iCs/>
          <w:sz w:val="22"/>
          <w:szCs w:val="22"/>
        </w:rPr>
        <w:t xml:space="preserve">Achieving Best Evidence in Criminal Proceedings, </w:t>
      </w:r>
      <w:r w:rsidRPr="00632E06">
        <w:rPr>
          <w:rFonts w:ascii="Calibri" w:hAnsi="Calibri" w:cs="Calibri"/>
          <w:sz w:val="22"/>
          <w:szCs w:val="22"/>
        </w:rPr>
        <w:t xml:space="preserve">Available at: </w:t>
      </w:r>
      <w:hyperlink r:id="rId50" w:history="1">
        <w:r w:rsidRPr="00632E06">
          <w:rPr>
            <w:rFonts w:ascii="Calibri" w:hAnsi="Calibri" w:cs="Calibri"/>
            <w:color w:val="0563C1"/>
            <w:sz w:val="22"/>
            <w:szCs w:val="22"/>
            <w:u w:val="single"/>
          </w:rPr>
          <w:t>https://www.cps.gov.uk/sites/default/files/documents/legal_guidance/best_evidence_in_criminal_proceedings.pdf</w:t>
        </w:r>
      </w:hyperlink>
      <w:r w:rsidRPr="00632E06">
        <w:rPr>
          <w:rFonts w:ascii="Calibri" w:hAnsi="Calibri" w:cs="Calibri"/>
          <w:sz w:val="22"/>
          <w:szCs w:val="22"/>
        </w:rPr>
        <w:t xml:space="preserve"> (Accessed: 21 February 2022). </w:t>
      </w:r>
    </w:p>
    <w:p w14:paraId="15218B75"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 xml:space="preserve">Ministry of Justice (2015) Code of Practice for Victims of Crime, Available at: </w:t>
      </w:r>
      <w:hyperlink r:id="rId51" w:history="1">
        <w:r w:rsidRPr="00632E06">
          <w:rPr>
            <w:rFonts w:ascii="Calibri" w:hAnsi="Calibri" w:cs="Calibri"/>
            <w:color w:val="0563C1"/>
            <w:sz w:val="22"/>
            <w:szCs w:val="22"/>
            <w:u w:val="single"/>
          </w:rPr>
          <w:t>https://www.cps.gov.uk/sites/default/files/documents/legal_guidance/OD_000049.pdf</w:t>
        </w:r>
      </w:hyperlink>
      <w:r w:rsidRPr="00632E06">
        <w:rPr>
          <w:rFonts w:ascii="Calibri" w:hAnsi="Calibri" w:cs="Calibri"/>
          <w:sz w:val="22"/>
          <w:szCs w:val="22"/>
        </w:rPr>
        <w:t xml:space="preserve"> (Accessed: 21 February 2022). </w:t>
      </w:r>
    </w:p>
    <w:p w14:paraId="0171AA0F" w14:textId="77777777" w:rsidR="00632E06" w:rsidRP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Ministry of Justice (2020) </w:t>
      </w:r>
      <w:r w:rsidRPr="00632E06">
        <w:rPr>
          <w:rFonts w:ascii="Calibri" w:eastAsia="Calibri" w:hAnsi="Calibri" w:cs="Calibri"/>
          <w:i/>
          <w:iCs/>
          <w:color w:val="auto"/>
          <w:sz w:val="22"/>
          <w:szCs w:val="22"/>
          <w:lang w:eastAsia="en-US"/>
        </w:rPr>
        <w:t xml:space="preserve">Code of Practice for Victims of Crime in England and Wales, </w:t>
      </w:r>
      <w:r w:rsidRPr="00632E06">
        <w:rPr>
          <w:rFonts w:ascii="Calibri" w:eastAsia="Calibri" w:hAnsi="Calibri" w:cs="Calibri"/>
          <w:color w:val="auto"/>
          <w:sz w:val="22"/>
          <w:szCs w:val="22"/>
          <w:lang w:eastAsia="en-US"/>
        </w:rPr>
        <w:t xml:space="preserve">Available at: </w:t>
      </w:r>
      <w:hyperlink r:id="rId52" w:history="1">
        <w:r w:rsidRPr="00632E06">
          <w:rPr>
            <w:rFonts w:ascii="Calibri" w:eastAsia="Calibri" w:hAnsi="Calibri" w:cs="Calibri"/>
            <w:color w:val="0563C1"/>
            <w:sz w:val="22"/>
            <w:szCs w:val="22"/>
            <w:u w:val="single"/>
            <w:lang w:eastAsia="en-US"/>
          </w:rPr>
          <w:t>https://assets.publishing.se</w:t>
        </w:r>
        <w:r w:rsidRPr="00632E06">
          <w:rPr>
            <w:rFonts w:ascii="Calibri" w:eastAsia="Calibri" w:hAnsi="Calibri" w:cs="Calibri"/>
            <w:color w:val="0563C1"/>
            <w:sz w:val="22"/>
            <w:szCs w:val="22"/>
            <w:u w:val="single"/>
            <w:lang w:eastAsia="en-US"/>
          </w:rPr>
          <w:t>r</w:t>
        </w:r>
        <w:r w:rsidRPr="00632E06">
          <w:rPr>
            <w:rFonts w:ascii="Calibri" w:eastAsia="Calibri" w:hAnsi="Calibri" w:cs="Calibri"/>
            <w:color w:val="0563C1"/>
            <w:sz w:val="22"/>
            <w:szCs w:val="22"/>
            <w:u w:val="single"/>
            <w:lang w:eastAsia="en-US"/>
          </w:rPr>
          <w:t>vice.gov.uk/government/uploads/system/uploads/attachment_data/file/974376/victims-code-2020.pdf</w:t>
        </w:r>
      </w:hyperlink>
      <w:r w:rsidRPr="00632E06">
        <w:rPr>
          <w:rFonts w:ascii="Calibri" w:eastAsia="Calibri" w:hAnsi="Calibri" w:cs="Calibri"/>
          <w:color w:val="auto"/>
          <w:sz w:val="22"/>
          <w:szCs w:val="22"/>
          <w:lang w:eastAsia="en-US"/>
        </w:rPr>
        <w:t xml:space="preserve"> (Accessed: 29 January 2022).  </w:t>
      </w:r>
    </w:p>
    <w:p w14:paraId="0095AE1C" w14:textId="6D0D9996"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NSPCC (2022</w:t>
      </w:r>
      <w:r w:rsidR="00E774C7">
        <w:rPr>
          <w:rFonts w:ascii="Calibri" w:hAnsi="Calibri" w:cs="Calibri"/>
          <w:sz w:val="22"/>
          <w:szCs w:val="22"/>
        </w:rPr>
        <w:t>a</w:t>
      </w:r>
      <w:r w:rsidRPr="00632E06">
        <w:rPr>
          <w:rFonts w:ascii="Calibri" w:hAnsi="Calibri" w:cs="Calibri"/>
          <w:sz w:val="22"/>
          <w:szCs w:val="22"/>
        </w:rPr>
        <w:t xml:space="preserve">) </w:t>
      </w:r>
      <w:r w:rsidRPr="00632E06">
        <w:rPr>
          <w:rFonts w:ascii="Calibri" w:hAnsi="Calibri" w:cs="Calibri"/>
          <w:i/>
          <w:iCs/>
          <w:sz w:val="22"/>
          <w:szCs w:val="22"/>
        </w:rPr>
        <w:t xml:space="preserve">Lonely children are twice as likely to be groomed online </w:t>
      </w:r>
      <w:r w:rsidRPr="00632E06">
        <w:rPr>
          <w:rFonts w:ascii="Calibri" w:hAnsi="Calibri" w:cs="Calibri"/>
          <w:sz w:val="22"/>
          <w:szCs w:val="22"/>
        </w:rPr>
        <w:t xml:space="preserve">[Internet], Available at: </w:t>
      </w:r>
      <w:hyperlink r:id="rId53" w:history="1">
        <w:r w:rsidRPr="00632E06">
          <w:rPr>
            <w:rFonts w:ascii="Calibri" w:hAnsi="Calibri" w:cs="Calibri"/>
            <w:color w:val="0563C1"/>
            <w:sz w:val="22"/>
            <w:szCs w:val="22"/>
            <w:u w:val="single"/>
          </w:rPr>
          <w:t>https://www.nspcc.org.uk/about-us/news-opinion/2020/coronavirus-children-groomed-online/</w:t>
        </w:r>
      </w:hyperlink>
      <w:r w:rsidRPr="00632E06">
        <w:rPr>
          <w:rFonts w:ascii="Calibri" w:hAnsi="Calibri" w:cs="Calibri"/>
          <w:sz w:val="22"/>
          <w:szCs w:val="22"/>
        </w:rPr>
        <w:t xml:space="preserve"> (Accessed: 22 February 2022). </w:t>
      </w:r>
    </w:p>
    <w:p w14:paraId="0945258B" w14:textId="3DCA110B"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NSPCC (2022</w:t>
      </w:r>
      <w:r w:rsidR="00E774C7">
        <w:rPr>
          <w:rFonts w:ascii="Calibri" w:eastAsia="Calibri" w:hAnsi="Calibri" w:cs="Calibri"/>
          <w:color w:val="auto"/>
          <w:sz w:val="22"/>
          <w:szCs w:val="22"/>
          <w:lang w:eastAsia="en-US"/>
        </w:rPr>
        <w:t>b</w:t>
      </w:r>
      <w:r w:rsidRPr="00632E06">
        <w:rPr>
          <w:rFonts w:ascii="Calibri" w:eastAsia="Calibri" w:hAnsi="Calibri" w:cs="Calibri"/>
          <w:color w:val="auto"/>
          <w:sz w:val="22"/>
          <w:szCs w:val="22"/>
          <w:lang w:eastAsia="en-US"/>
        </w:rPr>
        <w:t xml:space="preserve">) </w:t>
      </w:r>
      <w:r w:rsidRPr="00632E06">
        <w:rPr>
          <w:rFonts w:ascii="Calibri" w:eastAsia="Calibri" w:hAnsi="Calibri" w:cs="Calibri"/>
          <w:i/>
          <w:iCs/>
          <w:color w:val="auto"/>
          <w:sz w:val="22"/>
          <w:szCs w:val="22"/>
          <w:lang w:eastAsia="en-US"/>
        </w:rPr>
        <w:t>What is child abuse?</w:t>
      </w:r>
      <w:r w:rsidRPr="00632E06">
        <w:rPr>
          <w:rFonts w:ascii="Calibri" w:eastAsia="Calibri" w:hAnsi="Calibri" w:cs="Calibri"/>
          <w:color w:val="auto"/>
          <w:sz w:val="22"/>
          <w:szCs w:val="22"/>
          <w:lang w:eastAsia="en-US"/>
        </w:rPr>
        <w:t xml:space="preserve">, Available at: </w:t>
      </w:r>
      <w:hyperlink r:id="rId54" w:history="1">
        <w:r w:rsidRPr="00632E06">
          <w:rPr>
            <w:rFonts w:ascii="Calibri" w:eastAsia="Calibri" w:hAnsi="Calibri" w:cs="Calibri"/>
            <w:color w:val="0563C1"/>
            <w:sz w:val="22"/>
            <w:szCs w:val="22"/>
            <w:u w:val="single"/>
            <w:lang w:eastAsia="en-US"/>
          </w:rPr>
          <w:t>https://www.nspcc.org.uk/what-is-child-abuse/</w:t>
        </w:r>
      </w:hyperlink>
      <w:r w:rsidRPr="00632E06">
        <w:rPr>
          <w:rFonts w:ascii="Calibri" w:eastAsia="Calibri" w:hAnsi="Calibri" w:cs="Calibri"/>
          <w:color w:val="auto"/>
          <w:sz w:val="22"/>
          <w:szCs w:val="22"/>
          <w:lang w:eastAsia="en-US"/>
        </w:rPr>
        <w:t xml:space="preserve"> (Accessed: 22 January 2022). </w:t>
      </w:r>
    </w:p>
    <w:p w14:paraId="3CBDFB68"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 xml:space="preserve">Police Federation (n.d.) </w:t>
      </w:r>
      <w:r w:rsidRPr="00632E06">
        <w:rPr>
          <w:rFonts w:ascii="Calibri" w:hAnsi="Calibri" w:cs="Calibri"/>
          <w:i/>
          <w:iCs/>
          <w:sz w:val="22"/>
          <w:szCs w:val="22"/>
        </w:rPr>
        <w:t xml:space="preserve">Body-worn video </w:t>
      </w:r>
      <w:r w:rsidRPr="00632E06">
        <w:rPr>
          <w:rFonts w:ascii="Calibri" w:hAnsi="Calibri" w:cs="Calibri"/>
          <w:sz w:val="22"/>
          <w:szCs w:val="22"/>
        </w:rPr>
        <w:t xml:space="preserve">[Internet], Available at: </w:t>
      </w:r>
      <w:hyperlink r:id="rId55" w:history="1">
        <w:r w:rsidRPr="00632E06">
          <w:rPr>
            <w:rFonts w:ascii="Calibri" w:hAnsi="Calibri" w:cs="Calibri"/>
            <w:color w:val="0563C1"/>
            <w:sz w:val="22"/>
            <w:szCs w:val="22"/>
            <w:u w:val="single"/>
          </w:rPr>
          <w:t>https://www.polfed.org/our-work/operational-policing/body-worn-video/</w:t>
        </w:r>
      </w:hyperlink>
      <w:r w:rsidRPr="00632E06">
        <w:rPr>
          <w:rFonts w:ascii="Calibri" w:hAnsi="Calibri" w:cs="Calibri"/>
          <w:sz w:val="22"/>
          <w:szCs w:val="22"/>
        </w:rPr>
        <w:t xml:space="preserve"> (Accessed: 19 February 2022). </w:t>
      </w:r>
    </w:p>
    <w:p w14:paraId="5F628EEE"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i/>
          <w:iCs/>
          <w:sz w:val="22"/>
          <w:szCs w:val="22"/>
        </w:rPr>
        <w:t xml:space="preserve">Protection of Children Act 1978, </w:t>
      </w:r>
      <w:r w:rsidRPr="00632E06">
        <w:rPr>
          <w:rFonts w:ascii="Calibri" w:hAnsi="Calibri" w:cs="Calibri"/>
          <w:sz w:val="22"/>
          <w:szCs w:val="22"/>
        </w:rPr>
        <w:t xml:space="preserve">Section 1, Available at: </w:t>
      </w:r>
      <w:hyperlink r:id="rId56" w:history="1">
        <w:r w:rsidRPr="00632E06">
          <w:rPr>
            <w:rFonts w:ascii="Calibri" w:hAnsi="Calibri" w:cs="Calibri"/>
            <w:color w:val="0563C1"/>
            <w:sz w:val="22"/>
            <w:szCs w:val="22"/>
            <w:u w:val="single"/>
          </w:rPr>
          <w:t>https://www.legislation.gov.uk/ukpga/1978/37</w:t>
        </w:r>
      </w:hyperlink>
      <w:r w:rsidRPr="00632E06">
        <w:rPr>
          <w:rFonts w:ascii="Calibri" w:hAnsi="Calibri" w:cs="Calibri"/>
          <w:sz w:val="22"/>
          <w:szCs w:val="22"/>
        </w:rPr>
        <w:t xml:space="preserve"> (Accessed: 21 February 2022).</w:t>
      </w:r>
    </w:p>
    <w:p w14:paraId="63123280" w14:textId="77777777" w:rsidR="00632E06" w:rsidRP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RISE (2022) </w:t>
      </w:r>
      <w:r w:rsidRPr="00632E06">
        <w:rPr>
          <w:rFonts w:ascii="Calibri" w:eastAsia="Calibri" w:hAnsi="Calibri" w:cs="Calibri"/>
          <w:i/>
          <w:iCs/>
          <w:color w:val="auto"/>
          <w:sz w:val="22"/>
          <w:szCs w:val="22"/>
          <w:lang w:eastAsia="en-US"/>
        </w:rPr>
        <w:t xml:space="preserve">RISE Cardiff, </w:t>
      </w:r>
      <w:r w:rsidRPr="00632E06">
        <w:rPr>
          <w:rFonts w:ascii="Calibri" w:eastAsia="Calibri" w:hAnsi="Calibri" w:cs="Calibri"/>
          <w:color w:val="auto"/>
          <w:sz w:val="22"/>
          <w:szCs w:val="22"/>
          <w:lang w:eastAsia="en-US"/>
        </w:rPr>
        <w:t xml:space="preserve">[Internet] Available at: </w:t>
      </w:r>
      <w:hyperlink r:id="rId57" w:history="1">
        <w:r w:rsidRPr="00632E06">
          <w:rPr>
            <w:rFonts w:ascii="Calibri" w:eastAsia="Calibri" w:hAnsi="Calibri" w:cs="Calibri"/>
            <w:color w:val="0563C1"/>
            <w:sz w:val="22"/>
            <w:szCs w:val="22"/>
            <w:u w:val="single"/>
            <w:lang w:eastAsia="en-US"/>
          </w:rPr>
          <w:t>https://rise-cardiff.cymru/</w:t>
        </w:r>
      </w:hyperlink>
      <w:r w:rsidRPr="00632E06">
        <w:rPr>
          <w:rFonts w:ascii="Calibri" w:eastAsia="Calibri" w:hAnsi="Calibri" w:cs="Calibri"/>
          <w:color w:val="auto"/>
          <w:sz w:val="22"/>
          <w:szCs w:val="22"/>
          <w:lang w:eastAsia="en-US"/>
        </w:rPr>
        <w:t xml:space="preserve"> (Accessed: 15 February 2022).</w:t>
      </w:r>
    </w:p>
    <w:p w14:paraId="4C2843DF" w14:textId="77777777"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lastRenderedPageBreak/>
        <w:t xml:space="preserve">Rupp, D and Thornton-Lugo, M/Oxford Bibliographies (2015) </w:t>
      </w:r>
      <w:r w:rsidRPr="00632E06">
        <w:rPr>
          <w:rFonts w:ascii="Calibri" w:eastAsia="Calibri" w:hAnsi="Calibri" w:cs="Calibri"/>
          <w:i/>
          <w:iCs/>
          <w:color w:val="auto"/>
          <w:sz w:val="22"/>
          <w:szCs w:val="22"/>
          <w:lang w:eastAsia="en-US"/>
        </w:rPr>
        <w:t xml:space="preserve">Organisational Justice </w:t>
      </w:r>
      <w:r w:rsidRPr="00632E06">
        <w:rPr>
          <w:rFonts w:ascii="Calibri" w:eastAsia="Calibri" w:hAnsi="Calibri" w:cs="Calibri"/>
          <w:color w:val="auto"/>
          <w:sz w:val="22"/>
          <w:szCs w:val="22"/>
          <w:lang w:eastAsia="en-US"/>
        </w:rPr>
        <w:t>[Internet] DOI: 10.1093/OBO/9780199828340-0044 (Accessed: 12 January 2022).</w:t>
      </w:r>
    </w:p>
    <w:p w14:paraId="3FC0A704"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 xml:space="preserve">Safe and Sound (n.d.) </w:t>
      </w:r>
      <w:r w:rsidRPr="00632E06">
        <w:rPr>
          <w:rFonts w:ascii="Calibri" w:hAnsi="Calibri" w:cs="Calibri"/>
          <w:i/>
          <w:iCs/>
          <w:sz w:val="22"/>
          <w:szCs w:val="22"/>
        </w:rPr>
        <w:t xml:space="preserve">The impact of child sexual exploitation, </w:t>
      </w:r>
      <w:r w:rsidRPr="00632E06">
        <w:rPr>
          <w:rFonts w:ascii="Calibri" w:hAnsi="Calibri" w:cs="Calibri"/>
          <w:sz w:val="22"/>
          <w:szCs w:val="22"/>
        </w:rPr>
        <w:t xml:space="preserve">[Internet], Available at: </w:t>
      </w:r>
      <w:hyperlink r:id="rId58" w:history="1">
        <w:r w:rsidRPr="00632E06">
          <w:rPr>
            <w:rFonts w:ascii="Calibri" w:hAnsi="Calibri" w:cs="Calibri"/>
            <w:color w:val="0563C1"/>
            <w:sz w:val="22"/>
            <w:szCs w:val="22"/>
            <w:u w:val="single"/>
          </w:rPr>
          <w:t>https://www.safeandsoundgroup.org.uk/the-impact-of-child-sexual-exploitation/#:~:text=THE%20IMPACT%20OF%20CHILD%20EXPLOITATION,to%20use%20drugs%20and%20alcohol</w:t>
        </w:r>
      </w:hyperlink>
      <w:r w:rsidRPr="00632E06">
        <w:rPr>
          <w:rFonts w:ascii="Calibri" w:hAnsi="Calibri" w:cs="Calibri"/>
          <w:sz w:val="22"/>
          <w:szCs w:val="22"/>
        </w:rPr>
        <w:t xml:space="preserve">. (Accessed: 22 February 2022). </w:t>
      </w:r>
    </w:p>
    <w:p w14:paraId="5CD41899" w14:textId="77777777" w:rsidR="00632E06" w:rsidRP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Save Lives (2014) </w:t>
      </w:r>
      <w:r w:rsidRPr="00632E06">
        <w:rPr>
          <w:rFonts w:ascii="Calibri" w:eastAsia="Calibri" w:hAnsi="Calibri" w:cs="Calibri"/>
          <w:i/>
          <w:iCs/>
          <w:color w:val="auto"/>
          <w:sz w:val="22"/>
          <w:szCs w:val="22"/>
          <w:lang w:eastAsia="en-US"/>
        </w:rPr>
        <w:t xml:space="preserve">National definition of IDVA work, </w:t>
      </w:r>
      <w:r w:rsidRPr="00632E06">
        <w:rPr>
          <w:rFonts w:ascii="Calibri" w:eastAsia="Calibri" w:hAnsi="Calibri" w:cs="Calibri"/>
          <w:color w:val="auto"/>
          <w:sz w:val="22"/>
          <w:szCs w:val="22"/>
          <w:lang w:eastAsia="en-US"/>
        </w:rPr>
        <w:t xml:space="preserve">[Internet] Available at: </w:t>
      </w:r>
      <w:hyperlink r:id="rId59" w:history="1">
        <w:r w:rsidRPr="00632E06">
          <w:rPr>
            <w:rFonts w:ascii="Calibri" w:eastAsia="Calibri" w:hAnsi="Calibri" w:cs="Calibri"/>
            <w:color w:val="0563C1"/>
            <w:sz w:val="22"/>
            <w:szCs w:val="22"/>
            <w:u w:val="single"/>
            <w:lang w:eastAsia="en-US"/>
          </w:rPr>
          <w:t>https://safelives.org.uk/sites/default/files/resources/National%20definition%20of%20IDVA%20work%20FINAL.pdf</w:t>
        </w:r>
      </w:hyperlink>
      <w:r w:rsidRPr="00632E06">
        <w:rPr>
          <w:rFonts w:ascii="Calibri" w:eastAsia="Calibri" w:hAnsi="Calibri" w:cs="Calibri"/>
          <w:color w:val="auto"/>
          <w:sz w:val="22"/>
          <w:szCs w:val="22"/>
          <w:lang w:eastAsia="en-US"/>
        </w:rPr>
        <w:t xml:space="preserve"> (Accessed: 15 February 2022). </w:t>
      </w:r>
    </w:p>
    <w:p w14:paraId="4FC07EBF"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i/>
          <w:iCs/>
          <w:sz w:val="22"/>
          <w:szCs w:val="22"/>
        </w:rPr>
        <w:t>Sexual Offences Act 2003 a</w:t>
      </w:r>
      <w:r w:rsidRPr="00632E06">
        <w:rPr>
          <w:rFonts w:ascii="Calibri" w:hAnsi="Calibri" w:cs="Calibri"/>
          <w:sz w:val="22"/>
          <w:szCs w:val="22"/>
        </w:rPr>
        <w:t xml:space="preserve">, </w:t>
      </w:r>
      <w:r w:rsidRPr="00632E06">
        <w:rPr>
          <w:rFonts w:ascii="Calibri" w:hAnsi="Calibri" w:cs="Calibri"/>
          <w:i/>
          <w:iCs/>
          <w:sz w:val="22"/>
          <w:szCs w:val="22"/>
        </w:rPr>
        <w:t>Section 15A</w:t>
      </w:r>
      <w:r w:rsidRPr="00632E06">
        <w:rPr>
          <w:rFonts w:ascii="Calibri" w:hAnsi="Calibri" w:cs="Calibri"/>
          <w:sz w:val="22"/>
          <w:szCs w:val="22"/>
        </w:rPr>
        <w:t xml:space="preserve">, Available at: </w:t>
      </w:r>
      <w:hyperlink r:id="rId60" w:history="1">
        <w:r w:rsidRPr="00632E06">
          <w:rPr>
            <w:rFonts w:ascii="Calibri" w:hAnsi="Calibri" w:cs="Calibri"/>
            <w:color w:val="0563C1"/>
            <w:sz w:val="22"/>
            <w:szCs w:val="22"/>
            <w:u w:val="single"/>
          </w:rPr>
          <w:t>https://www.legislation.gov.uk/ukpga/2003/42/section/15A</w:t>
        </w:r>
      </w:hyperlink>
      <w:r w:rsidRPr="00632E06">
        <w:rPr>
          <w:rFonts w:ascii="Calibri" w:hAnsi="Calibri" w:cs="Calibri"/>
          <w:sz w:val="22"/>
          <w:szCs w:val="22"/>
        </w:rPr>
        <w:t xml:space="preserve"> (Accessed: 21 February 2022).</w:t>
      </w:r>
    </w:p>
    <w:p w14:paraId="26CB4512" w14:textId="77777777" w:rsid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i/>
          <w:iCs/>
          <w:sz w:val="22"/>
          <w:szCs w:val="22"/>
        </w:rPr>
        <w:t xml:space="preserve">Sexual Offences Act 2003 b, </w:t>
      </w:r>
      <w:r w:rsidRPr="00632E06">
        <w:rPr>
          <w:rFonts w:ascii="Calibri" w:hAnsi="Calibri" w:cs="Calibri"/>
          <w:sz w:val="22"/>
          <w:szCs w:val="22"/>
        </w:rPr>
        <w:t xml:space="preserve">Section 14, Available at: </w:t>
      </w:r>
      <w:hyperlink r:id="rId61" w:history="1">
        <w:r w:rsidRPr="00632E06">
          <w:rPr>
            <w:rFonts w:ascii="Calibri" w:hAnsi="Calibri" w:cs="Calibri"/>
            <w:color w:val="0563C1"/>
            <w:sz w:val="22"/>
            <w:szCs w:val="22"/>
            <w:u w:val="single"/>
          </w:rPr>
          <w:t>https://www.legislation.gov.uk/ukpga/2003/42/section/14</w:t>
        </w:r>
      </w:hyperlink>
      <w:r w:rsidRPr="00632E06">
        <w:rPr>
          <w:rFonts w:ascii="Calibri" w:hAnsi="Calibri" w:cs="Calibri"/>
          <w:sz w:val="22"/>
          <w:szCs w:val="22"/>
        </w:rPr>
        <w:t xml:space="preserve"> (Accessed: 21 February 2022). </w:t>
      </w:r>
    </w:p>
    <w:p w14:paraId="5F259BA7" w14:textId="77777777"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Social Care Institute for Excellence (2012) </w:t>
      </w:r>
      <w:r w:rsidRPr="00632E06">
        <w:rPr>
          <w:rFonts w:ascii="Calibri" w:eastAsia="Calibri" w:hAnsi="Calibri" w:cs="Calibri"/>
          <w:i/>
          <w:iCs/>
          <w:color w:val="auto"/>
          <w:sz w:val="22"/>
          <w:szCs w:val="22"/>
          <w:lang w:eastAsia="en-US"/>
        </w:rPr>
        <w:t xml:space="preserve">Child protection procedures, </w:t>
      </w:r>
      <w:r w:rsidRPr="00632E06">
        <w:rPr>
          <w:rFonts w:ascii="Calibri" w:eastAsia="Calibri" w:hAnsi="Calibri" w:cs="Calibri"/>
          <w:color w:val="auto"/>
          <w:sz w:val="22"/>
          <w:szCs w:val="22"/>
          <w:lang w:eastAsia="en-US"/>
        </w:rPr>
        <w:t xml:space="preserve">Available at: </w:t>
      </w:r>
      <w:hyperlink r:id="rId62" w:history="1">
        <w:r w:rsidRPr="00632E06">
          <w:rPr>
            <w:rFonts w:ascii="Calibri" w:eastAsia="Calibri" w:hAnsi="Calibri" w:cs="Calibri"/>
            <w:color w:val="0563C1"/>
            <w:sz w:val="22"/>
            <w:szCs w:val="22"/>
            <w:u w:val="single"/>
            <w:lang w:eastAsia="en-US"/>
          </w:rPr>
          <w:t>https://www.scie.org.uk/publications/introductionto/childrenssocialcare/childprotection.asp</w:t>
        </w:r>
      </w:hyperlink>
      <w:r w:rsidRPr="00632E06">
        <w:rPr>
          <w:rFonts w:ascii="Calibri" w:eastAsia="Calibri" w:hAnsi="Calibri" w:cs="Calibri"/>
          <w:color w:val="auto"/>
          <w:sz w:val="22"/>
          <w:szCs w:val="22"/>
          <w:lang w:eastAsia="en-US"/>
        </w:rPr>
        <w:t xml:space="preserve"> (Accessed: 21 January 2022). </w:t>
      </w:r>
    </w:p>
    <w:p w14:paraId="40D146E3" w14:textId="77777777"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South Wales Police and Crime Commissioner (n.d.) </w:t>
      </w:r>
      <w:r w:rsidRPr="00632E06">
        <w:rPr>
          <w:rFonts w:ascii="Calibri" w:eastAsia="Calibri" w:hAnsi="Calibri" w:cs="Calibri"/>
          <w:i/>
          <w:iCs/>
          <w:color w:val="auto"/>
          <w:sz w:val="22"/>
          <w:szCs w:val="22"/>
          <w:lang w:eastAsia="en-US"/>
        </w:rPr>
        <w:t>How the Police and Crime Commissioner deals with complaints</w:t>
      </w:r>
      <w:r w:rsidRPr="00632E06">
        <w:rPr>
          <w:rFonts w:ascii="Calibri" w:eastAsia="Calibri" w:hAnsi="Calibri" w:cs="Calibri"/>
          <w:color w:val="auto"/>
          <w:sz w:val="22"/>
          <w:szCs w:val="22"/>
          <w:lang w:eastAsia="en-US"/>
        </w:rPr>
        <w:t xml:space="preserve">, Available at: </w:t>
      </w:r>
      <w:hyperlink r:id="rId63" w:history="1">
        <w:r w:rsidRPr="00632E06">
          <w:rPr>
            <w:rFonts w:ascii="Calibri" w:eastAsia="Calibri" w:hAnsi="Calibri" w:cs="Calibri"/>
            <w:color w:val="0563C1"/>
            <w:sz w:val="22"/>
            <w:szCs w:val="22"/>
            <w:u w:val="single"/>
            <w:lang w:eastAsia="en-US"/>
          </w:rPr>
          <w:t>http://pcclivewww.blob.core.windows.net/wordpress-uploads/Complaints-Policy.pdf</w:t>
        </w:r>
      </w:hyperlink>
      <w:r w:rsidRPr="00632E06">
        <w:rPr>
          <w:rFonts w:ascii="Calibri" w:eastAsia="Calibri" w:hAnsi="Calibri" w:cs="Calibri"/>
          <w:color w:val="auto"/>
          <w:sz w:val="22"/>
          <w:szCs w:val="22"/>
          <w:lang w:eastAsia="en-US"/>
        </w:rPr>
        <w:t xml:space="preserve"> (Accessed: 25 February 2022).</w:t>
      </w:r>
    </w:p>
    <w:p w14:paraId="0BF4E1D6" w14:textId="77777777" w:rsidR="00632E06" w:rsidRP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South Wales Victim Focus (2022) </w:t>
      </w:r>
      <w:r w:rsidRPr="00632E06">
        <w:rPr>
          <w:rFonts w:ascii="Calibri" w:eastAsia="Calibri" w:hAnsi="Calibri" w:cs="Calibri"/>
          <w:i/>
          <w:iCs/>
          <w:color w:val="auto"/>
          <w:sz w:val="22"/>
          <w:szCs w:val="22"/>
          <w:lang w:eastAsia="en-US"/>
        </w:rPr>
        <w:t xml:space="preserve">Who we are, </w:t>
      </w:r>
      <w:r w:rsidRPr="00632E06">
        <w:rPr>
          <w:rFonts w:ascii="Calibri" w:eastAsia="Calibri" w:hAnsi="Calibri" w:cs="Calibri"/>
          <w:color w:val="auto"/>
          <w:sz w:val="22"/>
          <w:szCs w:val="22"/>
          <w:lang w:eastAsia="en-US"/>
        </w:rPr>
        <w:t xml:space="preserve">[Internet] Available at: </w:t>
      </w:r>
      <w:hyperlink r:id="rId64" w:history="1">
        <w:r w:rsidRPr="00632E06">
          <w:rPr>
            <w:rFonts w:ascii="Calibri" w:eastAsia="Calibri" w:hAnsi="Calibri" w:cs="Calibri"/>
            <w:color w:val="0563C1"/>
            <w:sz w:val="22"/>
            <w:szCs w:val="22"/>
            <w:u w:val="single"/>
            <w:lang w:eastAsia="en-US"/>
          </w:rPr>
          <w:t>https://www.southwalesvictimfocus.org.uk/about-us/who-we-are/</w:t>
        </w:r>
      </w:hyperlink>
      <w:r w:rsidRPr="00632E06">
        <w:rPr>
          <w:rFonts w:ascii="Calibri" w:eastAsia="Calibri" w:hAnsi="Calibri" w:cs="Calibri"/>
          <w:color w:val="auto"/>
          <w:sz w:val="22"/>
          <w:szCs w:val="22"/>
          <w:lang w:eastAsia="en-US"/>
        </w:rPr>
        <w:t xml:space="preserve"> (Accessed: 15 February 2022). </w:t>
      </w:r>
    </w:p>
    <w:p w14:paraId="4C887867" w14:textId="77777777" w:rsidR="00632E06" w:rsidRPr="00632E06" w:rsidRDefault="00632E06" w:rsidP="00632E06">
      <w:pPr>
        <w:suppressAutoHyphens/>
        <w:overflowPunct/>
        <w:autoSpaceDE/>
        <w:adjustRightInd/>
        <w:spacing w:before="240" w:line="251" w:lineRule="auto"/>
        <w:ind w:left="720"/>
        <w:rPr>
          <w:rFonts w:ascii="Calibri" w:eastAsia="Calibri" w:hAnsi="Calibri" w:cs="Calibri"/>
          <w:color w:val="auto"/>
          <w:sz w:val="22"/>
          <w:szCs w:val="22"/>
          <w:lang w:eastAsia="en-US"/>
        </w:rPr>
      </w:pPr>
      <w:r w:rsidRPr="00632E06">
        <w:rPr>
          <w:rFonts w:ascii="Calibri" w:eastAsia="Calibri" w:hAnsi="Calibri" w:cs="Calibri"/>
          <w:color w:val="auto"/>
          <w:sz w:val="22"/>
          <w:szCs w:val="22"/>
          <w:lang w:eastAsia="en-US"/>
        </w:rPr>
        <w:t xml:space="preserve">Welsh Government (n.d.) </w:t>
      </w:r>
      <w:r w:rsidRPr="00632E06">
        <w:rPr>
          <w:rFonts w:ascii="Calibri" w:eastAsia="Calibri" w:hAnsi="Calibri" w:cs="Calibri"/>
          <w:i/>
          <w:iCs/>
          <w:color w:val="auto"/>
          <w:sz w:val="22"/>
          <w:szCs w:val="22"/>
          <w:lang w:eastAsia="en-US"/>
        </w:rPr>
        <w:t xml:space="preserve">Ending physical punishment in Wales, </w:t>
      </w:r>
      <w:r w:rsidRPr="00632E06">
        <w:rPr>
          <w:rFonts w:ascii="Calibri" w:eastAsia="Calibri" w:hAnsi="Calibri" w:cs="Calibri"/>
          <w:color w:val="auto"/>
          <w:sz w:val="22"/>
          <w:szCs w:val="22"/>
          <w:lang w:eastAsia="en-US"/>
        </w:rPr>
        <w:t xml:space="preserve">Available at: </w:t>
      </w:r>
      <w:hyperlink r:id="rId65" w:history="1">
        <w:r w:rsidRPr="00632E06">
          <w:rPr>
            <w:rFonts w:ascii="Calibri" w:eastAsia="Calibri" w:hAnsi="Calibri" w:cs="Calibri"/>
            <w:color w:val="0563C1"/>
            <w:sz w:val="22"/>
            <w:szCs w:val="22"/>
            <w:u w:val="single"/>
            <w:lang w:eastAsia="en-US"/>
          </w:rPr>
          <w:t>https://gov.wales/ending-physical-punishment-children</w:t>
        </w:r>
      </w:hyperlink>
      <w:r w:rsidRPr="00632E06">
        <w:rPr>
          <w:rFonts w:ascii="Calibri" w:eastAsia="Calibri" w:hAnsi="Calibri" w:cs="Calibri"/>
          <w:color w:val="auto"/>
          <w:sz w:val="22"/>
          <w:szCs w:val="22"/>
          <w:lang w:eastAsia="en-US"/>
        </w:rPr>
        <w:t xml:space="preserve"> (Accessed: 21 January 2022). </w:t>
      </w:r>
    </w:p>
    <w:p w14:paraId="2A7FE0F5" w14:textId="77777777" w:rsidR="00632E06" w:rsidRPr="00632E06" w:rsidRDefault="00632E06" w:rsidP="00632E06">
      <w:pPr>
        <w:suppressAutoHyphens/>
        <w:overflowPunct/>
        <w:autoSpaceDE/>
        <w:adjustRightInd/>
        <w:spacing w:before="240" w:line="254" w:lineRule="auto"/>
        <w:ind w:left="720"/>
        <w:textAlignment w:val="auto"/>
        <w:rPr>
          <w:rFonts w:ascii="Calibri" w:eastAsia="Calibri" w:hAnsi="Calibri" w:cs="Calibri"/>
          <w:color w:val="auto"/>
          <w:sz w:val="22"/>
          <w:szCs w:val="22"/>
          <w:lang w:eastAsia="en-US"/>
        </w:rPr>
      </w:pPr>
      <w:r w:rsidRPr="00632E06">
        <w:rPr>
          <w:rFonts w:ascii="Calibri" w:hAnsi="Calibri" w:cs="Calibri"/>
          <w:sz w:val="22"/>
          <w:szCs w:val="22"/>
        </w:rPr>
        <w:t xml:space="preserve">Whittle et al (2013) ‘A review of young people's vulnerabilities to online grooming’, </w:t>
      </w:r>
      <w:r w:rsidRPr="00632E06">
        <w:rPr>
          <w:rFonts w:ascii="Calibri" w:hAnsi="Calibri" w:cs="Calibri"/>
          <w:i/>
          <w:iCs/>
          <w:sz w:val="22"/>
          <w:szCs w:val="22"/>
        </w:rPr>
        <w:t xml:space="preserve">Aggression and Violent Behavior, 18, 135 – 146, DOI: </w:t>
      </w:r>
      <w:hyperlink r:id="rId66" w:history="1">
        <w:r w:rsidRPr="00632E06">
          <w:rPr>
            <w:rFonts w:ascii="Calibri" w:hAnsi="Calibri" w:cs="Calibri"/>
            <w:i/>
            <w:iCs/>
            <w:color w:val="0563C1"/>
            <w:sz w:val="22"/>
            <w:szCs w:val="22"/>
            <w:u w:val="single"/>
          </w:rPr>
          <w:t>https://doi.org/10.1016/j.avb.2012.11.008</w:t>
        </w:r>
      </w:hyperlink>
      <w:r w:rsidRPr="00632E06">
        <w:rPr>
          <w:rFonts w:ascii="Calibri" w:hAnsi="Calibri" w:cs="Calibri"/>
          <w:i/>
          <w:iCs/>
          <w:sz w:val="22"/>
          <w:szCs w:val="22"/>
        </w:rPr>
        <w:t xml:space="preserve"> </w:t>
      </w:r>
    </w:p>
    <w:p w14:paraId="355B6049" w14:textId="77777777" w:rsidR="00632E06" w:rsidRPr="00632E06" w:rsidRDefault="00632E06" w:rsidP="00632E06">
      <w:pPr>
        <w:suppressAutoHyphens/>
        <w:overflowPunct/>
        <w:autoSpaceDE/>
        <w:adjustRightInd/>
        <w:spacing w:line="251" w:lineRule="auto"/>
        <w:rPr>
          <w:rFonts w:ascii="Calibri" w:eastAsia="Calibri" w:hAnsi="Calibri" w:cs="Times New Roman"/>
          <w:color w:val="auto"/>
          <w:sz w:val="22"/>
          <w:szCs w:val="22"/>
          <w:lang w:eastAsia="en-US"/>
        </w:rPr>
      </w:pPr>
    </w:p>
    <w:p w14:paraId="57FBEF27" w14:textId="77777777" w:rsidR="00632E06" w:rsidRPr="00632E06" w:rsidRDefault="00632E06" w:rsidP="00632E06">
      <w:pPr>
        <w:suppressAutoHyphens/>
        <w:overflowPunct/>
        <w:autoSpaceDE/>
        <w:adjustRightInd/>
        <w:spacing w:after="160" w:line="251" w:lineRule="auto"/>
        <w:rPr>
          <w:rFonts w:ascii="Calibri" w:eastAsia="Calibri" w:hAnsi="Calibri" w:cs="Times New Roman"/>
          <w:color w:val="auto"/>
          <w:sz w:val="22"/>
          <w:szCs w:val="22"/>
          <w:lang w:eastAsia="en-US"/>
        </w:rPr>
      </w:pPr>
    </w:p>
    <w:sectPr w:rsidR="00632E06" w:rsidRPr="00632E0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4264" w14:textId="77777777" w:rsidR="0029211A" w:rsidRDefault="002921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49DDB" w14:textId="77777777" w:rsidR="0029211A" w:rsidRDefault="00292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D33B4" w14:textId="77777777" w:rsidR="0029211A" w:rsidRDefault="002921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D1589" w14:textId="77777777" w:rsidR="0029211A" w:rsidRDefault="002921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1CC3D" w14:textId="77777777" w:rsidR="0029211A" w:rsidRDefault="002921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18C61341"/>
    <w:multiLevelType w:val="multilevel"/>
    <w:tmpl w:val="D42E81A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 w15:restartNumberingAfterBreak="0">
    <w:nsid w:val="1E9B53A3"/>
    <w:multiLevelType w:val="multilevel"/>
    <w:tmpl w:val="AA98262E"/>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4" w15:restartNumberingAfterBreak="0">
    <w:nsid w:val="50C978E6"/>
    <w:multiLevelType w:val="multilevel"/>
    <w:tmpl w:val="D5ACB336"/>
    <w:lvl w:ilvl="0">
      <w:start w:val="1"/>
      <w:numFmt w:val="decimal"/>
      <w:lvlText w:val="(%1)"/>
      <w:lvlJc w:val="left"/>
      <w:pPr>
        <w:ind w:left="1440" w:hanging="360"/>
      </w:pPr>
      <w:rPr>
        <w:rFonts w:ascii="Calibri" w:eastAsia="Times New Roman" w:hAnsi="Calibri" w:cs="Calibri"/>
      </w:r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5"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6"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7" w15:restartNumberingAfterBreak="0">
    <w:nsid w:val="62D96719"/>
    <w:multiLevelType w:val="multilevel"/>
    <w:tmpl w:val="D5EE8F6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D0030FD"/>
    <w:multiLevelType w:val="multilevel"/>
    <w:tmpl w:val="42F087FC"/>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3"/>
  </w:num>
  <w:num w:numId="5">
    <w:abstractNumId w:val="9"/>
  </w:num>
  <w:num w:numId="6">
    <w:abstractNumId w:val="4"/>
  </w:num>
  <w:num w:numId="7">
    <w:abstractNumId w:val="7"/>
  </w:num>
  <w:num w:numId="8">
    <w:abstractNumId w:val="2"/>
  </w:num>
  <w:num w:numId="9">
    <w:abstractNumId w:val="8"/>
  </w:num>
  <w:num w:numId="10">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211A"/>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6"/>
    <w:rsid w:val="00632E0A"/>
    <w:rsid w:val="00633165"/>
    <w:rsid w:val="00636B6C"/>
    <w:rsid w:val="006447DE"/>
    <w:rsid w:val="0065276E"/>
    <w:rsid w:val="00654329"/>
    <w:rsid w:val="00654CEC"/>
    <w:rsid w:val="00655507"/>
    <w:rsid w:val="00656D91"/>
    <w:rsid w:val="006712A7"/>
    <w:rsid w:val="006733CC"/>
    <w:rsid w:val="00674FC2"/>
    <w:rsid w:val="00677E42"/>
    <w:rsid w:val="00680C25"/>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774C7"/>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5A9"/>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pp.college.police.uk/app-content/investigations/investigative-strategies/house-to-house-enquiries/" TargetMode="External"/><Relationship Id="rId21" Type="http://schemas.openxmlformats.org/officeDocument/2006/relationships/hyperlink" Target="https://childlawadvice.org.uk/information-pages/sexting/" TargetMode="External"/><Relationship Id="rId34" Type="http://schemas.openxmlformats.org/officeDocument/2006/relationships/hyperlink" Target="https://whatworks.college.police.uk/About/News/Pages/BWC.aspx" TargetMode="External"/><Relationship Id="rId42" Type="http://schemas.openxmlformats.org/officeDocument/2006/relationships/hyperlink" Target="https://www.gov.uk/government/consultations/police-powers-pre-charge-bail/outcome/police-powers-pre-charge-bail-overview-of-the-evidence-accessible" TargetMode="External"/><Relationship Id="rId47" Type="http://schemas.openxmlformats.org/officeDocument/2006/relationships/hyperlink" Target="https://publications.parliament.uk/pa/cm200203/cmselect/cmhealth/570/570.pdf" TargetMode="External"/><Relationship Id="rId50" Type="http://schemas.openxmlformats.org/officeDocument/2006/relationships/hyperlink" Target="https://www.cps.gov.uk/sites/default/files/documents/legal_guidance/best_evidence_in_criminal_proceedings.pdf" TargetMode="External"/><Relationship Id="rId55" Type="http://schemas.openxmlformats.org/officeDocument/2006/relationships/hyperlink" Target="https://www.polfed.org/our-work/operational-policing/body-worn-video/" TargetMode="External"/><Relationship Id="rId63" Type="http://schemas.openxmlformats.org/officeDocument/2006/relationships/hyperlink" Target="http://pcclivewww.blob.core.windows.net/wordpress-uploads/Complaints-Policy.pdf"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app.college.police.uk/app-content/operations/operational-planning/core-principles/" TargetMode="External"/><Relationship Id="rId11" Type="http://schemas.openxmlformats.org/officeDocument/2006/relationships/image" Target="media/image1.png"/><Relationship Id="rId24" Type="http://schemas.openxmlformats.org/officeDocument/2006/relationships/hyperlink" Target="https://www.legislation.gov.uk/ukpga/2004/31/section/11" TargetMode="External"/><Relationship Id="rId32" Type="http://schemas.openxmlformats.org/officeDocument/2006/relationships/hyperlink" Target="https://whatworks.college.police.uk/Research/Documents/150317_Fair_cop%202_FINAL_REPORT.pdf" TargetMode="External"/><Relationship Id="rId37" Type="http://schemas.openxmlformats.org/officeDocument/2006/relationships/hyperlink" Target="https://www.cps.gov.uk/legal-guidance/rape-and-sexual-offences-chapter-7-key-legislation-and-offences" TargetMode="External"/><Relationship Id="rId40" Type="http://schemas.openxmlformats.org/officeDocument/2006/relationships/hyperlink" Target="https://www.policefoundation.org/wp-content/uploads/2015/06/The-Effect-of-Body-Worn-Cameras-on-Police-Use-of-Force.pdf" TargetMode="External"/><Relationship Id="rId45" Type="http://schemas.openxmlformats.org/officeDocument/2006/relationships/hyperlink" Target="https://www.justiceinspectorates.gov.uk/hmicfrs/wp-content/uploads/police-effectiveness-vulnerability-2015-south-wales.pdf" TargetMode="External"/><Relationship Id="rId53" Type="http://schemas.openxmlformats.org/officeDocument/2006/relationships/hyperlink" Target="https://www.nspcc.org.uk/about-us/news-opinion/2020/coronavirus-children-groomed-online/" TargetMode="External"/><Relationship Id="rId58" Type="http://schemas.openxmlformats.org/officeDocument/2006/relationships/hyperlink" Target="https://www.safeandsoundgroup.org.uk/the-impact-of-child-sexual-exploitation/#:~:text=THE%20IMPACT%20OF%20CHILD%20EXPLOITATION,to%20use%20drugs%20and%20alcohol" TargetMode="External"/><Relationship Id="rId66" Type="http://schemas.openxmlformats.org/officeDocument/2006/relationships/hyperlink" Target="https://doi.org/10.1016/j.avb.2012.11.008" TargetMode="External"/><Relationship Id="rId5" Type="http://schemas.openxmlformats.org/officeDocument/2006/relationships/numbering" Target="numbering.xml"/><Relationship Id="rId61" Type="http://schemas.openxmlformats.org/officeDocument/2006/relationships/hyperlink" Target="https://www.legislation.gov.uk/ukpga/2003/42/section/14" TargetMode="External"/><Relationship Id="rId19" Type="http://schemas.openxmlformats.org/officeDocument/2006/relationships/hyperlink" Target="file:///\\swp-rest.police.int\data\home\swp6704\Documents\University\Essay%20help%20documents\Harvard-eng_v.1.2.pdf" TargetMode="External"/><Relationship Id="rId14" Type="http://schemas.openxmlformats.org/officeDocument/2006/relationships/footer" Target="footer1.xml"/><Relationship Id="rId22" Type="http://schemas.openxmlformats.org/officeDocument/2006/relationships/hyperlink" Target="https://childlawadvice.org.uk/information-pages/the-law-on-smacking-children/" TargetMode="External"/><Relationship Id="rId27" Type="http://schemas.openxmlformats.org/officeDocument/2006/relationships/hyperlink" Target="https://www.app.college.police.uk/app-content/investigations/introduction/" TargetMode="External"/><Relationship Id="rId30" Type="http://schemas.openxmlformats.org/officeDocument/2006/relationships/hyperlink" Target="https://assets.college.police.uk/s3fs-public/2021-02/code_of_ethics.pdf" TargetMode="External"/><Relationship Id="rId35" Type="http://schemas.openxmlformats.org/officeDocument/2006/relationships/hyperlink" Target="file:///C:\Users\swp6704\Downloads\Victims%20Code%20for%20policing.pdf" TargetMode="External"/><Relationship Id="rId43" Type="http://schemas.openxmlformats.org/officeDocument/2006/relationships/hyperlink" Target="https://www.justiceinspectorates.gov.uk/hmicfrs/wp-content/uploads/2014/03/south-wales-approach-to-tackling-domestic-abuse.pdf" TargetMode="External"/><Relationship Id="rId48" Type="http://schemas.openxmlformats.org/officeDocument/2006/relationships/hyperlink" Target="https://www.iicsa.org.uk/reports-recommendations/publications/inquiry/interim/nature-effects-child-sexual-abuse/effects-child-sexual-abuse" TargetMode="External"/><Relationship Id="rId56" Type="http://schemas.openxmlformats.org/officeDocument/2006/relationships/hyperlink" Target="https://www.legislation.gov.uk/ukpga/1978/37" TargetMode="External"/><Relationship Id="rId64" Type="http://schemas.openxmlformats.org/officeDocument/2006/relationships/hyperlink" Target="https://www.southwalesvictimfocus.org.uk/about-us/who-we-are/" TargetMode="External"/><Relationship Id="rId8" Type="http://schemas.openxmlformats.org/officeDocument/2006/relationships/webSettings" Target="webSettings.xml"/><Relationship Id="rId51" Type="http://schemas.openxmlformats.org/officeDocument/2006/relationships/hyperlink" Target="https://www.cps.gov.uk/sites/default/files/documents/legal_guidance/OD_000049.pdf"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dvladigital.blog.gov.uk/2021/07/16/dvla-brings-latest-tech-to-police-roadside-checks/" TargetMode="External"/><Relationship Id="rId33" Type="http://schemas.openxmlformats.org/officeDocument/2006/relationships/hyperlink" Target="https://whatworks.college.police.uk/Research/Documents/150317_Integrity_REA_FINAL_REPORT.pdf" TargetMode="External"/><Relationship Id="rId38" Type="http://schemas.openxmlformats.org/officeDocument/2006/relationships/hyperlink" Target="https://www.legislation.gov.uk/ukpga/1988/33/section/39" TargetMode="External"/><Relationship Id="rId46" Type="http://schemas.openxmlformats.org/officeDocument/2006/relationships/hyperlink" Target="https://assets.publishing.service.gov.uk/government/uploads/system/uploads/attachment_data/file/1048914/NASPLE_Version_2.3_January_2022.pdf" TargetMode="External"/><Relationship Id="rId59" Type="http://schemas.openxmlformats.org/officeDocument/2006/relationships/hyperlink" Target="https://safelives.org.uk/sites/default/files/resources/National%20definition%20of%20IDVA%20work%20FINAL.pdf" TargetMode="External"/><Relationship Id="rId67" Type="http://schemas.openxmlformats.org/officeDocument/2006/relationships/fontTable" Target="fontTable.xml"/><Relationship Id="rId20" Type="http://schemas.openxmlformats.org/officeDocument/2006/relationships/hyperlink" Target="https://doi.org/10.1371/journal.pone.0251871" TargetMode="External"/><Relationship Id="rId41" Type="http://schemas.openxmlformats.org/officeDocument/2006/relationships/hyperlink" Target="file:///\\swp-rest.police.int\data\home\swp6704\Documents\University\Essay%20help%20documents\Harvard-eng_v.1.2.pdf" TargetMode="External"/><Relationship Id="rId54" Type="http://schemas.openxmlformats.org/officeDocument/2006/relationships/hyperlink" Target="https://www.nspcc.org.uk/what-is-child-abuse/" TargetMode="External"/><Relationship Id="rId62" Type="http://schemas.openxmlformats.org/officeDocument/2006/relationships/hyperlink" Target="https://www.scie.org.uk/publications/introductionto/childrenssocialcare/childprotection.asp"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www.legislation.gov.uk/ukpga/1989/41/section/17" TargetMode="External"/><Relationship Id="rId28" Type="http://schemas.openxmlformats.org/officeDocument/2006/relationships/hyperlink" Target="https://www.app.college.police.uk/app-content/investigations/investigative-strategies/investigative-strategiesanpr/" TargetMode="External"/><Relationship Id="rId36" Type="http://schemas.openxmlformats.org/officeDocument/2006/relationships/hyperlink" Target="https://www.cps.gov.uk/legal-guidance/admitting-evidence-under-sections-9-and-10-criminal-justice-act-1967" TargetMode="External"/><Relationship Id="rId49" Type="http://schemas.openxmlformats.org/officeDocument/2006/relationships/hyperlink" Target="https://gov.wales/live-fear-free/domestic-abuse-wales" TargetMode="External"/><Relationship Id="rId57" Type="http://schemas.openxmlformats.org/officeDocument/2006/relationships/hyperlink" Target="https://rise-cardiff.cymru/" TargetMode="External"/><Relationship Id="rId10" Type="http://schemas.openxmlformats.org/officeDocument/2006/relationships/endnotes" Target="endnotes.xml"/><Relationship Id="rId31" Type="http://schemas.openxmlformats.org/officeDocument/2006/relationships/hyperlink" Target="https://assets.college.police.uk/s3fs-public/2021-02/code_of_ethics_summary.pdf" TargetMode="External"/><Relationship Id="rId44" Type="http://schemas.openxmlformats.org/officeDocument/2006/relationships/hyperlink" Target="https://www.justiceinspectorates.gov.uk/hmicfrs/wp-content/uploads/in-harms-way.pdf" TargetMode="External"/><Relationship Id="rId52" Type="http://schemas.openxmlformats.org/officeDocument/2006/relationships/hyperlink" Target="https://assets.publishing.service.gov.uk/government/uploads/system/uploads/attachment_data/file/974376/victims-code-2020.pdf" TargetMode="External"/><Relationship Id="rId60" Type="http://schemas.openxmlformats.org/officeDocument/2006/relationships/hyperlink" Target="https://www.legislation.gov.uk/ukpga/2003/42/section/15A" TargetMode="External"/><Relationship Id="rId65" Type="http://schemas.openxmlformats.org/officeDocument/2006/relationships/hyperlink" Target="https://gov.wales/ending-physical-punishment-children"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s://socialcare.wales/cms_assets/file-uploads/30-All-Wales-Basic-Safeguarding-Awareness-Training-Practice-case-review-1-&#8211;-Baby-P.pdf" TargetMode="External"/><Relationship Id="rId39" Type="http://schemas.openxmlformats.org/officeDocument/2006/relationships/hyperlink" Target="https://www.dashriskchecklis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20</Pages>
  <Words>9042</Words>
  <Characters>54430</Characters>
  <Application>Microsoft Office Word</Application>
  <DocSecurity>0</DocSecurity>
  <Lines>453</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Rogers,Patric swp6704</cp:lastModifiedBy>
  <cp:revision>54</cp:revision>
  <cp:lastPrinted>2014-08-26T08:55:00Z</cp:lastPrinted>
  <dcterms:created xsi:type="dcterms:W3CDTF">2019-06-20T10:03:00Z</dcterms:created>
  <dcterms:modified xsi:type="dcterms:W3CDTF">2022-02-28T15:40:00Z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2022-02-28T15:40:59Z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f7f8bfad-52fe-4166-8d93-fc6acca10251</vt:lpwstr>
  </property>
  <property fmtid="{D5CDD505-2E9C-101B-9397-08002B2CF9AE}" pid="9" name="MSIP_Label_66cf8fe5-b7b7-4df7-b38d-1c61ac2f6639_ContentBits">
    <vt:lpwstr>0</vt:lpwstr>
  </property>
</Properties>
</file>