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907C8" w14:textId="659B1739" w:rsidR="00E87F4C" w:rsidRPr="00E438B1" w:rsidRDefault="00E87F4C" w:rsidP="00E87F4C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val="nl-NL" w:eastAsia="en-GB"/>
          <w14:ligatures w14:val="none"/>
        </w:rPr>
      </w:pPr>
      <w:r w:rsidRPr="00E438B1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nl-NL" w:eastAsia="en-GB"/>
          <w14:ligatures w14:val="none"/>
        </w:rPr>
        <w:t>Student Name –Maria Alexandra Zbranca</w:t>
      </w:r>
    </w:p>
    <w:p w14:paraId="27F984FD" w14:textId="77777777" w:rsidR="00E438B1" w:rsidRPr="00E438B1" w:rsidRDefault="00E438B1" w:rsidP="00E438B1">
      <w:pPr>
        <w:kinsoku w:val="0"/>
        <w:overflowPunct w:val="0"/>
        <w:spacing w:after="0" w:line="240" w:lineRule="auto"/>
        <w:ind w:left="502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val="nl-NL" w:eastAsia="en-GB"/>
          <w14:ligatures w14:val="none"/>
        </w:rPr>
      </w:pPr>
    </w:p>
    <w:p w14:paraId="5EEC43B8" w14:textId="77777777" w:rsidR="00E87F4C" w:rsidRPr="00E438B1" w:rsidRDefault="00E87F4C" w:rsidP="00E87F4C">
      <w:pPr>
        <w:kinsoku w:val="0"/>
        <w:overflowPunct w:val="0"/>
        <w:spacing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val="nl-NL" w:eastAsia="en-GB"/>
          <w14:ligatures w14:val="none"/>
        </w:rPr>
      </w:pPr>
    </w:p>
    <w:p w14:paraId="6C936E33" w14:textId="45CF9794" w:rsidR="00E87F4C" w:rsidRPr="00E438B1" w:rsidRDefault="00E87F4C" w:rsidP="00E87F4C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E438B1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nl-NL" w:eastAsia="en-GB"/>
          <w14:ligatures w14:val="none"/>
        </w:rPr>
        <w:t xml:space="preserve"> </w:t>
      </w:r>
      <w:r w:rsidRPr="00E438B1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>Student ID -</w:t>
      </w:r>
      <w:r w:rsidRPr="00E438B1">
        <w:rPr>
          <w:rFonts w:ascii="Arial" w:eastAsia="+mn-ea" w:hAnsi="Arial" w:cs="Arial"/>
          <w:b/>
          <w:bCs/>
          <w:color w:val="404040"/>
          <w:kern w:val="24"/>
          <w:sz w:val="32"/>
          <w:szCs w:val="32"/>
          <w:lang w:eastAsia="en-GB"/>
          <w14:ligatures w14:val="none"/>
        </w:rPr>
        <w:t>2241533</w:t>
      </w:r>
    </w:p>
    <w:p w14:paraId="1A311AB4" w14:textId="77777777" w:rsidR="00E438B1" w:rsidRPr="00E438B1" w:rsidRDefault="00E438B1" w:rsidP="00E438B1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6EF78154" w14:textId="77777777" w:rsidR="00E87F4C" w:rsidRPr="00E438B1" w:rsidRDefault="00E87F4C" w:rsidP="00E87F4C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28295573" w14:textId="77777777" w:rsidR="00E87F4C" w:rsidRPr="00E438B1" w:rsidRDefault="00E87F4C" w:rsidP="00E87F4C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E438B1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>BMHP6027: Empowering the Older Person</w:t>
      </w:r>
    </w:p>
    <w:p w14:paraId="1215C560" w14:textId="77777777" w:rsidR="00E438B1" w:rsidRPr="00E438B1" w:rsidRDefault="00E438B1" w:rsidP="00E438B1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54BFDFD6" w14:textId="77777777" w:rsidR="00E87F4C" w:rsidRPr="00E438B1" w:rsidRDefault="00E87F4C" w:rsidP="00E87F4C">
      <w:pPr>
        <w:kinsoku w:val="0"/>
        <w:overflowPunct w:val="0"/>
        <w:spacing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5FFB0462" w14:textId="77777777" w:rsidR="00E87F4C" w:rsidRPr="00E438B1" w:rsidRDefault="00E87F4C" w:rsidP="00E87F4C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E438B1">
        <w:rPr>
          <w:rFonts w:ascii="Arial" w:eastAsia="+mn-ea" w:hAnsi="Arial" w:cs="Arial"/>
          <w:b/>
          <w:bCs/>
          <w:color w:val="000000"/>
          <w:kern w:val="24"/>
          <w:sz w:val="32"/>
          <w:szCs w:val="32"/>
          <w:lang w:val="en-US" w:eastAsia="en-GB"/>
          <w14:ligatures w14:val="none"/>
        </w:rPr>
        <w:t xml:space="preserve">Lecturer: </w:t>
      </w:r>
      <w:r w:rsidRPr="00E438B1">
        <w:rPr>
          <w:rFonts w:ascii="Arial" w:eastAsia="+mn-ea" w:hAnsi="Arial" w:cs="Arial"/>
          <w:b/>
          <w:bCs/>
          <w:color w:val="404040"/>
          <w:kern w:val="24"/>
          <w:sz w:val="32"/>
          <w:szCs w:val="32"/>
          <w:lang w:eastAsia="en-GB"/>
          <w14:ligatures w14:val="none"/>
        </w:rPr>
        <w:t>Zakiyyah Ahmed</w:t>
      </w:r>
    </w:p>
    <w:p w14:paraId="3CA957BE" w14:textId="77777777" w:rsidR="00E438B1" w:rsidRPr="00E438B1" w:rsidRDefault="00E438B1" w:rsidP="00E438B1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3BE4162B" w14:textId="77777777" w:rsidR="00E87F4C" w:rsidRPr="00E438B1" w:rsidRDefault="00E87F4C" w:rsidP="00E87F4C">
      <w:pPr>
        <w:pStyle w:val="ListParagraph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38333F0C" w14:textId="77777777" w:rsidR="00E87F4C" w:rsidRPr="00E438B1" w:rsidRDefault="00E87F4C" w:rsidP="00E87F4C">
      <w:pPr>
        <w:numPr>
          <w:ilvl w:val="0"/>
          <w:numId w:val="3"/>
        </w:num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E438B1">
        <w:rPr>
          <w:rFonts w:ascii="Arial" w:hAnsi="Arial" w:cs="Arial"/>
          <w:b/>
          <w:bCs/>
          <w:sz w:val="32"/>
          <w:szCs w:val="32"/>
        </w:rPr>
        <w:t>Component 2: Debate / Discussion</w:t>
      </w:r>
    </w:p>
    <w:p w14:paraId="2AE34514" w14:textId="77777777" w:rsidR="00E438B1" w:rsidRPr="00E438B1" w:rsidRDefault="00E438B1" w:rsidP="00E438B1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21067784" w14:textId="77777777" w:rsidR="00E87F4C" w:rsidRPr="00E438B1" w:rsidRDefault="00E87F4C" w:rsidP="00E87F4C">
      <w:pPr>
        <w:rPr>
          <w:rStyle w:val="Strong"/>
        </w:rPr>
      </w:pPr>
    </w:p>
    <w:p w14:paraId="1023D9B9" w14:textId="77777777" w:rsidR="00E87F4C" w:rsidRPr="00E438B1" w:rsidRDefault="00E87F4C" w:rsidP="00E87F4C">
      <w:pPr>
        <w:rPr>
          <w:rStyle w:val="Strong"/>
          <w:rFonts w:ascii="Arial" w:hAnsi="Arial" w:cs="Arial"/>
          <w:sz w:val="32"/>
          <w:szCs w:val="32"/>
        </w:rPr>
      </w:pPr>
    </w:p>
    <w:p w14:paraId="67B01A41" w14:textId="13DDF30D" w:rsidR="00E87F4C" w:rsidRPr="00E438B1" w:rsidRDefault="00E87F4C" w:rsidP="00E87F4C">
      <w:pPr>
        <w:pStyle w:val="ListParagraph"/>
        <w:numPr>
          <w:ilvl w:val="0"/>
          <w:numId w:val="3"/>
        </w:numPr>
        <w:rPr>
          <w:rStyle w:val="Emphasis"/>
          <w:b/>
          <w:bCs/>
          <w:i w:val="0"/>
          <w:iCs w:val="0"/>
        </w:rPr>
      </w:pPr>
      <w:r w:rsidRPr="00E438B1">
        <w:rPr>
          <w:rStyle w:val="Strong"/>
          <w:rFonts w:ascii="Arial" w:hAnsi="Arial" w:cs="Arial"/>
          <w:sz w:val="32"/>
          <w:szCs w:val="32"/>
        </w:rPr>
        <w:t>Topic:</w:t>
      </w:r>
      <w:r w:rsidRPr="00E438B1">
        <w:rPr>
          <w:rFonts w:ascii="Arial" w:hAnsi="Arial" w:cs="Arial"/>
          <w:b/>
          <w:bCs/>
          <w:sz w:val="32"/>
          <w:szCs w:val="32"/>
        </w:rPr>
        <w:t xml:space="preserve"> </w:t>
      </w:r>
      <w:r w:rsidRPr="00E438B1">
        <w:rPr>
          <w:rStyle w:val="Emphasis"/>
          <w:rFonts w:ascii="Arial" w:hAnsi="Arial" w:cs="Arial"/>
          <w:b/>
          <w:bCs/>
          <w:i w:val="0"/>
          <w:iCs w:val="0"/>
          <w:sz w:val="32"/>
          <w:szCs w:val="32"/>
        </w:rPr>
        <w:t>Which Setting Better Promotes Empowerment in Older Adults: Domiciliary Care or Residential Care?</w:t>
      </w:r>
    </w:p>
    <w:p w14:paraId="620B48CA" w14:textId="77777777" w:rsidR="00E87F4C" w:rsidRPr="00E438B1" w:rsidRDefault="00E87F4C" w:rsidP="00E87F4C">
      <w:pPr>
        <w:rPr>
          <w:rStyle w:val="Emphasis"/>
          <w:b/>
          <w:bCs/>
          <w:i w:val="0"/>
          <w:iCs w:val="0"/>
        </w:rPr>
      </w:pPr>
    </w:p>
    <w:p w14:paraId="1538AD9F" w14:textId="77777777" w:rsidR="00E87F4C" w:rsidRPr="00B87E3F" w:rsidRDefault="00E87F4C" w:rsidP="00E87F4C">
      <w:pPr>
        <w:rPr>
          <w:rStyle w:val="Emphasis"/>
          <w:i w:val="0"/>
          <w:iCs w:val="0"/>
        </w:rPr>
      </w:pPr>
    </w:p>
    <w:p w14:paraId="79121515" w14:textId="77777777" w:rsidR="00E87F4C" w:rsidRDefault="00E87F4C" w:rsidP="00E87F4C">
      <w:pPr>
        <w:rPr>
          <w:rStyle w:val="Emphasis"/>
        </w:rPr>
      </w:pPr>
    </w:p>
    <w:p w14:paraId="66CBE743" w14:textId="77777777" w:rsidR="00E87F4C" w:rsidRDefault="00E87F4C" w:rsidP="00E87F4C">
      <w:pPr>
        <w:rPr>
          <w:rStyle w:val="Emphasis"/>
        </w:rPr>
      </w:pPr>
    </w:p>
    <w:p w14:paraId="74AE5D8A" w14:textId="77777777" w:rsidR="00E87F4C" w:rsidRDefault="00E87F4C" w:rsidP="00E87F4C">
      <w:pPr>
        <w:rPr>
          <w:rStyle w:val="Emphasis"/>
        </w:rPr>
      </w:pPr>
    </w:p>
    <w:p w14:paraId="2E446C3D" w14:textId="77777777" w:rsidR="00E87F4C" w:rsidRDefault="00E87F4C" w:rsidP="00E87F4C">
      <w:pPr>
        <w:rPr>
          <w:rStyle w:val="Emphasis"/>
        </w:rPr>
      </w:pPr>
    </w:p>
    <w:p w14:paraId="1E6723E0" w14:textId="77777777" w:rsidR="00E87F4C" w:rsidRDefault="00E87F4C" w:rsidP="00E87F4C">
      <w:pPr>
        <w:rPr>
          <w:rStyle w:val="Emphasis"/>
        </w:rPr>
      </w:pPr>
    </w:p>
    <w:p w14:paraId="7E215B1C" w14:textId="77777777" w:rsidR="00E87F4C" w:rsidRDefault="00E87F4C" w:rsidP="00E87F4C">
      <w:pPr>
        <w:rPr>
          <w:rStyle w:val="Emphasis"/>
        </w:rPr>
      </w:pPr>
    </w:p>
    <w:p w14:paraId="083A7340" w14:textId="77777777" w:rsidR="00E87F4C" w:rsidRDefault="00E87F4C" w:rsidP="00E87F4C">
      <w:pPr>
        <w:rPr>
          <w:rStyle w:val="Emphasis"/>
        </w:rPr>
      </w:pPr>
    </w:p>
    <w:p w14:paraId="2B9B77A6" w14:textId="77777777" w:rsidR="00E87F4C" w:rsidRDefault="00E87F4C" w:rsidP="00E87F4C">
      <w:pPr>
        <w:rPr>
          <w:rStyle w:val="Emphasis"/>
        </w:rPr>
      </w:pPr>
    </w:p>
    <w:p w14:paraId="5B7CDE93" w14:textId="77777777" w:rsidR="00E87F4C" w:rsidRDefault="00E87F4C" w:rsidP="00E87F4C">
      <w:pPr>
        <w:rPr>
          <w:rStyle w:val="Emphasis"/>
        </w:rPr>
      </w:pPr>
    </w:p>
    <w:p w14:paraId="4AD04A6E" w14:textId="77777777" w:rsidR="00E87F4C" w:rsidRDefault="00E87F4C" w:rsidP="00E87F4C">
      <w:pPr>
        <w:rPr>
          <w:rStyle w:val="Emphasis"/>
        </w:rPr>
      </w:pPr>
    </w:p>
    <w:p w14:paraId="47B9DF82" w14:textId="77777777" w:rsidR="00E87F4C" w:rsidRDefault="00E87F4C" w:rsidP="00E87F4C">
      <w:pPr>
        <w:rPr>
          <w:rStyle w:val="Emphasis"/>
        </w:rPr>
      </w:pPr>
    </w:p>
    <w:p w14:paraId="11BB884A" w14:textId="6B2363D5" w:rsidR="00E87F4C" w:rsidRPr="00E438B1" w:rsidRDefault="00E87F4C" w:rsidP="00E87F4C">
      <w:pPr>
        <w:rPr>
          <w:rStyle w:val="Emphasis"/>
          <w:b/>
          <w:bCs/>
        </w:rPr>
      </w:pPr>
      <w:r w:rsidRPr="00E438B1">
        <w:rPr>
          <w:rStyle w:val="Emphasis"/>
          <w:b/>
          <w:bCs/>
        </w:rPr>
        <w:lastRenderedPageBreak/>
        <w:t>REFERANCE</w:t>
      </w:r>
    </w:p>
    <w:p w14:paraId="5C69F378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Age UK (2021)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Older People’s Experiences in Residential Care.</w:t>
      </w:r>
      <w:r w:rsidRPr="00206D54">
        <w:rPr>
          <w:rFonts w:ascii="Arial" w:hAnsi="Arial" w:cs="Arial"/>
          <w:sz w:val="22"/>
          <w:szCs w:val="22"/>
        </w:rPr>
        <w:t xml:space="preserve"> Age UK.</w:t>
      </w:r>
    </w:p>
    <w:p w14:paraId="67AE3B9A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Bowers, H., Clark, A. and Brannelly, T. (2021) ‘Empowerment and trust in care home relationships’,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Health &amp; Social Care in the Community</w:t>
      </w:r>
      <w:r w:rsidRPr="00206D54">
        <w:rPr>
          <w:rFonts w:ascii="Arial" w:hAnsi="Arial" w:cs="Arial"/>
          <w:sz w:val="22"/>
          <w:szCs w:val="22"/>
        </w:rPr>
        <w:t>, 29(5), pp. 1451–1460.</w:t>
      </w:r>
    </w:p>
    <w:p w14:paraId="22316A33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Bunn, F., Lynch, J. and Goodman, C. (2022) ‘Person-centred environments in care homes’,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Health Expectations</w:t>
      </w:r>
      <w:r w:rsidRPr="00206D54">
        <w:rPr>
          <w:rFonts w:ascii="Arial" w:hAnsi="Arial" w:cs="Arial"/>
          <w:sz w:val="22"/>
          <w:szCs w:val="22"/>
        </w:rPr>
        <w:t>, 25(2), pp. 620–632.</w:t>
      </w:r>
    </w:p>
    <w:p w14:paraId="5CC3E58A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Care Act 2014. UK Government. Available at: </w:t>
      </w:r>
      <w:hyperlink r:id="rId5" w:tgtFrame="_new" w:history="1">
        <w:r w:rsidRPr="00206D54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</w:t>
        </w:r>
      </w:hyperlink>
      <w:r w:rsidRPr="00206D54">
        <w:rPr>
          <w:rFonts w:ascii="Arial" w:hAnsi="Arial" w:cs="Arial"/>
          <w:sz w:val="22"/>
          <w:szCs w:val="22"/>
        </w:rPr>
        <w:t xml:space="preserve"> (Accessed: [insert date]).</w:t>
      </w:r>
    </w:p>
    <w:p w14:paraId="6249D61E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Care Quality Commission (2022)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Riverside View Care Home Inspection Report.</w:t>
      </w:r>
      <w:r w:rsidRPr="00206D54">
        <w:rPr>
          <w:rFonts w:ascii="Arial" w:hAnsi="Arial" w:cs="Arial"/>
          <w:sz w:val="22"/>
          <w:szCs w:val="22"/>
        </w:rPr>
        <w:t xml:space="preserve"> CQC.</w:t>
      </w:r>
    </w:p>
    <w:p w14:paraId="45A827D2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Care Quality Commission (2023)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State of Care Report 2023.</w:t>
      </w:r>
      <w:r w:rsidRPr="00206D54">
        <w:rPr>
          <w:rFonts w:ascii="Arial" w:hAnsi="Arial" w:cs="Arial"/>
          <w:sz w:val="22"/>
          <w:szCs w:val="22"/>
        </w:rPr>
        <w:t xml:space="preserve"> CQC.</w:t>
      </w:r>
    </w:p>
    <w:p w14:paraId="5F0C84D8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Cooney, A., Dowling, M. and Murphy, K. (2019) ‘Social connectedness in care homes: A qualitative review’,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Ageing &amp; Society</w:t>
      </w:r>
      <w:r w:rsidRPr="00206D54">
        <w:rPr>
          <w:rFonts w:ascii="Arial" w:hAnsi="Arial" w:cs="Arial"/>
          <w:sz w:val="22"/>
          <w:szCs w:val="22"/>
        </w:rPr>
        <w:t>, 39(5), pp. 1092–1115.</w:t>
      </w:r>
    </w:p>
    <w:p w14:paraId="7E513F56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Davies, S., Nolan, M. and Brown, J. (2021) ‘Relational care and emotional empowerment in residential settings’,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Journal of Advanced Nursing</w:t>
      </w:r>
      <w:r w:rsidRPr="00206D54">
        <w:rPr>
          <w:rFonts w:ascii="Arial" w:hAnsi="Arial" w:cs="Arial"/>
          <w:sz w:val="22"/>
          <w:szCs w:val="22"/>
        </w:rPr>
        <w:t>, 77(8), pp. 3433–3445.</w:t>
      </w:r>
    </w:p>
    <w:p w14:paraId="0DF7C387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Havighurst, R. (1961)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Activity Theory of Ageing.</w:t>
      </w:r>
      <w:r w:rsidRPr="00206D54">
        <w:rPr>
          <w:rFonts w:ascii="Arial" w:hAnsi="Arial" w:cs="Arial"/>
          <w:sz w:val="22"/>
          <w:szCs w:val="22"/>
        </w:rPr>
        <w:t xml:space="preserve"> London: Longmans.</w:t>
      </w:r>
    </w:p>
    <w:p w14:paraId="7514BA20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Health and Care Act 2022. UK Government. Available at: </w:t>
      </w:r>
      <w:hyperlink r:id="rId6" w:tgtFrame="_new" w:history="1">
        <w:r w:rsidRPr="00206D54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</w:t>
        </w:r>
      </w:hyperlink>
      <w:r w:rsidRPr="00206D54">
        <w:rPr>
          <w:rFonts w:ascii="Arial" w:hAnsi="Arial" w:cs="Arial"/>
          <w:sz w:val="22"/>
          <w:szCs w:val="22"/>
        </w:rPr>
        <w:t xml:space="preserve"> (Accessed: [insert date]).</w:t>
      </w:r>
    </w:p>
    <w:p w14:paraId="373564A6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Hughes, J. and Black, A. (2020) ‘Social participation and well-being in residential care’,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The Gerontologist</w:t>
      </w:r>
      <w:r w:rsidRPr="00206D54">
        <w:rPr>
          <w:rFonts w:ascii="Arial" w:hAnsi="Arial" w:cs="Arial"/>
          <w:sz w:val="22"/>
          <w:szCs w:val="22"/>
        </w:rPr>
        <w:t>, 60(6), pp. 1155–1164.</w:t>
      </w:r>
    </w:p>
    <w:p w14:paraId="1662F412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Johnson, K. and Carter, L. (2021) ‘Shared decision-making in residential care’,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Journal of Social Care</w:t>
      </w:r>
      <w:r w:rsidRPr="00206D54">
        <w:rPr>
          <w:rFonts w:ascii="Arial" w:hAnsi="Arial" w:cs="Arial"/>
          <w:sz w:val="22"/>
          <w:szCs w:val="22"/>
        </w:rPr>
        <w:t>, 14(2), pp. 88–99.</w:t>
      </w:r>
    </w:p>
    <w:p w14:paraId="6D3A201E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proofErr w:type="spellStart"/>
      <w:r w:rsidRPr="00206D54">
        <w:rPr>
          <w:rFonts w:ascii="Arial" w:hAnsi="Arial" w:cs="Arial"/>
          <w:sz w:val="22"/>
          <w:szCs w:val="22"/>
        </w:rPr>
        <w:t>Kitwood</w:t>
      </w:r>
      <w:proofErr w:type="spellEnd"/>
      <w:r w:rsidRPr="00206D54">
        <w:rPr>
          <w:rFonts w:ascii="Arial" w:hAnsi="Arial" w:cs="Arial"/>
          <w:sz w:val="22"/>
          <w:szCs w:val="22"/>
        </w:rPr>
        <w:t xml:space="preserve">, T. (1997)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Dementia Reconsidered: The Person Comes First.</w:t>
      </w:r>
      <w:r w:rsidRPr="00206D54">
        <w:rPr>
          <w:rFonts w:ascii="Arial" w:hAnsi="Arial" w:cs="Arial"/>
          <w:sz w:val="22"/>
          <w:szCs w:val="22"/>
        </w:rPr>
        <w:t xml:space="preserve"> Open University Press.</w:t>
      </w:r>
    </w:p>
    <w:p w14:paraId="69EF06F9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Li, J. and Jones, H. (2022) ‘The impact of staff continuity on resident well-being’,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International Journal of Older People Nursing</w:t>
      </w:r>
      <w:r w:rsidRPr="00206D54">
        <w:rPr>
          <w:rFonts w:ascii="Arial" w:hAnsi="Arial" w:cs="Arial"/>
          <w:sz w:val="22"/>
          <w:szCs w:val="22"/>
        </w:rPr>
        <w:t>, 17(3), pp. 1–10.</w:t>
      </w:r>
    </w:p>
    <w:p w14:paraId="11EB63D7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McCormack, B. (2018) ‘Relationship-centred care in residential settings’,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Journal of Clinical Nursing</w:t>
      </w:r>
      <w:r w:rsidRPr="00206D54">
        <w:rPr>
          <w:rFonts w:ascii="Arial" w:hAnsi="Arial" w:cs="Arial"/>
          <w:sz w:val="22"/>
          <w:szCs w:val="22"/>
        </w:rPr>
        <w:t>, 27(15–16), pp. 3147–3158.</w:t>
      </w:r>
    </w:p>
    <w:p w14:paraId="0E61D95E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Murphy, K. and O’Shea, E. (2020) ‘Dignity and identity in residential aged care’,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Nursing Ethics</w:t>
      </w:r>
      <w:r w:rsidRPr="00206D54">
        <w:rPr>
          <w:rFonts w:ascii="Arial" w:hAnsi="Arial" w:cs="Arial"/>
          <w:sz w:val="22"/>
          <w:szCs w:val="22"/>
        </w:rPr>
        <w:t>, 27(4), pp. 1021–1035.</w:t>
      </w:r>
    </w:p>
    <w:p w14:paraId="5ADCAFB5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NICE (2020)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Care of Older Adults in Care Homes: Multidisciplinary Practice.</w:t>
      </w:r>
      <w:r w:rsidRPr="00206D54">
        <w:rPr>
          <w:rFonts w:ascii="Arial" w:hAnsi="Arial" w:cs="Arial"/>
          <w:sz w:val="22"/>
          <w:szCs w:val="22"/>
        </w:rPr>
        <w:t xml:space="preserve"> NICE.</w:t>
      </w:r>
    </w:p>
    <w:p w14:paraId="5F4D944F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Powell, R. and Beech, R. (2021) ‘Safety, reassurance and identity among older adults in care homes’,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British Journal of Social Work</w:t>
      </w:r>
      <w:r w:rsidRPr="00206D54">
        <w:rPr>
          <w:rFonts w:ascii="Arial" w:hAnsi="Arial" w:cs="Arial"/>
          <w:sz w:val="22"/>
          <w:szCs w:val="22"/>
        </w:rPr>
        <w:t>, 51(5), pp. 1772–1790.</w:t>
      </w:r>
    </w:p>
    <w:p w14:paraId="3E3F8792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Skills for Care (2022)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Workforce Quality in Long-Term Care.</w:t>
      </w:r>
      <w:r w:rsidRPr="00206D54">
        <w:rPr>
          <w:rFonts w:ascii="Arial" w:hAnsi="Arial" w:cs="Arial"/>
          <w:sz w:val="22"/>
          <w:szCs w:val="22"/>
        </w:rPr>
        <w:t xml:space="preserve"> Skills for Care.</w:t>
      </w:r>
    </w:p>
    <w:p w14:paraId="2640C2F5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lastRenderedPageBreak/>
        <w:t xml:space="preserve">Thompson, S. and Khan, R. (2022) ‘Building trust and emotional well-being in care homes’,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Journal of Care Practice</w:t>
      </w:r>
      <w:r w:rsidRPr="00206D54">
        <w:rPr>
          <w:rFonts w:ascii="Arial" w:hAnsi="Arial" w:cs="Arial"/>
          <w:sz w:val="22"/>
          <w:szCs w:val="22"/>
        </w:rPr>
        <w:t>, 18(3), pp. 201–214.</w:t>
      </w:r>
    </w:p>
    <w:p w14:paraId="1D83FF75" w14:textId="77777777" w:rsidR="00206D54" w:rsidRPr="00206D54" w:rsidRDefault="00206D54" w:rsidP="00206D54">
      <w:pPr>
        <w:pStyle w:val="NormalWeb"/>
        <w:rPr>
          <w:rFonts w:ascii="Arial" w:hAnsi="Arial" w:cs="Arial"/>
          <w:sz w:val="22"/>
          <w:szCs w:val="22"/>
        </w:rPr>
      </w:pPr>
      <w:r w:rsidRPr="00206D54">
        <w:rPr>
          <w:rFonts w:ascii="Arial" w:hAnsi="Arial" w:cs="Arial"/>
          <w:sz w:val="22"/>
          <w:szCs w:val="22"/>
        </w:rPr>
        <w:t xml:space="preserve">White, C. and Hughes, J. (2023) ‘Community-building as empowerment in residential care’, </w:t>
      </w:r>
      <w:r w:rsidRPr="00206D54">
        <w:rPr>
          <w:rStyle w:val="Emphasis"/>
          <w:rFonts w:ascii="Arial" w:eastAsiaTheme="majorEastAsia" w:hAnsi="Arial" w:cs="Arial"/>
          <w:sz w:val="22"/>
          <w:szCs w:val="22"/>
        </w:rPr>
        <w:t>Journal of Applied Gerontology</w:t>
      </w:r>
      <w:r w:rsidRPr="00206D54">
        <w:rPr>
          <w:rFonts w:ascii="Arial" w:hAnsi="Arial" w:cs="Arial"/>
          <w:sz w:val="22"/>
          <w:szCs w:val="22"/>
        </w:rPr>
        <w:t>, 42(1), pp. 15–29.</w:t>
      </w:r>
    </w:p>
    <w:p w14:paraId="47F9A9B7" w14:textId="67F63385" w:rsidR="003F074A" w:rsidRPr="00E87F4C" w:rsidRDefault="003F074A" w:rsidP="00E87F4C">
      <w:pPr>
        <w:rPr>
          <w:rFonts w:ascii="Arial" w:hAnsi="Arial" w:cs="Arial"/>
          <w:sz w:val="22"/>
          <w:szCs w:val="22"/>
        </w:rPr>
      </w:pPr>
    </w:p>
    <w:sectPr w:rsidR="003F074A" w:rsidRPr="00E87F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D7BCF"/>
    <w:multiLevelType w:val="hybridMultilevel"/>
    <w:tmpl w:val="1D9C2900"/>
    <w:lvl w:ilvl="0" w:tplc="0809000B">
      <w:start w:val="1"/>
      <w:numFmt w:val="bullet"/>
      <w:lvlText w:val=""/>
      <w:lvlJc w:val="left"/>
      <w:pPr>
        <w:ind w:left="302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1" w15:restartNumberingAfterBreak="0">
    <w:nsid w:val="131C4BCB"/>
    <w:multiLevelType w:val="hybridMultilevel"/>
    <w:tmpl w:val="9AC88F5C"/>
    <w:lvl w:ilvl="0" w:tplc="08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571075A"/>
    <w:multiLevelType w:val="hybridMultilevel"/>
    <w:tmpl w:val="9022D51A"/>
    <w:lvl w:ilvl="0" w:tplc="0809000F">
      <w:start w:val="1"/>
      <w:numFmt w:val="decimal"/>
      <w:lvlText w:val="%1."/>
      <w:lvlJc w:val="left"/>
      <w:pPr>
        <w:ind w:left="3022" w:hanging="360"/>
      </w:pPr>
    </w:lvl>
    <w:lvl w:ilvl="1" w:tplc="08090019" w:tentative="1">
      <w:start w:val="1"/>
      <w:numFmt w:val="lowerLetter"/>
      <w:lvlText w:val="%2."/>
      <w:lvlJc w:val="left"/>
      <w:pPr>
        <w:ind w:left="3742" w:hanging="360"/>
      </w:pPr>
    </w:lvl>
    <w:lvl w:ilvl="2" w:tplc="0809001B" w:tentative="1">
      <w:start w:val="1"/>
      <w:numFmt w:val="lowerRoman"/>
      <w:lvlText w:val="%3."/>
      <w:lvlJc w:val="right"/>
      <w:pPr>
        <w:ind w:left="4462" w:hanging="180"/>
      </w:pPr>
    </w:lvl>
    <w:lvl w:ilvl="3" w:tplc="0809000F" w:tentative="1">
      <w:start w:val="1"/>
      <w:numFmt w:val="decimal"/>
      <w:lvlText w:val="%4."/>
      <w:lvlJc w:val="left"/>
      <w:pPr>
        <w:ind w:left="5182" w:hanging="360"/>
      </w:pPr>
    </w:lvl>
    <w:lvl w:ilvl="4" w:tplc="08090019" w:tentative="1">
      <w:start w:val="1"/>
      <w:numFmt w:val="lowerLetter"/>
      <w:lvlText w:val="%5."/>
      <w:lvlJc w:val="left"/>
      <w:pPr>
        <w:ind w:left="5902" w:hanging="360"/>
      </w:pPr>
    </w:lvl>
    <w:lvl w:ilvl="5" w:tplc="0809001B" w:tentative="1">
      <w:start w:val="1"/>
      <w:numFmt w:val="lowerRoman"/>
      <w:lvlText w:val="%6."/>
      <w:lvlJc w:val="right"/>
      <w:pPr>
        <w:ind w:left="6622" w:hanging="180"/>
      </w:pPr>
    </w:lvl>
    <w:lvl w:ilvl="6" w:tplc="0809000F" w:tentative="1">
      <w:start w:val="1"/>
      <w:numFmt w:val="decimal"/>
      <w:lvlText w:val="%7."/>
      <w:lvlJc w:val="left"/>
      <w:pPr>
        <w:ind w:left="7342" w:hanging="360"/>
      </w:pPr>
    </w:lvl>
    <w:lvl w:ilvl="7" w:tplc="08090019" w:tentative="1">
      <w:start w:val="1"/>
      <w:numFmt w:val="lowerLetter"/>
      <w:lvlText w:val="%8."/>
      <w:lvlJc w:val="left"/>
      <w:pPr>
        <w:ind w:left="8062" w:hanging="360"/>
      </w:pPr>
    </w:lvl>
    <w:lvl w:ilvl="8" w:tplc="0809001B" w:tentative="1">
      <w:start w:val="1"/>
      <w:numFmt w:val="lowerRoman"/>
      <w:lvlText w:val="%9."/>
      <w:lvlJc w:val="right"/>
      <w:pPr>
        <w:ind w:left="8782" w:hanging="180"/>
      </w:pPr>
    </w:lvl>
  </w:abstractNum>
  <w:abstractNum w:abstractNumId="3" w15:restartNumberingAfterBreak="0">
    <w:nsid w:val="436715D3"/>
    <w:multiLevelType w:val="hybridMultilevel"/>
    <w:tmpl w:val="EB7A4762"/>
    <w:lvl w:ilvl="0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508723F7"/>
    <w:multiLevelType w:val="hybridMultilevel"/>
    <w:tmpl w:val="D978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019D3"/>
    <w:multiLevelType w:val="hybridMultilevel"/>
    <w:tmpl w:val="AFA87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0B589D"/>
    <w:multiLevelType w:val="hybridMultilevel"/>
    <w:tmpl w:val="AE00B8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A399E"/>
    <w:multiLevelType w:val="hybridMultilevel"/>
    <w:tmpl w:val="513CCEB4"/>
    <w:lvl w:ilvl="0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7E4909EB"/>
    <w:multiLevelType w:val="hybridMultilevel"/>
    <w:tmpl w:val="6D4EC0B6"/>
    <w:lvl w:ilvl="0" w:tplc="0809000B">
      <w:start w:val="1"/>
      <w:numFmt w:val="bullet"/>
      <w:lvlText w:val=""/>
      <w:lvlJc w:val="left"/>
      <w:pPr>
        <w:ind w:left="302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9" w15:restartNumberingAfterBreak="0">
    <w:nsid w:val="7FCB6280"/>
    <w:multiLevelType w:val="hybridMultilevel"/>
    <w:tmpl w:val="1B001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229234">
    <w:abstractNumId w:val="4"/>
  </w:num>
  <w:num w:numId="2" w16cid:durableId="1763717282">
    <w:abstractNumId w:val="4"/>
  </w:num>
  <w:num w:numId="3" w16cid:durableId="1702170456">
    <w:abstractNumId w:val="1"/>
  </w:num>
  <w:num w:numId="4" w16cid:durableId="1094398218">
    <w:abstractNumId w:val="9"/>
  </w:num>
  <w:num w:numId="5" w16cid:durableId="724988276">
    <w:abstractNumId w:val="3"/>
  </w:num>
  <w:num w:numId="6" w16cid:durableId="35854033">
    <w:abstractNumId w:val="7"/>
  </w:num>
  <w:num w:numId="7" w16cid:durableId="273294630">
    <w:abstractNumId w:val="6"/>
  </w:num>
  <w:num w:numId="8" w16cid:durableId="204149042">
    <w:abstractNumId w:val="5"/>
  </w:num>
  <w:num w:numId="9" w16cid:durableId="1489322401">
    <w:abstractNumId w:val="0"/>
  </w:num>
  <w:num w:numId="10" w16cid:durableId="496116984">
    <w:abstractNumId w:val="8"/>
  </w:num>
  <w:num w:numId="11" w16cid:durableId="478573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F4C"/>
    <w:rsid w:val="00206D54"/>
    <w:rsid w:val="003F074A"/>
    <w:rsid w:val="00567DBE"/>
    <w:rsid w:val="007A2D3F"/>
    <w:rsid w:val="00B87E3F"/>
    <w:rsid w:val="00E438B1"/>
    <w:rsid w:val="00E87F4C"/>
    <w:rsid w:val="00EB043F"/>
    <w:rsid w:val="00F01AB1"/>
    <w:rsid w:val="00F6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3DF5B"/>
  <w15:chartTrackingRefBased/>
  <w15:docId w15:val="{F46ABB87-855B-4CE1-99B3-3CEDE3A4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4C"/>
    <w:pPr>
      <w:spacing w:line="276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7F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F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F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F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F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F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F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F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F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F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F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F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F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F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F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F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F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F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F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F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F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F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F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F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F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F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F4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E87F4C"/>
    <w:rPr>
      <w:b/>
      <w:bCs/>
    </w:rPr>
  </w:style>
  <w:style w:type="character" w:styleId="Emphasis">
    <w:name w:val="Emphasis"/>
    <w:basedOn w:val="DefaultParagraphFont"/>
    <w:uiPriority w:val="20"/>
    <w:qFormat/>
    <w:rsid w:val="00E87F4C"/>
    <w:rPr>
      <w:i/>
      <w:iCs/>
    </w:rPr>
  </w:style>
  <w:style w:type="paragraph" w:styleId="NormalWeb">
    <w:name w:val="Normal (Web)"/>
    <w:basedOn w:val="Normal"/>
    <w:uiPriority w:val="99"/>
    <w:unhideWhenUsed/>
    <w:rsid w:val="00E8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206D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" TargetMode="External"/><Relationship Id="rId5" Type="http://schemas.openxmlformats.org/officeDocument/2006/relationships/hyperlink" Target="https://www.legislation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nedelcu</dc:creator>
  <cp:keywords/>
  <dc:description/>
  <cp:lastModifiedBy>vasile nedelcu</cp:lastModifiedBy>
  <cp:revision>4</cp:revision>
  <dcterms:created xsi:type="dcterms:W3CDTF">2025-10-25T21:01:00Z</dcterms:created>
  <dcterms:modified xsi:type="dcterms:W3CDTF">2025-11-07T18:37:00Z</dcterms:modified>
</cp:coreProperties>
</file>