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10FFAE95" w14:textId="23788466" w:rsidR="000E2E7E" w:rsidRPr="00E7160D" w:rsidRDefault="000E2E7E">
      <w:pPr>
        <w:rPr>
          <w:b/>
          <w:bCs/>
        </w:rPr>
      </w:pPr>
      <w:r w:rsidRPr="00E7160D">
        <w:rPr>
          <w:b/>
          <w:bCs/>
        </w:rPr>
        <w:t>Module Code:  ECAD</w:t>
      </w:r>
      <w:r w:rsidR="00510D18" w:rsidRPr="00E7160D">
        <w:rPr>
          <w:b/>
          <w:bCs/>
        </w:rPr>
        <w:t>5014</w:t>
      </w:r>
    </w:p>
    <w:p w14:paraId="12C585B1" w14:textId="77777777" w:rsidR="000E2E7E" w:rsidRPr="00DC5157" w:rsidRDefault="000E2E7E">
      <w:pPr>
        <w:rPr>
          <w:b/>
          <w:bCs/>
        </w:rPr>
      </w:pPr>
      <w:r w:rsidRPr="00DC5157">
        <w:rPr>
          <w:b/>
          <w:bCs/>
        </w:rPr>
        <w:t xml:space="preserve">Assignment Title: </w:t>
      </w:r>
    </w:p>
    <w:p w14:paraId="78DCE9B9" w14:textId="0383722C" w:rsidR="000E2E7E" w:rsidRDefault="00510D18">
      <w:pPr>
        <w:rPr>
          <w:b/>
          <w:bCs/>
        </w:rPr>
      </w:pPr>
      <w:r w:rsidRPr="00DC5157">
        <w:rPr>
          <w:b/>
          <w:bCs/>
        </w:rPr>
        <w:t>Design and conduct a small-scale research study, and critically evaluate the chosen research tools, and the impact of your findings on your professional practice.</w:t>
      </w:r>
    </w:p>
    <w:p w14:paraId="2B02D1A2" w14:textId="77777777" w:rsidR="00401982" w:rsidRPr="00DC5157" w:rsidRDefault="00401982">
      <w:pPr>
        <w:rPr>
          <w:b/>
          <w:bCs/>
        </w:rPr>
      </w:pPr>
    </w:p>
    <w:p w14:paraId="47D65DC0" w14:textId="3917DBAF" w:rsidR="000E2E7E" w:rsidRPr="00DC5157" w:rsidRDefault="000E2E7E">
      <w:pPr>
        <w:rPr>
          <w:b/>
          <w:bCs/>
        </w:rPr>
      </w:pPr>
      <w:r w:rsidRPr="00DC5157">
        <w:rPr>
          <w:b/>
          <w:bCs/>
        </w:rPr>
        <w:t>Student Name:</w:t>
      </w:r>
      <w:r w:rsidR="00DC5157" w:rsidRPr="00DC5157">
        <w:rPr>
          <w:b/>
          <w:bCs/>
        </w:rPr>
        <w:t xml:space="preserve"> Emily James</w:t>
      </w:r>
    </w:p>
    <w:p w14:paraId="1025240F" w14:textId="343E3E6C" w:rsidR="000E2E7E" w:rsidRPr="00DC5157" w:rsidRDefault="000E2E7E">
      <w:pPr>
        <w:rPr>
          <w:b/>
          <w:bCs/>
        </w:rPr>
      </w:pPr>
      <w:r w:rsidRPr="00DC5157">
        <w:rPr>
          <w:b/>
          <w:bCs/>
        </w:rPr>
        <w:t>Student Number:</w:t>
      </w:r>
      <w:r w:rsidR="00DC5157" w:rsidRPr="00DC5157">
        <w:rPr>
          <w:b/>
          <w:bCs/>
        </w:rPr>
        <w:t xml:space="preserve"> 2317130</w:t>
      </w:r>
    </w:p>
    <w:p w14:paraId="097A6454" w14:textId="2CDE4013" w:rsidR="000E2E7E" w:rsidRDefault="000E2E7E">
      <w:pPr>
        <w:rPr>
          <w:b/>
          <w:bCs/>
        </w:rPr>
      </w:pPr>
      <w:r w:rsidRPr="00DC5157">
        <w:rPr>
          <w:b/>
          <w:bCs/>
        </w:rPr>
        <w:t>BA Primary Education (QTS)</w:t>
      </w:r>
    </w:p>
    <w:p w14:paraId="33E2EBB0" w14:textId="77777777" w:rsidR="00DC5157" w:rsidRPr="00DC5157" w:rsidRDefault="00DC5157">
      <w:pPr>
        <w:rPr>
          <w:b/>
          <w:bCs/>
        </w:rPr>
      </w:pPr>
    </w:p>
    <w:p w14:paraId="0BE6D22C" w14:textId="77777777" w:rsidR="000E2E7E" w:rsidRPr="00E243A8" w:rsidRDefault="000E2E7E" w:rsidP="000E2E7E">
      <w:pPr>
        <w:rPr>
          <w:b/>
          <w:bCs/>
          <w:sz w:val="32"/>
          <w:szCs w:val="32"/>
          <w:u w:val="single"/>
        </w:rPr>
      </w:pPr>
      <w:r w:rsidRPr="00E243A8">
        <w:rPr>
          <w:b/>
          <w:bCs/>
          <w:sz w:val="32"/>
          <w:szCs w:val="32"/>
          <w:u w:val="single"/>
        </w:rPr>
        <w:t>AI Acknowledgement</w:t>
      </w:r>
    </w:p>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7DAD7D77" w14:textId="4C8550A9" w:rsidR="000E2E7E" w:rsidRPr="00DC5157" w:rsidRDefault="000E2E7E" w:rsidP="000E2E7E">
      <w:r w:rsidRPr="00E243A8">
        <w:t xml:space="preserve">I confirm </w:t>
      </w:r>
      <w:r>
        <w:t xml:space="preserve">that </w:t>
      </w:r>
      <w:r w:rsidRPr="00E243A8">
        <w:t>I have copies of my drafts, notes, and other resources I used, which I may be asked to provide in evidence.</w:t>
      </w: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4106"/>
        <w:gridCol w:w="2268"/>
        <w:gridCol w:w="2908"/>
      </w:tblGrid>
      <w:tr w:rsidR="000E2E7E" w:rsidRPr="001B4AB4" w14:paraId="0ADB3F25" w14:textId="77777777" w:rsidTr="00D23D36">
        <w:trPr>
          <w:trHeight w:val="360"/>
        </w:trPr>
        <w:tc>
          <w:tcPr>
            <w:tcW w:w="4106" w:type="dxa"/>
          </w:tcPr>
          <w:p w14:paraId="2110C93E" w14:textId="45B7432A" w:rsidR="000E2E7E" w:rsidRPr="00841556" w:rsidRDefault="000E2E7E" w:rsidP="00AE36BB">
            <w:pPr>
              <w:rPr>
                <w:b/>
                <w:bCs/>
                <w:color w:val="FFFFFF"/>
                <w:lang w:val="cy-GB"/>
              </w:rPr>
            </w:pPr>
            <w:r w:rsidRPr="00841556">
              <w:rPr>
                <w:b/>
                <w:bCs/>
                <w:lang w:val="cy-GB"/>
              </w:rPr>
              <w:t>Targets from previous module</w:t>
            </w:r>
          </w:p>
        </w:tc>
        <w:tc>
          <w:tcPr>
            <w:tcW w:w="2268" w:type="dxa"/>
          </w:tcPr>
          <w:p w14:paraId="1C0504E0" w14:textId="648CF4FC" w:rsidR="000E2E7E" w:rsidRPr="00841556" w:rsidRDefault="000E2E7E" w:rsidP="00AE36BB">
            <w:pPr>
              <w:rPr>
                <w:b/>
                <w:bCs/>
                <w:color w:val="FFFFFF"/>
                <w:lang w:val="cy-GB"/>
              </w:rPr>
            </w:pPr>
            <w:r w:rsidRPr="00841556">
              <w:rPr>
                <w:b/>
                <w:bCs/>
                <w:lang w:val="cy-GB"/>
              </w:rPr>
              <w:t>How I have worked on these?</w:t>
            </w:r>
          </w:p>
        </w:tc>
        <w:tc>
          <w:tcPr>
            <w:tcW w:w="2908" w:type="dxa"/>
          </w:tcPr>
          <w:p w14:paraId="0ED8A1ED" w14:textId="77777777" w:rsidR="000E2E7E" w:rsidRPr="00841556" w:rsidRDefault="000E2E7E" w:rsidP="00AE36BB">
            <w:pPr>
              <w:rPr>
                <w:rFonts w:ascii="Calibri" w:hAnsi="Calibri" w:cs="Calibri"/>
                <w:b/>
                <w:bCs/>
                <w:lang w:val="cy-GB"/>
              </w:rPr>
            </w:pPr>
            <w:r w:rsidRPr="00841556">
              <w:rPr>
                <w:rFonts w:ascii="Calibri" w:hAnsi="Calibri" w:cs="Calibri"/>
                <w:b/>
                <w:bCs/>
                <w:lang w:val="cy-GB"/>
              </w:rPr>
              <w:t>An example can be seen on…</w:t>
            </w:r>
          </w:p>
          <w:p w14:paraId="0798C571" w14:textId="146BBBF0" w:rsidR="000E2E7E" w:rsidRPr="00841556" w:rsidRDefault="000E2E7E" w:rsidP="00AE36BB">
            <w:pPr>
              <w:rPr>
                <w:b/>
                <w:bCs/>
                <w:color w:val="FFFFFF"/>
                <w:lang w:val="cy-GB"/>
              </w:rPr>
            </w:pPr>
          </w:p>
        </w:tc>
      </w:tr>
      <w:tr w:rsidR="000E2E7E" w:rsidRPr="001B4AB4" w14:paraId="0EC7171C" w14:textId="77777777" w:rsidTr="00D23D36">
        <w:trPr>
          <w:trHeight w:val="338"/>
        </w:trPr>
        <w:tc>
          <w:tcPr>
            <w:tcW w:w="4106" w:type="dxa"/>
          </w:tcPr>
          <w:p w14:paraId="18121FAC" w14:textId="7CAA5D2A" w:rsidR="000E2E7E" w:rsidRPr="001B4AB4" w:rsidRDefault="00D23D36" w:rsidP="00AE36BB">
            <w:pPr>
              <w:rPr>
                <w:lang w:val="cy-GB"/>
              </w:rPr>
            </w:pPr>
            <w:r w:rsidRPr="00D23D36">
              <w:t>Endeavour to select a greater depth of appropriate peer reviewed sources of research for your writing to aid academic support of your key points.</w:t>
            </w:r>
          </w:p>
        </w:tc>
        <w:tc>
          <w:tcPr>
            <w:tcW w:w="2268" w:type="dxa"/>
          </w:tcPr>
          <w:p w14:paraId="0A55C9ED" w14:textId="6DB0734B" w:rsidR="000E2E7E" w:rsidRPr="001B4AB4" w:rsidRDefault="009579C9" w:rsidP="00AE36BB">
            <w:pPr>
              <w:rPr>
                <w:lang w:val="cy-GB"/>
              </w:rPr>
            </w:pPr>
            <w:r w:rsidRPr="009579C9">
              <w:t>incorporating a wider range of peer-reviewed sources</w:t>
            </w:r>
            <w:r>
              <w:t>.</w:t>
            </w:r>
          </w:p>
        </w:tc>
        <w:tc>
          <w:tcPr>
            <w:tcW w:w="2908" w:type="dxa"/>
          </w:tcPr>
          <w:p w14:paraId="183044AB" w14:textId="10AD899B" w:rsidR="000E2E7E" w:rsidRPr="001B4AB4" w:rsidRDefault="009579C9" w:rsidP="00AE36BB">
            <w:pPr>
              <w:rPr>
                <w:lang w:val="cy-GB"/>
              </w:rPr>
            </w:pPr>
            <w:r>
              <w:rPr>
                <w:lang w:val="cy-GB"/>
              </w:rPr>
              <w:t>Literature Review and Conclusion.</w:t>
            </w:r>
          </w:p>
        </w:tc>
      </w:tr>
      <w:tr w:rsidR="000E2E7E" w:rsidRPr="001B4AB4" w14:paraId="388E36FE" w14:textId="77777777" w:rsidTr="00D23D36">
        <w:trPr>
          <w:trHeight w:val="338"/>
        </w:trPr>
        <w:tc>
          <w:tcPr>
            <w:tcW w:w="4106" w:type="dxa"/>
          </w:tcPr>
          <w:p w14:paraId="06CE4F7D" w14:textId="75CD130C" w:rsidR="000E2E7E" w:rsidRPr="001B4AB4" w:rsidRDefault="00D23D36" w:rsidP="00AE36BB">
            <w:pPr>
              <w:rPr>
                <w:lang w:val="cy-GB"/>
              </w:rPr>
            </w:pPr>
            <w:r>
              <w:t>E</w:t>
            </w:r>
            <w:r w:rsidRPr="00D23D36">
              <w:t>nsure a critical approach throughout, offering the opposing view/ aspects to be cautious with and limitations whenever possible.</w:t>
            </w:r>
          </w:p>
        </w:tc>
        <w:tc>
          <w:tcPr>
            <w:tcW w:w="2268" w:type="dxa"/>
          </w:tcPr>
          <w:p w14:paraId="33CC185F" w14:textId="706262CF" w:rsidR="000E2E7E" w:rsidRPr="001B4AB4" w:rsidRDefault="00D23D36" w:rsidP="00AE36BB">
            <w:pPr>
              <w:rPr>
                <w:lang w:val="cy-GB"/>
              </w:rPr>
            </w:pPr>
            <w:r>
              <w:rPr>
                <w:lang w:val="cy-GB"/>
              </w:rPr>
              <w:t xml:space="preserve">When mentioning one theory ensuring I challenge with an opposing view. </w:t>
            </w:r>
          </w:p>
        </w:tc>
        <w:tc>
          <w:tcPr>
            <w:tcW w:w="2908" w:type="dxa"/>
          </w:tcPr>
          <w:p w14:paraId="37CFC390" w14:textId="64D9BB52" w:rsidR="000E2E7E" w:rsidRPr="001B4AB4" w:rsidRDefault="00D23D36" w:rsidP="00AE36BB">
            <w:pPr>
              <w:rPr>
                <w:lang w:val="cy-GB"/>
              </w:rPr>
            </w:pPr>
            <w:r>
              <w:rPr>
                <w:lang w:val="cy-GB"/>
              </w:rPr>
              <w:t>Literature Review – attempted to use multiple opposing views throughout.</w:t>
            </w:r>
          </w:p>
        </w:tc>
      </w:tr>
      <w:tr w:rsidR="000E2E7E" w:rsidRPr="001B4AB4" w14:paraId="05EE73CD" w14:textId="77777777" w:rsidTr="00D23D36">
        <w:trPr>
          <w:trHeight w:val="338"/>
        </w:trPr>
        <w:tc>
          <w:tcPr>
            <w:tcW w:w="4106" w:type="dxa"/>
          </w:tcPr>
          <w:p w14:paraId="42E07348" w14:textId="37472243" w:rsidR="000E2E7E" w:rsidRPr="001B4AB4" w:rsidRDefault="00D23D36" w:rsidP="00AE36BB">
            <w:pPr>
              <w:rPr>
                <w:lang w:val="cy-GB"/>
              </w:rPr>
            </w:pPr>
            <w:r w:rsidRPr="00D23D36">
              <w:t>Further elaborate on the good points identified with even greater supported critical reflection.</w:t>
            </w:r>
          </w:p>
        </w:tc>
        <w:tc>
          <w:tcPr>
            <w:tcW w:w="2268" w:type="dxa"/>
          </w:tcPr>
          <w:p w14:paraId="37B37629" w14:textId="2D532F76" w:rsidR="000E2E7E" w:rsidRPr="001B4AB4" w:rsidRDefault="009579C9" w:rsidP="00AE36BB">
            <w:pPr>
              <w:rPr>
                <w:lang w:val="cy-GB"/>
              </w:rPr>
            </w:pPr>
            <w:r>
              <w:t xml:space="preserve">I provided </w:t>
            </w:r>
            <w:r w:rsidRPr="009579C9">
              <w:t>deeper insights and critical reflections</w:t>
            </w:r>
            <w:r>
              <w:t>.</w:t>
            </w:r>
          </w:p>
        </w:tc>
        <w:tc>
          <w:tcPr>
            <w:tcW w:w="2908" w:type="dxa"/>
          </w:tcPr>
          <w:p w14:paraId="7AC8D709" w14:textId="4348DFC0" w:rsidR="000E2E7E" w:rsidRPr="001B4AB4" w:rsidRDefault="009579C9" w:rsidP="00AE36BB">
            <w:pPr>
              <w:rPr>
                <w:lang w:val="cy-GB"/>
              </w:rPr>
            </w:pPr>
            <w:r>
              <w:rPr>
                <w:lang w:val="cy-GB"/>
              </w:rPr>
              <w:t xml:space="preserve">Literature review and methodology. </w:t>
            </w:r>
          </w:p>
        </w:tc>
      </w:tr>
    </w:tbl>
    <w:p w14:paraId="5E1E7687" w14:textId="77777777" w:rsidR="003553DC" w:rsidRPr="00DC5157" w:rsidRDefault="003553DC" w:rsidP="003553DC">
      <w:pPr>
        <w:rPr>
          <w:b/>
          <w:bCs/>
        </w:rPr>
      </w:pPr>
      <w:r w:rsidRPr="00DC5157">
        <w:rPr>
          <w:b/>
          <w:bCs/>
        </w:rPr>
        <w:lastRenderedPageBreak/>
        <w:t>Design and conduct a small-scale research study, and critically evaluate the chosen research tools, and the impact of your findings on your professional practice.</w:t>
      </w:r>
    </w:p>
    <w:p w14:paraId="5EEB95F2" w14:textId="42BF453F" w:rsidR="000E2E7E" w:rsidRDefault="000E2E7E" w:rsidP="00BD5470">
      <w:pPr>
        <w:jc w:val="both"/>
        <w:rPr>
          <w:rFonts w:ascii="Times New Roman" w:hAnsi="Times New Roman" w:cs="Times New Roman"/>
          <w:sz w:val="22"/>
          <w:szCs w:val="22"/>
          <w:u w:val="single"/>
        </w:rPr>
      </w:pPr>
      <w:r w:rsidRPr="00BB35CE">
        <w:rPr>
          <w:rFonts w:ascii="Times New Roman" w:hAnsi="Times New Roman" w:cs="Times New Roman"/>
          <w:sz w:val="22"/>
          <w:szCs w:val="22"/>
          <w:u w:val="single"/>
        </w:rPr>
        <w:t>Introduction</w:t>
      </w:r>
    </w:p>
    <w:p w14:paraId="72C6AFAD" w14:textId="77777777" w:rsidR="00D32A6D" w:rsidRDefault="00D37957" w:rsidP="00BD5470">
      <w:pPr>
        <w:jc w:val="both"/>
        <w:rPr>
          <w:rFonts w:ascii="Times New Roman" w:hAnsi="Times New Roman" w:cs="Times New Roman"/>
          <w:sz w:val="22"/>
          <w:szCs w:val="22"/>
        </w:rPr>
      </w:pPr>
      <w:r w:rsidRPr="006A6EB1">
        <w:rPr>
          <w:rFonts w:ascii="Times New Roman" w:hAnsi="Times New Roman" w:cs="Times New Roman"/>
          <w:sz w:val="22"/>
          <w:szCs w:val="22"/>
        </w:rPr>
        <w:t xml:space="preserve">Within this essay, the key aspect discussed is the use of </w:t>
      </w:r>
      <w:r w:rsidR="00BD5470">
        <w:rPr>
          <w:rFonts w:ascii="Times New Roman" w:hAnsi="Times New Roman" w:cs="Times New Roman"/>
          <w:sz w:val="22"/>
          <w:szCs w:val="22"/>
        </w:rPr>
        <w:t xml:space="preserve">various methods of formative </w:t>
      </w:r>
      <w:r w:rsidRPr="006A6EB1">
        <w:rPr>
          <w:rFonts w:ascii="Times New Roman" w:hAnsi="Times New Roman" w:cs="Times New Roman"/>
          <w:sz w:val="22"/>
          <w:szCs w:val="22"/>
        </w:rPr>
        <w:t>assessment within the classroom.</w:t>
      </w:r>
      <w:r w:rsidR="00BD5470">
        <w:rPr>
          <w:rFonts w:ascii="Times New Roman" w:hAnsi="Times New Roman" w:cs="Times New Roman"/>
          <w:sz w:val="22"/>
          <w:szCs w:val="22"/>
        </w:rPr>
        <w:t xml:space="preserve"> The chosen focus of formative assessment and the research question: </w:t>
      </w:r>
      <w:r w:rsidR="00BD5470">
        <w:rPr>
          <w:rFonts w:ascii="Times New Roman" w:hAnsi="Times New Roman" w:cs="Times New Roman"/>
          <w:sz w:val="22"/>
          <w:szCs w:val="22"/>
        </w:rPr>
        <w:t>To explore the use of peer assessments within the classroom.</w:t>
      </w:r>
      <w:r w:rsidR="00BD5470">
        <w:rPr>
          <w:rFonts w:ascii="Times New Roman" w:hAnsi="Times New Roman" w:cs="Times New Roman"/>
          <w:sz w:val="22"/>
          <w:szCs w:val="22"/>
        </w:rPr>
        <w:t xml:space="preserve"> </w:t>
      </w:r>
      <w:r w:rsidRPr="006A6EB1">
        <w:rPr>
          <w:rFonts w:ascii="Times New Roman" w:hAnsi="Times New Roman" w:cs="Times New Roman"/>
          <w:sz w:val="22"/>
          <w:szCs w:val="22"/>
        </w:rPr>
        <w:t xml:space="preserve">Peer assessment can be identified in many formative assessment methods. </w:t>
      </w:r>
      <w:r w:rsidR="00065309">
        <w:rPr>
          <w:rFonts w:ascii="Times New Roman" w:hAnsi="Times New Roman" w:cs="Times New Roman"/>
          <w:sz w:val="22"/>
          <w:szCs w:val="22"/>
        </w:rPr>
        <w:t xml:space="preserve">Within the classroom, peer assessment is a reflective approach in which pupils are instructed to evaluate their classmates work, based on a success criteria, to address the areas of strength and weakness within their pieces of work.  </w:t>
      </w:r>
      <w:r w:rsidRPr="006A6EB1">
        <w:rPr>
          <w:rFonts w:ascii="Times New Roman" w:hAnsi="Times New Roman" w:cs="Times New Roman"/>
          <w:sz w:val="22"/>
          <w:szCs w:val="22"/>
        </w:rPr>
        <w:t xml:space="preserve">Some of the most popular methods </w:t>
      </w:r>
      <w:r w:rsidR="00065309">
        <w:rPr>
          <w:rFonts w:ascii="Times New Roman" w:hAnsi="Times New Roman" w:cs="Times New Roman"/>
          <w:sz w:val="22"/>
          <w:szCs w:val="22"/>
        </w:rPr>
        <w:t xml:space="preserve">of peer assessment </w:t>
      </w:r>
      <w:r w:rsidRPr="006A6EB1">
        <w:rPr>
          <w:rFonts w:ascii="Times New Roman" w:hAnsi="Times New Roman" w:cs="Times New Roman"/>
          <w:sz w:val="22"/>
          <w:szCs w:val="22"/>
        </w:rPr>
        <w:t xml:space="preserve">are </w:t>
      </w:r>
      <w:r w:rsidR="0069328E">
        <w:rPr>
          <w:rFonts w:ascii="Times New Roman" w:hAnsi="Times New Roman" w:cs="Times New Roman"/>
          <w:sz w:val="22"/>
          <w:szCs w:val="22"/>
        </w:rPr>
        <w:t>T</w:t>
      </w:r>
      <w:r w:rsidR="00065309">
        <w:rPr>
          <w:rFonts w:ascii="Times New Roman" w:hAnsi="Times New Roman" w:cs="Times New Roman"/>
          <w:sz w:val="22"/>
          <w:szCs w:val="22"/>
        </w:rPr>
        <w:t xml:space="preserve">wo </w:t>
      </w:r>
      <w:r w:rsidR="0069328E">
        <w:rPr>
          <w:rFonts w:ascii="Times New Roman" w:hAnsi="Times New Roman" w:cs="Times New Roman"/>
          <w:sz w:val="22"/>
          <w:szCs w:val="22"/>
        </w:rPr>
        <w:t>S</w:t>
      </w:r>
      <w:r w:rsidR="00065309">
        <w:rPr>
          <w:rFonts w:ascii="Times New Roman" w:hAnsi="Times New Roman" w:cs="Times New Roman"/>
          <w:sz w:val="22"/>
          <w:szCs w:val="22"/>
        </w:rPr>
        <w:t xml:space="preserve">tars and a </w:t>
      </w:r>
      <w:r w:rsidR="0069328E">
        <w:rPr>
          <w:rFonts w:ascii="Times New Roman" w:hAnsi="Times New Roman" w:cs="Times New Roman"/>
          <w:sz w:val="22"/>
          <w:szCs w:val="22"/>
        </w:rPr>
        <w:t>W</w:t>
      </w:r>
      <w:r w:rsidR="00065309">
        <w:rPr>
          <w:rFonts w:ascii="Times New Roman" w:hAnsi="Times New Roman" w:cs="Times New Roman"/>
          <w:sz w:val="22"/>
          <w:szCs w:val="22"/>
        </w:rPr>
        <w:t xml:space="preserve">ish, </w:t>
      </w:r>
      <w:r w:rsidR="0069328E">
        <w:rPr>
          <w:rFonts w:ascii="Times New Roman" w:hAnsi="Times New Roman" w:cs="Times New Roman"/>
          <w:sz w:val="22"/>
          <w:szCs w:val="22"/>
        </w:rPr>
        <w:t xml:space="preserve">Traffic Lights and Rubrics. </w:t>
      </w:r>
    </w:p>
    <w:p w14:paraId="4831B7B5" w14:textId="27293443" w:rsidR="000E2E7E" w:rsidRPr="00B11A96" w:rsidRDefault="0069328E" w:rsidP="00D32A6D">
      <w:pPr>
        <w:ind w:firstLine="720"/>
        <w:jc w:val="both"/>
        <w:rPr>
          <w:rFonts w:ascii="Times New Roman" w:hAnsi="Times New Roman" w:cs="Times New Roman"/>
          <w:sz w:val="22"/>
          <w:szCs w:val="22"/>
        </w:rPr>
      </w:pPr>
      <w:r w:rsidRPr="00B11A96">
        <w:rPr>
          <w:rFonts w:ascii="Times New Roman" w:hAnsi="Times New Roman" w:cs="Times New Roman"/>
          <w:sz w:val="22"/>
          <w:szCs w:val="22"/>
        </w:rPr>
        <w:t xml:space="preserve">The purpose of the study is to understand the impact of peer assessment when it is used within the classroom from the perspective of teachers and pupils. One of the main aims is to identify any similarities and differences between the understanding of Assessment for learning (AFL) </w:t>
      </w:r>
      <w:r w:rsidR="00FD50A2" w:rsidRPr="00B11A96">
        <w:rPr>
          <w:rFonts w:ascii="Times New Roman" w:hAnsi="Times New Roman" w:cs="Times New Roman"/>
          <w:sz w:val="22"/>
          <w:szCs w:val="22"/>
        </w:rPr>
        <w:t xml:space="preserve">between teachers and pupils. As well as this it is critical to note the importance of AFL within the Curriculum for Wales. The Curriculum for Wales </w:t>
      </w:r>
      <w:r w:rsidR="00E7160D" w:rsidRPr="00B11A96">
        <w:rPr>
          <w:rFonts w:ascii="Times New Roman" w:hAnsi="Times New Roman" w:cs="Times New Roman"/>
          <w:sz w:val="22"/>
          <w:szCs w:val="22"/>
        </w:rPr>
        <w:t xml:space="preserve">determines the importance of AFL within schools in stating </w:t>
      </w:r>
      <w:r w:rsidR="00292EA9" w:rsidRPr="00B11A96">
        <w:rPr>
          <w:rFonts w:ascii="Times New Roman" w:hAnsi="Times New Roman" w:cs="Times New Roman"/>
          <w:sz w:val="22"/>
          <w:szCs w:val="22"/>
        </w:rPr>
        <w:t>that supporting each individual learner is key in the assessment process and that there should be a focus shift from assessment to assessing. (Welsh Government, 2022).</w:t>
      </w:r>
      <w:r w:rsidR="00E7160D" w:rsidRPr="00B11A96">
        <w:rPr>
          <w:rFonts w:ascii="Times New Roman" w:hAnsi="Times New Roman" w:cs="Times New Roman"/>
          <w:sz w:val="22"/>
          <w:szCs w:val="22"/>
        </w:rPr>
        <w:t xml:space="preserve"> </w:t>
      </w:r>
    </w:p>
    <w:p w14:paraId="74F4E629" w14:textId="471D36FB" w:rsidR="000E2E7E" w:rsidRPr="00B11A96" w:rsidRDefault="000E2E7E" w:rsidP="00BD5470">
      <w:pPr>
        <w:jc w:val="both"/>
        <w:rPr>
          <w:rFonts w:ascii="Times New Roman" w:hAnsi="Times New Roman" w:cs="Times New Roman"/>
          <w:sz w:val="22"/>
          <w:szCs w:val="22"/>
          <w:u w:val="single"/>
        </w:rPr>
      </w:pPr>
      <w:r w:rsidRPr="00B11A96">
        <w:rPr>
          <w:rFonts w:ascii="Times New Roman" w:hAnsi="Times New Roman" w:cs="Times New Roman"/>
          <w:sz w:val="22"/>
          <w:szCs w:val="22"/>
          <w:u w:val="single"/>
        </w:rPr>
        <w:t>Literature Review</w:t>
      </w:r>
    </w:p>
    <w:p w14:paraId="703AC19C" w14:textId="1C6699DB" w:rsidR="00141058" w:rsidRPr="00B11A96" w:rsidRDefault="00E7160D" w:rsidP="00D32A6D">
      <w:pPr>
        <w:jc w:val="both"/>
        <w:rPr>
          <w:rFonts w:ascii="Times New Roman" w:hAnsi="Times New Roman" w:cs="Times New Roman"/>
          <w:sz w:val="22"/>
          <w:szCs w:val="22"/>
        </w:rPr>
      </w:pPr>
      <w:r w:rsidRPr="00B11A96">
        <w:rPr>
          <w:rFonts w:ascii="Times New Roman" w:hAnsi="Times New Roman" w:cs="Times New Roman"/>
          <w:sz w:val="22"/>
          <w:szCs w:val="22"/>
        </w:rPr>
        <w:t>In support of this, there are many theorists who have recognised the importance of AFL.</w:t>
      </w:r>
      <w:r w:rsidR="005B56F8" w:rsidRPr="00B11A96">
        <w:rPr>
          <w:rFonts w:ascii="Times New Roman" w:hAnsi="Times New Roman" w:cs="Times New Roman"/>
          <w:sz w:val="22"/>
          <w:szCs w:val="22"/>
        </w:rPr>
        <w:t xml:space="preserve"> For instance, </w:t>
      </w:r>
      <w:r w:rsidR="005B0799" w:rsidRPr="00B11A96">
        <w:rPr>
          <w:rFonts w:ascii="Times New Roman" w:hAnsi="Times New Roman" w:cs="Times New Roman"/>
          <w:sz w:val="22"/>
          <w:szCs w:val="22"/>
        </w:rPr>
        <w:t xml:space="preserve">Sadler (1989) suggests that </w:t>
      </w:r>
      <w:r w:rsidR="00735040" w:rsidRPr="00B11A96">
        <w:rPr>
          <w:rFonts w:ascii="Times New Roman" w:hAnsi="Times New Roman" w:cs="Times New Roman"/>
          <w:sz w:val="22"/>
          <w:szCs w:val="22"/>
        </w:rPr>
        <w:t xml:space="preserve">the use of </w:t>
      </w:r>
      <w:r w:rsidR="005B0799" w:rsidRPr="00B11A96">
        <w:rPr>
          <w:rFonts w:ascii="Times New Roman" w:hAnsi="Times New Roman" w:cs="Times New Roman"/>
          <w:sz w:val="22"/>
          <w:szCs w:val="22"/>
        </w:rPr>
        <w:t xml:space="preserve">effective feedback </w:t>
      </w:r>
      <w:r w:rsidR="00735040" w:rsidRPr="00B11A96">
        <w:rPr>
          <w:rFonts w:ascii="Times New Roman" w:hAnsi="Times New Roman" w:cs="Times New Roman"/>
          <w:sz w:val="22"/>
          <w:szCs w:val="22"/>
        </w:rPr>
        <w:t xml:space="preserve">is important to developing the foundations of pupil understanding of high-quality work. </w:t>
      </w:r>
      <w:r w:rsidR="00684E2A" w:rsidRPr="00B11A96">
        <w:rPr>
          <w:rFonts w:ascii="Times New Roman" w:hAnsi="Times New Roman" w:cs="Times New Roman"/>
          <w:sz w:val="22"/>
          <w:szCs w:val="22"/>
        </w:rPr>
        <w:t xml:space="preserve">The importance of developing a pupil’s knowledge of the standard of work they could be producing is emphasised as it is implied that it is not enough for only teachers to know how to </w:t>
      </w:r>
      <w:r w:rsidR="0082168F" w:rsidRPr="00B11A96">
        <w:rPr>
          <w:rFonts w:ascii="Times New Roman" w:hAnsi="Times New Roman" w:cs="Times New Roman"/>
          <w:sz w:val="22"/>
          <w:szCs w:val="22"/>
        </w:rPr>
        <w:t xml:space="preserve">effectively </w:t>
      </w:r>
      <w:r w:rsidR="00684E2A" w:rsidRPr="00B11A96">
        <w:rPr>
          <w:rFonts w:ascii="Times New Roman" w:hAnsi="Times New Roman" w:cs="Times New Roman"/>
          <w:sz w:val="22"/>
          <w:szCs w:val="22"/>
        </w:rPr>
        <w:t>assess</w:t>
      </w:r>
      <w:r w:rsidR="0082168F" w:rsidRPr="00B11A96">
        <w:rPr>
          <w:rFonts w:ascii="Times New Roman" w:hAnsi="Times New Roman" w:cs="Times New Roman"/>
          <w:sz w:val="22"/>
          <w:szCs w:val="22"/>
        </w:rPr>
        <w:t xml:space="preserve"> a piece of</w:t>
      </w:r>
      <w:r w:rsidR="00684E2A" w:rsidRPr="00B11A96">
        <w:rPr>
          <w:rFonts w:ascii="Times New Roman" w:hAnsi="Times New Roman" w:cs="Times New Roman"/>
          <w:sz w:val="22"/>
          <w:szCs w:val="22"/>
        </w:rPr>
        <w:t xml:space="preserve"> work. </w:t>
      </w:r>
      <w:r w:rsidR="00684E2A" w:rsidRPr="00B11A96">
        <w:rPr>
          <w:rFonts w:ascii="Times New Roman" w:hAnsi="Times New Roman" w:cs="Times New Roman"/>
          <w:sz w:val="22"/>
          <w:szCs w:val="22"/>
        </w:rPr>
        <w:t>Sadler (1989)</w:t>
      </w:r>
      <w:r w:rsidR="00684E2A" w:rsidRPr="00B11A96">
        <w:rPr>
          <w:rFonts w:ascii="Times New Roman" w:hAnsi="Times New Roman" w:cs="Times New Roman"/>
          <w:sz w:val="22"/>
          <w:szCs w:val="22"/>
        </w:rPr>
        <w:t xml:space="preserve">.  </w:t>
      </w:r>
      <w:r w:rsidR="00735040" w:rsidRPr="00B11A96">
        <w:rPr>
          <w:rFonts w:ascii="Times New Roman" w:hAnsi="Times New Roman" w:cs="Times New Roman"/>
          <w:sz w:val="22"/>
          <w:szCs w:val="22"/>
        </w:rPr>
        <w:t xml:space="preserve">As well as this </w:t>
      </w:r>
      <w:r w:rsidR="00AC172F" w:rsidRPr="00B11A96">
        <w:rPr>
          <w:rFonts w:ascii="Times New Roman" w:hAnsi="Times New Roman" w:cs="Times New Roman"/>
          <w:sz w:val="22"/>
          <w:szCs w:val="22"/>
        </w:rPr>
        <w:t xml:space="preserve">, Black et al (2003)  propose that assessment is not a simple term and that it is imperative that the term is used to highlight various forms of assessment that can be impactful when used appropriately within the classroom. </w:t>
      </w:r>
      <w:r w:rsidR="00C03E27" w:rsidRPr="00B11A96">
        <w:rPr>
          <w:rFonts w:ascii="Times New Roman" w:hAnsi="Times New Roman" w:cs="Times New Roman"/>
          <w:sz w:val="22"/>
          <w:szCs w:val="22"/>
        </w:rPr>
        <w:t>In regard to the focus of this research project, Black suggests that peer assessment can be used to ensure that pupils obtain the feedback and include the criticisms in their new work. (</w:t>
      </w:r>
      <w:r w:rsidR="00684E2A" w:rsidRPr="00B11A96">
        <w:rPr>
          <w:rFonts w:ascii="Times New Roman" w:hAnsi="Times New Roman" w:cs="Times New Roman"/>
          <w:sz w:val="22"/>
          <w:szCs w:val="22"/>
        </w:rPr>
        <w:t xml:space="preserve">Black et al, </w:t>
      </w:r>
      <w:r w:rsidR="00C03E27" w:rsidRPr="00B11A96">
        <w:rPr>
          <w:rFonts w:ascii="Times New Roman" w:hAnsi="Times New Roman" w:cs="Times New Roman"/>
          <w:sz w:val="22"/>
          <w:szCs w:val="22"/>
        </w:rPr>
        <w:t xml:space="preserve">2003). It could be argued that pupils are more likely to accept and take on any feedback given by the peers in comparison to their teachers. Therefore, it is important that the purpose of peer assessment is explained to </w:t>
      </w:r>
      <w:r w:rsidR="005C2F9B" w:rsidRPr="00B11A96">
        <w:rPr>
          <w:rFonts w:ascii="Times New Roman" w:hAnsi="Times New Roman" w:cs="Times New Roman"/>
          <w:sz w:val="22"/>
          <w:szCs w:val="22"/>
        </w:rPr>
        <w:t>pupils,</w:t>
      </w:r>
      <w:r w:rsidR="00C03E27" w:rsidRPr="00B11A96">
        <w:rPr>
          <w:rFonts w:ascii="Times New Roman" w:hAnsi="Times New Roman" w:cs="Times New Roman"/>
          <w:sz w:val="22"/>
          <w:szCs w:val="22"/>
        </w:rPr>
        <w:t xml:space="preserve"> and they are exposed to the criteria of the work so they can review their peers work against a rubric to ensure that high quality feedback is being given also. </w:t>
      </w:r>
      <w:r w:rsidR="00F816FE" w:rsidRPr="00B11A96">
        <w:rPr>
          <w:rFonts w:ascii="Times New Roman" w:hAnsi="Times New Roman" w:cs="Times New Roman"/>
          <w:sz w:val="22"/>
          <w:szCs w:val="22"/>
        </w:rPr>
        <w:t xml:space="preserve">In contrast to this, Culver (2022) argues that although pupils are engaged in the peer assessment process and are active in the feedback process, pupils and teacher can often misinterpret the importance and value of the feedback being given. Furthermore, if pupils aren’t shown how the feedback they give to their peers and the feedback they receive can be interpreted and used to improve their learning in future then the effectiveness of the peer assessment process must be questioned as in turn process is becoming misunderstood and undervalued. </w:t>
      </w:r>
      <w:r w:rsidR="0082168F" w:rsidRPr="00B11A96">
        <w:rPr>
          <w:rFonts w:ascii="Times New Roman" w:hAnsi="Times New Roman" w:cs="Times New Roman"/>
          <w:sz w:val="22"/>
          <w:szCs w:val="22"/>
        </w:rPr>
        <w:t xml:space="preserve">Given this, some would argue the importance of pupils being guided by teachers throughout their peer assessment journeys to ensure appropriate levels of feedback are taking place. Such as, Smith, Cooper, and Lancaster (2002) university study provide evidence that more accurate assessment takes place when pupils are aware of assessment guidelines as their ability to identify what went well and what could be better is improved. </w:t>
      </w:r>
      <w:r w:rsidR="005B09A9" w:rsidRPr="00B11A96">
        <w:rPr>
          <w:rFonts w:ascii="Times New Roman" w:hAnsi="Times New Roman" w:cs="Times New Roman"/>
          <w:sz w:val="22"/>
          <w:szCs w:val="22"/>
        </w:rPr>
        <w:t xml:space="preserve">Simarly, a study was conducted to determine whether the standard of feedback given in peer assessment could be improved if pupils were to undergo training. The training consisted of having effective peer assessment modelled to them and being provided with a peer assessment checklist </w:t>
      </w:r>
      <w:r w:rsidR="005B09A9" w:rsidRPr="00B11A96">
        <w:rPr>
          <w:rFonts w:ascii="Times New Roman" w:hAnsi="Times New Roman" w:cs="Times New Roman"/>
          <w:sz w:val="22"/>
          <w:szCs w:val="22"/>
        </w:rPr>
        <w:lastRenderedPageBreak/>
        <w:t xml:space="preserve">to guide them when peer assessing. The study showed that the level at which pupils were working at after the training was higher than prior to the training. (Boon, 2015). Therefore, it could be argued that pupils must develop the skills needed to effectively assess their peers work in order for pupils to learn ang grow the most as a result of peer assessment within the classroom. It is important to note that peer assessment can be viewed as a subject tool for assessing pupil progress as the impact can be entirely dependent on the individual. As posed by </w:t>
      </w:r>
      <w:proofErr w:type="spellStart"/>
      <w:r w:rsidR="005B09A9" w:rsidRPr="00B11A96">
        <w:rPr>
          <w:rFonts w:ascii="Times New Roman" w:hAnsi="Times New Roman" w:cs="Times New Roman"/>
          <w:sz w:val="22"/>
          <w:szCs w:val="22"/>
        </w:rPr>
        <w:t>Ha</w:t>
      </w:r>
      <w:r w:rsidR="004430AB" w:rsidRPr="00B11A96">
        <w:rPr>
          <w:rFonts w:ascii="Times New Roman" w:hAnsi="Times New Roman" w:cs="Times New Roman"/>
          <w:sz w:val="22"/>
          <w:szCs w:val="22"/>
        </w:rPr>
        <w:t>uff</w:t>
      </w:r>
      <w:proofErr w:type="spellEnd"/>
      <w:r w:rsidR="004430AB" w:rsidRPr="00B11A96">
        <w:rPr>
          <w:rFonts w:ascii="Times New Roman" w:hAnsi="Times New Roman" w:cs="Times New Roman"/>
          <w:sz w:val="22"/>
          <w:szCs w:val="22"/>
        </w:rPr>
        <w:t xml:space="preserve"> and </w:t>
      </w:r>
      <w:proofErr w:type="spellStart"/>
      <w:r w:rsidR="004430AB" w:rsidRPr="00B11A96">
        <w:rPr>
          <w:rFonts w:ascii="Times New Roman" w:hAnsi="Times New Roman" w:cs="Times New Roman"/>
          <w:sz w:val="22"/>
          <w:szCs w:val="22"/>
        </w:rPr>
        <w:t>Nilson</w:t>
      </w:r>
      <w:proofErr w:type="spellEnd"/>
      <w:r w:rsidR="004430AB" w:rsidRPr="00B11A96">
        <w:rPr>
          <w:rFonts w:ascii="Times New Roman" w:hAnsi="Times New Roman" w:cs="Times New Roman"/>
          <w:sz w:val="22"/>
          <w:szCs w:val="22"/>
        </w:rPr>
        <w:t xml:space="preserve"> (2022) the question as to why some pupils view peer assessment as a positive tool and some as a negative tool. In relation to this research study, it is important to consider whether the effectiveness of peer assessment within the classroom can be solely dependent on the pupil receiving and giving feedback as they may find the concept of receiving criticism from friends and giving criticism to friends in a negative light and this could have an impact on pupil progress. (Vickerman, 2009)</w:t>
      </w:r>
    </w:p>
    <w:p w14:paraId="30925BBA" w14:textId="2D960B42" w:rsidR="000E2E7E" w:rsidRPr="00B11A96" w:rsidRDefault="00510D18" w:rsidP="00BD5470">
      <w:pPr>
        <w:jc w:val="both"/>
        <w:rPr>
          <w:rFonts w:ascii="Times New Roman" w:hAnsi="Times New Roman" w:cs="Times New Roman"/>
          <w:sz w:val="22"/>
          <w:szCs w:val="22"/>
          <w:u w:val="single"/>
        </w:rPr>
      </w:pPr>
      <w:r w:rsidRPr="00B11A96">
        <w:rPr>
          <w:rFonts w:ascii="Times New Roman" w:hAnsi="Times New Roman" w:cs="Times New Roman"/>
          <w:sz w:val="22"/>
          <w:szCs w:val="22"/>
          <w:u w:val="single"/>
        </w:rPr>
        <w:t>Methodology</w:t>
      </w:r>
    </w:p>
    <w:p w14:paraId="11D37126" w14:textId="2402D304" w:rsidR="00510D18" w:rsidRPr="00B11A96" w:rsidRDefault="00BD5470" w:rsidP="00BD5470">
      <w:pPr>
        <w:jc w:val="both"/>
        <w:rPr>
          <w:rFonts w:ascii="Times New Roman" w:hAnsi="Times New Roman" w:cs="Times New Roman"/>
          <w:sz w:val="22"/>
          <w:szCs w:val="22"/>
        </w:rPr>
      </w:pPr>
      <w:r w:rsidRPr="00B11A96">
        <w:rPr>
          <w:rFonts w:ascii="Times New Roman" w:hAnsi="Times New Roman" w:cs="Times New Roman"/>
          <w:sz w:val="22"/>
          <w:szCs w:val="22"/>
        </w:rPr>
        <w:t xml:space="preserve">As previously stated, the focus of the research is the use of peer assessment within the classroom. As this research, is a small-scale project it is important to note that the methodology is integral to the structure of the project. When planning and structuring this project it is important to consider each aspect of the project as that can impact the selection of research methods. For example, within this research a mix of interviews and questionnaires were used as a mixed methods approach as this means there is a clear integration of both qualitative and quantitative research. </w:t>
      </w:r>
      <w:r w:rsidR="00A836E8" w:rsidRPr="00B11A96">
        <w:rPr>
          <w:rFonts w:ascii="Times New Roman" w:hAnsi="Times New Roman" w:cs="Times New Roman"/>
          <w:sz w:val="22"/>
          <w:szCs w:val="22"/>
        </w:rPr>
        <w:t xml:space="preserve">It would be beneficial to define both qualitative and quantitative methods of research in relation to this stage of the project. Qualitative research </w:t>
      </w:r>
      <w:r w:rsidR="001C780C" w:rsidRPr="00B11A96">
        <w:rPr>
          <w:rFonts w:ascii="Times New Roman" w:hAnsi="Times New Roman" w:cs="Times New Roman"/>
          <w:sz w:val="22"/>
          <w:szCs w:val="22"/>
        </w:rPr>
        <w:t xml:space="preserve">would deepen the research teams understanding the impact of peer assessment as a result of discussions surrounding individual experiences with peer assessment, such as interviews. Whereas Quantitative research would  provide the research team with numerical data which can be used for statistical analysis of the use of peer assessment within the classroom, such as closed-ended questionnaires. Therefore, a mixed research method approach in this project will be the most beneficial approach towards this research question as the research team will need to explore the varying perceptions of peer assessment within the classroom to gain insight surrounding the impact of peer assessment on staff in comparison to the perceptions of pupils when been instructed to use peer assessment to improve their learning. As well as this, in order to establish a supported conclusion, it is important that both methods of research are utilised to </w:t>
      </w:r>
      <w:r w:rsidR="001C780C" w:rsidRPr="00B11A96">
        <w:rPr>
          <w:rFonts w:ascii="Times New Roman" w:hAnsi="Times New Roman" w:cs="Times New Roman"/>
          <w:sz w:val="22"/>
          <w:szCs w:val="22"/>
        </w:rPr>
        <w:t>provide the research team with a deepened understanding of the use of peer assessment in the classroom.</w:t>
      </w:r>
    </w:p>
    <w:p w14:paraId="394CA17A" w14:textId="77777777" w:rsidR="003553DC" w:rsidRPr="00B11A96" w:rsidRDefault="001C780C" w:rsidP="003553DC">
      <w:pPr>
        <w:ind w:firstLine="720"/>
        <w:jc w:val="both"/>
        <w:rPr>
          <w:rFonts w:ascii="Times New Roman" w:hAnsi="Times New Roman" w:cs="Times New Roman"/>
          <w:sz w:val="22"/>
          <w:szCs w:val="22"/>
        </w:rPr>
      </w:pPr>
      <w:r w:rsidRPr="00B11A96">
        <w:rPr>
          <w:rFonts w:ascii="Times New Roman" w:hAnsi="Times New Roman" w:cs="Times New Roman"/>
          <w:sz w:val="22"/>
          <w:szCs w:val="22"/>
        </w:rPr>
        <w:t xml:space="preserve">Moreover, the research school is a </w:t>
      </w:r>
      <w:r w:rsidR="002554B5" w:rsidRPr="00B11A96">
        <w:rPr>
          <w:rFonts w:ascii="Times New Roman" w:hAnsi="Times New Roman" w:cs="Times New Roman"/>
          <w:sz w:val="22"/>
          <w:szCs w:val="22"/>
        </w:rPr>
        <w:t xml:space="preserve">community primary school with 219 pupils, of which 48% are identified as having additional learning needs (ALN). (Estyn, 2024). Additionally, the class chosen for the research project are a class of 28 (7/8 years old) pupils which are grouped by ability within the classroom. As there </w:t>
      </w:r>
      <w:r w:rsidR="00D32A6D" w:rsidRPr="00B11A96">
        <w:rPr>
          <w:rFonts w:ascii="Times New Roman" w:hAnsi="Times New Roman" w:cs="Times New Roman"/>
          <w:sz w:val="22"/>
          <w:szCs w:val="22"/>
        </w:rPr>
        <w:t>are</w:t>
      </w:r>
      <w:r w:rsidR="002554B5" w:rsidRPr="00B11A96">
        <w:rPr>
          <w:rFonts w:ascii="Times New Roman" w:hAnsi="Times New Roman" w:cs="Times New Roman"/>
          <w:sz w:val="22"/>
          <w:szCs w:val="22"/>
        </w:rPr>
        <w:t xml:space="preserve"> three different levels of ability grouped prior to the research project (identified  by the school) the method of sampling chosen was a non-random sampling method. For example, </w:t>
      </w:r>
      <w:r w:rsidR="00D32A6D" w:rsidRPr="00B11A96">
        <w:rPr>
          <w:rFonts w:ascii="Times New Roman" w:hAnsi="Times New Roman" w:cs="Times New Roman"/>
          <w:sz w:val="22"/>
          <w:szCs w:val="22"/>
        </w:rPr>
        <w:t>quota</w:t>
      </w:r>
      <w:r w:rsidR="002554B5" w:rsidRPr="00B11A96">
        <w:rPr>
          <w:rFonts w:ascii="Times New Roman" w:hAnsi="Times New Roman" w:cs="Times New Roman"/>
          <w:sz w:val="22"/>
          <w:szCs w:val="22"/>
        </w:rPr>
        <w:t xml:space="preserve"> sampling was a great way to reflect the three groups of pupils within the class. As 6 pupils were chosen for the interview and questionnaire, this would mean a boy and a girl from each ability group should be chosen to equally represent each ability group. As well as this, an aspect of convenience sampling was evident as the only pupils who could be selected as participants had to be available on the day and provide a continuous willingness to participate throughout the study.</w:t>
      </w:r>
      <w:r w:rsidR="00D32A6D" w:rsidRPr="00B11A96">
        <w:rPr>
          <w:rFonts w:ascii="Times New Roman" w:hAnsi="Times New Roman" w:cs="Times New Roman"/>
          <w:sz w:val="22"/>
          <w:szCs w:val="22"/>
        </w:rPr>
        <w:t xml:space="preserve"> Although, it could be argued that non random sampling can lead to observer bias as the researcher can introduce their own bias subconsciously and unbeknownst to the participants and the research team. </w:t>
      </w:r>
      <w:r w:rsidR="002554B5" w:rsidRPr="00B11A96">
        <w:rPr>
          <w:rFonts w:ascii="Times New Roman" w:hAnsi="Times New Roman" w:cs="Times New Roman"/>
          <w:sz w:val="22"/>
          <w:szCs w:val="22"/>
        </w:rPr>
        <w:t xml:space="preserve"> </w:t>
      </w:r>
      <w:r w:rsidR="00D32A6D" w:rsidRPr="00B11A96">
        <w:rPr>
          <w:rFonts w:ascii="Times New Roman" w:hAnsi="Times New Roman" w:cs="Times New Roman"/>
          <w:sz w:val="22"/>
          <w:szCs w:val="22"/>
        </w:rPr>
        <w:t>Therefore, the sample size and selection process were determined as one of the most appropriate ways to ensure that each ability group was represented within the study, rather than selecting 6 pupils from one ability group.</w:t>
      </w:r>
    </w:p>
    <w:p w14:paraId="748EDD62" w14:textId="446C54EF" w:rsidR="00975C6B" w:rsidRPr="00B11A96" w:rsidRDefault="00E67864" w:rsidP="00975C6B">
      <w:pPr>
        <w:ind w:firstLine="720"/>
        <w:jc w:val="both"/>
        <w:rPr>
          <w:rFonts w:ascii="Times New Roman" w:hAnsi="Times New Roman" w:cs="Times New Roman"/>
          <w:sz w:val="22"/>
          <w:szCs w:val="22"/>
        </w:rPr>
      </w:pPr>
      <w:r w:rsidRPr="00B11A96">
        <w:rPr>
          <w:rFonts w:ascii="Times New Roman" w:hAnsi="Times New Roman" w:cs="Times New Roman"/>
          <w:sz w:val="22"/>
          <w:szCs w:val="22"/>
        </w:rPr>
        <w:lastRenderedPageBreak/>
        <w:t xml:space="preserve">As stated above, the two research methods selected within this project were Interviews and Questionnaires. </w:t>
      </w:r>
      <w:r w:rsidR="003553DC" w:rsidRPr="00B11A96">
        <w:rPr>
          <w:rFonts w:ascii="Times New Roman" w:hAnsi="Times New Roman" w:cs="Times New Roman"/>
          <w:sz w:val="22"/>
          <w:szCs w:val="22"/>
        </w:rPr>
        <w:t xml:space="preserve">As stated by Parrish (2023) Questionnaires are a good research method to use if your participants are going to be able to answer the questions asked by ticking a box or giving a short </w:t>
      </w:r>
      <w:r w:rsidR="00975C6B" w:rsidRPr="00B11A96">
        <w:rPr>
          <w:rFonts w:ascii="Times New Roman" w:hAnsi="Times New Roman" w:cs="Times New Roman"/>
          <w:sz w:val="22"/>
          <w:szCs w:val="22"/>
        </w:rPr>
        <w:t xml:space="preserve">answer. As well as this, it is important to consider your expectations for the level of participation from the pupils chosen for the study when writing questions for the questionnaire. Often, a Likert scale is used within a questionnaire as a simple way of demonstrating </w:t>
      </w:r>
      <w:r w:rsidR="004A3043" w:rsidRPr="00B11A96">
        <w:rPr>
          <w:rFonts w:ascii="Times New Roman" w:hAnsi="Times New Roman" w:cs="Times New Roman"/>
          <w:sz w:val="22"/>
          <w:szCs w:val="22"/>
        </w:rPr>
        <w:t>someone’s</w:t>
      </w:r>
      <w:r w:rsidR="00975C6B" w:rsidRPr="00B11A96">
        <w:rPr>
          <w:rFonts w:ascii="Times New Roman" w:hAnsi="Times New Roman" w:cs="Times New Roman"/>
          <w:sz w:val="22"/>
          <w:szCs w:val="22"/>
        </w:rPr>
        <w:t xml:space="preserve"> view on a particular subject. The Likert Scale is often used as a response to a statement in which the participants answer whether they strongly agree to strongly disagree, for example. The reason why this is important when providing young pupils with a questionnaire is ensuring that they are given the options most suited to them, it is important to include a neutral </w:t>
      </w:r>
      <w:r w:rsidR="004A3043" w:rsidRPr="00B11A96">
        <w:rPr>
          <w:rFonts w:ascii="Times New Roman" w:hAnsi="Times New Roman" w:cs="Times New Roman"/>
          <w:sz w:val="22"/>
          <w:szCs w:val="22"/>
        </w:rPr>
        <w:t>‘I’m not sure’ option as some pupils may not have an opinion on the statement or an answer to the question. (Parrish and Shaikh, 2023).</w:t>
      </w:r>
    </w:p>
    <w:p w14:paraId="141681F3" w14:textId="1A59E3FC" w:rsidR="004A3043" w:rsidRPr="00B11A96" w:rsidRDefault="004A3043" w:rsidP="00975C6B">
      <w:pPr>
        <w:ind w:firstLine="720"/>
        <w:jc w:val="both"/>
        <w:rPr>
          <w:rFonts w:ascii="Times New Roman" w:hAnsi="Times New Roman" w:cs="Times New Roman"/>
          <w:sz w:val="22"/>
          <w:szCs w:val="22"/>
        </w:rPr>
      </w:pPr>
      <w:r w:rsidRPr="00B11A96">
        <w:rPr>
          <w:rFonts w:ascii="Times New Roman" w:hAnsi="Times New Roman" w:cs="Times New Roman"/>
          <w:sz w:val="22"/>
          <w:szCs w:val="22"/>
        </w:rPr>
        <w:t xml:space="preserve">In comparison to this, when preparing for the interviews it could be suggested that the research team consider the structure of the interview. In this research study, a semi-structured interview method was selected. Due to the nature of aa semi-structured interviewed, it was selected as it could be argued to be well organised as there is a set of pre-determined questions to ensure that the research remains focused. As well as this, </w:t>
      </w:r>
      <w:r w:rsidR="00A54A5D" w:rsidRPr="00B11A96">
        <w:rPr>
          <w:rFonts w:ascii="Times New Roman" w:hAnsi="Times New Roman" w:cs="Times New Roman"/>
          <w:sz w:val="22"/>
          <w:szCs w:val="22"/>
        </w:rPr>
        <w:t>the researcher is open to any questions that emerge from the dialogue. Therefore, a semi-structured interview with 2 pupils at a time was chosen as the most appropriate method for the interview process as pupils are partially guided into the topic of the research whilst simultaneously being given the opportunity to expand on any thoughts that they have in the moment. (DiCicco-Bloom and Crabtree, 2006).</w:t>
      </w:r>
    </w:p>
    <w:p w14:paraId="65F1D9EF" w14:textId="5C9CFDD8" w:rsidR="00A54A5D" w:rsidRPr="00B11A96" w:rsidRDefault="00A54A5D" w:rsidP="00975C6B">
      <w:pPr>
        <w:ind w:firstLine="720"/>
        <w:jc w:val="both"/>
        <w:rPr>
          <w:rFonts w:ascii="Times New Roman" w:hAnsi="Times New Roman" w:cs="Times New Roman"/>
          <w:sz w:val="22"/>
          <w:szCs w:val="22"/>
        </w:rPr>
      </w:pPr>
      <w:r w:rsidRPr="00B11A96">
        <w:rPr>
          <w:rFonts w:ascii="Times New Roman" w:hAnsi="Times New Roman" w:cs="Times New Roman"/>
          <w:sz w:val="22"/>
          <w:szCs w:val="22"/>
        </w:rPr>
        <w:t xml:space="preserve">Finally, </w:t>
      </w:r>
      <w:r w:rsidR="00DE5FDB" w:rsidRPr="00B11A96">
        <w:rPr>
          <w:rFonts w:ascii="Times New Roman" w:hAnsi="Times New Roman" w:cs="Times New Roman"/>
          <w:sz w:val="22"/>
          <w:szCs w:val="22"/>
        </w:rPr>
        <w:t>it is crucial to the validity of the research to ensure that ethics are greatly considered throughout. For example, gaining</w:t>
      </w:r>
      <w:r w:rsidR="004738C7" w:rsidRPr="00B11A96">
        <w:rPr>
          <w:rFonts w:ascii="Times New Roman" w:hAnsi="Times New Roman" w:cs="Times New Roman"/>
          <w:sz w:val="22"/>
          <w:szCs w:val="22"/>
        </w:rPr>
        <w:t xml:space="preserve"> informed</w:t>
      </w:r>
      <w:r w:rsidR="00DE5FDB" w:rsidRPr="00B11A96">
        <w:rPr>
          <w:rFonts w:ascii="Times New Roman" w:hAnsi="Times New Roman" w:cs="Times New Roman"/>
          <w:sz w:val="22"/>
          <w:szCs w:val="22"/>
        </w:rPr>
        <w:t xml:space="preserve"> consent from the school </w:t>
      </w:r>
      <w:r w:rsidR="004738C7" w:rsidRPr="00B11A96">
        <w:rPr>
          <w:rFonts w:ascii="Times New Roman" w:hAnsi="Times New Roman" w:cs="Times New Roman"/>
          <w:sz w:val="22"/>
          <w:szCs w:val="22"/>
        </w:rPr>
        <w:t>for pupils to participate in the study. As well as this, ensuring that participants understand that the study is anonymous, they can withdraw at any time, and participation is voluntary. It is highly important that each participant is made aware of this before beginning the study and throughout the study. (BERA, 2024).</w:t>
      </w:r>
    </w:p>
    <w:p w14:paraId="51B46672" w14:textId="5A4BED44" w:rsidR="00510D18" w:rsidRPr="00B11A96" w:rsidRDefault="00510D18" w:rsidP="00BD5470">
      <w:pPr>
        <w:jc w:val="both"/>
        <w:rPr>
          <w:rFonts w:ascii="Times New Roman" w:hAnsi="Times New Roman" w:cs="Times New Roman"/>
          <w:sz w:val="22"/>
          <w:szCs w:val="22"/>
          <w:u w:val="single"/>
        </w:rPr>
      </w:pPr>
      <w:r w:rsidRPr="00B11A96">
        <w:rPr>
          <w:rFonts w:ascii="Times New Roman" w:hAnsi="Times New Roman" w:cs="Times New Roman"/>
          <w:sz w:val="22"/>
          <w:szCs w:val="22"/>
          <w:u w:val="single"/>
        </w:rPr>
        <w:t>Findings and Discussion</w:t>
      </w:r>
    </w:p>
    <w:p w14:paraId="1D8A0DE0" w14:textId="76062A29" w:rsidR="000E2E7E" w:rsidRPr="00B11A96" w:rsidRDefault="00C32747" w:rsidP="00BD5470">
      <w:pPr>
        <w:jc w:val="both"/>
        <w:rPr>
          <w:rFonts w:ascii="Times New Roman" w:hAnsi="Times New Roman" w:cs="Times New Roman"/>
          <w:sz w:val="22"/>
          <w:szCs w:val="22"/>
        </w:rPr>
      </w:pPr>
      <w:r w:rsidRPr="00B11A96">
        <w:rPr>
          <w:rFonts w:ascii="Times New Roman" w:hAnsi="Times New Roman" w:cs="Times New Roman"/>
          <w:sz w:val="22"/>
          <w:szCs w:val="22"/>
        </w:rPr>
        <w:t>In this section, the focus will be on analysing the data collected during the research day.</w:t>
      </w:r>
      <w:r w:rsidR="00920C99" w:rsidRPr="00B11A96">
        <w:rPr>
          <w:rFonts w:ascii="Times New Roman" w:hAnsi="Times New Roman" w:cs="Times New Roman"/>
          <w:sz w:val="22"/>
          <w:szCs w:val="22"/>
        </w:rPr>
        <w:t xml:space="preserve"> </w:t>
      </w:r>
      <w:r w:rsidR="00920C99" w:rsidRPr="00B11A96">
        <w:rPr>
          <w:rFonts w:ascii="Times New Roman" w:hAnsi="Times New Roman" w:cs="Times New Roman"/>
          <w:sz w:val="22"/>
          <w:szCs w:val="22"/>
        </w:rPr>
        <w:t xml:space="preserve">The purpose of the research and aim of the data collection was to deepen the understanding of how teachers and year 3 pupils view the use of peer assessment within the classroom. </w:t>
      </w:r>
      <w:r w:rsidRPr="00B11A96">
        <w:rPr>
          <w:rFonts w:ascii="Times New Roman" w:hAnsi="Times New Roman" w:cs="Times New Roman"/>
          <w:sz w:val="22"/>
          <w:szCs w:val="22"/>
        </w:rPr>
        <w:t>The data collected in the interviews (qualitative data) was transcribed (appendix.</w:t>
      </w:r>
      <w:r w:rsidR="00920C99" w:rsidRPr="00B11A96">
        <w:rPr>
          <w:rFonts w:ascii="Times New Roman" w:hAnsi="Times New Roman" w:cs="Times New Roman"/>
          <w:sz w:val="22"/>
          <w:szCs w:val="22"/>
        </w:rPr>
        <w:t xml:space="preserve"> 2</w:t>
      </w:r>
      <w:r w:rsidRPr="00B11A96">
        <w:rPr>
          <w:rFonts w:ascii="Times New Roman" w:hAnsi="Times New Roman" w:cs="Times New Roman"/>
          <w:sz w:val="22"/>
          <w:szCs w:val="22"/>
        </w:rPr>
        <w:t>)</w:t>
      </w:r>
      <w:r w:rsidR="00920C99" w:rsidRPr="00B11A96">
        <w:rPr>
          <w:rFonts w:ascii="Times New Roman" w:hAnsi="Times New Roman" w:cs="Times New Roman"/>
          <w:sz w:val="22"/>
          <w:szCs w:val="22"/>
        </w:rPr>
        <w:t xml:space="preserve">, </w:t>
      </w:r>
      <w:r w:rsidRPr="00B11A96">
        <w:rPr>
          <w:rFonts w:ascii="Times New Roman" w:hAnsi="Times New Roman" w:cs="Times New Roman"/>
          <w:sz w:val="22"/>
          <w:szCs w:val="22"/>
        </w:rPr>
        <w:t>the data collected from the questionnaire (quantitative</w:t>
      </w:r>
      <w:r w:rsidR="00920C99" w:rsidRPr="00B11A96">
        <w:rPr>
          <w:rFonts w:ascii="Times New Roman" w:hAnsi="Times New Roman" w:cs="Times New Roman"/>
          <w:sz w:val="22"/>
          <w:szCs w:val="22"/>
        </w:rPr>
        <w:t xml:space="preserve"> </w:t>
      </w:r>
      <w:r w:rsidRPr="00B11A96">
        <w:rPr>
          <w:rFonts w:ascii="Times New Roman" w:hAnsi="Times New Roman" w:cs="Times New Roman"/>
          <w:sz w:val="22"/>
          <w:szCs w:val="22"/>
        </w:rPr>
        <w:t>data) was transferred into graphs (appendix.</w:t>
      </w:r>
      <w:r w:rsidR="00920C99" w:rsidRPr="00B11A96">
        <w:rPr>
          <w:rFonts w:ascii="Times New Roman" w:hAnsi="Times New Roman" w:cs="Times New Roman"/>
          <w:sz w:val="22"/>
          <w:szCs w:val="22"/>
        </w:rPr>
        <w:t xml:space="preserve"> 4</w:t>
      </w:r>
      <w:r w:rsidRPr="00B11A96">
        <w:rPr>
          <w:rFonts w:ascii="Times New Roman" w:hAnsi="Times New Roman" w:cs="Times New Roman"/>
          <w:sz w:val="22"/>
          <w:szCs w:val="22"/>
        </w:rPr>
        <w:t xml:space="preserve">) </w:t>
      </w:r>
      <w:r w:rsidR="00920C99" w:rsidRPr="00B11A96">
        <w:rPr>
          <w:rFonts w:ascii="Times New Roman" w:hAnsi="Times New Roman" w:cs="Times New Roman"/>
          <w:sz w:val="22"/>
          <w:szCs w:val="22"/>
        </w:rPr>
        <w:t xml:space="preserve">and the responses submitted by the teachers from the online questionnaire (appendix 6 ). </w:t>
      </w:r>
      <w:r w:rsidR="006F1F22" w:rsidRPr="00B11A96">
        <w:rPr>
          <w:rFonts w:ascii="Times New Roman" w:hAnsi="Times New Roman" w:cs="Times New Roman"/>
          <w:sz w:val="22"/>
          <w:szCs w:val="22"/>
        </w:rPr>
        <w:t xml:space="preserve">As stated across the questionnaires and interview, the questions asked were selected carefully as a way to deepen the research teams understanding of the teachers </w:t>
      </w:r>
      <w:r w:rsidR="002F3275" w:rsidRPr="00B11A96">
        <w:rPr>
          <w:rFonts w:ascii="Times New Roman" w:hAnsi="Times New Roman" w:cs="Times New Roman"/>
          <w:sz w:val="22"/>
          <w:szCs w:val="22"/>
        </w:rPr>
        <w:t>and</w:t>
      </w:r>
      <w:r w:rsidR="006F1F22" w:rsidRPr="00B11A96">
        <w:rPr>
          <w:rFonts w:ascii="Times New Roman" w:hAnsi="Times New Roman" w:cs="Times New Roman"/>
          <w:sz w:val="22"/>
          <w:szCs w:val="22"/>
        </w:rPr>
        <w:t xml:space="preserve"> </w:t>
      </w:r>
      <w:r w:rsidR="002F3275" w:rsidRPr="00B11A96">
        <w:rPr>
          <w:rFonts w:ascii="Times New Roman" w:hAnsi="Times New Roman" w:cs="Times New Roman"/>
          <w:sz w:val="22"/>
          <w:szCs w:val="22"/>
        </w:rPr>
        <w:t>pupils</w:t>
      </w:r>
      <w:r w:rsidR="006F1F22" w:rsidRPr="00B11A96">
        <w:rPr>
          <w:rFonts w:ascii="Times New Roman" w:hAnsi="Times New Roman" w:cs="Times New Roman"/>
          <w:sz w:val="22"/>
          <w:szCs w:val="22"/>
        </w:rPr>
        <w:t xml:space="preserve"> entire underst</w:t>
      </w:r>
      <w:r w:rsidR="002F3275" w:rsidRPr="00B11A96">
        <w:rPr>
          <w:rFonts w:ascii="Times New Roman" w:hAnsi="Times New Roman" w:cs="Times New Roman"/>
          <w:sz w:val="22"/>
          <w:szCs w:val="22"/>
        </w:rPr>
        <w:t>anding as a whole, to then direct the focus onto peer assessment. Therefore, there is a level of importance in obtaining the impact of formative assessments entirely to build a foundation on knowledge, to utilise in support of or challenge theorists, and to critically analyse the use of Peer Assessment within the classroom.</w:t>
      </w:r>
    </w:p>
    <w:p w14:paraId="63AC32A4" w14:textId="36A8918A" w:rsidR="002B3FED" w:rsidRPr="00B11A96" w:rsidRDefault="002B3FED" w:rsidP="002B3FED">
      <w:pPr>
        <w:jc w:val="both"/>
        <w:rPr>
          <w:rFonts w:ascii="Times New Roman" w:hAnsi="Times New Roman" w:cs="Times New Roman"/>
          <w:sz w:val="22"/>
          <w:szCs w:val="22"/>
        </w:rPr>
      </w:pPr>
      <w:r w:rsidRPr="002B3FED">
        <w:rPr>
          <w:rFonts w:ascii="Times New Roman" w:hAnsi="Times New Roman" w:cs="Times New Roman"/>
          <w:sz w:val="22"/>
          <w:szCs w:val="22"/>
        </w:rPr>
        <w:t xml:space="preserve">Following the </w:t>
      </w:r>
      <w:r w:rsidRPr="00B11A96">
        <w:rPr>
          <w:rFonts w:ascii="Times New Roman" w:hAnsi="Times New Roman" w:cs="Times New Roman"/>
          <w:sz w:val="22"/>
          <w:szCs w:val="22"/>
        </w:rPr>
        <w:t xml:space="preserve">online questionnaire </w:t>
      </w:r>
      <w:r w:rsidRPr="002B3FED">
        <w:rPr>
          <w:rFonts w:ascii="Times New Roman" w:hAnsi="Times New Roman" w:cs="Times New Roman"/>
          <w:sz w:val="22"/>
          <w:szCs w:val="22"/>
        </w:rPr>
        <w:t>undertaken for this study, it became apparent that there were</w:t>
      </w:r>
      <w:r w:rsidRPr="00B11A96">
        <w:rPr>
          <w:rFonts w:ascii="Times New Roman" w:hAnsi="Times New Roman" w:cs="Times New Roman"/>
          <w:sz w:val="22"/>
          <w:szCs w:val="22"/>
        </w:rPr>
        <w:t xml:space="preserve"> clear advantages of self-assessment within the classroom, as identified by </w:t>
      </w:r>
      <w:r w:rsidR="006F1F22" w:rsidRPr="00B11A96">
        <w:rPr>
          <w:rFonts w:ascii="Times New Roman" w:hAnsi="Times New Roman" w:cs="Times New Roman"/>
          <w:sz w:val="22"/>
          <w:szCs w:val="22"/>
        </w:rPr>
        <w:t xml:space="preserve">the </w:t>
      </w:r>
      <w:r w:rsidRPr="00B11A96">
        <w:rPr>
          <w:rFonts w:ascii="Times New Roman" w:hAnsi="Times New Roman" w:cs="Times New Roman"/>
          <w:sz w:val="22"/>
          <w:szCs w:val="22"/>
        </w:rPr>
        <w:t>classroom staff.</w:t>
      </w:r>
      <w:r w:rsidRPr="002B3FED">
        <w:rPr>
          <w:rFonts w:ascii="Times New Roman" w:hAnsi="Times New Roman" w:cs="Times New Roman"/>
          <w:sz w:val="22"/>
          <w:szCs w:val="22"/>
        </w:rPr>
        <w:t xml:space="preserve"> </w:t>
      </w:r>
      <w:r w:rsidRPr="00B11A96">
        <w:rPr>
          <w:rFonts w:ascii="Times New Roman" w:hAnsi="Times New Roman" w:cs="Times New Roman"/>
          <w:sz w:val="22"/>
          <w:szCs w:val="22"/>
        </w:rPr>
        <w:t>As you can see from question 7 (appendix 6) it is argued that a method of formative assessment like Peer Assessment can have a positive impact on pupil progress, learning and engagement</w:t>
      </w:r>
      <w:r w:rsidR="006F1F22" w:rsidRPr="00B11A96">
        <w:rPr>
          <w:rFonts w:ascii="Times New Roman" w:hAnsi="Times New Roman" w:cs="Times New Roman"/>
          <w:sz w:val="22"/>
          <w:szCs w:val="22"/>
        </w:rPr>
        <w:t xml:space="preserve">. Person X states that formative assessment can encourage participation as making the learning more interactive can result in more pupil enjoyment. In turn, pupils may become more motivated to learn. Simarly, in response to question 7 (appendix 6) Person Y states that by providing ongoing feedback, students are mor likely and able to take an active role in their learning. Furthermore, both participants agree that pupils should be </w:t>
      </w:r>
      <w:r w:rsidR="006F1F22" w:rsidRPr="00B11A96">
        <w:rPr>
          <w:rFonts w:ascii="Times New Roman" w:hAnsi="Times New Roman" w:cs="Times New Roman"/>
          <w:sz w:val="22"/>
          <w:szCs w:val="22"/>
        </w:rPr>
        <w:lastRenderedPageBreak/>
        <w:t xml:space="preserve">encouraged to participate in the reflective progress. For example, Person X suggests that Peer Assessment  </w:t>
      </w:r>
      <w:r w:rsidR="002F3275" w:rsidRPr="00B11A96">
        <w:rPr>
          <w:rFonts w:ascii="Times New Roman" w:hAnsi="Times New Roman" w:cs="Times New Roman"/>
          <w:sz w:val="22"/>
          <w:szCs w:val="22"/>
        </w:rPr>
        <w:t xml:space="preserve">facilitates countless opportunities for students to give and receive feedback from their classmates which can help them to learn and grow collaboratively. </w:t>
      </w:r>
    </w:p>
    <w:p w14:paraId="77EC5E29" w14:textId="2D2A9167" w:rsidR="002F3275" w:rsidRPr="00B11A96" w:rsidRDefault="002F3275" w:rsidP="002B3FED">
      <w:pPr>
        <w:jc w:val="both"/>
        <w:rPr>
          <w:rFonts w:ascii="Times New Roman" w:hAnsi="Times New Roman" w:cs="Times New Roman"/>
          <w:sz w:val="22"/>
          <w:szCs w:val="22"/>
        </w:rPr>
      </w:pPr>
      <w:r w:rsidRPr="00B11A96">
        <w:rPr>
          <w:rFonts w:ascii="Times New Roman" w:hAnsi="Times New Roman" w:cs="Times New Roman"/>
          <w:sz w:val="22"/>
          <w:szCs w:val="22"/>
        </w:rPr>
        <w:t xml:space="preserve">As well as this, Pupil 2 in interview 2 (appendix 2) implies that Peer Assessment can be </w:t>
      </w:r>
      <w:r w:rsidR="0063403B" w:rsidRPr="00B11A96">
        <w:rPr>
          <w:rFonts w:ascii="Times New Roman" w:hAnsi="Times New Roman" w:cs="Times New Roman"/>
          <w:sz w:val="22"/>
          <w:szCs w:val="22"/>
        </w:rPr>
        <w:t xml:space="preserve">a helpful learning tool as you are completing a task without the direct support of the teacher, so there is a level of independent learning and critically being developed. It is important to note that in developing the skills to be able to review and feedback to your peers that pupils are being developed holistically with transferrable skills for the future. (Welsh Government, 2023) </w:t>
      </w:r>
      <w:r w:rsidRPr="00B11A96">
        <w:rPr>
          <w:rFonts w:ascii="Times New Roman" w:hAnsi="Times New Roman" w:cs="Times New Roman"/>
          <w:sz w:val="22"/>
          <w:szCs w:val="22"/>
        </w:rPr>
        <w:t xml:space="preserve">In contrast to this, Pupil 1 in Interview 2 (appendix 2) argues that Peer assessment isn’t very helpful unless you are going to become a teacher. </w:t>
      </w:r>
      <w:r w:rsidR="0063403B" w:rsidRPr="00B11A96">
        <w:rPr>
          <w:rFonts w:ascii="Times New Roman" w:hAnsi="Times New Roman" w:cs="Times New Roman"/>
          <w:sz w:val="22"/>
          <w:szCs w:val="22"/>
        </w:rPr>
        <w:t xml:space="preserve">This contrast in opinions is particularly insightful as both pupils are deemed as the same ability level but there understanding of the use and importance of peer assessment differs. One could argue that, whilst there is support for the notion that sampling should be random to highlight all demographics, this difference in opinions demonstrates that whilst the two pupils are categorised into the same ability level, they can and may have different experiences throughout their learning journeys. Furthermore, there should be a level of consideration to not stereotype specific ability groups and their predicted experiences when conducting research. </w:t>
      </w:r>
    </w:p>
    <w:p w14:paraId="53BC4427" w14:textId="5F1E690D" w:rsidR="000E2E7E" w:rsidRPr="00B11A96" w:rsidRDefault="0063403B" w:rsidP="00BD5470">
      <w:pPr>
        <w:jc w:val="both"/>
        <w:rPr>
          <w:rFonts w:ascii="Times New Roman" w:hAnsi="Times New Roman" w:cs="Times New Roman"/>
          <w:sz w:val="22"/>
          <w:szCs w:val="22"/>
        </w:rPr>
      </w:pPr>
      <w:r w:rsidRPr="00B11A96">
        <w:rPr>
          <w:rFonts w:ascii="Times New Roman" w:hAnsi="Times New Roman" w:cs="Times New Roman"/>
          <w:sz w:val="22"/>
          <w:szCs w:val="22"/>
        </w:rPr>
        <w:t>Moreover, when asked about the purpose of peer and self-assessment it became evident to the research team that the most pupils are unaware of the reason why they are to complete certain types of formative assessments, in comparison to the understanding of the teachers.</w:t>
      </w:r>
      <w:r w:rsidR="00F041EA" w:rsidRPr="00B11A96">
        <w:rPr>
          <w:rFonts w:ascii="Times New Roman" w:hAnsi="Times New Roman" w:cs="Times New Roman"/>
          <w:sz w:val="22"/>
          <w:szCs w:val="22"/>
        </w:rPr>
        <w:t xml:space="preserve"> Such as, Pupil 1 in Interview 3 (appendix 2) states that the use of peer assessment is a nice end to the lesson. It could be argued that in order to achieve the most from formative assessments like Peer assessment, it is integral that pupils understand what they are doing, why they are doing it, and how it can improve their peers learning as well as their own. </w:t>
      </w:r>
      <w:r w:rsidR="00F041EA" w:rsidRPr="00B11A96">
        <w:rPr>
          <w:rFonts w:ascii="Times New Roman" w:hAnsi="Times New Roman" w:cs="Times New Roman"/>
          <w:sz w:val="22"/>
          <w:szCs w:val="22"/>
        </w:rPr>
        <w:t>Sadler (1989)</w:t>
      </w:r>
      <w:r w:rsidR="00F041EA" w:rsidRPr="00B11A96">
        <w:rPr>
          <w:rFonts w:ascii="Times New Roman" w:hAnsi="Times New Roman" w:cs="Times New Roman"/>
          <w:sz w:val="22"/>
          <w:szCs w:val="22"/>
        </w:rPr>
        <w:t xml:space="preserve"> One example of this could be the introduction of pupil training so that the pupils are taught how to self and peer assess appropriately so they can learn from and reflect the actions of the teachers. </w:t>
      </w:r>
      <w:r w:rsidR="00F041EA" w:rsidRPr="00B11A96">
        <w:rPr>
          <w:rFonts w:ascii="Times New Roman" w:hAnsi="Times New Roman" w:cs="Times New Roman"/>
          <w:sz w:val="22"/>
          <w:szCs w:val="22"/>
        </w:rPr>
        <w:t>. (Boon, 2015).</w:t>
      </w:r>
      <w:r w:rsidR="00F041EA" w:rsidRPr="00B11A96">
        <w:rPr>
          <w:rFonts w:ascii="Times New Roman" w:hAnsi="Times New Roman" w:cs="Times New Roman"/>
          <w:sz w:val="22"/>
          <w:szCs w:val="22"/>
        </w:rPr>
        <w:t xml:space="preserve"> As a result of this, pupils are more likely to be engaged in the peer assessment process and they are more likely to give more detailed and purposeful feedback for their peers to develop from, as well as prioritising the development of their own learning from their more knowledgeable other (MKO). </w:t>
      </w:r>
      <w:r w:rsidR="00F041EA" w:rsidRPr="00B11A96">
        <w:rPr>
          <w:rFonts w:ascii="Times New Roman" w:hAnsi="Times New Roman" w:cs="Times New Roman"/>
          <w:sz w:val="22"/>
          <w:szCs w:val="22"/>
        </w:rPr>
        <w:t>Sadler (1989)</w:t>
      </w:r>
    </w:p>
    <w:p w14:paraId="2964C21E" w14:textId="1312510E" w:rsidR="000E2E7E" w:rsidRPr="00B11A96" w:rsidRDefault="00510D18" w:rsidP="00BD5470">
      <w:pPr>
        <w:jc w:val="both"/>
        <w:rPr>
          <w:rFonts w:ascii="Times New Roman" w:hAnsi="Times New Roman" w:cs="Times New Roman"/>
          <w:sz w:val="22"/>
          <w:szCs w:val="22"/>
          <w:u w:val="single"/>
        </w:rPr>
      </w:pPr>
      <w:r w:rsidRPr="00B11A96">
        <w:rPr>
          <w:rFonts w:ascii="Times New Roman" w:hAnsi="Times New Roman" w:cs="Times New Roman"/>
          <w:sz w:val="22"/>
          <w:szCs w:val="22"/>
          <w:u w:val="single"/>
        </w:rPr>
        <w:t>Conclusion</w:t>
      </w:r>
    </w:p>
    <w:p w14:paraId="73B29EE7" w14:textId="13E10555" w:rsidR="005B0799" w:rsidRDefault="00E42B77" w:rsidP="00BD5470">
      <w:pPr>
        <w:jc w:val="both"/>
        <w:rPr>
          <w:rFonts w:ascii="Times New Roman" w:hAnsi="Times New Roman" w:cs="Times New Roman"/>
          <w:sz w:val="22"/>
          <w:szCs w:val="22"/>
        </w:rPr>
      </w:pPr>
      <w:r w:rsidRPr="00B11A96">
        <w:rPr>
          <w:rFonts w:ascii="Times New Roman" w:hAnsi="Times New Roman" w:cs="Times New Roman"/>
          <w:sz w:val="22"/>
          <w:szCs w:val="22"/>
        </w:rPr>
        <w:t>Overall, in this research project the aim was to examine the use of peer assessment within the classroom, focusing on the perception of formative assessments from teachers and pupils at the chosen Research School. As well as this, it’s important to recognise the analysis of chosen research tools, and the impacts of the results on professional practise, if any. Firstly, the data collated throughout the project indicates that the staff at the research school have sound understanding of the use of peer assessments as an AFL strategy. Whilst the pupils were able to identify the AFL strategies used in their classrooms, they were less familiar with the purpose of an AFL strategy such as Peer Assessment. One could argue the purpose of using this strategy if pupils are unaware of how to effectively implement it and why they should engage with it. Therefore, if the pupils were more active in the reflective process in their learning, then they would develop their ability to assess their own, and their peers work with more structure and impact.</w:t>
      </w:r>
      <w:r w:rsidR="009F23F2" w:rsidRPr="00B11A96">
        <w:rPr>
          <w:rFonts w:ascii="Times New Roman" w:hAnsi="Times New Roman" w:cs="Times New Roman"/>
          <w:sz w:val="22"/>
          <w:szCs w:val="22"/>
        </w:rPr>
        <w:t xml:space="preserve"> </w:t>
      </w:r>
      <w:r w:rsidR="009F23F2" w:rsidRPr="00B11A96">
        <w:rPr>
          <w:rFonts w:ascii="Times New Roman" w:hAnsi="Times New Roman" w:cs="Times New Roman"/>
          <w:sz w:val="22"/>
          <w:szCs w:val="22"/>
        </w:rPr>
        <w:t>Black et al (2003)</w:t>
      </w:r>
      <w:r w:rsidR="009F23F2" w:rsidRPr="00B11A96">
        <w:rPr>
          <w:rFonts w:ascii="Times New Roman" w:hAnsi="Times New Roman" w:cs="Times New Roman"/>
          <w:sz w:val="22"/>
          <w:szCs w:val="22"/>
        </w:rPr>
        <w:t xml:space="preserve">. The use of interviews and questionnaires was beneficial as pupils were provided with a scale to answer if they were unsure but also given the opportunity to share more with the interviewer, if they wished to do so. However, the investigation could have been deepened by interviewing pupils as mixed ability groups to share their experiences with their peers. As well as this, the use of participation cards could have been enhanced the inclusivity of the study as pupils would be able to recognise their right to continue to participate throughout the session (they can choose to stay </w:t>
      </w:r>
      <w:r w:rsidR="009F23F2" w:rsidRPr="00B11A96">
        <w:rPr>
          <w:rFonts w:ascii="Times New Roman" w:hAnsi="Times New Roman" w:cs="Times New Roman"/>
          <w:sz w:val="22"/>
          <w:szCs w:val="22"/>
        </w:rPr>
        <w:lastRenderedPageBreak/>
        <w:t xml:space="preserve">with a green card/confusion with an orange card/a red card to show they would like to leave). Finally, one could recommend that the research school implement a training session for pupils to develop an understanding of why they use peer assessment and how best to use it. This would result in an increased in engagement and improve the level of feedback given within the class. </w:t>
      </w:r>
      <w:r w:rsidR="00654727" w:rsidRPr="00B11A96">
        <w:rPr>
          <w:rFonts w:ascii="Times New Roman" w:hAnsi="Times New Roman" w:cs="Times New Roman"/>
          <w:sz w:val="22"/>
          <w:szCs w:val="22"/>
        </w:rPr>
        <w:t>Smith, Cooper, and Lancaster (2002)</w:t>
      </w:r>
      <w:r w:rsidR="00654727" w:rsidRPr="00B11A96">
        <w:rPr>
          <w:rFonts w:ascii="Times New Roman" w:hAnsi="Times New Roman" w:cs="Times New Roman"/>
          <w:sz w:val="22"/>
          <w:szCs w:val="22"/>
        </w:rPr>
        <w:t xml:space="preserve">. </w:t>
      </w:r>
      <w:r w:rsidR="009579C9" w:rsidRPr="00B11A96">
        <w:rPr>
          <w:rFonts w:ascii="Times New Roman" w:hAnsi="Times New Roman" w:cs="Times New Roman"/>
          <w:sz w:val="22"/>
          <w:szCs w:val="22"/>
        </w:rPr>
        <w:t>In regard to</w:t>
      </w:r>
      <w:r w:rsidR="00654727" w:rsidRPr="00B11A96">
        <w:rPr>
          <w:rFonts w:ascii="Times New Roman" w:hAnsi="Times New Roman" w:cs="Times New Roman"/>
          <w:sz w:val="22"/>
          <w:szCs w:val="22"/>
        </w:rPr>
        <w:t xml:space="preserve"> the development in </w:t>
      </w:r>
      <w:r w:rsidR="009579C9" w:rsidRPr="00B11A96">
        <w:rPr>
          <w:rFonts w:ascii="Times New Roman" w:hAnsi="Times New Roman" w:cs="Times New Roman"/>
          <w:sz w:val="22"/>
          <w:szCs w:val="22"/>
        </w:rPr>
        <w:t>professional</w:t>
      </w:r>
      <w:r w:rsidR="00654727" w:rsidRPr="00B11A96">
        <w:rPr>
          <w:rFonts w:ascii="Times New Roman" w:hAnsi="Times New Roman" w:cs="Times New Roman"/>
          <w:sz w:val="22"/>
          <w:szCs w:val="22"/>
        </w:rPr>
        <w:t xml:space="preserve"> progress, </w:t>
      </w:r>
      <w:r w:rsidR="009579C9" w:rsidRPr="00B11A96">
        <w:rPr>
          <w:rFonts w:ascii="Times New Roman" w:hAnsi="Times New Roman" w:cs="Times New Roman"/>
          <w:sz w:val="22"/>
          <w:szCs w:val="22"/>
        </w:rPr>
        <w:t xml:space="preserve">it is evident that the considerations surrounding the use of AFL within the classroom </w:t>
      </w:r>
      <w:r w:rsidR="00B11A96" w:rsidRPr="00B11A96">
        <w:rPr>
          <w:rFonts w:ascii="Times New Roman" w:hAnsi="Times New Roman" w:cs="Times New Roman"/>
          <w:sz w:val="22"/>
          <w:szCs w:val="22"/>
        </w:rPr>
        <w:t>can only be</w:t>
      </w:r>
      <w:r w:rsidR="009579C9" w:rsidRPr="00B11A96">
        <w:rPr>
          <w:rFonts w:ascii="Times New Roman" w:hAnsi="Times New Roman" w:cs="Times New Roman"/>
          <w:sz w:val="22"/>
          <w:szCs w:val="22"/>
        </w:rPr>
        <w:t xml:space="preserve"> most effective when pupils are encouraged to engage with the purpose of the tools in order to take a more active role in their own learning, as highlighted within the system role. Therefore, as a professional learner it is imperative that these initiatives are implemented into practise on PTE3and further.</w:t>
      </w:r>
    </w:p>
    <w:p w14:paraId="30142037" w14:textId="77777777" w:rsidR="006F4C4A" w:rsidRPr="006F4C4A" w:rsidRDefault="006F4C4A" w:rsidP="00BD5470">
      <w:pPr>
        <w:jc w:val="both"/>
        <w:rPr>
          <w:rFonts w:ascii="Times New Roman" w:hAnsi="Times New Roman" w:cs="Times New Roman"/>
          <w:sz w:val="22"/>
          <w:szCs w:val="22"/>
        </w:rPr>
      </w:pPr>
    </w:p>
    <w:p w14:paraId="7D6367D6" w14:textId="667AE2BF" w:rsidR="004738C7" w:rsidRDefault="004738C7" w:rsidP="004738C7">
      <w:pPr>
        <w:jc w:val="both"/>
        <w:rPr>
          <w:rFonts w:ascii="Times New Roman" w:hAnsi="Times New Roman" w:cs="Times New Roman"/>
          <w:sz w:val="22"/>
          <w:szCs w:val="22"/>
          <w:u w:val="single"/>
        </w:rPr>
      </w:pPr>
    </w:p>
    <w:p w14:paraId="64AA1AAC" w14:textId="77777777" w:rsidR="006F4C4A" w:rsidRDefault="006F4C4A" w:rsidP="004738C7">
      <w:pPr>
        <w:jc w:val="both"/>
        <w:rPr>
          <w:rFonts w:ascii="Times New Roman" w:hAnsi="Times New Roman" w:cs="Times New Roman"/>
          <w:sz w:val="22"/>
          <w:szCs w:val="22"/>
          <w:u w:val="single"/>
        </w:rPr>
      </w:pPr>
    </w:p>
    <w:p w14:paraId="3C845F14" w14:textId="77777777" w:rsidR="006F4C4A" w:rsidRDefault="006F4C4A" w:rsidP="004738C7">
      <w:pPr>
        <w:jc w:val="both"/>
        <w:rPr>
          <w:rFonts w:ascii="Times New Roman" w:hAnsi="Times New Roman" w:cs="Times New Roman"/>
          <w:sz w:val="22"/>
          <w:szCs w:val="22"/>
          <w:u w:val="single"/>
        </w:rPr>
      </w:pPr>
    </w:p>
    <w:p w14:paraId="6811D560" w14:textId="77777777" w:rsidR="006F4C4A" w:rsidRDefault="006F4C4A" w:rsidP="004738C7">
      <w:pPr>
        <w:jc w:val="both"/>
        <w:rPr>
          <w:rFonts w:ascii="Times New Roman" w:hAnsi="Times New Roman" w:cs="Times New Roman"/>
          <w:sz w:val="22"/>
          <w:szCs w:val="22"/>
          <w:u w:val="single"/>
        </w:rPr>
      </w:pPr>
    </w:p>
    <w:p w14:paraId="4F384D79" w14:textId="77777777" w:rsidR="006F4C4A" w:rsidRDefault="006F4C4A" w:rsidP="004738C7">
      <w:pPr>
        <w:jc w:val="both"/>
        <w:rPr>
          <w:rFonts w:ascii="Times New Roman" w:hAnsi="Times New Roman" w:cs="Times New Roman"/>
          <w:sz w:val="22"/>
          <w:szCs w:val="22"/>
          <w:u w:val="single"/>
        </w:rPr>
      </w:pPr>
    </w:p>
    <w:p w14:paraId="462F029C" w14:textId="77777777" w:rsidR="006F4C4A" w:rsidRDefault="006F4C4A" w:rsidP="004738C7">
      <w:pPr>
        <w:jc w:val="both"/>
        <w:rPr>
          <w:rFonts w:ascii="Times New Roman" w:hAnsi="Times New Roman" w:cs="Times New Roman"/>
          <w:sz w:val="22"/>
          <w:szCs w:val="22"/>
          <w:u w:val="single"/>
        </w:rPr>
      </w:pPr>
    </w:p>
    <w:p w14:paraId="2381EBB2" w14:textId="77777777" w:rsidR="006F4C4A" w:rsidRDefault="006F4C4A" w:rsidP="004738C7">
      <w:pPr>
        <w:jc w:val="both"/>
        <w:rPr>
          <w:rFonts w:ascii="Times New Roman" w:hAnsi="Times New Roman" w:cs="Times New Roman"/>
          <w:sz w:val="22"/>
          <w:szCs w:val="22"/>
          <w:u w:val="single"/>
        </w:rPr>
      </w:pPr>
    </w:p>
    <w:p w14:paraId="76A6DA1E" w14:textId="77777777" w:rsidR="006F4C4A" w:rsidRDefault="006F4C4A" w:rsidP="004738C7">
      <w:pPr>
        <w:jc w:val="both"/>
        <w:rPr>
          <w:rFonts w:ascii="Times New Roman" w:hAnsi="Times New Roman" w:cs="Times New Roman"/>
          <w:sz w:val="22"/>
          <w:szCs w:val="22"/>
          <w:u w:val="single"/>
        </w:rPr>
      </w:pPr>
    </w:p>
    <w:p w14:paraId="08023B25" w14:textId="77777777" w:rsidR="006F4C4A" w:rsidRDefault="006F4C4A" w:rsidP="004738C7">
      <w:pPr>
        <w:jc w:val="both"/>
        <w:rPr>
          <w:rFonts w:ascii="Times New Roman" w:hAnsi="Times New Roman" w:cs="Times New Roman"/>
          <w:sz w:val="22"/>
          <w:szCs w:val="22"/>
          <w:u w:val="single"/>
        </w:rPr>
      </w:pPr>
    </w:p>
    <w:p w14:paraId="18543911" w14:textId="77777777" w:rsidR="006F4C4A" w:rsidRDefault="006F4C4A" w:rsidP="004738C7">
      <w:pPr>
        <w:jc w:val="both"/>
        <w:rPr>
          <w:rFonts w:ascii="Times New Roman" w:hAnsi="Times New Roman" w:cs="Times New Roman"/>
          <w:sz w:val="22"/>
          <w:szCs w:val="22"/>
          <w:u w:val="single"/>
        </w:rPr>
      </w:pPr>
    </w:p>
    <w:p w14:paraId="02E0751A" w14:textId="77777777" w:rsidR="006F4C4A" w:rsidRDefault="006F4C4A" w:rsidP="004738C7">
      <w:pPr>
        <w:jc w:val="both"/>
        <w:rPr>
          <w:rFonts w:ascii="Times New Roman" w:hAnsi="Times New Roman" w:cs="Times New Roman"/>
          <w:sz w:val="22"/>
          <w:szCs w:val="22"/>
          <w:u w:val="single"/>
        </w:rPr>
      </w:pPr>
    </w:p>
    <w:p w14:paraId="2A3C0639" w14:textId="77777777" w:rsidR="006F4C4A" w:rsidRDefault="006F4C4A" w:rsidP="004738C7">
      <w:pPr>
        <w:jc w:val="both"/>
        <w:rPr>
          <w:rFonts w:ascii="Times New Roman" w:hAnsi="Times New Roman" w:cs="Times New Roman"/>
          <w:sz w:val="22"/>
          <w:szCs w:val="22"/>
          <w:u w:val="single"/>
        </w:rPr>
      </w:pPr>
    </w:p>
    <w:p w14:paraId="0D1252CD" w14:textId="77777777" w:rsidR="006F4C4A" w:rsidRDefault="006F4C4A" w:rsidP="004738C7">
      <w:pPr>
        <w:jc w:val="both"/>
        <w:rPr>
          <w:rFonts w:ascii="Times New Roman" w:hAnsi="Times New Roman" w:cs="Times New Roman"/>
          <w:sz w:val="22"/>
          <w:szCs w:val="22"/>
          <w:u w:val="single"/>
        </w:rPr>
      </w:pPr>
    </w:p>
    <w:p w14:paraId="640A79D8" w14:textId="77777777" w:rsidR="006F4C4A" w:rsidRDefault="006F4C4A" w:rsidP="004738C7">
      <w:pPr>
        <w:jc w:val="both"/>
        <w:rPr>
          <w:rFonts w:ascii="Times New Roman" w:hAnsi="Times New Roman" w:cs="Times New Roman"/>
          <w:sz w:val="22"/>
          <w:szCs w:val="22"/>
          <w:u w:val="single"/>
        </w:rPr>
      </w:pPr>
    </w:p>
    <w:p w14:paraId="41BFA636" w14:textId="77777777" w:rsidR="006F4C4A" w:rsidRDefault="006F4C4A" w:rsidP="004738C7">
      <w:pPr>
        <w:jc w:val="both"/>
        <w:rPr>
          <w:rFonts w:ascii="Times New Roman" w:hAnsi="Times New Roman" w:cs="Times New Roman"/>
          <w:sz w:val="22"/>
          <w:szCs w:val="22"/>
          <w:u w:val="single"/>
        </w:rPr>
      </w:pPr>
    </w:p>
    <w:p w14:paraId="06FFAC31" w14:textId="77777777" w:rsidR="006F4C4A" w:rsidRDefault="006F4C4A" w:rsidP="004738C7">
      <w:pPr>
        <w:jc w:val="both"/>
        <w:rPr>
          <w:rFonts w:ascii="Times New Roman" w:hAnsi="Times New Roman" w:cs="Times New Roman"/>
          <w:sz w:val="22"/>
          <w:szCs w:val="22"/>
          <w:u w:val="single"/>
        </w:rPr>
      </w:pPr>
    </w:p>
    <w:p w14:paraId="0095F6A4" w14:textId="77777777" w:rsidR="006F4C4A" w:rsidRDefault="006F4C4A" w:rsidP="004738C7">
      <w:pPr>
        <w:jc w:val="both"/>
        <w:rPr>
          <w:rFonts w:ascii="Times New Roman" w:hAnsi="Times New Roman" w:cs="Times New Roman"/>
          <w:sz w:val="22"/>
          <w:szCs w:val="22"/>
          <w:u w:val="single"/>
        </w:rPr>
      </w:pPr>
    </w:p>
    <w:p w14:paraId="357D2766" w14:textId="77777777" w:rsidR="006F4C4A" w:rsidRDefault="006F4C4A" w:rsidP="004738C7">
      <w:pPr>
        <w:jc w:val="both"/>
        <w:rPr>
          <w:rFonts w:ascii="Times New Roman" w:hAnsi="Times New Roman" w:cs="Times New Roman"/>
          <w:sz w:val="22"/>
          <w:szCs w:val="22"/>
          <w:u w:val="single"/>
        </w:rPr>
      </w:pPr>
    </w:p>
    <w:p w14:paraId="1F416ED0" w14:textId="77777777" w:rsidR="006F4C4A" w:rsidRDefault="006F4C4A" w:rsidP="004738C7">
      <w:pPr>
        <w:jc w:val="both"/>
        <w:rPr>
          <w:rFonts w:ascii="Times New Roman" w:hAnsi="Times New Roman" w:cs="Times New Roman"/>
          <w:sz w:val="22"/>
          <w:szCs w:val="22"/>
          <w:u w:val="single"/>
        </w:rPr>
      </w:pPr>
    </w:p>
    <w:p w14:paraId="6A87D174" w14:textId="77777777" w:rsidR="006F4C4A" w:rsidRDefault="006F4C4A" w:rsidP="004738C7">
      <w:pPr>
        <w:jc w:val="both"/>
        <w:rPr>
          <w:rFonts w:ascii="Times New Roman" w:hAnsi="Times New Roman" w:cs="Times New Roman"/>
          <w:sz w:val="22"/>
          <w:szCs w:val="22"/>
          <w:u w:val="single"/>
        </w:rPr>
      </w:pPr>
    </w:p>
    <w:p w14:paraId="4EEAC84C" w14:textId="77777777" w:rsidR="006F4C4A" w:rsidRDefault="006F4C4A" w:rsidP="004738C7">
      <w:pPr>
        <w:jc w:val="both"/>
        <w:rPr>
          <w:rFonts w:ascii="Times New Roman" w:hAnsi="Times New Roman" w:cs="Times New Roman"/>
          <w:sz w:val="22"/>
          <w:szCs w:val="22"/>
          <w:u w:val="single"/>
        </w:rPr>
      </w:pPr>
    </w:p>
    <w:p w14:paraId="11CAE980" w14:textId="77777777" w:rsidR="006F4C4A" w:rsidRDefault="006F4C4A" w:rsidP="004738C7">
      <w:pPr>
        <w:jc w:val="both"/>
        <w:rPr>
          <w:rFonts w:ascii="Times New Roman" w:hAnsi="Times New Roman" w:cs="Times New Roman"/>
          <w:sz w:val="22"/>
          <w:szCs w:val="22"/>
          <w:u w:val="single"/>
        </w:rPr>
      </w:pPr>
    </w:p>
    <w:p w14:paraId="51E14FB2" w14:textId="77777777" w:rsidR="006F4C4A" w:rsidRDefault="006F4C4A" w:rsidP="004738C7">
      <w:pPr>
        <w:jc w:val="both"/>
        <w:rPr>
          <w:rFonts w:ascii="Times New Roman" w:hAnsi="Times New Roman" w:cs="Times New Roman"/>
          <w:sz w:val="22"/>
          <w:szCs w:val="22"/>
          <w:u w:val="single"/>
        </w:rPr>
      </w:pPr>
    </w:p>
    <w:p w14:paraId="673B2B50" w14:textId="77777777" w:rsidR="006F4C4A" w:rsidRDefault="006F4C4A" w:rsidP="004738C7">
      <w:pPr>
        <w:jc w:val="both"/>
        <w:rPr>
          <w:rFonts w:ascii="Times New Roman" w:hAnsi="Times New Roman" w:cs="Times New Roman"/>
          <w:sz w:val="22"/>
          <w:szCs w:val="22"/>
          <w:u w:val="single"/>
        </w:rPr>
      </w:pPr>
    </w:p>
    <w:p w14:paraId="33F8C2DF" w14:textId="77777777" w:rsidR="006F4C4A" w:rsidRDefault="006F4C4A" w:rsidP="006F4C4A">
      <w:pPr>
        <w:jc w:val="center"/>
        <w:rPr>
          <w:rFonts w:ascii="Times New Roman" w:hAnsi="Times New Roman" w:cs="Times New Roman"/>
          <w:sz w:val="22"/>
          <w:szCs w:val="22"/>
          <w:u w:val="single"/>
        </w:rPr>
      </w:pPr>
      <w:r w:rsidRPr="00BB35CE">
        <w:rPr>
          <w:rFonts w:ascii="Times New Roman" w:hAnsi="Times New Roman" w:cs="Times New Roman"/>
          <w:sz w:val="22"/>
          <w:szCs w:val="22"/>
          <w:u w:val="single"/>
        </w:rPr>
        <w:lastRenderedPageBreak/>
        <w:t>Reference List</w:t>
      </w:r>
    </w:p>
    <w:p w14:paraId="6958B542" w14:textId="77777777" w:rsidR="006F4C4A" w:rsidRDefault="006F4C4A" w:rsidP="006F4C4A">
      <w:pPr>
        <w:jc w:val="center"/>
        <w:rPr>
          <w:rFonts w:ascii="Times New Roman" w:hAnsi="Times New Roman" w:cs="Times New Roman"/>
          <w:sz w:val="22"/>
          <w:szCs w:val="22"/>
          <w:u w:val="single"/>
        </w:rPr>
      </w:pPr>
    </w:p>
    <w:p w14:paraId="0B2E936D" w14:textId="77777777" w:rsidR="006F4C4A" w:rsidRPr="00975C6B" w:rsidRDefault="006F4C4A" w:rsidP="006F4C4A">
      <w:pPr>
        <w:jc w:val="both"/>
        <w:rPr>
          <w:rFonts w:ascii="Times New Roman" w:hAnsi="Times New Roman" w:cs="Times New Roman"/>
          <w:sz w:val="22"/>
          <w:szCs w:val="22"/>
          <w:u w:val="single"/>
        </w:rPr>
      </w:pPr>
      <w:r w:rsidRPr="00975C6B">
        <w:rPr>
          <w:rFonts w:ascii="Times New Roman" w:hAnsi="Times New Roman" w:cs="Times New Roman"/>
          <w:sz w:val="22"/>
          <w:szCs w:val="22"/>
        </w:rPr>
        <w:t>Welsh Government</w:t>
      </w:r>
      <w:r>
        <w:rPr>
          <w:rFonts w:ascii="Times New Roman" w:hAnsi="Times New Roman" w:cs="Times New Roman"/>
          <w:sz w:val="22"/>
          <w:szCs w:val="22"/>
        </w:rPr>
        <w:t>. (</w:t>
      </w:r>
      <w:r w:rsidRPr="00975C6B">
        <w:rPr>
          <w:rFonts w:ascii="Times New Roman" w:hAnsi="Times New Roman" w:cs="Times New Roman"/>
          <w:sz w:val="22"/>
          <w:szCs w:val="22"/>
        </w:rPr>
        <w:t>2022</w:t>
      </w:r>
      <w:r>
        <w:rPr>
          <w:rFonts w:ascii="Times New Roman" w:hAnsi="Times New Roman" w:cs="Times New Roman"/>
          <w:sz w:val="22"/>
          <w:szCs w:val="22"/>
        </w:rPr>
        <w:t>)</w:t>
      </w:r>
      <w:r w:rsidRPr="00975C6B">
        <w:rPr>
          <w:rFonts w:ascii="Times New Roman" w:hAnsi="Times New Roman" w:cs="Times New Roman"/>
          <w:sz w:val="22"/>
          <w:szCs w:val="22"/>
        </w:rPr>
        <w:t xml:space="preserve"> What’s changing in assessment?</w:t>
      </w:r>
      <w:r w:rsidRPr="00975C6B">
        <w:rPr>
          <w:rFonts w:ascii="Times New Roman" w:hAnsi="Times New Roman" w:cs="Times New Roman"/>
          <w:sz w:val="22"/>
          <w:szCs w:val="22"/>
          <w:u w:val="single"/>
        </w:rPr>
        <w:t xml:space="preserve"> </w:t>
      </w:r>
      <w:r w:rsidRPr="00975C6B">
        <w:rPr>
          <w:rFonts w:ascii="Times New Roman" w:hAnsi="Times New Roman" w:cs="Times New Roman"/>
          <w:sz w:val="22"/>
          <w:szCs w:val="22"/>
          <w:u w:val="single"/>
        </w:rPr>
        <w:fldChar w:fldCharType="begin"/>
      </w:r>
      <w:r w:rsidRPr="00975C6B">
        <w:rPr>
          <w:rFonts w:ascii="Times New Roman" w:hAnsi="Times New Roman" w:cs="Times New Roman"/>
          <w:sz w:val="22"/>
          <w:szCs w:val="22"/>
          <w:u w:val="single"/>
        </w:rPr>
        <w:instrText>HYPERLINK "https://hwb.gov.wales/curriculum-for-wales/assessment-arrangements/what-s-changing-in-assessment/"</w:instrText>
      </w:r>
      <w:r w:rsidRPr="00975C6B">
        <w:rPr>
          <w:rFonts w:ascii="Times New Roman" w:hAnsi="Times New Roman" w:cs="Times New Roman"/>
          <w:sz w:val="22"/>
          <w:szCs w:val="22"/>
          <w:u w:val="single"/>
        </w:rPr>
        <w:fldChar w:fldCharType="separate"/>
      </w:r>
      <w:r w:rsidRPr="00975C6B">
        <w:rPr>
          <w:rStyle w:val="Hyperlink"/>
          <w:rFonts w:ascii="Times New Roman" w:hAnsi="Times New Roman" w:cs="Times New Roman"/>
          <w:sz w:val="22"/>
          <w:szCs w:val="22"/>
        </w:rPr>
        <w:t>https://hwb.gov.wales/curriculum-for-wales/assessment-arrangements/what-s-changing-in-assessment/</w:t>
      </w:r>
      <w:r w:rsidRPr="00975C6B">
        <w:rPr>
          <w:rFonts w:ascii="Times New Roman" w:hAnsi="Times New Roman" w:cs="Times New Roman"/>
          <w:sz w:val="22"/>
          <w:szCs w:val="22"/>
          <w:u w:val="single"/>
        </w:rPr>
        <w:fldChar w:fldCharType="end"/>
      </w:r>
      <w:r w:rsidRPr="00975C6B">
        <w:rPr>
          <w:rFonts w:ascii="Times New Roman" w:hAnsi="Times New Roman" w:cs="Times New Roman"/>
          <w:sz w:val="22"/>
          <w:szCs w:val="22"/>
          <w:u w:val="single"/>
        </w:rPr>
        <w:t xml:space="preserve"> </w:t>
      </w:r>
    </w:p>
    <w:p w14:paraId="14DA6609" w14:textId="77777777" w:rsidR="006F4C4A" w:rsidRPr="00B11A96" w:rsidRDefault="006F4C4A" w:rsidP="006F4C4A">
      <w:pPr>
        <w:jc w:val="both"/>
        <w:rPr>
          <w:rFonts w:ascii="Times New Roman" w:hAnsi="Times New Roman" w:cs="Times New Roman"/>
          <w:sz w:val="22"/>
          <w:szCs w:val="22"/>
        </w:rPr>
      </w:pPr>
      <w:r w:rsidRPr="00735040">
        <w:rPr>
          <w:rFonts w:ascii="Times New Roman" w:hAnsi="Times New Roman" w:cs="Times New Roman"/>
          <w:sz w:val="22"/>
          <w:szCs w:val="22"/>
        </w:rPr>
        <w:t>Sadler, R.</w:t>
      </w:r>
      <w:r w:rsidRPr="00B11A96">
        <w:rPr>
          <w:rFonts w:ascii="Times New Roman" w:hAnsi="Times New Roman" w:cs="Times New Roman"/>
          <w:sz w:val="22"/>
          <w:szCs w:val="22"/>
        </w:rPr>
        <w:t xml:space="preserve"> (1989)</w:t>
      </w:r>
      <w:r w:rsidRPr="00735040">
        <w:rPr>
          <w:rFonts w:ascii="Times New Roman" w:hAnsi="Times New Roman" w:cs="Times New Roman"/>
          <w:sz w:val="22"/>
          <w:szCs w:val="22"/>
        </w:rPr>
        <w:t xml:space="preserve"> Formative assessment and the design of instructional systems. </w:t>
      </w:r>
      <w:proofErr w:type="spellStart"/>
      <w:r w:rsidRPr="00735040">
        <w:rPr>
          <w:rFonts w:ascii="Times New Roman" w:hAnsi="Times New Roman" w:cs="Times New Roman"/>
          <w:i/>
          <w:iCs/>
          <w:sz w:val="22"/>
          <w:szCs w:val="22"/>
        </w:rPr>
        <w:t>Instr</w:t>
      </w:r>
      <w:proofErr w:type="spellEnd"/>
      <w:r w:rsidRPr="00735040">
        <w:rPr>
          <w:rFonts w:ascii="Times New Roman" w:hAnsi="Times New Roman" w:cs="Times New Roman"/>
          <w:i/>
          <w:iCs/>
          <w:sz w:val="22"/>
          <w:szCs w:val="22"/>
        </w:rPr>
        <w:t xml:space="preserve"> Sci</w:t>
      </w:r>
      <w:r w:rsidRPr="00735040">
        <w:rPr>
          <w:rFonts w:ascii="Times New Roman" w:hAnsi="Times New Roman" w:cs="Times New Roman"/>
          <w:sz w:val="22"/>
          <w:szCs w:val="22"/>
        </w:rPr>
        <w:t> </w:t>
      </w:r>
      <w:r w:rsidRPr="00735040">
        <w:rPr>
          <w:rFonts w:ascii="Times New Roman" w:hAnsi="Times New Roman" w:cs="Times New Roman"/>
          <w:b/>
          <w:bCs/>
          <w:sz w:val="22"/>
          <w:szCs w:val="22"/>
        </w:rPr>
        <w:t>18</w:t>
      </w:r>
      <w:r w:rsidRPr="00735040">
        <w:rPr>
          <w:rFonts w:ascii="Times New Roman" w:hAnsi="Times New Roman" w:cs="Times New Roman"/>
          <w:sz w:val="22"/>
          <w:szCs w:val="22"/>
        </w:rPr>
        <w:t xml:space="preserve">, 119–144 </w:t>
      </w:r>
    </w:p>
    <w:p w14:paraId="19892BE8" w14:textId="77777777" w:rsidR="006F4C4A" w:rsidRPr="00B11A96" w:rsidRDefault="006F4C4A" w:rsidP="006F4C4A">
      <w:pPr>
        <w:jc w:val="both"/>
        <w:rPr>
          <w:rFonts w:ascii="Times New Roman" w:hAnsi="Times New Roman" w:cs="Times New Roman"/>
          <w:sz w:val="22"/>
          <w:szCs w:val="22"/>
        </w:rPr>
      </w:pPr>
      <w:r w:rsidRPr="00B11A96">
        <w:rPr>
          <w:rFonts w:ascii="Times New Roman" w:hAnsi="Times New Roman" w:cs="Times New Roman"/>
          <w:sz w:val="22"/>
          <w:szCs w:val="22"/>
        </w:rPr>
        <w:t>Black, P. (2003) </w:t>
      </w:r>
      <w:r w:rsidRPr="00B11A96">
        <w:rPr>
          <w:rFonts w:ascii="Times New Roman" w:hAnsi="Times New Roman" w:cs="Times New Roman"/>
          <w:i/>
          <w:iCs/>
          <w:sz w:val="22"/>
          <w:szCs w:val="22"/>
        </w:rPr>
        <w:t>Assessment for learning : putting it into practice</w:t>
      </w:r>
      <w:r w:rsidRPr="00B11A96">
        <w:rPr>
          <w:rFonts w:ascii="Times New Roman" w:hAnsi="Times New Roman" w:cs="Times New Roman"/>
          <w:sz w:val="22"/>
          <w:szCs w:val="22"/>
        </w:rPr>
        <w:t>. 1st ed. Maidenhead: Open University Press.</w:t>
      </w:r>
    </w:p>
    <w:p w14:paraId="3E662571" w14:textId="77777777" w:rsidR="006F4C4A" w:rsidRPr="00975C6B" w:rsidRDefault="006F4C4A" w:rsidP="006F4C4A">
      <w:pPr>
        <w:jc w:val="both"/>
        <w:rPr>
          <w:sz w:val="22"/>
          <w:szCs w:val="22"/>
        </w:rPr>
      </w:pPr>
      <w:r w:rsidRPr="00975C6B">
        <w:rPr>
          <w:sz w:val="22"/>
          <w:szCs w:val="22"/>
        </w:rPr>
        <w:t>Culver, C. (2022) ‘Learning as a peer assessor: evaluating peer-assessment strategies’, </w:t>
      </w:r>
      <w:r w:rsidRPr="00975C6B">
        <w:rPr>
          <w:i/>
          <w:iCs/>
          <w:sz w:val="22"/>
          <w:szCs w:val="22"/>
        </w:rPr>
        <w:t>Assessment &amp; Evaluation in Higher Education</w:t>
      </w:r>
    </w:p>
    <w:p w14:paraId="6FB748CC" w14:textId="77777777" w:rsidR="006F4C4A" w:rsidRPr="00975C6B" w:rsidRDefault="006F4C4A" w:rsidP="006F4C4A">
      <w:pPr>
        <w:jc w:val="both"/>
        <w:rPr>
          <w:rFonts w:ascii="Times New Roman" w:hAnsi="Times New Roman" w:cs="Times New Roman"/>
          <w:sz w:val="22"/>
          <w:szCs w:val="22"/>
        </w:rPr>
      </w:pPr>
      <w:r w:rsidRPr="00975C6B">
        <w:rPr>
          <w:rFonts w:ascii="Times New Roman" w:hAnsi="Times New Roman" w:cs="Times New Roman"/>
          <w:sz w:val="22"/>
          <w:szCs w:val="22"/>
        </w:rPr>
        <w:t xml:space="preserve">Smith, H. Cooper, A. Lancaster, L. (2002) Improving the quality of Undergraduate Peer Assessment: A case for student and staff development. Innovations in education and teaching international. </w:t>
      </w:r>
    </w:p>
    <w:p w14:paraId="6570B7C3" w14:textId="77777777" w:rsidR="006F4C4A" w:rsidRPr="00975C6B" w:rsidRDefault="006F4C4A" w:rsidP="006F4C4A">
      <w:pPr>
        <w:jc w:val="both"/>
        <w:rPr>
          <w:sz w:val="22"/>
          <w:szCs w:val="22"/>
        </w:rPr>
      </w:pPr>
      <w:r>
        <w:rPr>
          <w:sz w:val="22"/>
          <w:szCs w:val="22"/>
        </w:rPr>
        <w:t xml:space="preserve">Boon, S. </w:t>
      </w:r>
      <w:r w:rsidRPr="00975C6B">
        <w:rPr>
          <w:sz w:val="22"/>
          <w:szCs w:val="22"/>
        </w:rPr>
        <w:t xml:space="preserve"> (2015) The role of training in improving peer assessment skills amongst year six pupils in primary school writing: an action research enquiry,</w:t>
      </w:r>
      <w:r>
        <w:rPr>
          <w:sz w:val="22"/>
          <w:szCs w:val="22"/>
        </w:rPr>
        <w:t xml:space="preserve"> </w:t>
      </w:r>
      <w:r w:rsidRPr="00975C6B">
        <w:rPr>
          <w:i/>
          <w:iCs/>
          <w:sz w:val="22"/>
          <w:szCs w:val="22"/>
        </w:rPr>
        <w:t xml:space="preserve">Assessment &amp; Evaluation in Higher </w:t>
      </w:r>
      <w:r>
        <w:rPr>
          <w:sz w:val="22"/>
          <w:szCs w:val="22"/>
        </w:rPr>
        <w:t>Education</w:t>
      </w:r>
      <w:r w:rsidRPr="00975C6B">
        <w:rPr>
          <w:sz w:val="22"/>
          <w:szCs w:val="22"/>
        </w:rPr>
        <w:t xml:space="preserve"> </w:t>
      </w:r>
    </w:p>
    <w:p w14:paraId="3046A535" w14:textId="77777777" w:rsidR="006F4C4A" w:rsidRPr="00975C6B" w:rsidRDefault="006F4C4A" w:rsidP="006F4C4A">
      <w:pPr>
        <w:jc w:val="both"/>
        <w:rPr>
          <w:sz w:val="22"/>
          <w:szCs w:val="22"/>
        </w:rPr>
      </w:pPr>
      <w:r w:rsidRPr="00975C6B">
        <w:rPr>
          <w:sz w:val="22"/>
          <w:szCs w:val="22"/>
        </w:rPr>
        <w:t xml:space="preserve">Carlsson </w:t>
      </w:r>
      <w:proofErr w:type="spellStart"/>
      <w:r w:rsidRPr="00975C6B">
        <w:rPr>
          <w:sz w:val="22"/>
          <w:szCs w:val="22"/>
        </w:rPr>
        <w:t>Hauff</w:t>
      </w:r>
      <w:proofErr w:type="spellEnd"/>
      <w:r w:rsidRPr="00975C6B">
        <w:rPr>
          <w:sz w:val="22"/>
          <w:szCs w:val="22"/>
        </w:rPr>
        <w:t>, J. and Nilsson, J. (2021) ‘Students’ experience of making and receiving peer assessment: the effect of self-assessed knowledge and trust’, </w:t>
      </w:r>
      <w:r w:rsidRPr="00975C6B">
        <w:rPr>
          <w:i/>
          <w:iCs/>
          <w:sz w:val="22"/>
          <w:szCs w:val="22"/>
        </w:rPr>
        <w:t>Assessment &amp; Evaluation in Higher Education</w:t>
      </w:r>
    </w:p>
    <w:p w14:paraId="213CB547" w14:textId="77777777" w:rsidR="006F4C4A" w:rsidRPr="00975C6B" w:rsidRDefault="006F4C4A" w:rsidP="006F4C4A">
      <w:pPr>
        <w:spacing w:after="0" w:line="240" w:lineRule="auto"/>
        <w:jc w:val="both"/>
        <w:rPr>
          <w:rFonts w:ascii="Arial" w:eastAsia="Times New Roman" w:hAnsi="Arial" w:cs="Arial"/>
          <w:kern w:val="0"/>
          <w:sz w:val="22"/>
          <w:szCs w:val="22"/>
          <w:lang w:eastAsia="en-GB"/>
          <w14:ligatures w14:val="none"/>
        </w:rPr>
      </w:pPr>
      <w:r w:rsidRPr="004430AB">
        <w:rPr>
          <w:rFonts w:ascii="Arial" w:eastAsia="Times New Roman" w:hAnsi="Arial" w:cs="Arial"/>
          <w:kern w:val="0"/>
          <w:sz w:val="22"/>
          <w:szCs w:val="22"/>
          <w:lang w:eastAsia="en-GB"/>
          <w14:ligatures w14:val="none"/>
        </w:rPr>
        <w:t xml:space="preserve">Vickerman, P. </w:t>
      </w:r>
      <w:r>
        <w:rPr>
          <w:rFonts w:ascii="Arial" w:eastAsia="Times New Roman" w:hAnsi="Arial" w:cs="Arial"/>
          <w:kern w:val="0"/>
          <w:sz w:val="22"/>
          <w:szCs w:val="22"/>
          <w:lang w:eastAsia="en-GB"/>
          <w14:ligatures w14:val="none"/>
        </w:rPr>
        <w:t>(</w:t>
      </w:r>
      <w:r w:rsidRPr="004430AB">
        <w:rPr>
          <w:rFonts w:ascii="Arial" w:eastAsia="Times New Roman" w:hAnsi="Arial" w:cs="Arial"/>
          <w:kern w:val="0"/>
          <w:sz w:val="22"/>
          <w:szCs w:val="22"/>
          <w:lang w:eastAsia="en-GB"/>
          <w14:ligatures w14:val="none"/>
        </w:rPr>
        <w:t>2009</w:t>
      </w:r>
      <w:r>
        <w:rPr>
          <w:rFonts w:ascii="Arial" w:eastAsia="Times New Roman" w:hAnsi="Arial" w:cs="Arial"/>
          <w:kern w:val="0"/>
          <w:sz w:val="22"/>
          <w:szCs w:val="22"/>
          <w:lang w:eastAsia="en-GB"/>
          <w14:ligatures w14:val="none"/>
        </w:rPr>
        <w:t>)</w:t>
      </w:r>
      <w:r w:rsidRPr="004430AB">
        <w:rPr>
          <w:rFonts w:ascii="Arial" w:eastAsia="Times New Roman" w:hAnsi="Arial" w:cs="Arial"/>
          <w:kern w:val="0"/>
          <w:sz w:val="22"/>
          <w:szCs w:val="22"/>
          <w:lang w:eastAsia="en-GB"/>
          <w14:ligatures w14:val="none"/>
        </w:rPr>
        <w:t xml:space="preserve"> “Student Perspectives on Formative Peer-Assessment: An Attempt to Deepen</w:t>
      </w:r>
      <w:r>
        <w:rPr>
          <w:rFonts w:ascii="Times New Roman" w:eastAsia="Times New Roman" w:hAnsi="Times New Roman" w:cs="Times New Roman"/>
          <w:kern w:val="0"/>
          <w:sz w:val="22"/>
          <w:szCs w:val="22"/>
          <w:lang w:eastAsia="en-GB"/>
          <w14:ligatures w14:val="none"/>
        </w:rPr>
        <w:t xml:space="preserve"> </w:t>
      </w:r>
      <w:r w:rsidRPr="004430AB">
        <w:rPr>
          <w:rFonts w:ascii="Arial" w:eastAsia="Times New Roman" w:hAnsi="Arial" w:cs="Arial"/>
          <w:kern w:val="0"/>
          <w:sz w:val="22"/>
          <w:szCs w:val="22"/>
          <w:lang w:eastAsia="en-GB"/>
          <w14:ligatures w14:val="none"/>
        </w:rPr>
        <w:t xml:space="preserve">Learning.” Assessment &amp; Evaluation in Higher Education </w:t>
      </w:r>
    </w:p>
    <w:p w14:paraId="31032229" w14:textId="77777777" w:rsidR="006F4C4A" w:rsidRPr="00975C6B" w:rsidRDefault="006F4C4A" w:rsidP="006F4C4A">
      <w:pPr>
        <w:spacing w:after="0" w:line="240" w:lineRule="auto"/>
        <w:jc w:val="both"/>
        <w:rPr>
          <w:rFonts w:ascii="Arial" w:eastAsia="Times New Roman" w:hAnsi="Arial" w:cs="Arial"/>
          <w:kern w:val="0"/>
          <w:sz w:val="22"/>
          <w:szCs w:val="22"/>
          <w:lang w:eastAsia="en-GB"/>
          <w14:ligatures w14:val="none"/>
        </w:rPr>
      </w:pPr>
    </w:p>
    <w:p w14:paraId="60424FAA" w14:textId="77777777" w:rsidR="006F4C4A" w:rsidRPr="004430AB" w:rsidRDefault="006F4C4A" w:rsidP="006F4C4A">
      <w:pPr>
        <w:spacing w:after="0" w:line="240" w:lineRule="auto"/>
        <w:jc w:val="both"/>
        <w:rPr>
          <w:rFonts w:ascii="Times New Roman" w:eastAsia="Times New Roman" w:hAnsi="Times New Roman" w:cs="Times New Roman"/>
          <w:kern w:val="0"/>
          <w:sz w:val="22"/>
          <w:szCs w:val="22"/>
          <w:lang w:eastAsia="en-GB"/>
          <w14:ligatures w14:val="none"/>
        </w:rPr>
      </w:pPr>
      <w:r w:rsidRPr="00975C6B">
        <w:rPr>
          <w:rFonts w:ascii="Arial" w:eastAsia="Times New Roman" w:hAnsi="Arial" w:cs="Arial"/>
          <w:kern w:val="0"/>
          <w:sz w:val="22"/>
          <w:szCs w:val="22"/>
          <w:lang w:eastAsia="en-GB"/>
          <w14:ligatures w14:val="none"/>
        </w:rPr>
        <w:t xml:space="preserve">ESTYN (2024) Monkton Priory CP School. </w:t>
      </w:r>
      <w:hyperlink r:id="rId6" w:history="1">
        <w:r w:rsidRPr="00975C6B">
          <w:rPr>
            <w:rStyle w:val="Hyperlink"/>
            <w:rFonts w:ascii="Arial" w:eastAsia="Times New Roman" w:hAnsi="Arial" w:cs="Arial"/>
            <w:kern w:val="0"/>
            <w:sz w:val="22"/>
            <w:szCs w:val="22"/>
            <w:lang w:eastAsia="en-GB"/>
            <w14:ligatures w14:val="none"/>
          </w:rPr>
          <w:t>https://estyn.gov.wales/education-providers/monkton-priory-cp-school/</w:t>
        </w:r>
      </w:hyperlink>
      <w:r w:rsidRPr="00975C6B">
        <w:rPr>
          <w:rFonts w:ascii="Arial" w:eastAsia="Times New Roman" w:hAnsi="Arial" w:cs="Arial"/>
          <w:kern w:val="0"/>
          <w:sz w:val="22"/>
          <w:szCs w:val="22"/>
          <w:lang w:eastAsia="en-GB"/>
          <w14:ligatures w14:val="none"/>
        </w:rPr>
        <w:t xml:space="preserve"> </w:t>
      </w:r>
    </w:p>
    <w:p w14:paraId="6AF7259D" w14:textId="77777777" w:rsidR="006F4C4A" w:rsidRPr="00975C6B" w:rsidRDefault="006F4C4A" w:rsidP="006F4C4A">
      <w:pPr>
        <w:spacing w:after="0" w:line="240" w:lineRule="auto"/>
        <w:jc w:val="both"/>
        <w:rPr>
          <w:rFonts w:ascii="Times New Roman" w:eastAsia="Times New Roman" w:hAnsi="Times New Roman" w:cs="Times New Roman"/>
          <w:kern w:val="0"/>
          <w:sz w:val="22"/>
          <w:szCs w:val="22"/>
          <w:lang w:eastAsia="en-GB"/>
          <w14:ligatures w14:val="none"/>
        </w:rPr>
      </w:pPr>
    </w:p>
    <w:p w14:paraId="266AF7B7" w14:textId="77777777" w:rsidR="006F4C4A" w:rsidRDefault="006F4C4A" w:rsidP="006F4C4A">
      <w:pPr>
        <w:jc w:val="both"/>
        <w:rPr>
          <w:sz w:val="22"/>
          <w:szCs w:val="22"/>
        </w:rPr>
      </w:pPr>
      <w:r w:rsidRPr="00975C6B">
        <w:rPr>
          <w:sz w:val="22"/>
          <w:szCs w:val="22"/>
        </w:rPr>
        <w:t>Parrish, A. and Shaikh, G. (eds) (2023) </w:t>
      </w:r>
      <w:r w:rsidRPr="00975C6B">
        <w:rPr>
          <w:i/>
          <w:iCs/>
          <w:sz w:val="22"/>
          <w:szCs w:val="22"/>
        </w:rPr>
        <w:t>A quick guide to research methods for dissertations in education</w:t>
      </w:r>
      <w:r w:rsidRPr="00975C6B">
        <w:rPr>
          <w:sz w:val="22"/>
          <w:szCs w:val="22"/>
        </w:rPr>
        <w:t xml:space="preserve">. 1st ed. London: Bloomsbury Academic. </w:t>
      </w:r>
    </w:p>
    <w:p w14:paraId="70ADEEBC" w14:textId="77777777" w:rsidR="006F4C4A" w:rsidRDefault="006F4C4A" w:rsidP="006F4C4A">
      <w:pPr>
        <w:jc w:val="both"/>
        <w:rPr>
          <w:sz w:val="22"/>
          <w:szCs w:val="22"/>
        </w:rPr>
      </w:pPr>
      <w:r w:rsidRPr="00A54A5D">
        <w:rPr>
          <w:sz w:val="22"/>
          <w:szCs w:val="22"/>
        </w:rPr>
        <w:t>DiCicco-Bloom, B. and Crabtree, B.F. (2006) ‘The qualitative research interview’, </w:t>
      </w:r>
      <w:r w:rsidRPr="00A54A5D">
        <w:rPr>
          <w:i/>
          <w:iCs/>
          <w:sz w:val="22"/>
          <w:szCs w:val="22"/>
        </w:rPr>
        <w:t>Medical education</w:t>
      </w:r>
      <w:r>
        <w:rPr>
          <w:sz w:val="22"/>
          <w:szCs w:val="22"/>
        </w:rPr>
        <w:t xml:space="preserve"> </w:t>
      </w:r>
    </w:p>
    <w:p w14:paraId="5BAC9888" w14:textId="77777777" w:rsidR="006F4C4A" w:rsidRPr="006F4C4A" w:rsidRDefault="006F4C4A" w:rsidP="006F4C4A">
      <w:pPr>
        <w:jc w:val="both"/>
        <w:rPr>
          <w:rFonts w:ascii="Times New Roman" w:hAnsi="Times New Roman" w:cs="Times New Roman"/>
          <w:sz w:val="22"/>
          <w:szCs w:val="22"/>
        </w:rPr>
      </w:pPr>
      <w:r w:rsidRPr="004738C7">
        <w:rPr>
          <w:rFonts w:ascii="Times New Roman" w:hAnsi="Times New Roman" w:cs="Times New Roman"/>
          <w:sz w:val="22"/>
          <w:szCs w:val="22"/>
        </w:rPr>
        <w:t xml:space="preserve">BERA (2024) </w:t>
      </w:r>
      <w:r w:rsidRPr="006F4C4A">
        <w:rPr>
          <w:rFonts w:ascii="Times New Roman" w:hAnsi="Times New Roman" w:cs="Times New Roman"/>
          <w:sz w:val="22"/>
          <w:szCs w:val="22"/>
        </w:rPr>
        <w:t xml:space="preserve">Ethical Guidelines for Educational Research, fifth edition. </w:t>
      </w:r>
      <w:hyperlink r:id="rId7" w:history="1">
        <w:r w:rsidRPr="006F4C4A">
          <w:rPr>
            <w:rStyle w:val="Hyperlink"/>
            <w:rFonts w:ascii="Times New Roman" w:hAnsi="Times New Roman" w:cs="Times New Roman"/>
            <w:sz w:val="22"/>
            <w:szCs w:val="22"/>
          </w:rPr>
          <w:t>https://www.bera.ac.uk/publication/ethical-guidelines-for-educational-research</w:t>
        </w:r>
        <w:r w:rsidRPr="006F4C4A">
          <w:rPr>
            <w:rStyle w:val="Hyperlink"/>
            <w:rFonts w:ascii="Times New Roman" w:hAnsi="Times New Roman" w:cs="Times New Roman"/>
            <w:sz w:val="22"/>
            <w:szCs w:val="22"/>
          </w:rPr>
          <w:t>-</w:t>
        </w:r>
        <w:r w:rsidRPr="006F4C4A">
          <w:rPr>
            <w:rStyle w:val="Hyperlink"/>
            <w:rFonts w:ascii="Times New Roman" w:hAnsi="Times New Roman" w:cs="Times New Roman"/>
            <w:sz w:val="22"/>
            <w:szCs w:val="22"/>
          </w:rPr>
          <w:t>fifth-edition-2024</w:t>
        </w:r>
      </w:hyperlink>
      <w:r w:rsidRPr="006F4C4A">
        <w:rPr>
          <w:rFonts w:ascii="Times New Roman" w:hAnsi="Times New Roman" w:cs="Times New Roman"/>
          <w:sz w:val="22"/>
          <w:szCs w:val="22"/>
        </w:rPr>
        <w:t xml:space="preserve"> </w:t>
      </w:r>
    </w:p>
    <w:p w14:paraId="07648B60" w14:textId="77777777" w:rsidR="006F4C4A" w:rsidRPr="006F4C4A" w:rsidRDefault="006F4C4A" w:rsidP="006F4C4A">
      <w:pPr>
        <w:jc w:val="both"/>
        <w:rPr>
          <w:rFonts w:ascii="Times New Roman" w:hAnsi="Times New Roman" w:cs="Times New Roman"/>
          <w:sz w:val="22"/>
          <w:szCs w:val="22"/>
        </w:rPr>
      </w:pPr>
    </w:p>
    <w:p w14:paraId="37439FEB" w14:textId="77777777" w:rsidR="006F4C4A" w:rsidRPr="006F4C4A" w:rsidRDefault="006F4C4A" w:rsidP="006F4C4A">
      <w:pPr>
        <w:jc w:val="both"/>
        <w:rPr>
          <w:rFonts w:ascii="Times New Roman" w:hAnsi="Times New Roman" w:cs="Times New Roman"/>
          <w:sz w:val="22"/>
          <w:szCs w:val="22"/>
        </w:rPr>
      </w:pPr>
      <w:r w:rsidRPr="006F4C4A">
        <w:rPr>
          <w:rFonts w:ascii="Times New Roman" w:hAnsi="Times New Roman" w:cs="Times New Roman"/>
          <w:sz w:val="22"/>
          <w:szCs w:val="22"/>
        </w:rPr>
        <w:t>Welsh Government (2023) Enabling learning</w:t>
      </w:r>
      <w:r>
        <w:rPr>
          <w:rFonts w:ascii="Times New Roman" w:hAnsi="Times New Roman" w:cs="Times New Roman"/>
          <w:sz w:val="22"/>
          <w:szCs w:val="22"/>
        </w:rPr>
        <w:t xml:space="preserve">. </w:t>
      </w:r>
      <w:r w:rsidRPr="006F4C4A">
        <w:rPr>
          <w:rFonts w:ascii="Times New Roman" w:hAnsi="Times New Roman" w:cs="Times New Roman"/>
          <w:sz w:val="22"/>
          <w:szCs w:val="22"/>
        </w:rPr>
        <w:fldChar w:fldCharType="begin"/>
      </w:r>
      <w:r w:rsidRPr="006F4C4A">
        <w:rPr>
          <w:rFonts w:ascii="Times New Roman" w:hAnsi="Times New Roman" w:cs="Times New Roman"/>
          <w:sz w:val="22"/>
          <w:szCs w:val="22"/>
        </w:rPr>
        <w:instrText>HYPERLINK "https://hwb.gov.wales/curriculum-for-wales/designing-your-curriculum/enabling-learning"</w:instrText>
      </w:r>
      <w:r w:rsidRPr="006F4C4A">
        <w:rPr>
          <w:rFonts w:ascii="Times New Roman" w:hAnsi="Times New Roman" w:cs="Times New Roman"/>
          <w:sz w:val="22"/>
          <w:szCs w:val="22"/>
        </w:rPr>
        <w:fldChar w:fldCharType="separate"/>
      </w:r>
      <w:r w:rsidRPr="006F4C4A">
        <w:rPr>
          <w:rStyle w:val="Hyperlink"/>
          <w:rFonts w:ascii="Times New Roman" w:hAnsi="Times New Roman" w:cs="Times New Roman"/>
          <w:sz w:val="22"/>
          <w:szCs w:val="22"/>
        </w:rPr>
        <w:t>https://hwb.gov.wales/curriculu</w:t>
      </w:r>
      <w:r w:rsidRPr="006F4C4A">
        <w:rPr>
          <w:rStyle w:val="Hyperlink"/>
          <w:rFonts w:ascii="Times New Roman" w:hAnsi="Times New Roman" w:cs="Times New Roman"/>
          <w:sz w:val="22"/>
          <w:szCs w:val="22"/>
        </w:rPr>
        <w:t>m</w:t>
      </w:r>
      <w:r w:rsidRPr="006F4C4A">
        <w:rPr>
          <w:rStyle w:val="Hyperlink"/>
          <w:rFonts w:ascii="Times New Roman" w:hAnsi="Times New Roman" w:cs="Times New Roman"/>
          <w:sz w:val="22"/>
          <w:szCs w:val="22"/>
        </w:rPr>
        <w:t>-for-wales/designing-y</w:t>
      </w:r>
      <w:r w:rsidRPr="006F4C4A">
        <w:rPr>
          <w:rStyle w:val="Hyperlink"/>
          <w:rFonts w:ascii="Times New Roman" w:hAnsi="Times New Roman" w:cs="Times New Roman"/>
          <w:sz w:val="22"/>
          <w:szCs w:val="22"/>
        </w:rPr>
        <w:t>o</w:t>
      </w:r>
      <w:r w:rsidRPr="006F4C4A">
        <w:rPr>
          <w:rStyle w:val="Hyperlink"/>
          <w:rFonts w:ascii="Times New Roman" w:hAnsi="Times New Roman" w:cs="Times New Roman"/>
          <w:sz w:val="22"/>
          <w:szCs w:val="22"/>
        </w:rPr>
        <w:t>ur-curriculum/enabling-learning</w:t>
      </w:r>
      <w:r w:rsidRPr="006F4C4A">
        <w:rPr>
          <w:rFonts w:ascii="Times New Roman" w:hAnsi="Times New Roman" w:cs="Times New Roman"/>
          <w:sz w:val="22"/>
          <w:szCs w:val="22"/>
        </w:rPr>
        <w:fldChar w:fldCharType="end"/>
      </w:r>
      <w:r w:rsidRPr="006F4C4A">
        <w:rPr>
          <w:rFonts w:ascii="Times New Roman" w:hAnsi="Times New Roman" w:cs="Times New Roman"/>
          <w:sz w:val="22"/>
          <w:szCs w:val="22"/>
        </w:rPr>
        <w:t xml:space="preserve"> </w:t>
      </w:r>
    </w:p>
    <w:p w14:paraId="385ABD22" w14:textId="77777777" w:rsidR="006F4C4A" w:rsidRPr="006F4C4A" w:rsidRDefault="006F4C4A" w:rsidP="006F4C4A">
      <w:pPr>
        <w:jc w:val="both"/>
        <w:rPr>
          <w:rFonts w:ascii="Times New Roman" w:hAnsi="Times New Roman" w:cs="Times New Roman"/>
          <w:sz w:val="22"/>
          <w:szCs w:val="22"/>
        </w:rPr>
      </w:pPr>
      <w:r w:rsidRPr="006F4C4A">
        <w:rPr>
          <w:rFonts w:ascii="Times New Roman" w:hAnsi="Times New Roman" w:cs="Times New Roman"/>
          <w:sz w:val="22"/>
          <w:szCs w:val="22"/>
        </w:rPr>
        <w:t>Smidt, S. (2009) </w:t>
      </w:r>
      <w:r w:rsidRPr="006F4C4A">
        <w:rPr>
          <w:rFonts w:ascii="Times New Roman" w:hAnsi="Times New Roman" w:cs="Times New Roman"/>
          <w:i/>
          <w:iCs/>
          <w:sz w:val="22"/>
          <w:szCs w:val="22"/>
        </w:rPr>
        <w:t>Introducing Vygotsky : a guide for practitioners and students in early years education</w:t>
      </w:r>
      <w:r w:rsidRPr="006F4C4A">
        <w:rPr>
          <w:rFonts w:ascii="Times New Roman" w:hAnsi="Times New Roman" w:cs="Times New Roman"/>
          <w:sz w:val="22"/>
          <w:szCs w:val="22"/>
        </w:rPr>
        <w:t xml:space="preserve">. London ; Routledge. </w:t>
      </w:r>
    </w:p>
    <w:p w14:paraId="4DDD0AEB" w14:textId="77777777" w:rsidR="006F4C4A" w:rsidRPr="004738C7" w:rsidRDefault="006F4C4A" w:rsidP="004738C7">
      <w:pPr>
        <w:jc w:val="both"/>
        <w:rPr>
          <w:sz w:val="22"/>
          <w:szCs w:val="22"/>
        </w:rPr>
      </w:pPr>
    </w:p>
    <w:p w14:paraId="1CD1FA79" w14:textId="1E826845" w:rsidR="000E2E7E" w:rsidRPr="000E2E7E" w:rsidRDefault="000E2E7E" w:rsidP="00BD5470">
      <w:pPr>
        <w:jc w:val="both"/>
        <w:rPr>
          <w:sz w:val="52"/>
          <w:szCs w:val="52"/>
        </w:rPr>
      </w:pPr>
    </w:p>
    <w:sectPr w:rsidR="000E2E7E" w:rsidRPr="000E2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2601C5"/>
    <w:multiLevelType w:val="hybridMultilevel"/>
    <w:tmpl w:val="428A3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793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65309"/>
    <w:rsid w:val="000E2E7E"/>
    <w:rsid w:val="00121BB2"/>
    <w:rsid w:val="00141058"/>
    <w:rsid w:val="001675AC"/>
    <w:rsid w:val="00191A01"/>
    <w:rsid w:val="00191CFB"/>
    <w:rsid w:val="001C780C"/>
    <w:rsid w:val="001E698E"/>
    <w:rsid w:val="002554B5"/>
    <w:rsid w:val="00292EA9"/>
    <w:rsid w:val="002B3FED"/>
    <w:rsid w:val="002F3275"/>
    <w:rsid w:val="003553DC"/>
    <w:rsid w:val="00371AC6"/>
    <w:rsid w:val="00372668"/>
    <w:rsid w:val="003A7750"/>
    <w:rsid w:val="00401982"/>
    <w:rsid w:val="00403714"/>
    <w:rsid w:val="004430AB"/>
    <w:rsid w:val="004738C7"/>
    <w:rsid w:val="004A3043"/>
    <w:rsid w:val="00504994"/>
    <w:rsid w:val="0050522C"/>
    <w:rsid w:val="00510D18"/>
    <w:rsid w:val="00566695"/>
    <w:rsid w:val="005B0799"/>
    <w:rsid w:val="005B09A9"/>
    <w:rsid w:val="005B56F8"/>
    <w:rsid w:val="005C2F9B"/>
    <w:rsid w:val="00604703"/>
    <w:rsid w:val="0063403B"/>
    <w:rsid w:val="00654727"/>
    <w:rsid w:val="00684E2A"/>
    <w:rsid w:val="0069328E"/>
    <w:rsid w:val="006A6EB1"/>
    <w:rsid w:val="006F1F22"/>
    <w:rsid w:val="006F4C4A"/>
    <w:rsid w:val="00735040"/>
    <w:rsid w:val="0077187C"/>
    <w:rsid w:val="007B3A2D"/>
    <w:rsid w:val="007C1809"/>
    <w:rsid w:val="0082168F"/>
    <w:rsid w:val="00841556"/>
    <w:rsid w:val="00890B19"/>
    <w:rsid w:val="008F0B48"/>
    <w:rsid w:val="00920C99"/>
    <w:rsid w:val="009579C9"/>
    <w:rsid w:val="00965B69"/>
    <w:rsid w:val="00975C6B"/>
    <w:rsid w:val="009D31A8"/>
    <w:rsid w:val="009F23F2"/>
    <w:rsid w:val="00A54A5D"/>
    <w:rsid w:val="00A836E8"/>
    <w:rsid w:val="00AB5565"/>
    <w:rsid w:val="00AC172F"/>
    <w:rsid w:val="00AD35BC"/>
    <w:rsid w:val="00B05B96"/>
    <w:rsid w:val="00B11A96"/>
    <w:rsid w:val="00BB35CE"/>
    <w:rsid w:val="00BD5470"/>
    <w:rsid w:val="00C03E27"/>
    <w:rsid w:val="00C0493E"/>
    <w:rsid w:val="00C32747"/>
    <w:rsid w:val="00D23D36"/>
    <w:rsid w:val="00D32A6D"/>
    <w:rsid w:val="00D37957"/>
    <w:rsid w:val="00DC5157"/>
    <w:rsid w:val="00DE5FDB"/>
    <w:rsid w:val="00DF09B3"/>
    <w:rsid w:val="00E42B77"/>
    <w:rsid w:val="00E5184C"/>
    <w:rsid w:val="00E67864"/>
    <w:rsid w:val="00E7160D"/>
    <w:rsid w:val="00F041EA"/>
    <w:rsid w:val="00F66413"/>
    <w:rsid w:val="00F816FE"/>
    <w:rsid w:val="00FD5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2EA9"/>
    <w:rPr>
      <w:color w:val="467886" w:themeColor="hyperlink"/>
      <w:u w:val="single"/>
    </w:rPr>
  </w:style>
  <w:style w:type="character" w:styleId="UnresolvedMention">
    <w:name w:val="Unresolved Mention"/>
    <w:basedOn w:val="DefaultParagraphFont"/>
    <w:uiPriority w:val="99"/>
    <w:semiHidden/>
    <w:unhideWhenUsed/>
    <w:rsid w:val="00292EA9"/>
    <w:rPr>
      <w:color w:val="605E5C"/>
      <w:shd w:val="clear" w:color="auto" w:fill="E1DFDD"/>
    </w:rPr>
  </w:style>
  <w:style w:type="character" w:styleId="FollowedHyperlink">
    <w:name w:val="FollowedHyperlink"/>
    <w:basedOn w:val="DefaultParagraphFont"/>
    <w:uiPriority w:val="99"/>
    <w:semiHidden/>
    <w:unhideWhenUsed/>
    <w:rsid w:val="00292E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7489413">
      <w:bodyDiv w:val="1"/>
      <w:marLeft w:val="0"/>
      <w:marRight w:val="0"/>
      <w:marTop w:val="0"/>
      <w:marBottom w:val="0"/>
      <w:divBdr>
        <w:top w:val="none" w:sz="0" w:space="0" w:color="auto"/>
        <w:left w:val="none" w:sz="0" w:space="0" w:color="auto"/>
        <w:bottom w:val="none" w:sz="0" w:space="0" w:color="auto"/>
        <w:right w:val="none" w:sz="0" w:space="0" w:color="auto"/>
      </w:divBdr>
      <w:divsChild>
        <w:div w:id="1146975374">
          <w:marLeft w:val="0"/>
          <w:marRight w:val="0"/>
          <w:marTop w:val="0"/>
          <w:marBottom w:val="0"/>
          <w:divBdr>
            <w:top w:val="none" w:sz="0" w:space="0" w:color="auto"/>
            <w:left w:val="none" w:sz="0" w:space="0" w:color="auto"/>
            <w:bottom w:val="none" w:sz="0" w:space="0" w:color="auto"/>
            <w:right w:val="none" w:sz="0" w:space="0" w:color="auto"/>
          </w:divBdr>
          <w:divsChild>
            <w:div w:id="68041807">
              <w:marLeft w:val="0"/>
              <w:marRight w:val="0"/>
              <w:marTop w:val="0"/>
              <w:marBottom w:val="0"/>
              <w:divBdr>
                <w:top w:val="none" w:sz="0" w:space="0" w:color="auto"/>
                <w:left w:val="none" w:sz="0" w:space="0" w:color="auto"/>
                <w:bottom w:val="none" w:sz="0" w:space="0" w:color="auto"/>
                <w:right w:val="none" w:sz="0" w:space="0" w:color="auto"/>
              </w:divBdr>
              <w:divsChild>
                <w:div w:id="196268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405642">
      <w:bodyDiv w:val="1"/>
      <w:marLeft w:val="0"/>
      <w:marRight w:val="0"/>
      <w:marTop w:val="0"/>
      <w:marBottom w:val="0"/>
      <w:divBdr>
        <w:top w:val="none" w:sz="0" w:space="0" w:color="auto"/>
        <w:left w:val="none" w:sz="0" w:space="0" w:color="auto"/>
        <w:bottom w:val="none" w:sz="0" w:space="0" w:color="auto"/>
        <w:right w:val="none" w:sz="0" w:space="0" w:color="auto"/>
      </w:divBdr>
    </w:div>
    <w:div w:id="607657736">
      <w:bodyDiv w:val="1"/>
      <w:marLeft w:val="0"/>
      <w:marRight w:val="0"/>
      <w:marTop w:val="0"/>
      <w:marBottom w:val="0"/>
      <w:divBdr>
        <w:top w:val="none" w:sz="0" w:space="0" w:color="auto"/>
        <w:left w:val="none" w:sz="0" w:space="0" w:color="auto"/>
        <w:bottom w:val="none" w:sz="0" w:space="0" w:color="auto"/>
        <w:right w:val="none" w:sz="0" w:space="0" w:color="auto"/>
      </w:divBdr>
    </w:div>
    <w:div w:id="835340489">
      <w:bodyDiv w:val="1"/>
      <w:marLeft w:val="0"/>
      <w:marRight w:val="0"/>
      <w:marTop w:val="0"/>
      <w:marBottom w:val="0"/>
      <w:divBdr>
        <w:top w:val="none" w:sz="0" w:space="0" w:color="auto"/>
        <w:left w:val="none" w:sz="0" w:space="0" w:color="auto"/>
        <w:bottom w:val="none" w:sz="0" w:space="0" w:color="auto"/>
        <w:right w:val="none" w:sz="0" w:space="0" w:color="auto"/>
      </w:divBdr>
      <w:divsChild>
        <w:div w:id="1530946091">
          <w:marLeft w:val="0"/>
          <w:marRight w:val="0"/>
          <w:marTop w:val="0"/>
          <w:marBottom w:val="0"/>
          <w:divBdr>
            <w:top w:val="none" w:sz="0" w:space="0" w:color="auto"/>
            <w:left w:val="none" w:sz="0" w:space="0" w:color="auto"/>
            <w:bottom w:val="none" w:sz="0" w:space="0" w:color="auto"/>
            <w:right w:val="none" w:sz="0" w:space="0" w:color="auto"/>
          </w:divBdr>
          <w:divsChild>
            <w:div w:id="2098093682">
              <w:marLeft w:val="0"/>
              <w:marRight w:val="0"/>
              <w:marTop w:val="0"/>
              <w:marBottom w:val="0"/>
              <w:divBdr>
                <w:top w:val="none" w:sz="0" w:space="0" w:color="auto"/>
                <w:left w:val="none" w:sz="0" w:space="0" w:color="auto"/>
                <w:bottom w:val="none" w:sz="0" w:space="0" w:color="auto"/>
                <w:right w:val="none" w:sz="0" w:space="0" w:color="auto"/>
              </w:divBdr>
              <w:divsChild>
                <w:div w:id="956327006">
                  <w:marLeft w:val="0"/>
                  <w:marRight w:val="0"/>
                  <w:marTop w:val="0"/>
                  <w:marBottom w:val="0"/>
                  <w:divBdr>
                    <w:top w:val="none" w:sz="0" w:space="0" w:color="auto"/>
                    <w:left w:val="none" w:sz="0" w:space="0" w:color="auto"/>
                    <w:bottom w:val="none" w:sz="0" w:space="0" w:color="auto"/>
                    <w:right w:val="none" w:sz="0" w:space="0" w:color="auto"/>
                  </w:divBdr>
                  <w:divsChild>
                    <w:div w:id="159516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625772">
      <w:bodyDiv w:val="1"/>
      <w:marLeft w:val="0"/>
      <w:marRight w:val="0"/>
      <w:marTop w:val="0"/>
      <w:marBottom w:val="0"/>
      <w:divBdr>
        <w:top w:val="none" w:sz="0" w:space="0" w:color="auto"/>
        <w:left w:val="none" w:sz="0" w:space="0" w:color="auto"/>
        <w:bottom w:val="none" w:sz="0" w:space="0" w:color="auto"/>
        <w:right w:val="none" w:sz="0" w:space="0" w:color="auto"/>
      </w:divBdr>
    </w:div>
    <w:div w:id="941914788">
      <w:bodyDiv w:val="1"/>
      <w:marLeft w:val="0"/>
      <w:marRight w:val="0"/>
      <w:marTop w:val="0"/>
      <w:marBottom w:val="0"/>
      <w:divBdr>
        <w:top w:val="none" w:sz="0" w:space="0" w:color="auto"/>
        <w:left w:val="none" w:sz="0" w:space="0" w:color="auto"/>
        <w:bottom w:val="none" w:sz="0" w:space="0" w:color="auto"/>
        <w:right w:val="none" w:sz="0" w:space="0" w:color="auto"/>
      </w:divBdr>
      <w:divsChild>
        <w:div w:id="703823525">
          <w:marLeft w:val="0"/>
          <w:marRight w:val="0"/>
          <w:marTop w:val="0"/>
          <w:marBottom w:val="0"/>
          <w:divBdr>
            <w:top w:val="none" w:sz="0" w:space="0" w:color="auto"/>
            <w:left w:val="none" w:sz="0" w:space="0" w:color="auto"/>
            <w:bottom w:val="none" w:sz="0" w:space="0" w:color="auto"/>
            <w:right w:val="none" w:sz="0" w:space="0" w:color="auto"/>
          </w:divBdr>
          <w:divsChild>
            <w:div w:id="694574695">
              <w:marLeft w:val="0"/>
              <w:marRight w:val="0"/>
              <w:marTop w:val="0"/>
              <w:marBottom w:val="0"/>
              <w:divBdr>
                <w:top w:val="none" w:sz="0" w:space="0" w:color="auto"/>
                <w:left w:val="none" w:sz="0" w:space="0" w:color="auto"/>
                <w:bottom w:val="none" w:sz="0" w:space="0" w:color="auto"/>
                <w:right w:val="none" w:sz="0" w:space="0" w:color="auto"/>
              </w:divBdr>
              <w:divsChild>
                <w:div w:id="14699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186687">
      <w:bodyDiv w:val="1"/>
      <w:marLeft w:val="0"/>
      <w:marRight w:val="0"/>
      <w:marTop w:val="0"/>
      <w:marBottom w:val="0"/>
      <w:divBdr>
        <w:top w:val="none" w:sz="0" w:space="0" w:color="auto"/>
        <w:left w:val="none" w:sz="0" w:space="0" w:color="auto"/>
        <w:bottom w:val="none" w:sz="0" w:space="0" w:color="auto"/>
        <w:right w:val="none" w:sz="0" w:space="0" w:color="auto"/>
      </w:divBdr>
      <w:divsChild>
        <w:div w:id="626548481">
          <w:marLeft w:val="0"/>
          <w:marRight w:val="0"/>
          <w:marTop w:val="0"/>
          <w:marBottom w:val="0"/>
          <w:divBdr>
            <w:top w:val="none" w:sz="0" w:space="0" w:color="auto"/>
            <w:left w:val="none" w:sz="0" w:space="0" w:color="auto"/>
            <w:bottom w:val="none" w:sz="0" w:space="0" w:color="auto"/>
            <w:right w:val="none" w:sz="0" w:space="0" w:color="auto"/>
          </w:divBdr>
        </w:div>
      </w:divsChild>
    </w:div>
    <w:div w:id="1703364455">
      <w:bodyDiv w:val="1"/>
      <w:marLeft w:val="0"/>
      <w:marRight w:val="0"/>
      <w:marTop w:val="0"/>
      <w:marBottom w:val="0"/>
      <w:divBdr>
        <w:top w:val="none" w:sz="0" w:space="0" w:color="auto"/>
        <w:left w:val="none" w:sz="0" w:space="0" w:color="auto"/>
        <w:bottom w:val="none" w:sz="0" w:space="0" w:color="auto"/>
        <w:right w:val="none" w:sz="0" w:space="0" w:color="auto"/>
      </w:divBdr>
    </w:div>
    <w:div w:id="2146269375">
      <w:bodyDiv w:val="1"/>
      <w:marLeft w:val="0"/>
      <w:marRight w:val="0"/>
      <w:marTop w:val="0"/>
      <w:marBottom w:val="0"/>
      <w:divBdr>
        <w:top w:val="none" w:sz="0" w:space="0" w:color="auto"/>
        <w:left w:val="none" w:sz="0" w:space="0" w:color="auto"/>
        <w:bottom w:val="none" w:sz="0" w:space="0" w:color="auto"/>
        <w:right w:val="none" w:sz="0" w:space="0" w:color="auto"/>
      </w:divBdr>
      <w:divsChild>
        <w:div w:id="664211941">
          <w:marLeft w:val="0"/>
          <w:marRight w:val="0"/>
          <w:marTop w:val="0"/>
          <w:marBottom w:val="0"/>
          <w:divBdr>
            <w:top w:val="none" w:sz="0" w:space="0" w:color="auto"/>
            <w:left w:val="none" w:sz="0" w:space="0" w:color="auto"/>
            <w:bottom w:val="none" w:sz="0" w:space="0" w:color="auto"/>
            <w:right w:val="none" w:sz="0" w:space="0" w:color="auto"/>
          </w:divBdr>
          <w:divsChild>
            <w:div w:id="104614855">
              <w:marLeft w:val="0"/>
              <w:marRight w:val="0"/>
              <w:marTop w:val="0"/>
              <w:marBottom w:val="0"/>
              <w:divBdr>
                <w:top w:val="none" w:sz="0" w:space="0" w:color="auto"/>
                <w:left w:val="none" w:sz="0" w:space="0" w:color="auto"/>
                <w:bottom w:val="none" w:sz="0" w:space="0" w:color="auto"/>
                <w:right w:val="none" w:sz="0" w:space="0" w:color="auto"/>
              </w:divBdr>
              <w:divsChild>
                <w:div w:id="463625543">
                  <w:marLeft w:val="0"/>
                  <w:marRight w:val="0"/>
                  <w:marTop w:val="0"/>
                  <w:marBottom w:val="0"/>
                  <w:divBdr>
                    <w:top w:val="none" w:sz="0" w:space="0" w:color="auto"/>
                    <w:left w:val="none" w:sz="0" w:space="0" w:color="auto"/>
                    <w:bottom w:val="none" w:sz="0" w:space="0" w:color="auto"/>
                    <w:right w:val="none" w:sz="0" w:space="0" w:color="auto"/>
                  </w:divBdr>
                  <w:divsChild>
                    <w:div w:id="125647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publication/ethical-guidelines-for-educational-research-fifth-edition-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styn.gov.wales/education-providers/monkton-priory-cp-school/"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3257</Words>
  <Characters>18568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Emily James (2317130)</cp:lastModifiedBy>
  <cp:revision>2</cp:revision>
  <dcterms:created xsi:type="dcterms:W3CDTF">2025-04-03T21:25:00Z</dcterms:created>
  <dcterms:modified xsi:type="dcterms:W3CDTF">2025-04-03T21:25:00Z</dcterms:modified>
</cp:coreProperties>
</file>