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5CD0F" w14:textId="7A5FFE0D" w:rsidR="00A05502" w:rsidRPr="005E07CA" w:rsidRDefault="00FB1FB8" w:rsidP="00072425">
      <w:pPr>
        <w:pStyle w:val="Heading4"/>
        <w:jc w:val="center"/>
        <w:rPr>
          <w:rStyle w:val="Strong"/>
          <w:rFonts w:ascii="Sanskrit Text" w:hAnsi="Sanskrit Text" w:cs="Sanskrit Text"/>
          <w:color w:val="auto"/>
          <w:sz w:val="36"/>
          <w:szCs w:val="32"/>
        </w:rPr>
      </w:pPr>
      <w:r w:rsidRPr="005E07CA">
        <w:rPr>
          <w:rStyle w:val="Strong"/>
          <w:rFonts w:ascii="Sanskrit Text" w:hAnsi="Sanskrit Text" w:cs="Sanskrit Text"/>
          <w:color w:val="auto"/>
          <w:sz w:val="36"/>
          <w:szCs w:val="32"/>
        </w:rPr>
        <w:t>Coinage in Lattara</w:t>
      </w:r>
    </w:p>
    <w:p w14:paraId="4FA228AA" w14:textId="77777777" w:rsidR="00C6794A" w:rsidRPr="005E07CA" w:rsidRDefault="00C6794A" w:rsidP="00C6794A">
      <w:pPr>
        <w:rPr>
          <w:color w:val="auto"/>
        </w:rPr>
      </w:pPr>
    </w:p>
    <w:p w14:paraId="1325EA1E" w14:textId="464B5F7B" w:rsidR="00194E39" w:rsidRPr="005E07CA" w:rsidRDefault="00DC63BB" w:rsidP="00F25240">
      <w:pPr>
        <w:spacing w:line="360" w:lineRule="auto"/>
        <w:rPr>
          <w:color w:val="auto"/>
        </w:rPr>
      </w:pPr>
      <w:r w:rsidRPr="005E07CA">
        <w:rPr>
          <w:noProof/>
          <w:color w:val="auto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D1A0465" wp14:editId="651E4B14">
            <wp:simplePos x="0" y="0"/>
            <wp:positionH relativeFrom="margin">
              <wp:posOffset>-142875</wp:posOffset>
            </wp:positionH>
            <wp:positionV relativeFrom="paragraph">
              <wp:posOffset>2988945</wp:posOffset>
            </wp:positionV>
            <wp:extent cx="7048500" cy="3676650"/>
            <wp:effectExtent l="0" t="0" r="0" b="0"/>
            <wp:wrapSquare wrapText="bothSides"/>
            <wp:docPr id="1" name="Picture 1" descr="Image result for latt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ttar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E07CA">
        <w:rPr>
          <w:noProof/>
          <w:color w:val="auto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9C25FD" wp14:editId="11861924">
                <wp:simplePos x="0" y="0"/>
                <wp:positionH relativeFrom="margin">
                  <wp:align>right</wp:align>
                </wp:positionH>
                <wp:positionV relativeFrom="paragraph">
                  <wp:posOffset>6665595</wp:posOffset>
                </wp:positionV>
                <wp:extent cx="6781800" cy="4476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956E8" w14:textId="3345DC30" w:rsidR="000E1E60" w:rsidRPr="000E1E60" w:rsidRDefault="000E1E60">
                            <w:pPr>
                              <w:rPr>
                                <w:sz w:val="14"/>
                              </w:rPr>
                            </w:pPr>
                            <w:r w:rsidRPr="000E1E60">
                              <w:rPr>
                                <w:sz w:val="14"/>
                              </w:rPr>
                              <w:t xml:space="preserve">Fig 1. </w:t>
                            </w:r>
                          </w:p>
                          <w:p w14:paraId="1A1CDB1B" w14:textId="10EA8E7A" w:rsidR="000E1E60" w:rsidRPr="000E1E60" w:rsidRDefault="000E1E60">
                            <w:pPr>
                              <w:rPr>
                                <w:sz w:val="14"/>
                              </w:rPr>
                            </w:pPr>
                            <w:r w:rsidRPr="000E1E60">
                              <w:rPr>
                                <w:sz w:val="14"/>
                              </w:rPr>
                              <w:t>Map</w:t>
                            </w:r>
                            <w:r>
                              <w:rPr>
                                <w:sz w:val="14"/>
                              </w:rPr>
                              <w:t xml:space="preserve"> of Southern France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9C25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2.8pt;margin-top:524.85pt;width:534pt;height:35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" stroked="f">
                <v:textbox>
                  <w:txbxContent>
                    <w:p w14:paraId="3A9956E8" w14:textId="3345DC30" w:rsidR="000E1E60" w:rsidRPr="000E1E60" w:rsidRDefault="000E1E60">
                      <w:pPr>
                        <w:rPr>
                          <w:sz w:val="14"/>
                        </w:rPr>
                      </w:pPr>
                      <w:r w:rsidRPr="000E1E60">
                        <w:rPr>
                          <w:sz w:val="14"/>
                        </w:rPr>
                        <w:t xml:space="preserve">Fig 1. </w:t>
                      </w:r>
                    </w:p>
                    <w:p w14:paraId="1A1CDB1B" w14:textId="10EA8E7A" w:rsidR="000E1E60" w:rsidRPr="000E1E60" w:rsidRDefault="000E1E60">
                      <w:pPr>
                        <w:rPr>
                          <w:sz w:val="14"/>
                        </w:rPr>
                      </w:pPr>
                      <w:r w:rsidRPr="000E1E60">
                        <w:rPr>
                          <w:sz w:val="14"/>
                        </w:rPr>
                        <w:t>Map</w:t>
                      </w:r>
                      <w:r>
                        <w:rPr>
                          <w:sz w:val="14"/>
                        </w:rPr>
                        <w:t xml:space="preserve"> of Southern France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5502" w:rsidRPr="005E07CA">
        <w:rPr>
          <w:color w:val="auto"/>
        </w:rPr>
        <w:t>This essay will be focusing on coinage in</w:t>
      </w:r>
      <w:r w:rsidR="006773D8" w:rsidRPr="005E07CA">
        <w:rPr>
          <w:color w:val="auto"/>
        </w:rPr>
        <w:t xml:space="preserve"> </w:t>
      </w:r>
      <w:r w:rsidR="00C82B1D" w:rsidRPr="005E07CA">
        <w:rPr>
          <w:color w:val="auto"/>
        </w:rPr>
        <w:t xml:space="preserve">‘Celtic’ </w:t>
      </w:r>
      <w:r w:rsidR="0007025F" w:rsidRPr="005E07CA">
        <w:rPr>
          <w:color w:val="auto"/>
        </w:rPr>
        <w:t>Lattara in Southern France and how the use of a</w:t>
      </w:r>
      <w:r w:rsidR="004F3296" w:rsidRPr="005E07CA">
        <w:rPr>
          <w:color w:val="auto"/>
        </w:rPr>
        <w:t>, at least partly, monetised society was adopted through trade wit</w:t>
      </w:r>
      <w:r w:rsidR="0007025F" w:rsidRPr="005E07CA">
        <w:rPr>
          <w:color w:val="auto"/>
        </w:rPr>
        <w:t xml:space="preserve">h Massalia, </w:t>
      </w:r>
      <w:proofErr w:type="spellStart"/>
      <w:r w:rsidR="00370F18" w:rsidRPr="005E07CA">
        <w:rPr>
          <w:color w:val="auto"/>
        </w:rPr>
        <w:t>Etrusca</w:t>
      </w:r>
      <w:proofErr w:type="spellEnd"/>
      <w:r w:rsidR="0007025F" w:rsidRPr="005E07CA">
        <w:rPr>
          <w:color w:val="auto"/>
        </w:rPr>
        <w:t>,</w:t>
      </w:r>
      <w:r w:rsidR="00A63B10" w:rsidRPr="005E07CA">
        <w:rPr>
          <w:color w:val="auto"/>
        </w:rPr>
        <w:t xml:space="preserve"> and </w:t>
      </w:r>
      <w:r w:rsidR="0007025F" w:rsidRPr="005E07CA">
        <w:rPr>
          <w:color w:val="auto"/>
        </w:rPr>
        <w:t xml:space="preserve">the conquest of </w:t>
      </w:r>
      <w:r w:rsidR="00B901AA" w:rsidRPr="005E07CA">
        <w:rPr>
          <w:color w:val="auto"/>
        </w:rPr>
        <w:t>‘</w:t>
      </w:r>
      <w:r w:rsidR="0007025F" w:rsidRPr="005E07CA">
        <w:rPr>
          <w:color w:val="auto"/>
        </w:rPr>
        <w:t>Transalpine Gaul</w:t>
      </w:r>
      <w:r w:rsidR="00B901AA" w:rsidRPr="005E07CA">
        <w:rPr>
          <w:color w:val="auto"/>
        </w:rPr>
        <w:t>’</w:t>
      </w:r>
      <w:r w:rsidR="00973B74" w:rsidRPr="005E07CA">
        <w:rPr>
          <w:color w:val="auto"/>
        </w:rPr>
        <w:t xml:space="preserve"> by</w:t>
      </w:r>
      <w:r w:rsidR="0007025F" w:rsidRPr="005E07CA">
        <w:rPr>
          <w:color w:val="auto"/>
        </w:rPr>
        <w:t xml:space="preserve"> </w:t>
      </w:r>
      <w:r w:rsidR="00973B74" w:rsidRPr="005E07CA">
        <w:rPr>
          <w:color w:val="auto"/>
        </w:rPr>
        <w:t>the Roman Empire</w:t>
      </w:r>
      <w:r w:rsidR="0007025F" w:rsidRPr="005E07CA">
        <w:rPr>
          <w:color w:val="auto"/>
        </w:rPr>
        <w:t>.</w:t>
      </w:r>
      <w:r w:rsidR="00194E39" w:rsidRPr="005E07CA">
        <w:rPr>
          <w:color w:val="auto"/>
        </w:rPr>
        <w:t xml:space="preserve"> The time period being focused on will be the periods between the 3</w:t>
      </w:r>
      <w:r w:rsidR="00194E39" w:rsidRPr="005E07CA">
        <w:rPr>
          <w:color w:val="auto"/>
          <w:vertAlign w:val="superscript"/>
        </w:rPr>
        <w:t>rd</w:t>
      </w:r>
      <w:r w:rsidR="00194E39" w:rsidRPr="005E07CA">
        <w:rPr>
          <w:color w:val="auto"/>
        </w:rPr>
        <w:t xml:space="preserve"> and 1</w:t>
      </w:r>
      <w:r w:rsidR="00194E39" w:rsidRPr="005E07CA">
        <w:rPr>
          <w:color w:val="auto"/>
          <w:vertAlign w:val="superscript"/>
        </w:rPr>
        <w:t>st</w:t>
      </w:r>
      <w:r w:rsidR="00194E39" w:rsidRPr="005E07CA">
        <w:rPr>
          <w:color w:val="auto"/>
        </w:rPr>
        <w:t xml:space="preserve"> Century BC.</w:t>
      </w:r>
      <w:r w:rsidR="0042685F" w:rsidRPr="005E07CA">
        <w:rPr>
          <w:color w:val="auto"/>
        </w:rPr>
        <w:t xml:space="preserve"> </w:t>
      </w:r>
      <w:r w:rsidR="00890D9F">
        <w:rPr>
          <w:color w:val="auto"/>
        </w:rPr>
        <w:t>First</w:t>
      </w:r>
      <w:r w:rsidR="00262689">
        <w:rPr>
          <w:color w:val="auto"/>
        </w:rPr>
        <w:t xml:space="preserve"> this essay will be focusing on</w:t>
      </w:r>
      <w:r w:rsidR="00890D9F">
        <w:rPr>
          <w:color w:val="auto"/>
        </w:rPr>
        <w:t xml:space="preserve"> </w:t>
      </w:r>
      <w:r w:rsidR="000676CE">
        <w:rPr>
          <w:color w:val="auto"/>
        </w:rPr>
        <w:t>the geographical location and means for trade,</w:t>
      </w:r>
      <w:r w:rsidR="00262689">
        <w:rPr>
          <w:color w:val="auto"/>
        </w:rPr>
        <w:t xml:space="preserve"> as well as where the trade came from. </w:t>
      </w:r>
      <w:r>
        <w:rPr>
          <w:color w:val="auto"/>
        </w:rPr>
        <w:t xml:space="preserve">Secondly, a basic guide to the use of coinage in Ancient Rome and Greece will be included to give an idea on how </w:t>
      </w:r>
      <w:r w:rsidR="0020720F" w:rsidRPr="0020720F">
        <w:rPr>
          <w:color w:val="auto"/>
        </w:rPr>
        <w:t>monetisation</w:t>
      </w:r>
      <w:r>
        <w:rPr>
          <w:color w:val="auto"/>
        </w:rPr>
        <w:t xml:space="preserve"> in Lattara would have been introduced. </w:t>
      </w:r>
      <w:r w:rsidR="00262689">
        <w:rPr>
          <w:color w:val="auto"/>
        </w:rPr>
        <w:t>T</w:t>
      </w:r>
      <w:r w:rsidR="000676CE">
        <w:rPr>
          <w:color w:val="auto"/>
        </w:rPr>
        <w:t>hen what the coins</w:t>
      </w:r>
      <w:r>
        <w:rPr>
          <w:color w:val="auto"/>
        </w:rPr>
        <w:t xml:space="preserve"> found in Lattara</w:t>
      </w:r>
      <w:r w:rsidR="000676CE">
        <w:rPr>
          <w:color w:val="auto"/>
        </w:rPr>
        <w:t xml:space="preserve"> were</w:t>
      </w:r>
      <w:r>
        <w:rPr>
          <w:color w:val="auto"/>
        </w:rPr>
        <w:t xml:space="preserve"> made from</w:t>
      </w:r>
      <w:r w:rsidR="000676CE">
        <w:rPr>
          <w:color w:val="auto"/>
        </w:rPr>
        <w:t xml:space="preserve"> and how they were used and imported from Rome, Massalia and Gaul. Finally, it will be argued that the use of coins in a votive </w:t>
      </w:r>
      <w:r w:rsidR="008D7CE1">
        <w:rPr>
          <w:color w:val="auto"/>
        </w:rPr>
        <w:t>sense</w:t>
      </w:r>
      <w:r w:rsidR="000676CE">
        <w:rPr>
          <w:color w:val="auto"/>
        </w:rPr>
        <w:t xml:space="preserve"> in Lattara has not been regarded and analysed by modern scholars and has been disregarded</w:t>
      </w:r>
      <w:r w:rsidR="00350746">
        <w:rPr>
          <w:color w:val="auto"/>
        </w:rPr>
        <w:t xml:space="preserve"> completely by Luley in his paper on coinage in Lattara, the only comprehensive guide to the possible economic structure in Lattara written in English</w:t>
      </w:r>
      <w:r w:rsidR="000676CE">
        <w:rPr>
          <w:color w:val="auto"/>
        </w:rPr>
        <w:t>.</w:t>
      </w:r>
    </w:p>
    <w:p w14:paraId="3CAD3A1D" w14:textId="780BE220" w:rsidR="00C75B8F" w:rsidRPr="005E07CA" w:rsidRDefault="000E1E60" w:rsidP="00F25240">
      <w:pPr>
        <w:spacing w:line="360" w:lineRule="auto"/>
        <w:rPr>
          <w:color w:val="auto"/>
        </w:rPr>
      </w:pPr>
      <w:r w:rsidRPr="005E07CA">
        <w:rPr>
          <w:color w:val="auto"/>
        </w:rPr>
        <w:t xml:space="preserve">Lattara was a </w:t>
      </w:r>
      <w:r w:rsidR="00472241" w:rsidRPr="005E07CA">
        <w:rPr>
          <w:color w:val="auto"/>
        </w:rPr>
        <w:t>substantial ‘oppidum’</w:t>
      </w:r>
      <w:r w:rsidR="00783BEE" w:rsidRPr="005E07CA">
        <w:rPr>
          <w:color w:val="auto"/>
        </w:rPr>
        <w:t xml:space="preserve"> founded in the</w:t>
      </w:r>
      <w:r w:rsidR="00A67501" w:rsidRPr="005E07CA">
        <w:rPr>
          <w:color w:val="auto"/>
        </w:rPr>
        <w:t xml:space="preserve"> late</w:t>
      </w:r>
      <w:r w:rsidR="00783BEE" w:rsidRPr="005E07CA">
        <w:rPr>
          <w:color w:val="auto"/>
        </w:rPr>
        <w:t xml:space="preserve"> </w:t>
      </w:r>
      <w:r w:rsidR="00A67501" w:rsidRPr="005E07CA">
        <w:rPr>
          <w:color w:val="auto"/>
        </w:rPr>
        <w:t>6</w:t>
      </w:r>
      <w:r w:rsidR="00783BEE" w:rsidRPr="005E07CA">
        <w:rPr>
          <w:color w:val="auto"/>
          <w:vertAlign w:val="superscript"/>
        </w:rPr>
        <w:t>th</w:t>
      </w:r>
      <w:r w:rsidR="00783BEE" w:rsidRPr="005E07CA">
        <w:rPr>
          <w:color w:val="auto"/>
        </w:rPr>
        <w:t xml:space="preserve"> </w:t>
      </w:r>
      <w:r w:rsidR="00A67501" w:rsidRPr="005E07CA">
        <w:rPr>
          <w:color w:val="auto"/>
        </w:rPr>
        <w:t>to early 5</w:t>
      </w:r>
      <w:r w:rsidR="00A67501" w:rsidRPr="005E07CA">
        <w:rPr>
          <w:color w:val="auto"/>
          <w:vertAlign w:val="superscript"/>
        </w:rPr>
        <w:t>th</w:t>
      </w:r>
      <w:r w:rsidR="00A67501" w:rsidRPr="005E07CA">
        <w:rPr>
          <w:color w:val="auto"/>
        </w:rPr>
        <w:t xml:space="preserve"> </w:t>
      </w:r>
      <w:r w:rsidR="00783BEE" w:rsidRPr="005E07CA">
        <w:rPr>
          <w:color w:val="auto"/>
        </w:rPr>
        <w:t xml:space="preserve">century BC (Alonso &amp; </w:t>
      </w:r>
      <w:proofErr w:type="spellStart"/>
      <w:r w:rsidR="00783BEE" w:rsidRPr="005E07CA">
        <w:rPr>
          <w:color w:val="auto"/>
        </w:rPr>
        <w:t>Rovira</w:t>
      </w:r>
      <w:proofErr w:type="spellEnd"/>
      <w:r w:rsidR="00E56FE3" w:rsidRPr="005E07CA">
        <w:rPr>
          <w:color w:val="auto"/>
        </w:rPr>
        <w:t xml:space="preserve"> 2016</w:t>
      </w:r>
      <w:r w:rsidR="005F3771" w:rsidRPr="005E07CA">
        <w:rPr>
          <w:color w:val="auto"/>
        </w:rPr>
        <w:t>,</w:t>
      </w:r>
      <w:r w:rsidR="00783BEE" w:rsidRPr="005E07CA">
        <w:rPr>
          <w:color w:val="auto"/>
        </w:rPr>
        <w:t xml:space="preserve"> pp.323),</w:t>
      </w:r>
      <w:r w:rsidRPr="005E07CA">
        <w:rPr>
          <w:color w:val="auto"/>
        </w:rPr>
        <w:t xml:space="preserve"> with a population of over four thousand by 400BC</w:t>
      </w:r>
      <w:r w:rsidR="00024C1D" w:rsidRPr="005E07CA">
        <w:rPr>
          <w:color w:val="auto"/>
        </w:rPr>
        <w:t>; it</w:t>
      </w:r>
      <w:r w:rsidRPr="005E07CA">
        <w:rPr>
          <w:color w:val="auto"/>
        </w:rPr>
        <w:t xml:space="preserve"> continued to thrive until it was abandoned six hundred years later (</w:t>
      </w:r>
      <w:proofErr w:type="spellStart"/>
      <w:r w:rsidRPr="005E07CA">
        <w:rPr>
          <w:color w:val="auto"/>
        </w:rPr>
        <w:t>Py</w:t>
      </w:r>
      <w:proofErr w:type="spellEnd"/>
      <w:r w:rsidRPr="005E07CA">
        <w:rPr>
          <w:color w:val="auto"/>
        </w:rPr>
        <w:t xml:space="preserve"> and Garcia 1993). </w:t>
      </w:r>
      <w:r w:rsidR="00472241" w:rsidRPr="005E07CA">
        <w:rPr>
          <w:color w:val="auto"/>
        </w:rPr>
        <w:t>It</w:t>
      </w:r>
      <w:r w:rsidR="00677924" w:rsidRPr="005E07CA">
        <w:rPr>
          <w:color w:val="auto"/>
        </w:rPr>
        <w:t xml:space="preserve"> is</w:t>
      </w:r>
      <w:r w:rsidR="00472241" w:rsidRPr="005E07CA">
        <w:rPr>
          <w:color w:val="auto"/>
        </w:rPr>
        <w:t xml:space="preserve"> well</w:t>
      </w:r>
      <w:r w:rsidR="00677924" w:rsidRPr="005E07CA">
        <w:rPr>
          <w:color w:val="auto"/>
        </w:rPr>
        <w:t xml:space="preserve"> known to have been a Celtic-language speaking settlement (Luley 2014</w:t>
      </w:r>
      <w:r w:rsidR="005F3771" w:rsidRPr="005E07CA">
        <w:rPr>
          <w:color w:val="auto"/>
        </w:rPr>
        <w:t>,</w:t>
      </w:r>
      <w:r w:rsidR="00677924" w:rsidRPr="005E07CA">
        <w:rPr>
          <w:color w:val="auto"/>
        </w:rPr>
        <w:t xml:space="preserve"> pp.36). </w:t>
      </w:r>
      <w:r w:rsidR="00826B76" w:rsidRPr="005E07CA">
        <w:rPr>
          <w:color w:val="auto"/>
        </w:rPr>
        <w:t xml:space="preserve">Due to the large amount outside influence and interaction, primarily from Massalia before the Roman conquest in 121 BC, there seems to have been </w:t>
      </w:r>
      <w:r w:rsidR="00826B76" w:rsidRPr="005E07CA">
        <w:rPr>
          <w:color w:val="auto"/>
        </w:rPr>
        <w:lastRenderedPageBreak/>
        <w:t xml:space="preserve">a large amount of </w:t>
      </w:r>
      <w:proofErr w:type="spellStart"/>
      <w:r w:rsidR="00826B76" w:rsidRPr="005E07CA">
        <w:rPr>
          <w:color w:val="auto"/>
        </w:rPr>
        <w:t>hybridisation</w:t>
      </w:r>
      <w:proofErr w:type="spellEnd"/>
      <w:r w:rsidR="00826B76" w:rsidRPr="005E07CA">
        <w:rPr>
          <w:color w:val="auto"/>
        </w:rPr>
        <w:t xml:space="preserve"> in </w:t>
      </w:r>
      <w:r w:rsidR="00472241" w:rsidRPr="005E07CA">
        <w:rPr>
          <w:color w:val="auto"/>
        </w:rPr>
        <w:t>the oppidum</w:t>
      </w:r>
      <w:r w:rsidR="00826B76" w:rsidRPr="005E07CA">
        <w:rPr>
          <w:color w:val="auto"/>
        </w:rPr>
        <w:t xml:space="preserve"> (</w:t>
      </w:r>
      <w:proofErr w:type="spellStart"/>
      <w:r w:rsidR="00826B76" w:rsidRPr="005E07CA">
        <w:rPr>
          <w:color w:val="auto"/>
        </w:rPr>
        <w:t>Gailledrat</w:t>
      </w:r>
      <w:proofErr w:type="spellEnd"/>
      <w:r w:rsidR="00826B76" w:rsidRPr="005E07CA">
        <w:rPr>
          <w:color w:val="auto"/>
        </w:rPr>
        <w:t xml:space="preserve"> 2015</w:t>
      </w:r>
      <w:r w:rsidR="005F3771" w:rsidRPr="005E07CA">
        <w:rPr>
          <w:color w:val="auto"/>
        </w:rPr>
        <w:t>,</w:t>
      </w:r>
      <w:r w:rsidR="00826B76" w:rsidRPr="005E07CA">
        <w:rPr>
          <w:color w:val="auto"/>
        </w:rPr>
        <w:t xml:space="preserve"> pp.25). </w:t>
      </w:r>
      <w:r w:rsidR="00501147" w:rsidRPr="005E07CA">
        <w:rPr>
          <w:color w:val="auto"/>
        </w:rPr>
        <w:t>In the 2</w:t>
      </w:r>
      <w:r w:rsidR="00501147" w:rsidRPr="005E07CA">
        <w:rPr>
          <w:color w:val="auto"/>
          <w:vertAlign w:val="superscript"/>
        </w:rPr>
        <w:t>nd</w:t>
      </w:r>
      <w:r w:rsidR="00501147" w:rsidRPr="005E07CA">
        <w:rPr>
          <w:color w:val="auto"/>
        </w:rPr>
        <w:t xml:space="preserve"> century BC Lattara came under Roman rule, and local producti</w:t>
      </w:r>
      <w:r w:rsidR="00826B76" w:rsidRPr="005E07CA">
        <w:rPr>
          <w:color w:val="auto"/>
        </w:rPr>
        <w:t xml:space="preserve">on of food as well as increased trade with their </w:t>
      </w:r>
      <w:proofErr w:type="spellStart"/>
      <w:r w:rsidR="00826B76" w:rsidRPr="005E07CA">
        <w:rPr>
          <w:color w:val="auto"/>
        </w:rPr>
        <w:t>neighbours</w:t>
      </w:r>
      <w:proofErr w:type="spellEnd"/>
      <w:r w:rsidR="002A6C9D" w:rsidRPr="005E07CA">
        <w:rPr>
          <w:color w:val="auto"/>
        </w:rPr>
        <w:t xml:space="preserve"> (Luley &amp; Piques 2016</w:t>
      </w:r>
      <w:r w:rsidR="005F3771" w:rsidRPr="005E07CA">
        <w:rPr>
          <w:color w:val="auto"/>
        </w:rPr>
        <w:t>,</w:t>
      </w:r>
      <w:r w:rsidR="002A6C9D" w:rsidRPr="005E07CA">
        <w:rPr>
          <w:color w:val="auto"/>
        </w:rPr>
        <w:t xml:space="preserve"> pp.129)</w:t>
      </w:r>
      <w:r w:rsidR="00501147" w:rsidRPr="005E07CA">
        <w:rPr>
          <w:color w:val="auto"/>
        </w:rPr>
        <w:t xml:space="preserve">.  </w:t>
      </w:r>
      <w:r w:rsidR="007871D3" w:rsidRPr="005E07CA">
        <w:rPr>
          <w:color w:val="auto"/>
        </w:rPr>
        <w:t xml:space="preserve">However, despite the increase in trade, there does not seem to be a rigid societal hierarchy in Lattara as there is in most of Gaul, Rome and Greece in the periods from the </w:t>
      </w:r>
      <w:r w:rsidR="004F63CC" w:rsidRPr="005E07CA">
        <w:rPr>
          <w:color w:val="auto"/>
        </w:rPr>
        <w:t>3</w:t>
      </w:r>
      <w:r w:rsidR="004F63CC" w:rsidRPr="005E07CA">
        <w:rPr>
          <w:color w:val="auto"/>
          <w:vertAlign w:val="superscript"/>
        </w:rPr>
        <w:t>rd</w:t>
      </w:r>
      <w:r w:rsidR="004F63CC" w:rsidRPr="005E07CA">
        <w:rPr>
          <w:color w:val="auto"/>
        </w:rPr>
        <w:t xml:space="preserve"> to</w:t>
      </w:r>
      <w:r w:rsidR="007871D3" w:rsidRPr="005E07CA">
        <w:rPr>
          <w:color w:val="auto"/>
        </w:rPr>
        <w:t xml:space="preserve"> 1</w:t>
      </w:r>
      <w:r w:rsidR="007871D3" w:rsidRPr="005E07CA">
        <w:rPr>
          <w:color w:val="auto"/>
          <w:vertAlign w:val="superscript"/>
        </w:rPr>
        <w:t>st</w:t>
      </w:r>
      <w:r w:rsidR="007871D3" w:rsidRPr="005E07CA">
        <w:rPr>
          <w:color w:val="auto"/>
        </w:rPr>
        <w:t xml:space="preserve"> century BC (</w:t>
      </w:r>
      <w:proofErr w:type="spellStart"/>
      <w:r w:rsidR="007871D3" w:rsidRPr="005E07CA">
        <w:rPr>
          <w:color w:val="auto"/>
        </w:rPr>
        <w:t>Py</w:t>
      </w:r>
      <w:proofErr w:type="spellEnd"/>
      <w:r w:rsidR="007871D3" w:rsidRPr="005E07CA">
        <w:rPr>
          <w:color w:val="auto"/>
        </w:rPr>
        <w:t xml:space="preserve"> 2009</w:t>
      </w:r>
      <w:r w:rsidR="005F3771" w:rsidRPr="005E07CA">
        <w:rPr>
          <w:color w:val="auto"/>
        </w:rPr>
        <w:t>,</w:t>
      </w:r>
      <w:r w:rsidR="007871D3" w:rsidRPr="005E07CA">
        <w:rPr>
          <w:color w:val="auto"/>
        </w:rPr>
        <w:t xml:space="preserve"> pp.333).</w:t>
      </w:r>
      <w:r w:rsidR="00F92902" w:rsidRPr="005E07CA">
        <w:rPr>
          <w:color w:val="auto"/>
        </w:rPr>
        <w:t xml:space="preserve"> </w:t>
      </w:r>
      <w:r w:rsidR="00B853A3" w:rsidRPr="005E07CA">
        <w:rPr>
          <w:color w:val="auto"/>
        </w:rPr>
        <w:t xml:space="preserve"> </w:t>
      </w:r>
      <w:r w:rsidR="00545240" w:rsidRPr="005E07CA">
        <w:rPr>
          <w:color w:val="auto"/>
        </w:rPr>
        <w:t xml:space="preserve">This can be seen by the structure of the oppida itself as </w:t>
      </w:r>
      <w:r w:rsidR="00DC63BB" w:rsidRPr="005E07CA">
        <w:rPr>
          <w:noProof/>
          <w:color w:val="auto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3B7CF5A2" wp14:editId="4BDC830E">
            <wp:simplePos x="0" y="0"/>
            <wp:positionH relativeFrom="column">
              <wp:posOffset>-57150</wp:posOffset>
            </wp:positionH>
            <wp:positionV relativeFrom="paragraph">
              <wp:posOffset>1438275</wp:posOffset>
            </wp:positionV>
            <wp:extent cx="3629025" cy="3276600"/>
            <wp:effectExtent l="0" t="0" r="9525" b="0"/>
            <wp:wrapSquare wrapText="bothSides"/>
            <wp:docPr id="2" name="Picture 2" descr="Fig.Â 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.Â 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50" b="27940"/>
                    <a:stretch/>
                  </pic:blipFill>
                  <pic:spPr bwMode="auto">
                    <a:xfrm>
                      <a:off x="0" y="0"/>
                      <a:ext cx="36290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45240" w:rsidRPr="005E07CA">
        <w:rPr>
          <w:color w:val="auto"/>
        </w:rPr>
        <w:t xml:space="preserve">well as the fact that there has been no evidence found so far which shows differentiation in the habits of consumers </w:t>
      </w:r>
      <w:r w:rsidR="00472241" w:rsidRPr="005E07CA">
        <w:rPr>
          <w:color w:val="auto"/>
        </w:rPr>
        <w:t>in regard to</w:t>
      </w:r>
      <w:r w:rsidR="00545240" w:rsidRPr="005E07CA">
        <w:rPr>
          <w:color w:val="auto"/>
        </w:rPr>
        <w:t xml:space="preserve"> food and other expendables (Luley 2014</w:t>
      </w:r>
      <w:r w:rsidR="005F3771" w:rsidRPr="005E07CA">
        <w:rPr>
          <w:color w:val="auto"/>
        </w:rPr>
        <w:t>,</w:t>
      </w:r>
      <w:r w:rsidR="00545240" w:rsidRPr="005E07CA">
        <w:rPr>
          <w:color w:val="auto"/>
        </w:rPr>
        <w:t xml:space="preserve"> pp.46). The reason for this</w:t>
      </w:r>
      <w:r w:rsidR="00B853A3" w:rsidRPr="005E07CA">
        <w:rPr>
          <w:color w:val="auto"/>
        </w:rPr>
        <w:t xml:space="preserve"> may be due to the specialisation of trade between sectors throughout the settlement (Luley &amp; Piques 2016</w:t>
      </w:r>
      <w:r w:rsidR="005F3771" w:rsidRPr="005E07CA">
        <w:rPr>
          <w:color w:val="auto"/>
        </w:rPr>
        <w:t>,</w:t>
      </w:r>
      <w:r w:rsidR="00B853A3" w:rsidRPr="005E07CA">
        <w:rPr>
          <w:color w:val="auto"/>
        </w:rPr>
        <w:t xml:space="preserve"> pp.135), perhaps making the individuals who lived and worked alongside each other differentiate</w:t>
      </w:r>
      <w:r w:rsidR="00F11370" w:rsidRPr="005E07CA">
        <w:rPr>
          <w:color w:val="auto"/>
        </w:rPr>
        <w:t xml:space="preserve"> status</w:t>
      </w:r>
      <w:r w:rsidR="00B853A3" w:rsidRPr="005E07CA">
        <w:rPr>
          <w:color w:val="auto"/>
        </w:rPr>
        <w:t xml:space="preserve"> through t</w:t>
      </w:r>
      <w:r w:rsidR="00826B76" w:rsidRPr="005E07CA">
        <w:rPr>
          <w:color w:val="auto"/>
        </w:rPr>
        <w:t>rade instead of by wealth alone, as well as the mix between different peoples and travelers to the area (</w:t>
      </w:r>
      <w:proofErr w:type="spellStart"/>
      <w:r w:rsidR="00826B76" w:rsidRPr="005E07CA">
        <w:rPr>
          <w:color w:val="auto"/>
        </w:rPr>
        <w:t>Gailledrat</w:t>
      </w:r>
      <w:proofErr w:type="spellEnd"/>
      <w:r w:rsidR="00826B76" w:rsidRPr="005E07CA">
        <w:rPr>
          <w:color w:val="auto"/>
        </w:rPr>
        <w:t xml:space="preserve"> 2015).</w:t>
      </w:r>
      <w:r w:rsidR="007B7A1D" w:rsidRPr="005E07CA">
        <w:rPr>
          <w:color w:val="auto"/>
        </w:rPr>
        <w:t xml:space="preserve"> </w:t>
      </w:r>
      <w:r w:rsidR="00194E39" w:rsidRPr="005E07CA">
        <w:rPr>
          <w:color w:val="auto"/>
        </w:rPr>
        <w:t xml:space="preserve">The presence of a sector dedicated solely to the </w:t>
      </w:r>
      <w:r w:rsidR="00DC63BB" w:rsidRPr="005E07CA">
        <w:rPr>
          <w:noProof/>
          <w:color w:val="auto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299B4E" wp14:editId="538D5783">
                <wp:simplePos x="0" y="0"/>
                <wp:positionH relativeFrom="margin">
                  <wp:align>left</wp:align>
                </wp:positionH>
                <wp:positionV relativeFrom="paragraph">
                  <wp:posOffset>4733925</wp:posOffset>
                </wp:positionV>
                <wp:extent cx="3571875" cy="485775"/>
                <wp:effectExtent l="0" t="0" r="9525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BF691" w14:textId="78F0AF18" w:rsidR="00C75B8F" w:rsidRPr="00C75B8F" w:rsidRDefault="00C75B8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5B8F">
                              <w:rPr>
                                <w:sz w:val="18"/>
                                <w:szCs w:val="18"/>
                              </w:rPr>
                              <w:t>Fig 2.</w:t>
                            </w:r>
                          </w:p>
                          <w:p w14:paraId="447A1285" w14:textId="0EB47682" w:rsidR="00C75B8F" w:rsidRPr="00C75B8F" w:rsidRDefault="00C75B8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75B8F">
                              <w:rPr>
                                <w:sz w:val="18"/>
                                <w:szCs w:val="18"/>
                              </w:rPr>
                              <w:t>Etruscan Quarter in Lattara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99B4E" id="_x0000_s1027" type="#_x0000_t202" style="position:absolute;margin-left:0;margin-top:372.75pt;width:281.25pt;height:38.2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" stroked="f">
                <v:textbox>
                  <w:txbxContent>
                    <w:p w14:paraId="66DBF691" w14:textId="78F0AF18" w:rsidR="00C75B8F" w:rsidRPr="00C75B8F" w:rsidRDefault="00C75B8F">
                      <w:pPr>
                        <w:rPr>
                          <w:sz w:val="18"/>
                          <w:szCs w:val="18"/>
                        </w:rPr>
                      </w:pPr>
                      <w:r w:rsidRPr="00C75B8F">
                        <w:rPr>
                          <w:sz w:val="18"/>
                          <w:szCs w:val="18"/>
                        </w:rPr>
                        <w:t>Fig 2.</w:t>
                      </w:r>
                    </w:p>
                    <w:p w14:paraId="447A1285" w14:textId="0EB47682" w:rsidR="00C75B8F" w:rsidRPr="00C75B8F" w:rsidRDefault="00C75B8F">
                      <w:pPr>
                        <w:rPr>
                          <w:sz w:val="18"/>
                          <w:szCs w:val="18"/>
                        </w:rPr>
                      </w:pPr>
                      <w:r w:rsidRPr="00C75B8F">
                        <w:rPr>
                          <w:sz w:val="18"/>
                          <w:szCs w:val="18"/>
                        </w:rPr>
                        <w:t>Etruscan Quarter in Lattara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4E39" w:rsidRPr="005E07CA">
        <w:rPr>
          <w:color w:val="auto"/>
        </w:rPr>
        <w:t xml:space="preserve">Etruscan population </w:t>
      </w:r>
      <w:r w:rsidR="00E56FE3" w:rsidRPr="005E07CA">
        <w:rPr>
          <w:color w:val="auto"/>
        </w:rPr>
        <w:t>created in early</w:t>
      </w:r>
      <w:r w:rsidR="00194E39" w:rsidRPr="005E07CA">
        <w:rPr>
          <w:color w:val="auto"/>
        </w:rPr>
        <w:t xml:space="preserve"> 5</w:t>
      </w:r>
      <w:r w:rsidR="00194E39" w:rsidRPr="005E07CA">
        <w:rPr>
          <w:color w:val="auto"/>
          <w:vertAlign w:val="superscript"/>
        </w:rPr>
        <w:t>th</w:t>
      </w:r>
      <w:r w:rsidR="00194E39" w:rsidRPr="005E07CA">
        <w:rPr>
          <w:color w:val="auto"/>
        </w:rPr>
        <w:t xml:space="preserve"> century</w:t>
      </w:r>
      <w:r w:rsidR="00E56FE3" w:rsidRPr="005E07CA">
        <w:rPr>
          <w:color w:val="auto"/>
        </w:rPr>
        <w:t xml:space="preserve"> BC is an example of this</w:t>
      </w:r>
      <w:r w:rsidR="00466EF7" w:rsidRPr="005E07CA">
        <w:rPr>
          <w:color w:val="auto"/>
        </w:rPr>
        <w:t xml:space="preserve"> coming together of peoples. However,</w:t>
      </w:r>
      <w:r w:rsidR="00E56FE3" w:rsidRPr="005E07CA">
        <w:rPr>
          <w:color w:val="auto"/>
        </w:rPr>
        <w:t xml:space="preserve"> it was damaged by a (probably deliberate) fire aroun</w:t>
      </w:r>
      <w:r w:rsidR="001E627E" w:rsidRPr="005E07CA">
        <w:rPr>
          <w:color w:val="auto"/>
        </w:rPr>
        <w:t>d</w:t>
      </w:r>
      <w:r w:rsidR="00E56FE3" w:rsidRPr="005E07CA">
        <w:rPr>
          <w:color w:val="auto"/>
        </w:rPr>
        <w:t xml:space="preserve"> 475 BC (Alonso &amp; Rivera 2016</w:t>
      </w:r>
      <w:r w:rsidR="005F3771" w:rsidRPr="005E07CA">
        <w:rPr>
          <w:color w:val="auto"/>
        </w:rPr>
        <w:t>,</w:t>
      </w:r>
      <w:r w:rsidR="00E56FE3" w:rsidRPr="005E07CA">
        <w:rPr>
          <w:color w:val="auto"/>
        </w:rPr>
        <w:t xml:space="preserve"> pp.234)</w:t>
      </w:r>
      <w:r w:rsidR="001E627E" w:rsidRPr="005E07CA">
        <w:rPr>
          <w:color w:val="auto"/>
        </w:rPr>
        <w:t xml:space="preserve">, indicating that the conglomeration of people may not have been entirely successful during the beginning </w:t>
      </w:r>
      <w:r w:rsidR="00D65CD9" w:rsidRPr="005E07CA">
        <w:rPr>
          <w:color w:val="auto"/>
        </w:rPr>
        <w:t xml:space="preserve">stages </w:t>
      </w:r>
      <w:r w:rsidR="001E627E" w:rsidRPr="005E07CA">
        <w:rPr>
          <w:color w:val="auto"/>
        </w:rPr>
        <w:t>of the settlement</w:t>
      </w:r>
      <w:r w:rsidR="00E56FE3" w:rsidRPr="005E07CA">
        <w:rPr>
          <w:color w:val="auto"/>
        </w:rPr>
        <w:t>.</w:t>
      </w:r>
      <w:r w:rsidR="00C222AB" w:rsidRPr="005E07CA">
        <w:rPr>
          <w:color w:val="auto"/>
        </w:rPr>
        <w:t xml:space="preserve"> In </w:t>
      </w:r>
      <w:r w:rsidR="001A5EC4" w:rsidRPr="005E07CA">
        <w:rPr>
          <w:color w:val="auto"/>
        </w:rPr>
        <w:t>the oppida</w:t>
      </w:r>
      <w:r w:rsidR="00C222AB" w:rsidRPr="005E07CA">
        <w:rPr>
          <w:color w:val="auto"/>
        </w:rPr>
        <w:t>, a large amount of monetary exchange seems to have taken place for many items, but especially for wine and, consequentially, amphorae; this can be seen through the extremely high number of sherds found within the oppidum (</w:t>
      </w:r>
      <w:proofErr w:type="spellStart"/>
      <w:r w:rsidR="00C222AB" w:rsidRPr="005E07CA">
        <w:rPr>
          <w:color w:val="auto"/>
        </w:rPr>
        <w:t>Py</w:t>
      </w:r>
      <w:proofErr w:type="spellEnd"/>
      <w:r w:rsidR="00C222AB" w:rsidRPr="005E07CA">
        <w:rPr>
          <w:color w:val="auto"/>
        </w:rPr>
        <w:t xml:space="preserve"> 2006</w:t>
      </w:r>
      <w:r w:rsidR="005F3771" w:rsidRPr="005E07CA">
        <w:rPr>
          <w:color w:val="auto"/>
        </w:rPr>
        <w:t>,</w:t>
      </w:r>
      <w:r w:rsidR="00C222AB" w:rsidRPr="005E07CA">
        <w:rPr>
          <w:color w:val="auto"/>
        </w:rPr>
        <w:t xml:space="preserve"> pp.1157).</w:t>
      </w:r>
      <w:r w:rsidR="00C51965" w:rsidRPr="005E07CA">
        <w:rPr>
          <w:color w:val="auto"/>
        </w:rPr>
        <w:t xml:space="preserve"> During the beginning of the second century BC, most of the amphorae being imported to Lattara originated from Massalia and Greece, but after Sexton </w:t>
      </w:r>
      <w:proofErr w:type="spellStart"/>
      <w:r w:rsidR="00C51965" w:rsidRPr="005E07CA">
        <w:rPr>
          <w:color w:val="auto"/>
        </w:rPr>
        <w:t>Calvinus</w:t>
      </w:r>
      <w:proofErr w:type="spellEnd"/>
      <w:r w:rsidR="00C51965" w:rsidRPr="005E07CA">
        <w:rPr>
          <w:color w:val="auto"/>
        </w:rPr>
        <w:t xml:space="preserve"> created two new large settlements around 124 BC nearby, sherds from Massalia are found less often and are replaced with amphorae from Italic areas (Luley 2008, pp.188). </w:t>
      </w:r>
      <w:r w:rsidR="00F1564E" w:rsidRPr="005E07CA">
        <w:rPr>
          <w:color w:val="auto"/>
        </w:rPr>
        <w:t>This shows us a continuous link of trade and imports with Rome and Greek Massalia during the 3</w:t>
      </w:r>
      <w:r w:rsidR="00F1564E" w:rsidRPr="005E07CA">
        <w:rPr>
          <w:color w:val="auto"/>
          <w:vertAlign w:val="superscript"/>
        </w:rPr>
        <w:t>rd</w:t>
      </w:r>
      <w:r w:rsidR="00F1564E" w:rsidRPr="005E07CA">
        <w:rPr>
          <w:color w:val="auto"/>
        </w:rPr>
        <w:t>-1</w:t>
      </w:r>
      <w:r w:rsidR="00F1564E" w:rsidRPr="005E07CA">
        <w:rPr>
          <w:color w:val="auto"/>
          <w:vertAlign w:val="superscript"/>
        </w:rPr>
        <w:t>st</w:t>
      </w:r>
      <w:r w:rsidR="00F1564E" w:rsidRPr="005E07CA">
        <w:rPr>
          <w:color w:val="auto"/>
        </w:rPr>
        <w:t xml:space="preserve"> century BC.</w:t>
      </w:r>
      <w:r w:rsidR="009A68C0" w:rsidRPr="005E07CA">
        <w:rPr>
          <w:color w:val="auto"/>
        </w:rPr>
        <w:t xml:space="preserve"> Trade can also be seen coming from further afield due to the presence of date seeds within the ‘oppida’ </w:t>
      </w:r>
      <w:r w:rsidR="00FE3A0D" w:rsidRPr="005E07CA">
        <w:rPr>
          <w:color w:val="auto"/>
        </w:rPr>
        <w:t xml:space="preserve">which most likely originated from </w:t>
      </w:r>
      <w:proofErr w:type="spellStart"/>
      <w:r w:rsidR="00FE3A0D" w:rsidRPr="005E07CA">
        <w:rPr>
          <w:color w:val="auto"/>
        </w:rPr>
        <w:t>Jordaea</w:t>
      </w:r>
      <w:proofErr w:type="spellEnd"/>
      <w:r w:rsidR="00FE3A0D" w:rsidRPr="005E07CA">
        <w:rPr>
          <w:color w:val="auto"/>
        </w:rPr>
        <w:t>; although these have been dated from the 4</w:t>
      </w:r>
      <w:r w:rsidR="00FE3A0D" w:rsidRPr="005E07CA">
        <w:rPr>
          <w:color w:val="auto"/>
          <w:vertAlign w:val="superscript"/>
        </w:rPr>
        <w:t>th</w:t>
      </w:r>
      <w:r w:rsidR="00FE3A0D" w:rsidRPr="005E07CA">
        <w:rPr>
          <w:color w:val="auto"/>
        </w:rPr>
        <w:t xml:space="preserve"> century BC and therefore cannot be delved into deeper in this essay (Rivera 2018 pp.12). </w:t>
      </w:r>
    </w:p>
    <w:p w14:paraId="7222BC82" w14:textId="77777777" w:rsidR="00F25240" w:rsidRPr="005E07CA" w:rsidRDefault="00F25240" w:rsidP="00F25240">
      <w:pPr>
        <w:spacing w:line="360" w:lineRule="auto"/>
        <w:rPr>
          <w:color w:val="auto"/>
        </w:rPr>
      </w:pPr>
    </w:p>
    <w:p w14:paraId="3B48E0FF" w14:textId="2201BE2B" w:rsidR="00FB1FB8" w:rsidRPr="005E07CA" w:rsidRDefault="00CF6F44" w:rsidP="00F25240">
      <w:pPr>
        <w:spacing w:line="360" w:lineRule="auto"/>
        <w:rPr>
          <w:color w:val="auto"/>
        </w:rPr>
      </w:pPr>
      <w:r w:rsidRPr="005E07CA">
        <w:rPr>
          <w:color w:val="auto"/>
        </w:rPr>
        <w:lastRenderedPageBreak/>
        <w:t>C</w:t>
      </w:r>
      <w:r w:rsidR="00323D2C" w:rsidRPr="005E07CA">
        <w:rPr>
          <w:color w:val="auto"/>
        </w:rPr>
        <w:t>oin</w:t>
      </w:r>
      <w:r w:rsidR="00476836" w:rsidRPr="005E07CA">
        <w:rPr>
          <w:color w:val="auto"/>
        </w:rPr>
        <w:t>age</w:t>
      </w:r>
      <w:r w:rsidRPr="005E07CA">
        <w:rPr>
          <w:color w:val="auto"/>
        </w:rPr>
        <w:t xml:space="preserve"> w</w:t>
      </w:r>
      <w:r w:rsidR="00476836" w:rsidRPr="005E07CA">
        <w:rPr>
          <w:color w:val="auto"/>
        </w:rPr>
        <w:t>as</w:t>
      </w:r>
      <w:r w:rsidRPr="005E07CA">
        <w:rPr>
          <w:color w:val="auto"/>
        </w:rPr>
        <w:t xml:space="preserve"> used by the Greeks</w:t>
      </w:r>
      <w:r w:rsidR="00323D2C" w:rsidRPr="005E07CA">
        <w:rPr>
          <w:color w:val="auto"/>
        </w:rPr>
        <w:t xml:space="preserve"> from </w:t>
      </w:r>
      <w:r w:rsidRPr="005E07CA">
        <w:rPr>
          <w:color w:val="auto"/>
        </w:rPr>
        <w:t>around 550</w:t>
      </w:r>
      <w:r w:rsidR="00323D2C" w:rsidRPr="005E07CA">
        <w:rPr>
          <w:color w:val="auto"/>
        </w:rPr>
        <w:t>BC onward</w:t>
      </w:r>
      <w:r w:rsidRPr="005E07CA">
        <w:rPr>
          <w:color w:val="auto"/>
        </w:rPr>
        <w:t>s</w:t>
      </w:r>
      <w:r w:rsidR="00A568C0" w:rsidRPr="005E07CA">
        <w:rPr>
          <w:color w:val="auto"/>
        </w:rPr>
        <w:t xml:space="preserve"> and had origins from further East</w:t>
      </w:r>
      <w:r w:rsidR="00BC1A24" w:rsidRPr="005E07CA">
        <w:rPr>
          <w:color w:val="auto"/>
        </w:rPr>
        <w:t xml:space="preserve"> in Asia Minor (Grierson 1975</w:t>
      </w:r>
      <w:r w:rsidR="005F3771" w:rsidRPr="005E07CA">
        <w:rPr>
          <w:color w:val="auto"/>
        </w:rPr>
        <w:t>,</w:t>
      </w:r>
      <w:r w:rsidR="00BC1A24" w:rsidRPr="005E07CA">
        <w:rPr>
          <w:color w:val="auto"/>
        </w:rPr>
        <w:t xml:space="preserve"> pp.11). However, coins in Ancient Greece w</w:t>
      </w:r>
      <w:r w:rsidR="00A568C0" w:rsidRPr="005E07CA">
        <w:rPr>
          <w:color w:val="auto"/>
        </w:rPr>
        <w:t>ere</w:t>
      </w:r>
      <w:r w:rsidR="00BC1A24" w:rsidRPr="005E07CA">
        <w:rPr>
          <w:color w:val="auto"/>
        </w:rPr>
        <w:t xml:space="preserve"> not</w:t>
      </w:r>
      <w:r w:rsidR="00A568C0" w:rsidRPr="005E07CA">
        <w:rPr>
          <w:color w:val="auto"/>
        </w:rPr>
        <w:t xml:space="preserve"> used </w:t>
      </w:r>
      <w:r w:rsidR="00740DF6" w:rsidRPr="005E07CA">
        <w:rPr>
          <w:color w:val="auto"/>
        </w:rPr>
        <w:t>habitually</w:t>
      </w:r>
      <w:r w:rsidR="00A568C0" w:rsidRPr="005E07CA">
        <w:rPr>
          <w:color w:val="auto"/>
        </w:rPr>
        <w:t>, but</w:t>
      </w:r>
      <w:r w:rsidR="00BC1A24" w:rsidRPr="005E07CA">
        <w:rPr>
          <w:color w:val="auto"/>
        </w:rPr>
        <w:t xml:space="preserve"> usually</w:t>
      </w:r>
      <w:r w:rsidR="00A568C0" w:rsidRPr="005E07CA">
        <w:rPr>
          <w:color w:val="auto"/>
        </w:rPr>
        <w:t xml:space="preserve"> </w:t>
      </w:r>
      <w:r w:rsidR="00476836" w:rsidRPr="005E07CA">
        <w:rPr>
          <w:color w:val="auto"/>
        </w:rPr>
        <w:t>only in</w:t>
      </w:r>
      <w:r w:rsidR="00A568C0" w:rsidRPr="005E07CA">
        <w:rPr>
          <w:color w:val="auto"/>
        </w:rPr>
        <w:t xml:space="preserve"> social transactions </w:t>
      </w:r>
      <w:r w:rsidR="00476836" w:rsidRPr="005E07CA">
        <w:rPr>
          <w:color w:val="auto"/>
        </w:rPr>
        <w:t>occurring between individuals of status</w:t>
      </w:r>
      <w:r w:rsidR="00A568C0" w:rsidRPr="005E07CA">
        <w:rPr>
          <w:color w:val="auto"/>
        </w:rPr>
        <w:t xml:space="preserve"> </w:t>
      </w:r>
      <w:r w:rsidRPr="005E07CA">
        <w:rPr>
          <w:color w:val="auto"/>
        </w:rPr>
        <w:t>(</w:t>
      </w:r>
      <w:proofErr w:type="spellStart"/>
      <w:r w:rsidRPr="005E07CA">
        <w:rPr>
          <w:color w:val="auto"/>
        </w:rPr>
        <w:t>Kurke</w:t>
      </w:r>
      <w:proofErr w:type="spellEnd"/>
      <w:r w:rsidRPr="005E07CA">
        <w:rPr>
          <w:color w:val="auto"/>
        </w:rPr>
        <w:t xml:space="preserve"> 2002</w:t>
      </w:r>
      <w:r w:rsidR="005F3771" w:rsidRPr="005E07CA">
        <w:rPr>
          <w:color w:val="auto"/>
        </w:rPr>
        <w:t>,</w:t>
      </w:r>
      <w:r w:rsidRPr="005E07CA">
        <w:rPr>
          <w:color w:val="auto"/>
        </w:rPr>
        <w:t xml:space="preserve"> pp.92)</w:t>
      </w:r>
      <w:r w:rsidR="00A568C0" w:rsidRPr="005E07CA">
        <w:rPr>
          <w:color w:val="auto"/>
        </w:rPr>
        <w:t xml:space="preserve">. </w:t>
      </w:r>
      <w:r w:rsidRPr="005E07CA">
        <w:rPr>
          <w:color w:val="auto"/>
        </w:rPr>
        <w:t xml:space="preserve"> </w:t>
      </w:r>
      <w:r w:rsidR="00A568C0" w:rsidRPr="005E07CA">
        <w:rPr>
          <w:color w:val="auto"/>
        </w:rPr>
        <w:t xml:space="preserve">From around 200BC, coins were </w:t>
      </w:r>
      <w:r w:rsidRPr="005E07CA">
        <w:rPr>
          <w:color w:val="auto"/>
        </w:rPr>
        <w:t xml:space="preserve">used by the Romans </w:t>
      </w:r>
      <w:r w:rsidR="00F30FD1" w:rsidRPr="005E07CA">
        <w:rPr>
          <w:color w:val="auto"/>
        </w:rPr>
        <w:t>and eventually the empire became one based on monetary exchange</w:t>
      </w:r>
      <w:r w:rsidR="00A568C0" w:rsidRPr="005E07CA">
        <w:rPr>
          <w:color w:val="auto"/>
        </w:rPr>
        <w:t xml:space="preserve">. </w:t>
      </w:r>
      <w:r w:rsidR="00BC1A24" w:rsidRPr="005E07CA">
        <w:rPr>
          <w:color w:val="auto"/>
        </w:rPr>
        <w:t>T</w:t>
      </w:r>
      <w:r w:rsidR="00F30FD1" w:rsidRPr="005E07CA">
        <w:rPr>
          <w:color w:val="auto"/>
        </w:rPr>
        <w:t>his</w:t>
      </w:r>
      <w:r w:rsidR="00BC1A24" w:rsidRPr="005E07CA">
        <w:rPr>
          <w:color w:val="auto"/>
        </w:rPr>
        <w:t xml:space="preserve"> change</w:t>
      </w:r>
      <w:r w:rsidR="00F30FD1" w:rsidRPr="005E07CA">
        <w:rPr>
          <w:color w:val="auto"/>
        </w:rPr>
        <w:t xml:space="preserve"> was simply a </w:t>
      </w:r>
      <w:r w:rsidR="004D3AC5" w:rsidRPr="005E07CA">
        <w:rPr>
          <w:color w:val="auto"/>
        </w:rPr>
        <w:t xml:space="preserve">consequential </w:t>
      </w:r>
      <w:r w:rsidR="00F30FD1" w:rsidRPr="005E07CA">
        <w:rPr>
          <w:color w:val="auto"/>
        </w:rPr>
        <w:t>bi-product</w:t>
      </w:r>
      <w:r w:rsidR="00BC1A24" w:rsidRPr="005E07CA">
        <w:rPr>
          <w:color w:val="auto"/>
        </w:rPr>
        <w:t xml:space="preserve"> of its facility</w:t>
      </w:r>
      <w:r w:rsidR="004D3AC5" w:rsidRPr="005E07CA">
        <w:rPr>
          <w:color w:val="auto"/>
        </w:rPr>
        <w:t xml:space="preserve"> </w:t>
      </w:r>
      <w:r w:rsidR="00BC1A24" w:rsidRPr="005E07CA">
        <w:rPr>
          <w:color w:val="auto"/>
        </w:rPr>
        <w:t xml:space="preserve">for exchange purposes </w:t>
      </w:r>
      <w:r w:rsidR="004D3AC5" w:rsidRPr="005E07CA">
        <w:rPr>
          <w:color w:val="auto"/>
        </w:rPr>
        <w:t>and would have only been truly prominent in major settlements</w:t>
      </w:r>
      <w:r w:rsidR="00A568C0" w:rsidRPr="005E07CA">
        <w:rPr>
          <w:color w:val="auto"/>
        </w:rPr>
        <w:t>;</w:t>
      </w:r>
      <w:r w:rsidR="004D3AC5" w:rsidRPr="005E07CA">
        <w:rPr>
          <w:color w:val="auto"/>
        </w:rPr>
        <w:t xml:space="preserve"> in more rural areas more</w:t>
      </w:r>
      <w:r w:rsidR="00C46518" w:rsidRPr="005E07CA">
        <w:rPr>
          <w:color w:val="auto"/>
        </w:rPr>
        <w:t>,</w:t>
      </w:r>
      <w:r w:rsidR="004D3AC5" w:rsidRPr="005E07CA">
        <w:rPr>
          <w:color w:val="auto"/>
        </w:rPr>
        <w:t xml:space="preserve"> agricultural exchanges would have been more commonplace (</w:t>
      </w:r>
      <w:proofErr w:type="spellStart"/>
      <w:r w:rsidR="004D3AC5" w:rsidRPr="005E07CA">
        <w:rPr>
          <w:color w:val="auto"/>
        </w:rPr>
        <w:t>Aarts</w:t>
      </w:r>
      <w:proofErr w:type="spellEnd"/>
      <w:r w:rsidR="004D3AC5" w:rsidRPr="005E07CA">
        <w:rPr>
          <w:color w:val="auto"/>
        </w:rPr>
        <w:t xml:space="preserve"> 2005</w:t>
      </w:r>
      <w:r w:rsidR="005F3771" w:rsidRPr="005E07CA">
        <w:rPr>
          <w:color w:val="auto"/>
        </w:rPr>
        <w:t>,</w:t>
      </w:r>
      <w:r w:rsidR="004D3AC5" w:rsidRPr="005E07CA">
        <w:rPr>
          <w:color w:val="auto"/>
        </w:rPr>
        <w:t xml:space="preserve"> pp.6).</w:t>
      </w:r>
      <w:r w:rsidR="00F30FD1" w:rsidRPr="005E07CA">
        <w:rPr>
          <w:color w:val="auto"/>
        </w:rPr>
        <w:t xml:space="preserve"> </w:t>
      </w:r>
      <w:r w:rsidR="002A6C9D" w:rsidRPr="005E07CA">
        <w:rPr>
          <w:color w:val="auto"/>
        </w:rPr>
        <w:t xml:space="preserve">Lattara, as a province of Rome </w:t>
      </w:r>
      <w:r w:rsidR="008C2126" w:rsidRPr="005E07CA">
        <w:rPr>
          <w:color w:val="auto"/>
        </w:rPr>
        <w:t>from</w:t>
      </w:r>
      <w:r w:rsidR="002A6C9D" w:rsidRPr="005E07CA">
        <w:rPr>
          <w:color w:val="auto"/>
        </w:rPr>
        <w:t xml:space="preserve"> the 2</w:t>
      </w:r>
      <w:r w:rsidR="002A6C9D" w:rsidRPr="005E07CA">
        <w:rPr>
          <w:color w:val="auto"/>
          <w:vertAlign w:val="superscript"/>
        </w:rPr>
        <w:t>nd</w:t>
      </w:r>
      <w:r w:rsidR="002A6C9D" w:rsidRPr="005E07CA">
        <w:rPr>
          <w:color w:val="auto"/>
        </w:rPr>
        <w:t xml:space="preserve"> century </w:t>
      </w:r>
      <w:r w:rsidR="00B853A3" w:rsidRPr="005E07CA">
        <w:rPr>
          <w:color w:val="auto"/>
        </w:rPr>
        <w:t>BC was at least a partly monetis</w:t>
      </w:r>
      <w:r w:rsidR="002A6C9D" w:rsidRPr="005E07CA">
        <w:rPr>
          <w:color w:val="auto"/>
        </w:rPr>
        <w:t>ed society by the end of the 1</w:t>
      </w:r>
      <w:r w:rsidR="002A6C9D" w:rsidRPr="005E07CA">
        <w:rPr>
          <w:color w:val="auto"/>
          <w:vertAlign w:val="superscript"/>
        </w:rPr>
        <w:t>st</w:t>
      </w:r>
      <w:r w:rsidR="00F917D6" w:rsidRPr="005E07CA">
        <w:rPr>
          <w:color w:val="auto"/>
        </w:rPr>
        <w:t xml:space="preserve"> Century BC. Since the</w:t>
      </w:r>
      <w:r w:rsidR="001A5EC4" w:rsidRPr="005E07CA">
        <w:rPr>
          <w:color w:val="auto"/>
        </w:rPr>
        <w:t xml:space="preserve"> recent discovery of a tavern in Lattara post-occupation</w:t>
      </w:r>
      <w:r w:rsidR="00F917D6" w:rsidRPr="005E07CA">
        <w:rPr>
          <w:color w:val="auto"/>
        </w:rPr>
        <w:t>, it seems more likely for this to be the case</w:t>
      </w:r>
      <w:r w:rsidR="001A5EC4" w:rsidRPr="005E07CA">
        <w:rPr>
          <w:color w:val="auto"/>
        </w:rPr>
        <w:t>,</w:t>
      </w:r>
      <w:r w:rsidR="00542462" w:rsidRPr="005E07CA">
        <w:rPr>
          <w:color w:val="auto"/>
        </w:rPr>
        <w:t xml:space="preserve"> as taverns </w:t>
      </w:r>
      <w:r w:rsidR="001A5EC4" w:rsidRPr="005E07CA">
        <w:rPr>
          <w:color w:val="auto"/>
        </w:rPr>
        <w:t>were</w:t>
      </w:r>
      <w:r w:rsidR="00542462" w:rsidRPr="005E07CA">
        <w:rPr>
          <w:color w:val="auto"/>
        </w:rPr>
        <w:t xml:space="preserve"> more likely to use a monetary</w:t>
      </w:r>
      <w:r w:rsidR="00C6794A" w:rsidRPr="005E07CA">
        <w:rPr>
          <w:color w:val="auto"/>
        </w:rPr>
        <w:t xml:space="preserve"> system </w:t>
      </w:r>
      <w:r w:rsidR="002A6C9D" w:rsidRPr="005E07CA">
        <w:rPr>
          <w:color w:val="auto"/>
        </w:rPr>
        <w:t>(Luley &amp; Piques 2016</w:t>
      </w:r>
      <w:r w:rsidR="005F3771" w:rsidRPr="005E07CA">
        <w:rPr>
          <w:color w:val="auto"/>
        </w:rPr>
        <w:t>,</w:t>
      </w:r>
      <w:r w:rsidR="002A6C9D" w:rsidRPr="005E07CA">
        <w:rPr>
          <w:color w:val="auto"/>
        </w:rPr>
        <w:t xml:space="preserve"> pp.129).</w:t>
      </w:r>
      <w:r w:rsidR="00F11370" w:rsidRPr="005E07CA">
        <w:rPr>
          <w:color w:val="auto"/>
        </w:rPr>
        <w:t xml:space="preserve"> </w:t>
      </w:r>
    </w:p>
    <w:p w14:paraId="7428FAEE" w14:textId="77777777" w:rsidR="006F7747" w:rsidRPr="005E07CA" w:rsidRDefault="006F7747" w:rsidP="00F25240">
      <w:pPr>
        <w:spacing w:line="360" w:lineRule="auto"/>
        <w:rPr>
          <w:color w:val="auto"/>
        </w:rPr>
      </w:pPr>
    </w:p>
    <w:p w14:paraId="06E9537E" w14:textId="503A7622" w:rsidR="00783BEE" w:rsidRDefault="00C4274F" w:rsidP="006F7747">
      <w:pPr>
        <w:spacing w:line="360" w:lineRule="auto"/>
        <w:rPr>
          <w:color w:val="auto"/>
        </w:rPr>
      </w:pPr>
      <w:r w:rsidRPr="005E07CA">
        <w:rPr>
          <w:color w:val="auto"/>
        </w:rPr>
        <w:t>Of the many coins found in Lattara, 75 percent were from Massalia, and only an extremely small amount were minted by the Romans</w:t>
      </w:r>
      <w:r w:rsidR="00B237E0" w:rsidRPr="005E07CA">
        <w:rPr>
          <w:color w:val="auto"/>
        </w:rPr>
        <w:t>;</w:t>
      </w:r>
      <w:r w:rsidR="00D95A00" w:rsidRPr="005E07CA">
        <w:rPr>
          <w:color w:val="auto"/>
        </w:rPr>
        <w:t xml:space="preserve"> within</w:t>
      </w:r>
      <w:r w:rsidRPr="005E07CA">
        <w:rPr>
          <w:color w:val="auto"/>
        </w:rPr>
        <w:t xml:space="preserve"> </w:t>
      </w:r>
      <w:r w:rsidR="00D95A00" w:rsidRPr="005E07CA">
        <w:rPr>
          <w:color w:val="auto"/>
        </w:rPr>
        <w:t>Lattara itself, local coins were not minted</w:t>
      </w:r>
      <w:r w:rsidR="006A0E45" w:rsidRPr="005E07CA">
        <w:rPr>
          <w:color w:val="auto"/>
        </w:rPr>
        <w:t xml:space="preserve">, which is unusual for most </w:t>
      </w:r>
      <w:proofErr w:type="spellStart"/>
      <w:r w:rsidR="006A0E45" w:rsidRPr="005E07CA">
        <w:rPr>
          <w:color w:val="auto"/>
        </w:rPr>
        <w:t>Gaulish</w:t>
      </w:r>
      <w:proofErr w:type="spellEnd"/>
      <w:r w:rsidR="006A0E45" w:rsidRPr="005E07CA">
        <w:rPr>
          <w:color w:val="auto"/>
        </w:rPr>
        <w:t xml:space="preserve"> ‘oppida’</w:t>
      </w:r>
      <w:r w:rsidR="00D95A00" w:rsidRPr="005E07CA">
        <w:rPr>
          <w:color w:val="auto"/>
        </w:rPr>
        <w:t xml:space="preserve"> </w:t>
      </w:r>
      <w:r w:rsidRPr="005E07CA">
        <w:rPr>
          <w:color w:val="auto"/>
        </w:rPr>
        <w:t>(Luley 2008 pp.179-180).</w:t>
      </w:r>
      <w:r w:rsidR="005F3771" w:rsidRPr="005E07CA">
        <w:rPr>
          <w:color w:val="auto"/>
        </w:rPr>
        <w:t xml:space="preserve"> </w:t>
      </w:r>
      <w:r w:rsidR="0052068C" w:rsidRPr="005E07CA">
        <w:rPr>
          <w:color w:val="auto"/>
        </w:rPr>
        <w:t>Similar</w:t>
      </w:r>
      <w:r w:rsidR="00004B58" w:rsidRPr="005E07CA">
        <w:rPr>
          <w:color w:val="auto"/>
        </w:rPr>
        <w:t xml:space="preserve"> to the Greek world, pre-Roman conquest Lattara seems to have valued silver</w:t>
      </w:r>
      <w:r w:rsidR="006A0E45" w:rsidRPr="005E07CA">
        <w:rPr>
          <w:color w:val="auto"/>
        </w:rPr>
        <w:t xml:space="preserve"> in coins</w:t>
      </w:r>
      <w:r w:rsidR="00004B58" w:rsidRPr="005E07CA">
        <w:rPr>
          <w:color w:val="auto"/>
        </w:rPr>
        <w:t xml:space="preserve"> above all </w:t>
      </w:r>
      <w:r w:rsidR="006A0E45" w:rsidRPr="005E07CA">
        <w:rPr>
          <w:color w:val="auto"/>
        </w:rPr>
        <w:t xml:space="preserve">other </w:t>
      </w:r>
      <w:r w:rsidR="00004B58" w:rsidRPr="005E07CA">
        <w:rPr>
          <w:color w:val="auto"/>
        </w:rPr>
        <w:t>metals,</w:t>
      </w:r>
      <w:r w:rsidR="006A0E45" w:rsidRPr="005E07CA">
        <w:rPr>
          <w:color w:val="auto"/>
        </w:rPr>
        <w:t xml:space="preserve"> but</w:t>
      </w:r>
      <w:r w:rsidR="00004B58" w:rsidRPr="005E07CA">
        <w:rPr>
          <w:color w:val="auto"/>
        </w:rPr>
        <w:t xml:space="preserve"> probably</w:t>
      </w:r>
      <w:r w:rsidR="006A0E45" w:rsidRPr="005E07CA">
        <w:rPr>
          <w:color w:val="auto"/>
        </w:rPr>
        <w:t xml:space="preserve"> only used it</w:t>
      </w:r>
      <w:r w:rsidR="00004B58" w:rsidRPr="005E07CA">
        <w:rPr>
          <w:color w:val="auto"/>
        </w:rPr>
        <w:t xml:space="preserve"> as bullion (Peacock 2013 ch.2), therefore,</w:t>
      </w:r>
      <w:r w:rsidR="00C70767" w:rsidRPr="005E07CA">
        <w:rPr>
          <w:color w:val="auto"/>
        </w:rPr>
        <w:t xml:space="preserve"> coins were probably used in an equivalent </w:t>
      </w:r>
      <w:r w:rsidR="00472241" w:rsidRPr="005E07CA">
        <w:rPr>
          <w:color w:val="auto"/>
        </w:rPr>
        <w:t>exchange-based</w:t>
      </w:r>
      <w:r w:rsidR="00C70767" w:rsidRPr="005E07CA">
        <w:rPr>
          <w:color w:val="auto"/>
        </w:rPr>
        <w:t xml:space="preserve"> system or as </w:t>
      </w:r>
      <w:r w:rsidR="003768C8" w:rsidRPr="005E07CA">
        <w:rPr>
          <w:color w:val="auto"/>
        </w:rPr>
        <w:t xml:space="preserve">a </w:t>
      </w:r>
      <w:r w:rsidR="00C70767" w:rsidRPr="005E07CA">
        <w:rPr>
          <w:color w:val="auto"/>
        </w:rPr>
        <w:t xml:space="preserve">calculation of wealth (Luley 2008, pp.183). </w:t>
      </w:r>
      <w:r w:rsidR="003F3AFB" w:rsidRPr="005E07CA">
        <w:rPr>
          <w:color w:val="auto"/>
        </w:rPr>
        <w:t>Post-conquest, bronze coins increase drastically and outnumber silver</w:t>
      </w:r>
      <w:r w:rsidR="009208AB" w:rsidRPr="005E07CA">
        <w:rPr>
          <w:color w:val="auto"/>
        </w:rPr>
        <w:t xml:space="preserve"> (</w:t>
      </w:r>
      <w:proofErr w:type="spellStart"/>
      <w:r w:rsidR="009208AB" w:rsidRPr="005E07CA">
        <w:rPr>
          <w:color w:val="auto"/>
        </w:rPr>
        <w:t>Py</w:t>
      </w:r>
      <w:proofErr w:type="spellEnd"/>
      <w:r w:rsidR="009208AB" w:rsidRPr="005E07CA">
        <w:rPr>
          <w:color w:val="auto"/>
        </w:rPr>
        <w:t xml:space="preserve"> 2006)</w:t>
      </w:r>
      <w:r w:rsidR="003F3AFB" w:rsidRPr="005E07CA">
        <w:rPr>
          <w:color w:val="auto"/>
        </w:rPr>
        <w:t>, indicating that the people of Lattara were adopting a more Roman-like economy structure</w:t>
      </w:r>
      <w:r w:rsidR="00636DF7" w:rsidRPr="005E07CA">
        <w:rPr>
          <w:color w:val="auto"/>
        </w:rPr>
        <w:t xml:space="preserve">. </w:t>
      </w:r>
      <w:r w:rsidR="002809C1" w:rsidRPr="005E07CA">
        <w:rPr>
          <w:color w:val="auto"/>
        </w:rPr>
        <w:t>Most silver coins found</w:t>
      </w:r>
      <w:r w:rsidR="00AF4577" w:rsidRPr="005E07CA">
        <w:rPr>
          <w:color w:val="auto"/>
        </w:rPr>
        <w:t xml:space="preserve"> in Lattara post 121 BC are local </w:t>
      </w:r>
      <w:proofErr w:type="spellStart"/>
      <w:r w:rsidR="00AF4577" w:rsidRPr="005E07CA">
        <w:rPr>
          <w:color w:val="auto"/>
        </w:rPr>
        <w:t>Gaulish</w:t>
      </w:r>
      <w:proofErr w:type="spellEnd"/>
      <w:r w:rsidR="00AF4577" w:rsidRPr="005E07CA">
        <w:rPr>
          <w:color w:val="auto"/>
        </w:rPr>
        <w:t xml:space="preserve"> coins which sported a </w:t>
      </w:r>
      <w:r w:rsidR="00472241" w:rsidRPr="005E07CA">
        <w:rPr>
          <w:color w:val="auto"/>
        </w:rPr>
        <w:t>cross and</w:t>
      </w:r>
      <w:r w:rsidR="00AF4577" w:rsidRPr="005E07CA">
        <w:rPr>
          <w:color w:val="auto"/>
        </w:rPr>
        <w:t xml:space="preserve"> are often referred to as </w:t>
      </w:r>
      <w:r w:rsidR="00E91E6B" w:rsidRPr="005E07CA">
        <w:rPr>
          <w:color w:val="auto"/>
        </w:rPr>
        <w:t>‘</w:t>
      </w:r>
      <w:proofErr w:type="spellStart"/>
      <w:r w:rsidR="00AF4577" w:rsidRPr="005E07CA">
        <w:rPr>
          <w:i/>
          <w:color w:val="auto"/>
        </w:rPr>
        <w:t>monnais</w:t>
      </w:r>
      <w:proofErr w:type="spellEnd"/>
      <w:r w:rsidR="00AF4577" w:rsidRPr="005E07CA">
        <w:rPr>
          <w:i/>
          <w:color w:val="auto"/>
        </w:rPr>
        <w:t xml:space="preserve"> a la crux</w:t>
      </w:r>
      <w:r w:rsidR="00E91E6B" w:rsidRPr="005E07CA">
        <w:rPr>
          <w:color w:val="auto"/>
        </w:rPr>
        <w:t xml:space="preserve">’ </w:t>
      </w:r>
      <w:r w:rsidR="00AF4577" w:rsidRPr="005E07CA">
        <w:rPr>
          <w:color w:val="auto"/>
        </w:rPr>
        <w:t>(Luley 2008 pp.184).</w:t>
      </w:r>
      <w:r w:rsidR="009D6C42" w:rsidRPr="005E07CA">
        <w:rPr>
          <w:color w:val="auto"/>
        </w:rPr>
        <w:t xml:space="preserve"> According to George Dalton’s definition of a monetary society</w:t>
      </w:r>
      <w:r w:rsidR="00F04D79" w:rsidRPr="005E07CA">
        <w:rPr>
          <w:color w:val="auto"/>
        </w:rPr>
        <w:t xml:space="preserve"> (Dalton 1961</w:t>
      </w:r>
      <w:r w:rsidR="009D6C42" w:rsidRPr="005E07CA">
        <w:rPr>
          <w:color w:val="auto"/>
        </w:rPr>
        <w:t xml:space="preserve">), classing Lattara as one cannot be accurate as it does not seem as though </w:t>
      </w:r>
      <w:r w:rsidR="009D6C42" w:rsidRPr="005E07CA">
        <w:rPr>
          <w:i/>
          <w:color w:val="auto"/>
        </w:rPr>
        <w:t>all</w:t>
      </w:r>
      <w:r w:rsidR="009D6C42" w:rsidRPr="005E07CA">
        <w:rPr>
          <w:color w:val="auto"/>
        </w:rPr>
        <w:t xml:space="preserve"> trade was primarily done through monetary exchange, it is still likely that other forms of exchange were occurring.</w:t>
      </w:r>
      <w:r w:rsidR="00E91E6B" w:rsidRPr="005E07CA">
        <w:rPr>
          <w:color w:val="auto"/>
        </w:rPr>
        <w:t xml:space="preserve"> </w:t>
      </w:r>
      <w:r w:rsidR="00DF2AA2" w:rsidRPr="005E07CA">
        <w:rPr>
          <w:color w:val="auto"/>
        </w:rPr>
        <w:t xml:space="preserve"> Luley argues that from the coins found within Lattara, it is noticeable that they do not seem to have been used in a religious context, therefore indicating that they were primarily used for trade purposes, though it is important to note trade through coin seems to occur post-Roman conquest (Luley 2008, pp.182-183). However, he does not mention that there has been at least one find which indicates that they have been, namely the find of a votive offering from late 1</w:t>
      </w:r>
      <w:r w:rsidR="00DF2AA2" w:rsidRPr="005E07CA">
        <w:rPr>
          <w:color w:val="auto"/>
          <w:vertAlign w:val="superscript"/>
        </w:rPr>
        <w:t>st</w:t>
      </w:r>
      <w:r w:rsidR="00DF2AA2" w:rsidRPr="005E07CA">
        <w:rPr>
          <w:color w:val="auto"/>
        </w:rPr>
        <w:t xml:space="preserve"> century BC which included a coin (</w:t>
      </w:r>
      <w:proofErr w:type="spellStart"/>
      <w:r w:rsidR="00DF2AA2" w:rsidRPr="005E07CA">
        <w:rPr>
          <w:color w:val="auto"/>
        </w:rPr>
        <w:t>Rovira</w:t>
      </w:r>
      <w:proofErr w:type="spellEnd"/>
      <w:r w:rsidR="00DF2AA2" w:rsidRPr="005E07CA">
        <w:rPr>
          <w:color w:val="auto"/>
        </w:rPr>
        <w:t xml:space="preserve"> &amp; Chabal 2008 pp.192).</w:t>
      </w:r>
      <w:r w:rsidR="005E07CA" w:rsidRPr="005E07CA">
        <w:rPr>
          <w:color w:val="auto"/>
        </w:rPr>
        <w:t xml:space="preserve"> Therefore, perhaps like many other settlements around Gaul, the people of Lattara were indeed using coins in a religious context and not solely for the use of trade</w:t>
      </w:r>
      <w:r w:rsidR="00C26684">
        <w:rPr>
          <w:color w:val="auto"/>
        </w:rPr>
        <w:t>, even after the conquest</w:t>
      </w:r>
      <w:r w:rsidR="00D81D76">
        <w:rPr>
          <w:color w:val="auto"/>
        </w:rPr>
        <w:t xml:space="preserve"> of Transalpine Gaul</w:t>
      </w:r>
      <w:r w:rsidR="00C26684">
        <w:rPr>
          <w:color w:val="auto"/>
        </w:rPr>
        <w:t>.</w:t>
      </w:r>
    </w:p>
    <w:p w14:paraId="6DD2C6F9" w14:textId="77777777" w:rsidR="00822FD2" w:rsidRDefault="00822FD2" w:rsidP="006F7747">
      <w:pPr>
        <w:spacing w:line="360" w:lineRule="auto"/>
        <w:rPr>
          <w:color w:val="auto"/>
        </w:rPr>
      </w:pPr>
    </w:p>
    <w:p w14:paraId="078F283F" w14:textId="5814CFAA" w:rsidR="006F7747" w:rsidRPr="005E07CA" w:rsidRDefault="008D4EEF" w:rsidP="006F7747">
      <w:pPr>
        <w:spacing w:line="360" w:lineRule="auto"/>
        <w:rPr>
          <w:color w:val="auto"/>
        </w:rPr>
      </w:pPr>
      <w:r>
        <w:rPr>
          <w:color w:val="auto"/>
        </w:rPr>
        <w:t xml:space="preserve">To conclude, it is apparent from the nature and origin of coinage in Lattara that all coins found within the oppida’s precincts mainly originated from Massalia, Gaul and Rome. Through regular interaction </w:t>
      </w:r>
      <w:r>
        <w:rPr>
          <w:color w:val="auto"/>
        </w:rPr>
        <w:lastRenderedPageBreak/>
        <w:t>with these two empires,</w:t>
      </w:r>
      <w:r w:rsidR="00822FD2">
        <w:rPr>
          <w:color w:val="auto"/>
        </w:rPr>
        <w:t xml:space="preserve"> as can be seen by the sherds of amphorae found,</w:t>
      </w:r>
      <w:r>
        <w:rPr>
          <w:color w:val="auto"/>
        </w:rPr>
        <w:t xml:space="preserve"> </w:t>
      </w:r>
      <w:r w:rsidR="00822FD2">
        <w:rPr>
          <w:color w:val="auto"/>
        </w:rPr>
        <w:t xml:space="preserve">Lattara probably adopted a partly monetised society which focused on regular exchange of coinage, although other forms of trade were most likely occurring alongside this economical system. </w:t>
      </w:r>
      <w:r w:rsidR="0020720F">
        <w:rPr>
          <w:color w:val="auto"/>
        </w:rPr>
        <w:t>Like Massalia and other Greeks, it seems as though during the 3</w:t>
      </w:r>
      <w:r w:rsidR="0020720F" w:rsidRPr="0020720F">
        <w:rPr>
          <w:color w:val="auto"/>
          <w:vertAlign w:val="superscript"/>
        </w:rPr>
        <w:t>rd</w:t>
      </w:r>
      <w:r w:rsidR="0020720F">
        <w:rPr>
          <w:color w:val="auto"/>
        </w:rPr>
        <w:t>-2</w:t>
      </w:r>
      <w:r w:rsidR="0020720F" w:rsidRPr="0020720F">
        <w:rPr>
          <w:color w:val="auto"/>
          <w:vertAlign w:val="superscript"/>
        </w:rPr>
        <w:t>nd</w:t>
      </w:r>
      <w:r w:rsidR="0020720F">
        <w:rPr>
          <w:color w:val="auto"/>
        </w:rPr>
        <w:t xml:space="preserve"> century BC, the peoples of Lattara most likely used coinage as a form of bullion and social status. </w:t>
      </w:r>
      <w:r w:rsidR="00822FD2">
        <w:rPr>
          <w:color w:val="auto"/>
        </w:rPr>
        <w:t>After the conquest of Gaul by Rome, and Lattara itself around 121 BC, monetary exchange seems to have increased significantl</w:t>
      </w:r>
      <w:r w:rsidR="0039554F">
        <w:rPr>
          <w:color w:val="auto"/>
        </w:rPr>
        <w:t>y</w:t>
      </w:r>
      <w:r w:rsidR="00822FD2">
        <w:rPr>
          <w:color w:val="auto"/>
        </w:rPr>
        <w:t>. As the main source on monetary exchange in Lattara, Luley has not acknowledged the votive find from Lattara which included a coin at all, and more research should be done in regards to why this was purposely placed in the ground during the 1</w:t>
      </w:r>
      <w:r w:rsidR="00822FD2" w:rsidRPr="00822FD2">
        <w:rPr>
          <w:color w:val="auto"/>
          <w:vertAlign w:val="superscript"/>
        </w:rPr>
        <w:t>st</w:t>
      </w:r>
      <w:r w:rsidR="00822FD2">
        <w:rPr>
          <w:color w:val="auto"/>
        </w:rPr>
        <w:t xml:space="preserve"> century BC</w:t>
      </w:r>
      <w:r w:rsidR="00DC5B1E">
        <w:rPr>
          <w:color w:val="auto"/>
        </w:rPr>
        <w:t>, as well as the meaning behind its placement.</w:t>
      </w:r>
      <w:bookmarkStart w:id="0" w:name="_GoBack"/>
      <w:bookmarkEnd w:id="0"/>
    </w:p>
    <w:p w14:paraId="45F2ED95" w14:textId="6948BEAE" w:rsidR="006F7747" w:rsidRDefault="006F7747" w:rsidP="00004B58">
      <w:pPr>
        <w:rPr>
          <w:b/>
          <w:color w:val="auto"/>
          <w:sz w:val="36"/>
          <w:szCs w:val="40"/>
        </w:rPr>
      </w:pPr>
    </w:p>
    <w:p w14:paraId="26C7FBAB" w14:textId="610E9C85" w:rsidR="00822FD2" w:rsidRDefault="00822FD2" w:rsidP="00004B58">
      <w:pPr>
        <w:rPr>
          <w:b/>
          <w:color w:val="auto"/>
          <w:sz w:val="36"/>
          <w:szCs w:val="40"/>
        </w:rPr>
      </w:pPr>
    </w:p>
    <w:p w14:paraId="08978C83" w14:textId="38F62A2C" w:rsidR="00822FD2" w:rsidRDefault="00822FD2" w:rsidP="00004B58">
      <w:pPr>
        <w:rPr>
          <w:b/>
          <w:color w:val="auto"/>
          <w:sz w:val="36"/>
          <w:szCs w:val="40"/>
        </w:rPr>
      </w:pPr>
    </w:p>
    <w:p w14:paraId="56BCB6BF" w14:textId="20BB9248" w:rsidR="00822FD2" w:rsidRDefault="00822FD2" w:rsidP="00004B58">
      <w:pPr>
        <w:rPr>
          <w:b/>
          <w:color w:val="auto"/>
          <w:sz w:val="36"/>
          <w:szCs w:val="40"/>
        </w:rPr>
      </w:pPr>
    </w:p>
    <w:p w14:paraId="56E7A647" w14:textId="0FE2CEA2" w:rsidR="00822FD2" w:rsidRDefault="00822FD2" w:rsidP="00004B58">
      <w:pPr>
        <w:rPr>
          <w:b/>
          <w:color w:val="auto"/>
          <w:sz w:val="36"/>
          <w:szCs w:val="40"/>
        </w:rPr>
      </w:pPr>
    </w:p>
    <w:p w14:paraId="0B1DD25B" w14:textId="121B94B3" w:rsidR="00822FD2" w:rsidRDefault="00822FD2" w:rsidP="00004B58">
      <w:pPr>
        <w:rPr>
          <w:b/>
          <w:color w:val="auto"/>
          <w:sz w:val="36"/>
          <w:szCs w:val="40"/>
        </w:rPr>
      </w:pPr>
    </w:p>
    <w:p w14:paraId="47244DE0" w14:textId="56CC62B7" w:rsidR="00822FD2" w:rsidRDefault="00822FD2" w:rsidP="00004B58">
      <w:pPr>
        <w:rPr>
          <w:b/>
          <w:color w:val="auto"/>
          <w:sz w:val="36"/>
          <w:szCs w:val="40"/>
        </w:rPr>
      </w:pPr>
    </w:p>
    <w:p w14:paraId="79F3E63C" w14:textId="1CD4913F" w:rsidR="00822FD2" w:rsidRDefault="00822FD2" w:rsidP="00004B58">
      <w:pPr>
        <w:rPr>
          <w:b/>
          <w:color w:val="auto"/>
          <w:sz w:val="36"/>
          <w:szCs w:val="40"/>
        </w:rPr>
      </w:pPr>
    </w:p>
    <w:p w14:paraId="21D4E4B2" w14:textId="7F564D16" w:rsidR="00822FD2" w:rsidRDefault="00822FD2" w:rsidP="00004B58">
      <w:pPr>
        <w:rPr>
          <w:b/>
          <w:color w:val="auto"/>
          <w:sz w:val="36"/>
          <w:szCs w:val="40"/>
        </w:rPr>
      </w:pPr>
    </w:p>
    <w:p w14:paraId="2CD84FB0" w14:textId="0175CECF" w:rsidR="00822FD2" w:rsidRDefault="00822FD2" w:rsidP="00004B58">
      <w:pPr>
        <w:rPr>
          <w:b/>
          <w:color w:val="auto"/>
          <w:sz w:val="36"/>
          <w:szCs w:val="40"/>
        </w:rPr>
      </w:pPr>
    </w:p>
    <w:p w14:paraId="1F8B93B3" w14:textId="48ADEBDB" w:rsidR="00822FD2" w:rsidRDefault="00822FD2" w:rsidP="00004B58">
      <w:pPr>
        <w:rPr>
          <w:b/>
          <w:color w:val="auto"/>
          <w:sz w:val="36"/>
          <w:szCs w:val="40"/>
        </w:rPr>
      </w:pPr>
    </w:p>
    <w:p w14:paraId="533E0DE2" w14:textId="0EA766AE" w:rsidR="00822FD2" w:rsidRDefault="00822FD2" w:rsidP="00004B58">
      <w:pPr>
        <w:rPr>
          <w:b/>
          <w:color w:val="auto"/>
          <w:sz w:val="36"/>
          <w:szCs w:val="40"/>
        </w:rPr>
      </w:pPr>
    </w:p>
    <w:p w14:paraId="471AD0F1" w14:textId="6ACE7C13" w:rsidR="00822FD2" w:rsidRDefault="00822FD2" w:rsidP="00004B58">
      <w:pPr>
        <w:rPr>
          <w:b/>
          <w:color w:val="auto"/>
          <w:sz w:val="36"/>
          <w:szCs w:val="40"/>
        </w:rPr>
      </w:pPr>
    </w:p>
    <w:p w14:paraId="0E7ACC88" w14:textId="180538FA" w:rsidR="00822FD2" w:rsidRDefault="00822FD2" w:rsidP="00004B58">
      <w:pPr>
        <w:rPr>
          <w:b/>
          <w:color w:val="auto"/>
          <w:sz w:val="36"/>
          <w:szCs w:val="40"/>
        </w:rPr>
      </w:pPr>
    </w:p>
    <w:p w14:paraId="1B6791CF" w14:textId="6F517482" w:rsidR="00822FD2" w:rsidRDefault="00822FD2" w:rsidP="00004B58">
      <w:pPr>
        <w:rPr>
          <w:b/>
          <w:color w:val="auto"/>
          <w:sz w:val="36"/>
          <w:szCs w:val="40"/>
        </w:rPr>
      </w:pPr>
    </w:p>
    <w:p w14:paraId="339DA65F" w14:textId="77777777" w:rsidR="00822FD2" w:rsidRPr="005E07CA" w:rsidRDefault="00822FD2" w:rsidP="00004B58">
      <w:pPr>
        <w:rPr>
          <w:b/>
          <w:color w:val="auto"/>
          <w:sz w:val="36"/>
          <w:szCs w:val="40"/>
        </w:rPr>
      </w:pPr>
    </w:p>
    <w:p w14:paraId="4C15DCAF" w14:textId="06F54C34" w:rsidR="00C914D9" w:rsidRPr="005E07CA" w:rsidRDefault="00C914D9" w:rsidP="00315254">
      <w:pPr>
        <w:jc w:val="center"/>
        <w:rPr>
          <w:b/>
          <w:color w:val="auto"/>
          <w:sz w:val="36"/>
          <w:szCs w:val="40"/>
        </w:rPr>
      </w:pPr>
      <w:r w:rsidRPr="005E07CA">
        <w:rPr>
          <w:b/>
          <w:color w:val="auto"/>
          <w:sz w:val="36"/>
          <w:szCs w:val="40"/>
        </w:rPr>
        <w:lastRenderedPageBreak/>
        <w:t>Bibliography</w:t>
      </w:r>
    </w:p>
    <w:p w14:paraId="76F15166" w14:textId="64F0E0DD" w:rsidR="00C914D9" w:rsidRPr="005E07CA" w:rsidRDefault="00C914D9" w:rsidP="00A05502">
      <w:pPr>
        <w:rPr>
          <w:color w:val="auto"/>
          <w:sz w:val="22"/>
          <w:szCs w:val="22"/>
        </w:rPr>
      </w:pPr>
      <w:proofErr w:type="spellStart"/>
      <w:r w:rsidRPr="005E07CA">
        <w:rPr>
          <w:color w:val="auto"/>
          <w:sz w:val="22"/>
          <w:szCs w:val="22"/>
        </w:rPr>
        <w:t>Aarts</w:t>
      </w:r>
      <w:proofErr w:type="spellEnd"/>
      <w:r w:rsidRPr="005E07CA">
        <w:rPr>
          <w:color w:val="auto"/>
          <w:sz w:val="22"/>
          <w:szCs w:val="22"/>
        </w:rPr>
        <w:t xml:space="preserve">, </w:t>
      </w:r>
      <w:r w:rsidR="00815E2C" w:rsidRPr="005E07CA">
        <w:rPr>
          <w:color w:val="auto"/>
          <w:sz w:val="22"/>
          <w:szCs w:val="22"/>
        </w:rPr>
        <w:t xml:space="preserve">Joris (2005) Coins, money and exchange in the Roman world. A cultural-economic perspective, </w:t>
      </w:r>
      <w:r w:rsidR="00815E2C" w:rsidRPr="005E07CA">
        <w:rPr>
          <w:i/>
          <w:color w:val="auto"/>
          <w:sz w:val="22"/>
          <w:szCs w:val="22"/>
        </w:rPr>
        <w:t>Archaeological Dialogues</w:t>
      </w:r>
      <w:r w:rsidR="00620195" w:rsidRPr="005E07CA">
        <w:rPr>
          <w:color w:val="auto"/>
          <w:sz w:val="22"/>
          <w:szCs w:val="22"/>
        </w:rPr>
        <w:t xml:space="preserve"> (</w:t>
      </w:r>
      <w:r w:rsidR="00815E2C" w:rsidRPr="005E07CA">
        <w:rPr>
          <w:color w:val="auto"/>
          <w:sz w:val="22"/>
          <w:szCs w:val="22"/>
        </w:rPr>
        <w:t>12.1</w:t>
      </w:r>
      <w:r w:rsidR="00620195" w:rsidRPr="005E07CA">
        <w:rPr>
          <w:color w:val="auto"/>
          <w:sz w:val="22"/>
          <w:szCs w:val="22"/>
        </w:rPr>
        <w:t xml:space="preserve">) </w:t>
      </w:r>
      <w:r w:rsidR="00815E2C" w:rsidRPr="005E07CA">
        <w:rPr>
          <w:color w:val="auto"/>
          <w:sz w:val="22"/>
          <w:szCs w:val="22"/>
        </w:rPr>
        <w:t>pp.1-28</w:t>
      </w:r>
    </w:p>
    <w:p w14:paraId="07EF6DEF" w14:textId="251C0B1B" w:rsidR="00783BEE" w:rsidRPr="005E07CA" w:rsidRDefault="00783BEE" w:rsidP="00A05502">
      <w:pPr>
        <w:rPr>
          <w:rStyle w:val="Emphasis"/>
          <w:rFonts w:cs="Arial"/>
          <w:bCs/>
          <w:i w:val="0"/>
          <w:color w:val="auto"/>
          <w:sz w:val="22"/>
          <w:szCs w:val="22"/>
          <w:shd w:val="clear" w:color="auto" w:fill="FFFFFF"/>
        </w:rPr>
      </w:pPr>
      <w:r w:rsidRPr="005E07CA">
        <w:rPr>
          <w:color w:val="auto"/>
          <w:sz w:val="22"/>
          <w:szCs w:val="22"/>
        </w:rPr>
        <w:t xml:space="preserve">Alonso, Natalia &amp; Nuria </w:t>
      </w:r>
      <w:proofErr w:type="spellStart"/>
      <w:r w:rsidRPr="005E07CA">
        <w:rPr>
          <w:color w:val="auto"/>
          <w:sz w:val="22"/>
          <w:szCs w:val="22"/>
        </w:rPr>
        <w:t>Rovira</w:t>
      </w:r>
      <w:proofErr w:type="spellEnd"/>
      <w:r w:rsidRPr="005E07CA">
        <w:rPr>
          <w:color w:val="auto"/>
          <w:sz w:val="22"/>
          <w:szCs w:val="22"/>
        </w:rPr>
        <w:t xml:space="preserve"> (</w:t>
      </w:r>
      <w:r w:rsidR="00E56FE3" w:rsidRPr="005E07CA">
        <w:rPr>
          <w:color w:val="auto"/>
          <w:sz w:val="22"/>
          <w:szCs w:val="22"/>
        </w:rPr>
        <w:t>2016</w:t>
      </w:r>
      <w:r w:rsidRPr="005E07CA">
        <w:rPr>
          <w:color w:val="auto"/>
          <w:sz w:val="22"/>
          <w:szCs w:val="22"/>
        </w:rPr>
        <w:t xml:space="preserve">) Plant uses and storage in the 5th century BC Etruscan quarter of the city of Lattara, France, </w:t>
      </w:r>
      <w:r w:rsidRPr="005E07CA">
        <w:rPr>
          <w:rStyle w:val="Emphasis"/>
          <w:rFonts w:cs="Arial"/>
          <w:bCs/>
          <w:color w:val="auto"/>
          <w:sz w:val="22"/>
          <w:szCs w:val="22"/>
          <w:shd w:val="clear" w:color="auto" w:fill="FFFFFF"/>
        </w:rPr>
        <w:t xml:space="preserve">Vegetation History and </w:t>
      </w:r>
      <w:proofErr w:type="spellStart"/>
      <w:r w:rsidRPr="005E07CA">
        <w:rPr>
          <w:rStyle w:val="Emphasis"/>
          <w:rFonts w:cs="Arial"/>
          <w:bCs/>
          <w:color w:val="auto"/>
          <w:sz w:val="22"/>
          <w:szCs w:val="22"/>
          <w:shd w:val="clear" w:color="auto" w:fill="FFFFFF"/>
        </w:rPr>
        <w:t>Archaeobotany</w:t>
      </w:r>
      <w:proofErr w:type="spellEnd"/>
      <w:r w:rsidRPr="005E07CA">
        <w:rPr>
          <w:rStyle w:val="Emphasis"/>
          <w:rFonts w:cs="Arial"/>
          <w:bCs/>
          <w:color w:val="auto"/>
          <w:sz w:val="22"/>
          <w:szCs w:val="22"/>
          <w:shd w:val="clear" w:color="auto" w:fill="FFFFFF"/>
        </w:rPr>
        <w:t xml:space="preserve"> </w:t>
      </w:r>
      <w:r w:rsidRPr="005E07CA">
        <w:rPr>
          <w:rStyle w:val="Emphasis"/>
          <w:rFonts w:cs="Arial"/>
          <w:bCs/>
          <w:i w:val="0"/>
          <w:color w:val="auto"/>
          <w:sz w:val="22"/>
          <w:szCs w:val="22"/>
          <w:shd w:val="clear" w:color="auto" w:fill="FFFFFF"/>
        </w:rPr>
        <w:t>(25) pp.323-337</w:t>
      </w:r>
    </w:p>
    <w:p w14:paraId="3FE2CA7F" w14:textId="75D4CDA6" w:rsidR="009D6C42" w:rsidRPr="005E07CA" w:rsidRDefault="009D6C42" w:rsidP="00A05502">
      <w:pPr>
        <w:rPr>
          <w:rStyle w:val="Emphasis"/>
          <w:rFonts w:cs="Arial"/>
          <w:bCs/>
          <w:i w:val="0"/>
          <w:color w:val="auto"/>
          <w:sz w:val="22"/>
          <w:szCs w:val="22"/>
          <w:shd w:val="clear" w:color="auto" w:fill="FFFFFF"/>
        </w:rPr>
      </w:pPr>
      <w:r w:rsidRPr="005E07CA">
        <w:rPr>
          <w:rStyle w:val="Emphasis"/>
          <w:rFonts w:cs="Arial"/>
          <w:bCs/>
          <w:i w:val="0"/>
          <w:color w:val="auto"/>
          <w:sz w:val="22"/>
          <w:szCs w:val="22"/>
          <w:shd w:val="clear" w:color="auto" w:fill="FFFFFF"/>
        </w:rPr>
        <w:t xml:space="preserve">Dalton, George (1961) </w:t>
      </w:r>
      <w:r w:rsidRPr="005E07CA">
        <w:rPr>
          <w:color w:val="auto"/>
          <w:sz w:val="22"/>
          <w:szCs w:val="22"/>
        </w:rPr>
        <w:t>Primitive money American anthropologist (67) pp.44-65</w:t>
      </w:r>
    </w:p>
    <w:p w14:paraId="69AFFB26" w14:textId="21953592" w:rsidR="00595A0A" w:rsidRPr="005E07CA" w:rsidRDefault="00595A0A" w:rsidP="00A05502">
      <w:pPr>
        <w:rPr>
          <w:color w:val="auto"/>
          <w:sz w:val="22"/>
          <w:szCs w:val="22"/>
        </w:rPr>
      </w:pPr>
      <w:proofErr w:type="spellStart"/>
      <w:r w:rsidRPr="005E07CA">
        <w:rPr>
          <w:rStyle w:val="Emphasis"/>
          <w:rFonts w:cs="Arial"/>
          <w:bCs/>
          <w:i w:val="0"/>
          <w:color w:val="auto"/>
          <w:sz w:val="22"/>
          <w:szCs w:val="22"/>
          <w:shd w:val="clear" w:color="auto" w:fill="FFFFFF"/>
        </w:rPr>
        <w:t>Gailladrat</w:t>
      </w:r>
      <w:proofErr w:type="spellEnd"/>
      <w:r w:rsidRPr="005E07CA">
        <w:rPr>
          <w:rStyle w:val="Emphasis"/>
          <w:rFonts w:cs="Arial"/>
          <w:bCs/>
          <w:i w:val="0"/>
          <w:color w:val="auto"/>
          <w:sz w:val="22"/>
          <w:szCs w:val="22"/>
          <w:shd w:val="clear" w:color="auto" w:fill="FFFFFF"/>
        </w:rPr>
        <w:t xml:space="preserve">, Eric (2015) </w:t>
      </w:r>
      <w:r w:rsidRPr="005E07CA">
        <w:rPr>
          <w:color w:val="auto"/>
          <w:sz w:val="22"/>
          <w:szCs w:val="22"/>
        </w:rPr>
        <w:t>New Perspectives on Emporia in the Western Mediterranean: Greeks, Etruscans and Native Populations at the Mouth of the Lez (</w:t>
      </w:r>
      <w:proofErr w:type="spellStart"/>
      <w:r w:rsidRPr="005E07CA">
        <w:rPr>
          <w:color w:val="auto"/>
          <w:sz w:val="22"/>
          <w:szCs w:val="22"/>
        </w:rPr>
        <w:t>Herault</w:t>
      </w:r>
      <w:proofErr w:type="spellEnd"/>
      <w:r w:rsidRPr="005E07CA">
        <w:rPr>
          <w:color w:val="auto"/>
          <w:sz w:val="22"/>
          <w:szCs w:val="22"/>
        </w:rPr>
        <w:t xml:space="preserve">, France) during the Sixth-Fifth Centuries BC, </w:t>
      </w:r>
      <w:r w:rsidRPr="005E07CA">
        <w:rPr>
          <w:i/>
          <w:color w:val="auto"/>
          <w:sz w:val="22"/>
          <w:szCs w:val="22"/>
        </w:rPr>
        <w:t xml:space="preserve">Journal of Mediterranean Archaeology </w:t>
      </w:r>
      <w:r w:rsidRPr="005E07CA">
        <w:rPr>
          <w:color w:val="auto"/>
          <w:sz w:val="22"/>
          <w:szCs w:val="22"/>
        </w:rPr>
        <w:t>(28.1) pp.23-50</w:t>
      </w:r>
    </w:p>
    <w:p w14:paraId="70039F3C" w14:textId="3C291050" w:rsidR="00BC1A24" w:rsidRPr="005E07CA" w:rsidRDefault="00BC1A24" w:rsidP="00A05502">
      <w:pPr>
        <w:rPr>
          <w:color w:val="auto"/>
          <w:sz w:val="22"/>
          <w:szCs w:val="22"/>
        </w:rPr>
      </w:pPr>
      <w:r w:rsidRPr="005E07CA">
        <w:rPr>
          <w:color w:val="auto"/>
          <w:sz w:val="22"/>
          <w:szCs w:val="22"/>
        </w:rPr>
        <w:t>Grierson</w:t>
      </w:r>
      <w:r w:rsidR="008C2126" w:rsidRPr="005E07CA">
        <w:rPr>
          <w:color w:val="auto"/>
          <w:sz w:val="22"/>
          <w:szCs w:val="22"/>
        </w:rPr>
        <w:t>, Phillip</w:t>
      </w:r>
      <w:r w:rsidRPr="005E07CA">
        <w:rPr>
          <w:color w:val="auto"/>
          <w:sz w:val="22"/>
          <w:szCs w:val="22"/>
        </w:rPr>
        <w:t xml:space="preserve"> (1975)</w:t>
      </w:r>
      <w:r w:rsidR="0053186A" w:rsidRPr="005E07CA">
        <w:rPr>
          <w:color w:val="auto"/>
          <w:sz w:val="22"/>
          <w:szCs w:val="22"/>
        </w:rPr>
        <w:t xml:space="preserve"> </w:t>
      </w:r>
      <w:r w:rsidR="0053186A" w:rsidRPr="005E07CA">
        <w:rPr>
          <w:i/>
          <w:color w:val="auto"/>
          <w:sz w:val="22"/>
          <w:szCs w:val="22"/>
        </w:rPr>
        <w:t>Numismatics</w:t>
      </w:r>
      <w:r w:rsidR="00603D5F" w:rsidRPr="005E07CA">
        <w:rPr>
          <w:color w:val="auto"/>
          <w:sz w:val="22"/>
          <w:szCs w:val="22"/>
        </w:rPr>
        <w:t>, Oxford University Press</w:t>
      </w:r>
    </w:p>
    <w:p w14:paraId="58C869A8" w14:textId="6CEF69E6" w:rsidR="00C914D9" w:rsidRPr="005E07CA" w:rsidRDefault="00C914D9" w:rsidP="00A05502">
      <w:pPr>
        <w:rPr>
          <w:color w:val="auto"/>
          <w:sz w:val="22"/>
          <w:szCs w:val="22"/>
        </w:rPr>
      </w:pPr>
      <w:proofErr w:type="spellStart"/>
      <w:r w:rsidRPr="005E07CA">
        <w:rPr>
          <w:color w:val="auto"/>
          <w:sz w:val="22"/>
          <w:szCs w:val="22"/>
        </w:rPr>
        <w:t>Kurke</w:t>
      </w:r>
      <w:proofErr w:type="spellEnd"/>
      <w:r w:rsidRPr="005E07CA">
        <w:rPr>
          <w:color w:val="auto"/>
          <w:sz w:val="22"/>
          <w:szCs w:val="22"/>
        </w:rPr>
        <w:t xml:space="preserve">, </w:t>
      </w:r>
      <w:r w:rsidR="00620195" w:rsidRPr="005E07CA">
        <w:rPr>
          <w:color w:val="auto"/>
          <w:sz w:val="22"/>
          <w:szCs w:val="22"/>
        </w:rPr>
        <w:t>Leslie</w:t>
      </w:r>
      <w:r w:rsidRPr="005E07CA">
        <w:rPr>
          <w:color w:val="auto"/>
          <w:sz w:val="22"/>
          <w:szCs w:val="22"/>
        </w:rPr>
        <w:t xml:space="preserve"> (2002)</w:t>
      </w:r>
      <w:r w:rsidR="00620195" w:rsidRPr="005E07CA">
        <w:rPr>
          <w:color w:val="auto"/>
          <w:sz w:val="22"/>
          <w:szCs w:val="22"/>
        </w:rPr>
        <w:t xml:space="preserve"> Money and mythic history. The contestation of transactional orders in the fifth century BC, in W. </w:t>
      </w:r>
      <w:proofErr w:type="spellStart"/>
      <w:r w:rsidR="00620195" w:rsidRPr="005E07CA">
        <w:rPr>
          <w:color w:val="auto"/>
          <w:sz w:val="22"/>
          <w:szCs w:val="22"/>
        </w:rPr>
        <w:t>Scheidel</w:t>
      </w:r>
      <w:proofErr w:type="spellEnd"/>
      <w:r w:rsidR="00620195" w:rsidRPr="005E07CA">
        <w:rPr>
          <w:color w:val="auto"/>
          <w:sz w:val="22"/>
          <w:szCs w:val="22"/>
        </w:rPr>
        <w:t xml:space="preserve"> and S. von </w:t>
      </w:r>
      <w:proofErr w:type="spellStart"/>
      <w:r w:rsidR="00620195" w:rsidRPr="005E07CA">
        <w:rPr>
          <w:color w:val="auto"/>
          <w:sz w:val="22"/>
          <w:szCs w:val="22"/>
        </w:rPr>
        <w:t>Reden</w:t>
      </w:r>
      <w:proofErr w:type="spellEnd"/>
      <w:r w:rsidR="00620195" w:rsidRPr="005E07CA">
        <w:rPr>
          <w:color w:val="auto"/>
          <w:sz w:val="22"/>
          <w:szCs w:val="22"/>
        </w:rPr>
        <w:t xml:space="preserve">, </w:t>
      </w:r>
      <w:r w:rsidR="00620195" w:rsidRPr="005E07CA">
        <w:rPr>
          <w:i/>
          <w:color w:val="auto"/>
          <w:sz w:val="22"/>
          <w:szCs w:val="22"/>
        </w:rPr>
        <w:t>The ancient economy</w:t>
      </w:r>
      <w:r w:rsidR="00620195" w:rsidRPr="005E07CA">
        <w:rPr>
          <w:color w:val="auto"/>
          <w:sz w:val="22"/>
          <w:szCs w:val="22"/>
        </w:rPr>
        <w:t>, pp. 87–113.</w:t>
      </w:r>
    </w:p>
    <w:p w14:paraId="72C6130A" w14:textId="77777777" w:rsidR="00C4274F" w:rsidRPr="005E07CA" w:rsidRDefault="00C4274F" w:rsidP="00C4274F">
      <w:pPr>
        <w:rPr>
          <w:color w:val="auto"/>
          <w:sz w:val="22"/>
          <w:szCs w:val="22"/>
        </w:rPr>
      </w:pPr>
      <w:r w:rsidRPr="005E07CA">
        <w:rPr>
          <w:color w:val="auto"/>
          <w:sz w:val="22"/>
          <w:szCs w:val="22"/>
        </w:rPr>
        <w:t xml:space="preserve">Luley, Benjamin P. (2008) Coinage at Lattara. Using archaeological context to understand ancient coins, </w:t>
      </w:r>
      <w:r w:rsidRPr="005E07CA">
        <w:rPr>
          <w:i/>
          <w:color w:val="auto"/>
          <w:sz w:val="22"/>
          <w:szCs w:val="22"/>
        </w:rPr>
        <w:t xml:space="preserve">Archaeological Dialogues </w:t>
      </w:r>
      <w:r w:rsidRPr="005E07CA">
        <w:rPr>
          <w:color w:val="auto"/>
          <w:sz w:val="22"/>
          <w:szCs w:val="22"/>
        </w:rPr>
        <w:t>(15.2) pp.174-195</w:t>
      </w:r>
    </w:p>
    <w:p w14:paraId="37BE9B7C" w14:textId="590CD8B3" w:rsidR="00677924" w:rsidRPr="005E07CA" w:rsidRDefault="00677924" w:rsidP="00A05502">
      <w:pPr>
        <w:rPr>
          <w:color w:val="auto"/>
          <w:sz w:val="22"/>
          <w:szCs w:val="22"/>
        </w:rPr>
      </w:pPr>
      <w:r w:rsidRPr="005E07CA">
        <w:rPr>
          <w:color w:val="auto"/>
          <w:sz w:val="22"/>
          <w:szCs w:val="22"/>
        </w:rPr>
        <w:t xml:space="preserve">Luley, </w:t>
      </w:r>
      <w:proofErr w:type="spellStart"/>
      <w:r w:rsidRPr="005E07CA">
        <w:rPr>
          <w:color w:val="auto"/>
          <w:sz w:val="22"/>
          <w:szCs w:val="22"/>
        </w:rPr>
        <w:t>Bejamin</w:t>
      </w:r>
      <w:proofErr w:type="spellEnd"/>
      <w:r w:rsidRPr="005E07CA">
        <w:rPr>
          <w:color w:val="auto"/>
          <w:sz w:val="22"/>
          <w:szCs w:val="22"/>
        </w:rPr>
        <w:t xml:space="preserve"> P. (2014) Cooking, Class, and Colonial Transformations in Roman Mediterranean France, </w:t>
      </w:r>
      <w:r w:rsidRPr="005E07CA">
        <w:rPr>
          <w:i/>
          <w:color w:val="auto"/>
          <w:sz w:val="22"/>
          <w:szCs w:val="22"/>
        </w:rPr>
        <w:t xml:space="preserve">American Journal of Archaeology </w:t>
      </w:r>
      <w:r w:rsidRPr="005E07CA">
        <w:rPr>
          <w:color w:val="auto"/>
          <w:sz w:val="22"/>
          <w:szCs w:val="22"/>
        </w:rPr>
        <w:t>(118.1) pp.33-60)</w:t>
      </w:r>
    </w:p>
    <w:p w14:paraId="519A90EF" w14:textId="7717AC41" w:rsidR="004F63CC" w:rsidRPr="005E07CA" w:rsidRDefault="004F63CC" w:rsidP="00A05502">
      <w:pPr>
        <w:rPr>
          <w:color w:val="auto"/>
          <w:sz w:val="22"/>
          <w:szCs w:val="22"/>
        </w:rPr>
      </w:pPr>
      <w:r w:rsidRPr="005E07CA">
        <w:rPr>
          <w:color w:val="auto"/>
          <w:sz w:val="22"/>
          <w:szCs w:val="22"/>
        </w:rPr>
        <w:t>Luley</w:t>
      </w:r>
      <w:r w:rsidR="002A6C9D" w:rsidRPr="005E07CA">
        <w:rPr>
          <w:color w:val="auto"/>
          <w:sz w:val="22"/>
          <w:szCs w:val="22"/>
        </w:rPr>
        <w:t>, Benjamin P.</w:t>
      </w:r>
      <w:r w:rsidRPr="005E07CA">
        <w:rPr>
          <w:color w:val="auto"/>
          <w:sz w:val="22"/>
          <w:szCs w:val="22"/>
        </w:rPr>
        <w:t xml:space="preserve"> </w:t>
      </w:r>
      <w:r w:rsidR="002A6C9D" w:rsidRPr="005E07CA">
        <w:rPr>
          <w:color w:val="auto"/>
          <w:sz w:val="22"/>
          <w:szCs w:val="22"/>
        </w:rPr>
        <w:t xml:space="preserve">&amp; </w:t>
      </w:r>
      <w:proofErr w:type="spellStart"/>
      <w:r w:rsidR="002A6C9D" w:rsidRPr="005E07CA">
        <w:rPr>
          <w:rStyle w:val="Strong"/>
          <w:rFonts w:cs="Arial"/>
          <w:b w:val="0"/>
          <w:color w:val="auto"/>
          <w:sz w:val="22"/>
          <w:szCs w:val="22"/>
          <w:shd w:val="clear" w:color="auto" w:fill="FFFFFF"/>
        </w:rPr>
        <w:t>Gaël</w:t>
      </w:r>
      <w:proofErr w:type="spellEnd"/>
      <w:r w:rsidR="002A6C9D" w:rsidRPr="005E07CA">
        <w:rPr>
          <w:rStyle w:val="Strong"/>
          <w:rFonts w:cs="Arial"/>
          <w:b w:val="0"/>
          <w:color w:val="auto"/>
          <w:sz w:val="22"/>
          <w:szCs w:val="22"/>
          <w:shd w:val="clear" w:color="auto" w:fill="FFFFFF"/>
        </w:rPr>
        <w:t xml:space="preserve"> </w:t>
      </w:r>
      <w:proofErr w:type="spellStart"/>
      <w:r w:rsidR="002A6C9D" w:rsidRPr="005E07CA">
        <w:rPr>
          <w:rStyle w:val="Strong"/>
          <w:rFonts w:cs="Arial"/>
          <w:b w:val="0"/>
          <w:color w:val="auto"/>
          <w:sz w:val="22"/>
          <w:szCs w:val="22"/>
          <w:shd w:val="clear" w:color="auto" w:fill="FFFFFF"/>
        </w:rPr>
        <w:t>Piquès</w:t>
      </w:r>
      <w:proofErr w:type="spellEnd"/>
      <w:r w:rsidR="002A6C9D" w:rsidRPr="005E07CA">
        <w:rPr>
          <w:color w:val="auto"/>
          <w:sz w:val="22"/>
          <w:szCs w:val="22"/>
        </w:rPr>
        <w:t xml:space="preserve"> </w:t>
      </w:r>
      <w:r w:rsidRPr="005E07CA">
        <w:rPr>
          <w:color w:val="auto"/>
          <w:sz w:val="22"/>
          <w:szCs w:val="22"/>
        </w:rPr>
        <w:t>(2016)</w:t>
      </w:r>
      <w:r w:rsidR="002A6C9D" w:rsidRPr="005E07CA">
        <w:rPr>
          <w:color w:val="auto"/>
          <w:sz w:val="22"/>
          <w:szCs w:val="22"/>
        </w:rPr>
        <w:t xml:space="preserve"> Communal eating and drinking in early Roman Mediterranean France: a possible tavern at Lattara, c. 125–75 BC, </w:t>
      </w:r>
      <w:r w:rsidR="002A6C9D" w:rsidRPr="005E07CA">
        <w:rPr>
          <w:i/>
          <w:color w:val="auto"/>
          <w:sz w:val="22"/>
          <w:szCs w:val="22"/>
        </w:rPr>
        <w:t xml:space="preserve">Antiquity </w:t>
      </w:r>
      <w:r w:rsidR="00412A65" w:rsidRPr="005E07CA">
        <w:rPr>
          <w:color w:val="auto"/>
          <w:sz w:val="22"/>
          <w:szCs w:val="22"/>
        </w:rPr>
        <w:t>(90) pp.126-142</w:t>
      </w:r>
    </w:p>
    <w:p w14:paraId="62383671" w14:textId="40379A2C" w:rsidR="00004B58" w:rsidRPr="005E07CA" w:rsidRDefault="00004B58" w:rsidP="00A05502">
      <w:pPr>
        <w:rPr>
          <w:color w:val="auto"/>
          <w:sz w:val="22"/>
          <w:szCs w:val="22"/>
        </w:rPr>
      </w:pPr>
      <w:r w:rsidRPr="005E07CA">
        <w:rPr>
          <w:color w:val="auto"/>
          <w:sz w:val="22"/>
          <w:szCs w:val="22"/>
        </w:rPr>
        <w:t xml:space="preserve">Peacock, Mark (2013) </w:t>
      </w:r>
      <w:r w:rsidRPr="005E07CA">
        <w:rPr>
          <w:i/>
          <w:color w:val="auto"/>
          <w:sz w:val="22"/>
          <w:szCs w:val="22"/>
        </w:rPr>
        <w:t>Introducing</w:t>
      </w:r>
      <w:r w:rsidR="00603D5F" w:rsidRPr="005E07CA">
        <w:rPr>
          <w:i/>
          <w:color w:val="auto"/>
          <w:sz w:val="22"/>
          <w:szCs w:val="22"/>
        </w:rPr>
        <w:t xml:space="preserve"> Money, </w:t>
      </w:r>
      <w:r w:rsidR="00603D5F" w:rsidRPr="005E07CA">
        <w:rPr>
          <w:color w:val="auto"/>
          <w:sz w:val="22"/>
          <w:szCs w:val="22"/>
        </w:rPr>
        <w:t>Routledge</w:t>
      </w:r>
    </w:p>
    <w:p w14:paraId="3A479BD4" w14:textId="1FA46811" w:rsidR="004F63CC" w:rsidRPr="005E07CA" w:rsidRDefault="00CB4C80" w:rsidP="00A05502">
      <w:pPr>
        <w:rPr>
          <w:color w:val="auto"/>
          <w:sz w:val="22"/>
          <w:szCs w:val="22"/>
        </w:rPr>
      </w:pPr>
      <w:proofErr w:type="spellStart"/>
      <w:r w:rsidRPr="005E07CA">
        <w:rPr>
          <w:color w:val="auto"/>
          <w:sz w:val="22"/>
          <w:szCs w:val="22"/>
        </w:rPr>
        <w:t>Py</w:t>
      </w:r>
      <w:proofErr w:type="spellEnd"/>
      <w:r w:rsidRPr="005E07CA">
        <w:rPr>
          <w:color w:val="auto"/>
          <w:sz w:val="22"/>
          <w:szCs w:val="22"/>
        </w:rPr>
        <w:t>, M</w:t>
      </w:r>
      <w:r w:rsidR="00F953D0" w:rsidRPr="005E07CA">
        <w:rPr>
          <w:color w:val="auto"/>
          <w:sz w:val="22"/>
          <w:szCs w:val="22"/>
        </w:rPr>
        <w:t>ichael</w:t>
      </w:r>
      <w:r w:rsidRPr="005E07CA">
        <w:rPr>
          <w:color w:val="auto"/>
          <w:sz w:val="22"/>
          <w:szCs w:val="22"/>
        </w:rPr>
        <w:t xml:space="preserve"> (2006) </w:t>
      </w:r>
      <w:r w:rsidR="00F953D0" w:rsidRPr="005E07CA">
        <w:rPr>
          <w:i/>
          <w:color w:val="auto"/>
          <w:sz w:val="22"/>
          <w:szCs w:val="22"/>
        </w:rPr>
        <w:t>Lattara 19</w:t>
      </w:r>
      <w:r w:rsidR="00E654C8" w:rsidRPr="005E07CA">
        <w:rPr>
          <w:color w:val="auto"/>
          <w:sz w:val="22"/>
          <w:szCs w:val="22"/>
        </w:rPr>
        <w:t>:</w:t>
      </w:r>
      <w:r w:rsidR="00F953D0" w:rsidRPr="005E07CA">
        <w:rPr>
          <w:i/>
          <w:color w:val="auto"/>
          <w:sz w:val="22"/>
          <w:szCs w:val="22"/>
        </w:rPr>
        <w:t xml:space="preserve"> </w:t>
      </w:r>
      <w:r w:rsidRPr="005E07CA">
        <w:rPr>
          <w:color w:val="auto"/>
          <w:sz w:val="22"/>
          <w:szCs w:val="22"/>
        </w:rPr>
        <w:t xml:space="preserve">Les </w:t>
      </w:r>
      <w:proofErr w:type="spellStart"/>
      <w:r w:rsidRPr="005E07CA">
        <w:rPr>
          <w:color w:val="auto"/>
          <w:sz w:val="22"/>
          <w:szCs w:val="22"/>
        </w:rPr>
        <w:t>Monnaies</w:t>
      </w:r>
      <w:proofErr w:type="spellEnd"/>
      <w:r w:rsidRPr="005E07CA">
        <w:rPr>
          <w:color w:val="auto"/>
          <w:sz w:val="22"/>
          <w:szCs w:val="22"/>
        </w:rPr>
        <w:t xml:space="preserve"> </w:t>
      </w:r>
      <w:proofErr w:type="spellStart"/>
      <w:r w:rsidRPr="005E07CA">
        <w:rPr>
          <w:color w:val="auto"/>
          <w:sz w:val="22"/>
          <w:szCs w:val="22"/>
        </w:rPr>
        <w:t>preaugusteennes</w:t>
      </w:r>
      <w:proofErr w:type="spellEnd"/>
      <w:r w:rsidRPr="005E07CA">
        <w:rPr>
          <w:color w:val="auto"/>
          <w:sz w:val="22"/>
          <w:szCs w:val="22"/>
        </w:rPr>
        <w:t xml:space="preserve"> de Lattes et la circulation </w:t>
      </w:r>
      <w:proofErr w:type="spellStart"/>
      <w:r w:rsidRPr="005E07CA">
        <w:rPr>
          <w:color w:val="auto"/>
          <w:sz w:val="22"/>
          <w:szCs w:val="22"/>
        </w:rPr>
        <w:t>monetaire</w:t>
      </w:r>
      <w:proofErr w:type="spellEnd"/>
      <w:r w:rsidRPr="005E07CA">
        <w:rPr>
          <w:color w:val="auto"/>
          <w:sz w:val="22"/>
          <w:szCs w:val="22"/>
        </w:rPr>
        <w:t xml:space="preserve"> </w:t>
      </w:r>
      <w:proofErr w:type="spellStart"/>
      <w:r w:rsidRPr="005E07CA">
        <w:rPr>
          <w:color w:val="auto"/>
          <w:sz w:val="22"/>
          <w:szCs w:val="22"/>
        </w:rPr>
        <w:t>protohistorique</w:t>
      </w:r>
      <w:proofErr w:type="spellEnd"/>
      <w:r w:rsidRPr="005E07CA">
        <w:rPr>
          <w:color w:val="auto"/>
          <w:sz w:val="22"/>
          <w:szCs w:val="22"/>
        </w:rPr>
        <w:t xml:space="preserve"> </w:t>
      </w:r>
      <w:proofErr w:type="spellStart"/>
      <w:r w:rsidRPr="005E07CA">
        <w:rPr>
          <w:color w:val="auto"/>
          <w:sz w:val="22"/>
          <w:szCs w:val="22"/>
        </w:rPr>
        <w:t>en</w:t>
      </w:r>
      <w:proofErr w:type="spellEnd"/>
      <w:r w:rsidRPr="005E07CA">
        <w:rPr>
          <w:color w:val="auto"/>
          <w:sz w:val="22"/>
          <w:szCs w:val="22"/>
        </w:rPr>
        <w:t xml:space="preserve"> </w:t>
      </w:r>
      <w:proofErr w:type="spellStart"/>
      <w:r w:rsidRPr="005E07CA">
        <w:rPr>
          <w:color w:val="auto"/>
          <w:sz w:val="22"/>
          <w:szCs w:val="22"/>
        </w:rPr>
        <w:t>Gaule</w:t>
      </w:r>
      <w:proofErr w:type="spellEnd"/>
      <w:r w:rsidRPr="005E07CA">
        <w:rPr>
          <w:color w:val="auto"/>
          <w:sz w:val="22"/>
          <w:szCs w:val="22"/>
        </w:rPr>
        <w:t xml:space="preserve"> </w:t>
      </w:r>
      <w:proofErr w:type="spellStart"/>
      <w:r w:rsidRPr="005E07CA">
        <w:rPr>
          <w:color w:val="auto"/>
          <w:sz w:val="22"/>
          <w:szCs w:val="22"/>
        </w:rPr>
        <w:t>meridionale</w:t>
      </w:r>
      <w:proofErr w:type="spellEnd"/>
    </w:p>
    <w:p w14:paraId="1E474903" w14:textId="735FC819" w:rsidR="00CB4C80" w:rsidRPr="005E07CA" w:rsidRDefault="004F63CC" w:rsidP="00A05502">
      <w:pPr>
        <w:rPr>
          <w:i/>
          <w:color w:val="auto"/>
          <w:sz w:val="22"/>
          <w:szCs w:val="22"/>
        </w:rPr>
      </w:pPr>
      <w:proofErr w:type="spellStart"/>
      <w:r w:rsidRPr="005E07CA">
        <w:rPr>
          <w:color w:val="auto"/>
          <w:sz w:val="22"/>
          <w:szCs w:val="22"/>
        </w:rPr>
        <w:t>Py</w:t>
      </w:r>
      <w:proofErr w:type="spellEnd"/>
      <w:r w:rsidRPr="005E07CA">
        <w:rPr>
          <w:color w:val="auto"/>
          <w:sz w:val="22"/>
          <w:szCs w:val="22"/>
        </w:rPr>
        <w:t xml:space="preserve">, Michael (2009) </w:t>
      </w:r>
      <w:r w:rsidR="00E654C8" w:rsidRPr="005E07CA">
        <w:rPr>
          <w:color w:val="auto"/>
          <w:sz w:val="22"/>
          <w:szCs w:val="22"/>
        </w:rPr>
        <w:t xml:space="preserve">Lattara: </w:t>
      </w:r>
      <w:proofErr w:type="spellStart"/>
      <w:r w:rsidR="00E654C8" w:rsidRPr="005E07CA">
        <w:rPr>
          <w:i/>
          <w:color w:val="auto"/>
          <w:sz w:val="22"/>
          <w:szCs w:val="22"/>
        </w:rPr>
        <w:t>comptoir</w:t>
      </w:r>
      <w:proofErr w:type="spellEnd"/>
      <w:r w:rsidR="00E654C8" w:rsidRPr="005E07CA">
        <w:rPr>
          <w:i/>
          <w:color w:val="auto"/>
          <w:sz w:val="22"/>
          <w:szCs w:val="22"/>
        </w:rPr>
        <w:t xml:space="preserve"> </w:t>
      </w:r>
      <w:proofErr w:type="spellStart"/>
      <w:r w:rsidR="00E654C8" w:rsidRPr="005E07CA">
        <w:rPr>
          <w:i/>
          <w:color w:val="auto"/>
          <w:sz w:val="22"/>
          <w:szCs w:val="22"/>
        </w:rPr>
        <w:t>gaulois</w:t>
      </w:r>
      <w:proofErr w:type="spellEnd"/>
      <w:r w:rsidR="00E654C8" w:rsidRPr="005E07CA">
        <w:rPr>
          <w:i/>
          <w:color w:val="auto"/>
          <w:sz w:val="22"/>
          <w:szCs w:val="22"/>
        </w:rPr>
        <w:t xml:space="preserve"> </w:t>
      </w:r>
      <w:proofErr w:type="spellStart"/>
      <w:r w:rsidR="00E654C8" w:rsidRPr="005E07CA">
        <w:rPr>
          <w:i/>
          <w:color w:val="auto"/>
          <w:sz w:val="22"/>
          <w:szCs w:val="22"/>
        </w:rPr>
        <w:t>m</w:t>
      </w:r>
      <w:r w:rsidR="0053186A" w:rsidRPr="005E07CA">
        <w:rPr>
          <w:i/>
          <w:color w:val="auto"/>
          <w:sz w:val="22"/>
          <w:szCs w:val="22"/>
        </w:rPr>
        <w:t>editerran</w:t>
      </w:r>
      <w:r w:rsidR="00E654C8" w:rsidRPr="005E07CA">
        <w:rPr>
          <w:i/>
          <w:color w:val="auto"/>
          <w:sz w:val="22"/>
          <w:szCs w:val="22"/>
        </w:rPr>
        <w:t>een</w:t>
      </w:r>
      <w:proofErr w:type="spellEnd"/>
      <w:r w:rsidR="00E654C8" w:rsidRPr="005E07CA">
        <w:rPr>
          <w:i/>
          <w:color w:val="auto"/>
          <w:sz w:val="22"/>
          <w:szCs w:val="22"/>
        </w:rPr>
        <w:t xml:space="preserve"> entre </w:t>
      </w:r>
      <w:proofErr w:type="spellStart"/>
      <w:r w:rsidR="00E654C8" w:rsidRPr="005E07CA">
        <w:rPr>
          <w:i/>
          <w:color w:val="auto"/>
          <w:sz w:val="22"/>
          <w:szCs w:val="22"/>
        </w:rPr>
        <w:t>Etrusques</w:t>
      </w:r>
      <w:proofErr w:type="spellEnd"/>
      <w:r w:rsidR="00E654C8" w:rsidRPr="005E07CA">
        <w:rPr>
          <w:i/>
          <w:color w:val="auto"/>
          <w:sz w:val="22"/>
          <w:szCs w:val="22"/>
        </w:rPr>
        <w:t xml:space="preserve">, </w:t>
      </w:r>
      <w:proofErr w:type="spellStart"/>
      <w:r w:rsidR="00E654C8" w:rsidRPr="005E07CA">
        <w:rPr>
          <w:i/>
          <w:color w:val="auto"/>
          <w:sz w:val="22"/>
          <w:szCs w:val="22"/>
        </w:rPr>
        <w:t>Grecs</w:t>
      </w:r>
      <w:proofErr w:type="spellEnd"/>
      <w:r w:rsidR="00E654C8" w:rsidRPr="005E07CA">
        <w:rPr>
          <w:i/>
          <w:color w:val="auto"/>
          <w:sz w:val="22"/>
          <w:szCs w:val="22"/>
        </w:rPr>
        <w:t xml:space="preserve"> et Romains</w:t>
      </w:r>
    </w:p>
    <w:p w14:paraId="1206A467" w14:textId="0BD89CAB" w:rsidR="00BC1A24" w:rsidRPr="005E07CA" w:rsidRDefault="00BC1A24" w:rsidP="00A05502">
      <w:pPr>
        <w:rPr>
          <w:color w:val="auto"/>
          <w:sz w:val="22"/>
          <w:szCs w:val="22"/>
        </w:rPr>
      </w:pPr>
      <w:proofErr w:type="spellStart"/>
      <w:r w:rsidRPr="005E07CA">
        <w:rPr>
          <w:color w:val="auto"/>
          <w:sz w:val="22"/>
          <w:szCs w:val="22"/>
        </w:rPr>
        <w:t>Py</w:t>
      </w:r>
      <w:proofErr w:type="spellEnd"/>
      <w:r w:rsidRPr="005E07CA">
        <w:rPr>
          <w:color w:val="auto"/>
          <w:sz w:val="22"/>
          <w:szCs w:val="22"/>
        </w:rPr>
        <w:t xml:space="preserve">, Michael </w:t>
      </w:r>
      <w:r w:rsidR="00FE3A0D" w:rsidRPr="005E07CA">
        <w:rPr>
          <w:color w:val="auto"/>
          <w:sz w:val="22"/>
          <w:szCs w:val="22"/>
        </w:rPr>
        <w:t>&amp;</w:t>
      </w:r>
      <w:r w:rsidR="00FC4D59" w:rsidRPr="005E07CA">
        <w:rPr>
          <w:color w:val="auto"/>
          <w:sz w:val="22"/>
          <w:szCs w:val="22"/>
        </w:rPr>
        <w:t xml:space="preserve"> D.</w:t>
      </w:r>
      <w:r w:rsidRPr="005E07CA">
        <w:rPr>
          <w:color w:val="auto"/>
          <w:sz w:val="22"/>
          <w:szCs w:val="22"/>
        </w:rPr>
        <w:t xml:space="preserve"> Garcia (1993)</w:t>
      </w:r>
      <w:r w:rsidR="00865D04" w:rsidRPr="005E07CA">
        <w:rPr>
          <w:color w:val="auto"/>
          <w:sz w:val="22"/>
          <w:szCs w:val="22"/>
        </w:rPr>
        <w:t xml:space="preserve"> </w:t>
      </w:r>
      <w:proofErr w:type="spellStart"/>
      <w:r w:rsidR="00865D04" w:rsidRPr="005E07CA">
        <w:rPr>
          <w:color w:val="auto"/>
          <w:sz w:val="22"/>
          <w:szCs w:val="22"/>
        </w:rPr>
        <w:t>Bilan</w:t>
      </w:r>
      <w:proofErr w:type="spellEnd"/>
      <w:r w:rsidR="00865D04" w:rsidRPr="005E07CA">
        <w:rPr>
          <w:color w:val="auto"/>
          <w:sz w:val="22"/>
          <w:szCs w:val="22"/>
        </w:rPr>
        <w:t xml:space="preserve"> des </w:t>
      </w:r>
      <w:proofErr w:type="spellStart"/>
      <w:r w:rsidR="00865D04" w:rsidRPr="005E07CA">
        <w:rPr>
          <w:color w:val="auto"/>
          <w:sz w:val="22"/>
          <w:szCs w:val="22"/>
        </w:rPr>
        <w:t>recherches</w:t>
      </w:r>
      <w:proofErr w:type="spellEnd"/>
      <w:r w:rsidR="00865D04" w:rsidRPr="005E07CA">
        <w:rPr>
          <w:color w:val="auto"/>
          <w:sz w:val="22"/>
          <w:szCs w:val="22"/>
        </w:rPr>
        <w:t xml:space="preserve"> </w:t>
      </w:r>
      <w:proofErr w:type="spellStart"/>
      <w:r w:rsidR="00865D04" w:rsidRPr="005E07CA">
        <w:rPr>
          <w:color w:val="auto"/>
          <w:sz w:val="22"/>
          <w:szCs w:val="22"/>
        </w:rPr>
        <w:t>archeologiques</w:t>
      </w:r>
      <w:proofErr w:type="spellEnd"/>
      <w:r w:rsidR="00865D04" w:rsidRPr="005E07CA">
        <w:rPr>
          <w:color w:val="auto"/>
          <w:sz w:val="22"/>
          <w:szCs w:val="22"/>
        </w:rPr>
        <w:t xml:space="preserve"> sur la </w:t>
      </w:r>
      <w:proofErr w:type="spellStart"/>
      <w:r w:rsidR="00865D04" w:rsidRPr="005E07CA">
        <w:rPr>
          <w:color w:val="auto"/>
          <w:sz w:val="22"/>
          <w:szCs w:val="22"/>
        </w:rPr>
        <w:t>ville</w:t>
      </w:r>
      <w:proofErr w:type="spellEnd"/>
      <w:r w:rsidR="00865D04" w:rsidRPr="005E07CA">
        <w:rPr>
          <w:color w:val="auto"/>
          <w:sz w:val="22"/>
          <w:szCs w:val="22"/>
        </w:rPr>
        <w:t xml:space="preserve"> ´ </w:t>
      </w:r>
      <w:proofErr w:type="spellStart"/>
      <w:r w:rsidR="00865D04" w:rsidRPr="005E07CA">
        <w:rPr>
          <w:color w:val="auto"/>
          <w:sz w:val="22"/>
          <w:szCs w:val="22"/>
        </w:rPr>
        <w:t>portuaire</w:t>
      </w:r>
      <w:proofErr w:type="spellEnd"/>
      <w:r w:rsidR="00865D04" w:rsidRPr="005E07CA">
        <w:rPr>
          <w:color w:val="auto"/>
          <w:sz w:val="22"/>
          <w:szCs w:val="22"/>
        </w:rPr>
        <w:t xml:space="preserve"> de Lattara, </w:t>
      </w:r>
      <w:r w:rsidR="00865D04" w:rsidRPr="005E07CA">
        <w:rPr>
          <w:i/>
          <w:color w:val="auto"/>
          <w:sz w:val="22"/>
          <w:szCs w:val="22"/>
        </w:rPr>
        <w:t>Gallia</w:t>
      </w:r>
      <w:r w:rsidR="00865D04" w:rsidRPr="005E07CA">
        <w:rPr>
          <w:color w:val="auto"/>
          <w:sz w:val="22"/>
          <w:szCs w:val="22"/>
        </w:rPr>
        <w:t xml:space="preserve"> (50) pp.1-93</w:t>
      </w:r>
    </w:p>
    <w:p w14:paraId="09C19FDE" w14:textId="12958DD5" w:rsidR="00FE3A0D" w:rsidRPr="005E07CA" w:rsidRDefault="00FE3A0D" w:rsidP="00FE3A0D">
      <w:pPr>
        <w:shd w:val="clear" w:color="auto" w:fill="F5F5F5"/>
        <w:rPr>
          <w:color w:val="auto"/>
          <w:sz w:val="22"/>
          <w:szCs w:val="22"/>
        </w:rPr>
      </w:pPr>
      <w:r w:rsidRPr="005E07CA">
        <w:rPr>
          <w:color w:val="auto"/>
          <w:sz w:val="22"/>
          <w:szCs w:val="22"/>
        </w:rPr>
        <w:t xml:space="preserve">Rivera, Diego, </w:t>
      </w:r>
      <w:r w:rsidRPr="005E07CA">
        <w:rPr>
          <w:rStyle w:val="text"/>
          <w:rFonts w:cs="Arial"/>
          <w:color w:val="auto"/>
          <w:sz w:val="22"/>
          <w:szCs w:val="22"/>
          <w:shd w:val="clear" w:color="auto" w:fill="F5F5F5"/>
        </w:rPr>
        <w:t>Concepción</w:t>
      </w:r>
      <w:r w:rsidRPr="005E07CA">
        <w:rPr>
          <w:rFonts w:cs="Arial"/>
          <w:color w:val="auto"/>
          <w:sz w:val="22"/>
          <w:szCs w:val="22"/>
          <w:shd w:val="clear" w:color="auto" w:fill="F5F5F5"/>
        </w:rPr>
        <w:t> </w:t>
      </w:r>
      <w:proofErr w:type="spellStart"/>
      <w:r w:rsidRPr="005E07CA">
        <w:rPr>
          <w:rStyle w:val="text"/>
          <w:rFonts w:cs="Arial"/>
          <w:color w:val="auto"/>
          <w:sz w:val="22"/>
          <w:szCs w:val="22"/>
          <w:shd w:val="clear" w:color="auto" w:fill="F5F5F5"/>
        </w:rPr>
        <w:t>Obón</w:t>
      </w:r>
      <w:proofErr w:type="spellEnd"/>
      <w:r w:rsidRPr="005E07CA">
        <w:rPr>
          <w:rStyle w:val="text"/>
          <w:rFonts w:cs="Arial"/>
          <w:color w:val="auto"/>
          <w:sz w:val="22"/>
          <w:szCs w:val="22"/>
          <w:shd w:val="clear" w:color="auto" w:fill="F5F5F5"/>
        </w:rPr>
        <w:t xml:space="preserve">, </w:t>
      </w:r>
      <w:r w:rsidRPr="005E07CA">
        <w:rPr>
          <w:rFonts w:eastAsia="Times New Roman" w:cs="Arial"/>
          <w:color w:val="auto"/>
          <w:sz w:val="22"/>
          <w:szCs w:val="22"/>
          <w:lang w:val="en-GB" w:eastAsia="en-GB"/>
        </w:rPr>
        <w:t xml:space="preserve">Francisco Alcaraz, </w:t>
      </w:r>
      <w:r w:rsidRPr="005E07CA">
        <w:rPr>
          <w:rStyle w:val="text"/>
          <w:rFonts w:cs="Arial"/>
          <w:color w:val="auto"/>
          <w:sz w:val="22"/>
          <w:szCs w:val="22"/>
          <w:shd w:val="clear" w:color="auto" w:fill="F5F5F5"/>
        </w:rPr>
        <w:t>Emilio</w:t>
      </w:r>
      <w:r w:rsidRPr="005E07CA">
        <w:rPr>
          <w:rFonts w:cs="Arial"/>
          <w:color w:val="auto"/>
          <w:sz w:val="22"/>
          <w:szCs w:val="22"/>
          <w:shd w:val="clear" w:color="auto" w:fill="F5F5F5"/>
        </w:rPr>
        <w:t> </w:t>
      </w:r>
      <w:r w:rsidRPr="005E07CA">
        <w:rPr>
          <w:rStyle w:val="text"/>
          <w:rFonts w:cs="Arial"/>
          <w:color w:val="auto"/>
          <w:sz w:val="22"/>
          <w:szCs w:val="22"/>
          <w:shd w:val="clear" w:color="auto" w:fill="F5F5F5"/>
        </w:rPr>
        <w:t xml:space="preserve">Laguna, </w:t>
      </w:r>
      <w:r w:rsidRPr="005E07CA">
        <w:rPr>
          <w:rFonts w:eastAsia="Times New Roman" w:cs="Arial"/>
          <w:color w:val="auto"/>
          <w:sz w:val="22"/>
          <w:szCs w:val="22"/>
          <w:lang w:val="en-GB" w:eastAsia="en-GB"/>
        </w:rPr>
        <w:t>Dennis Johnson</w:t>
      </w:r>
      <w:r w:rsidRPr="005E07CA">
        <w:rPr>
          <w:color w:val="auto"/>
          <w:sz w:val="22"/>
          <w:szCs w:val="22"/>
        </w:rPr>
        <w:t xml:space="preserve"> (2018) Date-palm (Phoenix, </w:t>
      </w:r>
      <w:proofErr w:type="spellStart"/>
      <w:r w:rsidRPr="005E07CA">
        <w:rPr>
          <w:color w:val="auto"/>
          <w:sz w:val="22"/>
          <w:szCs w:val="22"/>
        </w:rPr>
        <w:t>Arecaceae</w:t>
      </w:r>
      <w:proofErr w:type="spellEnd"/>
      <w:r w:rsidRPr="005E07CA">
        <w:rPr>
          <w:color w:val="auto"/>
          <w:sz w:val="22"/>
          <w:szCs w:val="22"/>
        </w:rPr>
        <w:t xml:space="preserve">) iconography in coins from the Mediterranean and West Asia (485 BC–1189 AD), </w:t>
      </w:r>
      <w:r w:rsidRPr="005E07CA">
        <w:rPr>
          <w:i/>
          <w:color w:val="auto"/>
          <w:sz w:val="22"/>
          <w:szCs w:val="22"/>
        </w:rPr>
        <w:t>Journal of Cultural Heritage</w:t>
      </w:r>
      <w:r w:rsidRPr="005E07CA">
        <w:rPr>
          <w:color w:val="auto"/>
          <w:sz w:val="22"/>
          <w:szCs w:val="22"/>
        </w:rPr>
        <w:t xml:space="preserve"> (10.1) pp.1-16</w:t>
      </w:r>
    </w:p>
    <w:p w14:paraId="0E6EF1DC" w14:textId="6435FBBD" w:rsidR="00194447" w:rsidRPr="005E07CA" w:rsidRDefault="00194447" w:rsidP="00FE3A0D">
      <w:pPr>
        <w:shd w:val="clear" w:color="auto" w:fill="F5F5F5"/>
        <w:rPr>
          <w:rFonts w:eastAsia="Times New Roman" w:cs="Arial"/>
          <w:color w:val="auto"/>
          <w:sz w:val="22"/>
          <w:szCs w:val="22"/>
          <w:lang w:val="en-GB" w:eastAsia="en-GB"/>
        </w:rPr>
      </w:pPr>
      <w:proofErr w:type="spellStart"/>
      <w:r w:rsidRPr="005E07CA">
        <w:rPr>
          <w:rFonts w:eastAsia="Times New Roman" w:cs="Arial"/>
          <w:color w:val="auto"/>
          <w:sz w:val="22"/>
          <w:szCs w:val="22"/>
          <w:lang w:val="en-GB" w:eastAsia="en-GB"/>
        </w:rPr>
        <w:t>Rovira</w:t>
      </w:r>
      <w:proofErr w:type="spellEnd"/>
      <w:r w:rsidRPr="005E07CA">
        <w:rPr>
          <w:rFonts w:eastAsia="Times New Roman" w:cs="Arial"/>
          <w:color w:val="auto"/>
          <w:sz w:val="22"/>
          <w:szCs w:val="22"/>
          <w:lang w:val="en-GB" w:eastAsia="en-GB"/>
        </w:rPr>
        <w:t xml:space="preserve">, Nuria &amp; Lucie Chabal (2008) </w:t>
      </w:r>
      <w:r w:rsidRPr="005E07CA">
        <w:rPr>
          <w:color w:val="auto"/>
          <w:sz w:val="22"/>
          <w:szCs w:val="22"/>
        </w:rPr>
        <w:t xml:space="preserve">A foundation offering at the Roman port of Lattara (Lattes, France): the plant remains, </w:t>
      </w:r>
      <w:hyperlink r:id="rId9" w:tooltip="Vegetation History and Archaeobotany" w:history="1">
        <w:r w:rsidRPr="005E07CA">
          <w:rPr>
            <w:rStyle w:val="journaltitle"/>
            <w:i/>
            <w:color w:val="auto"/>
            <w:spacing w:val="4"/>
            <w:sz w:val="22"/>
            <w:szCs w:val="22"/>
            <w:shd w:val="clear" w:color="auto" w:fill="FCFCFC"/>
          </w:rPr>
          <w:t xml:space="preserve">Vegetation History and </w:t>
        </w:r>
        <w:proofErr w:type="spellStart"/>
        <w:r w:rsidRPr="005E07CA">
          <w:rPr>
            <w:rStyle w:val="journaltitle"/>
            <w:i/>
            <w:color w:val="auto"/>
            <w:spacing w:val="4"/>
            <w:sz w:val="22"/>
            <w:szCs w:val="22"/>
            <w:shd w:val="clear" w:color="auto" w:fill="FCFCFC"/>
          </w:rPr>
          <w:t>Archaeobotany</w:t>
        </w:r>
        <w:proofErr w:type="spellEnd"/>
      </w:hyperlink>
      <w:r w:rsidRPr="005E07CA">
        <w:rPr>
          <w:i/>
          <w:color w:val="auto"/>
          <w:sz w:val="22"/>
          <w:szCs w:val="22"/>
        </w:rPr>
        <w:t xml:space="preserve"> </w:t>
      </w:r>
      <w:r w:rsidRPr="005E07CA">
        <w:rPr>
          <w:color w:val="auto"/>
          <w:sz w:val="22"/>
          <w:szCs w:val="22"/>
        </w:rPr>
        <w:t>(17.1) pp.191-200</w:t>
      </w:r>
    </w:p>
    <w:p w14:paraId="0FC108DD" w14:textId="0E7FCB1B" w:rsidR="000E1E60" w:rsidRPr="005E07CA" w:rsidRDefault="000E1E60" w:rsidP="000E1E60">
      <w:pPr>
        <w:jc w:val="center"/>
        <w:rPr>
          <w:b/>
          <w:color w:val="auto"/>
          <w:sz w:val="36"/>
          <w:szCs w:val="40"/>
        </w:rPr>
      </w:pPr>
      <w:r w:rsidRPr="005E07CA">
        <w:rPr>
          <w:b/>
          <w:color w:val="auto"/>
          <w:sz w:val="36"/>
          <w:szCs w:val="40"/>
        </w:rPr>
        <w:t>Image Sources</w:t>
      </w:r>
    </w:p>
    <w:p w14:paraId="579F7D4F" w14:textId="411E91B9" w:rsidR="000E1E60" w:rsidRPr="005E07CA" w:rsidRDefault="000E1E60" w:rsidP="000E1E60">
      <w:pPr>
        <w:rPr>
          <w:color w:val="auto"/>
        </w:rPr>
      </w:pPr>
      <w:r w:rsidRPr="005E07CA">
        <w:rPr>
          <w:color w:val="auto"/>
        </w:rPr>
        <w:t xml:space="preserve">Fig. 1 </w:t>
      </w:r>
      <w:hyperlink r:id="rId10" w:history="1">
        <w:r w:rsidRPr="005E07CA">
          <w:rPr>
            <w:rStyle w:val="Hyperlink"/>
            <w:color w:val="auto"/>
          </w:rPr>
          <w:t>https://www.researchgate.net/figure/Location-of-Lattara-in-France-and-reconstitution-of-the-coastline-and-the-lagoons-of_fig1_225355280</w:t>
        </w:r>
      </w:hyperlink>
      <w:r w:rsidRPr="005E07CA">
        <w:rPr>
          <w:color w:val="auto"/>
        </w:rPr>
        <w:t xml:space="preserve"> </w:t>
      </w:r>
    </w:p>
    <w:p w14:paraId="4CC93ED9" w14:textId="5598D2E6" w:rsidR="006E1ACF" w:rsidRPr="005E07CA" w:rsidRDefault="006E1ACF" w:rsidP="000E1E60">
      <w:pPr>
        <w:rPr>
          <w:color w:val="auto"/>
        </w:rPr>
      </w:pPr>
      <w:r w:rsidRPr="005E07CA">
        <w:rPr>
          <w:color w:val="auto"/>
        </w:rPr>
        <w:t xml:space="preserve">Fig. 2 </w:t>
      </w:r>
      <w:hyperlink r:id="rId11" w:history="1">
        <w:r w:rsidRPr="005E07CA">
          <w:rPr>
            <w:rStyle w:val="Hyperlink"/>
            <w:color w:val="auto"/>
          </w:rPr>
          <w:t>https://link.springer.com/article/10.1007/s00334-015-0553-8</w:t>
        </w:r>
      </w:hyperlink>
      <w:r w:rsidRPr="005E07CA">
        <w:rPr>
          <w:color w:val="auto"/>
        </w:rPr>
        <w:t xml:space="preserve"> </w:t>
      </w:r>
    </w:p>
    <w:sectPr w:rsidR="006E1ACF" w:rsidRPr="005E07CA"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CAC99" w14:textId="77777777" w:rsidR="00702693" w:rsidRDefault="00702693" w:rsidP="005F5D5F">
      <w:pPr>
        <w:spacing w:after="0" w:line="240" w:lineRule="auto"/>
      </w:pPr>
      <w:r>
        <w:separator/>
      </w:r>
    </w:p>
  </w:endnote>
  <w:endnote w:type="continuationSeparator" w:id="0">
    <w:p w14:paraId="6903A274" w14:textId="77777777" w:rsidR="00702693" w:rsidRDefault="00702693" w:rsidP="005F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nskrit Text">
    <w:altName w:val="Sanskrit Text"/>
    <w:charset w:val="00"/>
    <w:family w:val="roman"/>
    <w:pitch w:val="variable"/>
    <w:sig w:usb0="A000804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8D031" w14:textId="77777777" w:rsidR="00702693" w:rsidRDefault="00702693" w:rsidP="005F5D5F">
      <w:pPr>
        <w:spacing w:after="0" w:line="240" w:lineRule="auto"/>
      </w:pPr>
      <w:r>
        <w:separator/>
      </w:r>
    </w:p>
  </w:footnote>
  <w:footnote w:type="continuationSeparator" w:id="0">
    <w:p w14:paraId="29056414" w14:textId="77777777" w:rsidR="00702693" w:rsidRDefault="00702693" w:rsidP="005F5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CECB5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2CBD3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A48BD1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962F50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E184D6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2A5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60DA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D83AF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CC19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28D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B494748"/>
    <w:multiLevelType w:val="multilevel"/>
    <w:tmpl w:val="A9A4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5A9"/>
    <w:rsid w:val="00004B58"/>
    <w:rsid w:val="000168C0"/>
    <w:rsid w:val="00024C1D"/>
    <w:rsid w:val="000427C6"/>
    <w:rsid w:val="0006000E"/>
    <w:rsid w:val="000676CE"/>
    <w:rsid w:val="0007025F"/>
    <w:rsid w:val="0007219A"/>
    <w:rsid w:val="00072425"/>
    <w:rsid w:val="00076F31"/>
    <w:rsid w:val="000B4C91"/>
    <w:rsid w:val="000B595D"/>
    <w:rsid w:val="000C10B8"/>
    <w:rsid w:val="000D51A6"/>
    <w:rsid w:val="000E1E60"/>
    <w:rsid w:val="000E26A3"/>
    <w:rsid w:val="0011634D"/>
    <w:rsid w:val="001409C0"/>
    <w:rsid w:val="00171CDD"/>
    <w:rsid w:val="00173924"/>
    <w:rsid w:val="00175521"/>
    <w:rsid w:val="00181FB9"/>
    <w:rsid w:val="00194447"/>
    <w:rsid w:val="00194E39"/>
    <w:rsid w:val="001A5EC4"/>
    <w:rsid w:val="001C48DE"/>
    <w:rsid w:val="001E627E"/>
    <w:rsid w:val="0020720F"/>
    <w:rsid w:val="00221BDD"/>
    <w:rsid w:val="0023654D"/>
    <w:rsid w:val="00251739"/>
    <w:rsid w:val="00261A78"/>
    <w:rsid w:val="00262689"/>
    <w:rsid w:val="00275A72"/>
    <w:rsid w:val="002809C1"/>
    <w:rsid w:val="002A6C9D"/>
    <w:rsid w:val="002D7A36"/>
    <w:rsid w:val="00305BB9"/>
    <w:rsid w:val="003061E9"/>
    <w:rsid w:val="00315254"/>
    <w:rsid w:val="0032180E"/>
    <w:rsid w:val="00323D2C"/>
    <w:rsid w:val="00336CF5"/>
    <w:rsid w:val="00350746"/>
    <w:rsid w:val="003641B4"/>
    <w:rsid w:val="00370F18"/>
    <w:rsid w:val="003768B6"/>
    <w:rsid w:val="003768C8"/>
    <w:rsid w:val="0039554F"/>
    <w:rsid w:val="003B6A17"/>
    <w:rsid w:val="003F3AFB"/>
    <w:rsid w:val="00411532"/>
    <w:rsid w:val="00412A65"/>
    <w:rsid w:val="0042685F"/>
    <w:rsid w:val="004302E6"/>
    <w:rsid w:val="004433F0"/>
    <w:rsid w:val="00451CD5"/>
    <w:rsid w:val="00466EF7"/>
    <w:rsid w:val="00472241"/>
    <w:rsid w:val="00476836"/>
    <w:rsid w:val="004D3AC5"/>
    <w:rsid w:val="004F3296"/>
    <w:rsid w:val="004F63CC"/>
    <w:rsid w:val="00501147"/>
    <w:rsid w:val="00501D68"/>
    <w:rsid w:val="0052068C"/>
    <w:rsid w:val="005222EE"/>
    <w:rsid w:val="0053186A"/>
    <w:rsid w:val="00541BB3"/>
    <w:rsid w:val="00542462"/>
    <w:rsid w:val="00544732"/>
    <w:rsid w:val="00545240"/>
    <w:rsid w:val="005927D1"/>
    <w:rsid w:val="00595A0A"/>
    <w:rsid w:val="00597417"/>
    <w:rsid w:val="005C61E4"/>
    <w:rsid w:val="005E07CA"/>
    <w:rsid w:val="005F3771"/>
    <w:rsid w:val="005F5D5F"/>
    <w:rsid w:val="00603D5F"/>
    <w:rsid w:val="00620195"/>
    <w:rsid w:val="00636DF7"/>
    <w:rsid w:val="00653345"/>
    <w:rsid w:val="0066238E"/>
    <w:rsid w:val="00665EA1"/>
    <w:rsid w:val="006773D8"/>
    <w:rsid w:val="00677924"/>
    <w:rsid w:val="006A0E45"/>
    <w:rsid w:val="006E1ACF"/>
    <w:rsid w:val="006E5B0F"/>
    <w:rsid w:val="006F7747"/>
    <w:rsid w:val="00702693"/>
    <w:rsid w:val="007155A9"/>
    <w:rsid w:val="00740DF6"/>
    <w:rsid w:val="007629FB"/>
    <w:rsid w:val="00776D57"/>
    <w:rsid w:val="00783BEE"/>
    <w:rsid w:val="00786F2E"/>
    <w:rsid w:val="007871D3"/>
    <w:rsid w:val="0079199F"/>
    <w:rsid w:val="007B5354"/>
    <w:rsid w:val="007B7A1D"/>
    <w:rsid w:val="007E23A4"/>
    <w:rsid w:val="007E5FFD"/>
    <w:rsid w:val="0080425A"/>
    <w:rsid w:val="00815E2C"/>
    <w:rsid w:val="00822FD2"/>
    <w:rsid w:val="00826B76"/>
    <w:rsid w:val="00837654"/>
    <w:rsid w:val="00865D04"/>
    <w:rsid w:val="00880783"/>
    <w:rsid w:val="008842A1"/>
    <w:rsid w:val="00890D9F"/>
    <w:rsid w:val="0089439D"/>
    <w:rsid w:val="008B0594"/>
    <w:rsid w:val="008B5772"/>
    <w:rsid w:val="008C031F"/>
    <w:rsid w:val="008C1756"/>
    <w:rsid w:val="008C2126"/>
    <w:rsid w:val="008C653D"/>
    <w:rsid w:val="008D17FF"/>
    <w:rsid w:val="008D4EEF"/>
    <w:rsid w:val="008D7CE1"/>
    <w:rsid w:val="008F6C52"/>
    <w:rsid w:val="009141C6"/>
    <w:rsid w:val="009208AB"/>
    <w:rsid w:val="00973B74"/>
    <w:rsid w:val="009754FE"/>
    <w:rsid w:val="009A4526"/>
    <w:rsid w:val="009A68C0"/>
    <w:rsid w:val="009D40A5"/>
    <w:rsid w:val="009D6C42"/>
    <w:rsid w:val="009E18FC"/>
    <w:rsid w:val="009E72E3"/>
    <w:rsid w:val="00A03450"/>
    <w:rsid w:val="00A05502"/>
    <w:rsid w:val="00A568C0"/>
    <w:rsid w:val="00A63B10"/>
    <w:rsid w:val="00A67501"/>
    <w:rsid w:val="00A97C88"/>
    <w:rsid w:val="00AA4794"/>
    <w:rsid w:val="00AB3068"/>
    <w:rsid w:val="00AB58F4"/>
    <w:rsid w:val="00AF32DC"/>
    <w:rsid w:val="00AF4577"/>
    <w:rsid w:val="00AF5927"/>
    <w:rsid w:val="00B237E0"/>
    <w:rsid w:val="00B46A60"/>
    <w:rsid w:val="00B853A3"/>
    <w:rsid w:val="00B901AA"/>
    <w:rsid w:val="00BC1A24"/>
    <w:rsid w:val="00BC6ED1"/>
    <w:rsid w:val="00BF0C66"/>
    <w:rsid w:val="00C222AB"/>
    <w:rsid w:val="00C26684"/>
    <w:rsid w:val="00C4274F"/>
    <w:rsid w:val="00C46518"/>
    <w:rsid w:val="00C51965"/>
    <w:rsid w:val="00C520E6"/>
    <w:rsid w:val="00C57F20"/>
    <w:rsid w:val="00C6794A"/>
    <w:rsid w:val="00C70767"/>
    <w:rsid w:val="00C75B8F"/>
    <w:rsid w:val="00C82B1D"/>
    <w:rsid w:val="00C914D9"/>
    <w:rsid w:val="00CB4C80"/>
    <w:rsid w:val="00CC5714"/>
    <w:rsid w:val="00CF6F44"/>
    <w:rsid w:val="00D16845"/>
    <w:rsid w:val="00D56FBE"/>
    <w:rsid w:val="00D65CD9"/>
    <w:rsid w:val="00D751DD"/>
    <w:rsid w:val="00D81D76"/>
    <w:rsid w:val="00D90762"/>
    <w:rsid w:val="00D95A00"/>
    <w:rsid w:val="00DC5B1E"/>
    <w:rsid w:val="00DC63BB"/>
    <w:rsid w:val="00DE49A8"/>
    <w:rsid w:val="00DF2AA2"/>
    <w:rsid w:val="00E15529"/>
    <w:rsid w:val="00E3564F"/>
    <w:rsid w:val="00E3779E"/>
    <w:rsid w:val="00E42132"/>
    <w:rsid w:val="00E567EE"/>
    <w:rsid w:val="00E56FE3"/>
    <w:rsid w:val="00E654C8"/>
    <w:rsid w:val="00E86F1F"/>
    <w:rsid w:val="00E87A6C"/>
    <w:rsid w:val="00E91E6B"/>
    <w:rsid w:val="00EC1838"/>
    <w:rsid w:val="00ED4772"/>
    <w:rsid w:val="00F04D79"/>
    <w:rsid w:val="00F11370"/>
    <w:rsid w:val="00F1564E"/>
    <w:rsid w:val="00F25240"/>
    <w:rsid w:val="00F2548A"/>
    <w:rsid w:val="00F30FD1"/>
    <w:rsid w:val="00F917D6"/>
    <w:rsid w:val="00F92902"/>
    <w:rsid w:val="00F953D0"/>
    <w:rsid w:val="00FA0EB2"/>
    <w:rsid w:val="00FA21D4"/>
    <w:rsid w:val="00FA37AB"/>
    <w:rsid w:val="00FA6736"/>
    <w:rsid w:val="00FB1FB8"/>
    <w:rsid w:val="00FB2003"/>
    <w:rsid w:val="00FC4D59"/>
    <w:rsid w:val="00FC5D55"/>
    <w:rsid w:val="00FE3A0D"/>
    <w:rsid w:val="00FE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EF968A"/>
  <w15:chartTrackingRefBased/>
  <w15:docId w15:val="{FB6EBAAB-FE65-47C4-B8C2-8B3D41D8C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333333" w:themeColor="text2"/>
        <w:sz w:val="24"/>
        <w:szCs w:val="24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58F4"/>
  </w:style>
  <w:style w:type="paragraph" w:styleId="Heading1">
    <w:name w:val="heading 1"/>
    <w:basedOn w:val="Normal"/>
    <w:next w:val="Normal"/>
    <w:link w:val="Heading1Char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3"/>
    <w:unhideWhenUsed/>
    <w:qFormat/>
    <w:rsid w:val="00AA4794"/>
    <w:pPr>
      <w:keepNext/>
      <w:keepLines/>
      <w:pBdr>
        <w:top w:val="single" w:sz="2" w:space="31" w:color="4B651C" w:themeColor="accent2" w:themeShade="80"/>
        <w:left w:val="single" w:sz="2" w:space="12" w:color="4B651C" w:themeColor="accent2" w:themeShade="80"/>
        <w:bottom w:val="single" w:sz="2" w:space="31" w:color="4B651C" w:themeColor="accent2" w:themeShade="80"/>
        <w:right w:val="single" w:sz="2" w:space="12" w:color="4B651C" w:themeColor="accent2" w:themeShade="80"/>
      </w:pBdr>
      <w:shd w:val="clear" w:color="auto" w:fill="4B651C" w:themeFill="accent2" w:themeFillShade="80"/>
      <w:spacing w:after="200" w:line="264" w:lineRule="auto"/>
      <w:ind w:left="288" w:right="288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Heading3">
    <w:name w:val="heading 3"/>
    <w:basedOn w:val="Normal"/>
    <w:link w:val="Heading3Char"/>
    <w:uiPriority w:val="3"/>
    <w:unhideWhenUsed/>
    <w:qFormat/>
    <w:rsid w:val="00AA4794"/>
    <w:pPr>
      <w:keepNext/>
      <w:keepLines/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60" w:line="240" w:lineRule="auto"/>
      <w:ind w:left="144" w:right="144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3"/>
    <w:unhideWhenUsed/>
    <w:qFormat/>
    <w:rsid w:val="00A97C8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77123A" w:themeColor="accent1" w:themeShade="80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6E5B0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B11A57" w:themeColor="accent1" w:themeShade="BF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6E5B0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51139" w:themeColor="accent1" w:themeShade="7F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6E5B0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6E5B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6E5B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2"/>
    <w:qFormat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2"/>
    <w:rsid w:val="008D17FF"/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Heading1Char">
    <w:name w:val="Heading 1 Char"/>
    <w:basedOn w:val="DefaultParagraphFont"/>
    <w:link w:val="Heading1"/>
    <w:uiPriority w:val="3"/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97C88"/>
    <w:rPr>
      <w:color w:val="262626" w:themeColor="text1" w:themeTint="D9"/>
    </w:rPr>
  </w:style>
  <w:style w:type="character" w:customStyle="1" w:styleId="Heading2Char">
    <w:name w:val="Heading 2 Char"/>
    <w:basedOn w:val="DefaultParagraphFont"/>
    <w:link w:val="Heading2"/>
    <w:uiPriority w:val="3"/>
    <w:rsid w:val="00AA4794"/>
    <w:rPr>
      <w:rFonts w:asciiTheme="majorHAnsi" w:eastAsiaTheme="majorEastAsia" w:hAnsiTheme="majorHAnsi" w:cstheme="majorBidi"/>
      <w:color w:val="FFFFFF" w:themeColor="background1"/>
      <w:sz w:val="28"/>
      <w:szCs w:val="28"/>
      <w:shd w:val="clear" w:color="auto" w:fill="4B651C" w:themeFill="accent2" w:themeFillShade="80"/>
    </w:rPr>
  </w:style>
  <w:style w:type="paragraph" w:styleId="NoSpacing">
    <w:name w:val="No Spacing"/>
    <w:uiPriority w:val="98"/>
    <w:qFormat/>
    <w:rsid w:val="00AA4794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3"/>
    <w:rsid w:val="00AA4794"/>
    <w:rPr>
      <w:rFonts w:asciiTheme="majorHAnsi" w:eastAsiaTheme="majorEastAsia" w:hAnsiTheme="majorHAnsi" w:cstheme="majorBidi"/>
      <w:caps/>
      <w:color w:val="FFFFFF" w:themeColor="background1"/>
      <w:shd w:val="clear" w:color="auto" w:fill="B11A57" w:themeFill="accent1" w:themeFillShade="BF"/>
    </w:rPr>
  </w:style>
  <w:style w:type="paragraph" w:customStyle="1" w:styleId="ContactInfo">
    <w:name w:val="Contact Info"/>
    <w:basedOn w:val="Normal"/>
    <w:uiPriority w:val="5"/>
    <w:qFormat/>
    <w:rsid w:val="00AA4794"/>
    <w:pPr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200"/>
      <w:ind w:left="144" w:right="144"/>
      <w:jc w:val="center"/>
    </w:pPr>
    <w:rPr>
      <w:color w:val="FFFFFF" w:themeColor="background1"/>
    </w:rPr>
  </w:style>
  <w:style w:type="paragraph" w:styleId="Date">
    <w:name w:val="Date"/>
    <w:basedOn w:val="Normal"/>
    <w:link w:val="DateChar"/>
    <w:uiPriority w:val="1"/>
    <w:unhideWhenUsed/>
    <w:qFormat/>
    <w:rsid w:val="00FB2003"/>
    <w:pPr>
      <w:spacing w:before="480" w:after="0" w:line="204" w:lineRule="auto"/>
    </w:pPr>
    <w:rPr>
      <w:rFonts w:asciiTheme="majorHAnsi" w:hAnsiTheme="majorHAnsi"/>
      <w:caps/>
      <w:color w:val="E03177" w:themeColor="accent1"/>
      <w:kern w:val="28"/>
      <w:sz w:val="80"/>
    </w:rPr>
  </w:style>
  <w:style w:type="character" w:customStyle="1" w:styleId="DateChar">
    <w:name w:val="Date Char"/>
    <w:basedOn w:val="DefaultParagraphFont"/>
    <w:link w:val="Date"/>
    <w:uiPriority w:val="1"/>
    <w:rsid w:val="00FB2003"/>
    <w:rPr>
      <w:rFonts w:asciiTheme="majorHAnsi" w:hAnsiTheme="majorHAnsi"/>
      <w:caps/>
      <w:color w:val="E03177" w:themeColor="accent1"/>
      <w:kern w:val="28"/>
      <w:sz w:val="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22"/>
      <w:szCs w:val="18"/>
    </w:rPr>
  </w:style>
  <w:style w:type="character" w:customStyle="1" w:styleId="Heading4Char">
    <w:name w:val="Heading 4 Char"/>
    <w:basedOn w:val="DefaultParagraphFont"/>
    <w:link w:val="Heading4"/>
    <w:uiPriority w:val="3"/>
    <w:rsid w:val="00A97C88"/>
    <w:rPr>
      <w:rFonts w:asciiTheme="majorHAnsi" w:eastAsiaTheme="majorEastAsia" w:hAnsiTheme="majorHAnsi" w:cstheme="majorBidi"/>
      <w:color w:val="77123A" w:themeColor="accent1" w:themeShade="80"/>
    </w:rPr>
  </w:style>
  <w:style w:type="paragraph" w:styleId="Bibliography">
    <w:name w:val="Bibliography"/>
    <w:basedOn w:val="Normal"/>
    <w:next w:val="Normal"/>
    <w:uiPriority w:val="37"/>
    <w:semiHidden/>
    <w:unhideWhenUsed/>
    <w:rsid w:val="006E5B0F"/>
  </w:style>
  <w:style w:type="paragraph" w:styleId="BlockText">
    <w:name w:val="Block Text"/>
    <w:basedOn w:val="Normal"/>
    <w:uiPriority w:val="99"/>
    <w:semiHidden/>
    <w:unhideWhenUsed/>
    <w:qFormat/>
    <w:rsid w:val="00A97C88"/>
    <w:pPr>
      <w:pBdr>
        <w:top w:val="single" w:sz="2" w:space="10" w:color="E03177" w:themeColor="accent1"/>
        <w:left w:val="single" w:sz="2" w:space="10" w:color="E03177" w:themeColor="accent1"/>
        <w:bottom w:val="single" w:sz="2" w:space="10" w:color="E03177" w:themeColor="accent1"/>
        <w:right w:val="single" w:sz="2" w:space="10" w:color="E03177" w:themeColor="accent1"/>
      </w:pBdr>
      <w:ind w:left="1152" w:right="1152"/>
    </w:pPr>
    <w:rPr>
      <w:i/>
      <w:iCs/>
      <w:color w:val="77123A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rsid w:val="006E5B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E5B0F"/>
  </w:style>
  <w:style w:type="paragraph" w:styleId="BodyText2">
    <w:name w:val="Body Text 2"/>
    <w:basedOn w:val="Normal"/>
    <w:link w:val="BodyText2Char"/>
    <w:uiPriority w:val="99"/>
    <w:semiHidden/>
    <w:unhideWhenUsed/>
    <w:rsid w:val="006E5B0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E5B0F"/>
  </w:style>
  <w:style w:type="paragraph" w:styleId="BodyText3">
    <w:name w:val="Body Text 3"/>
    <w:basedOn w:val="Normal"/>
    <w:link w:val="BodyText3Char"/>
    <w:uiPriority w:val="99"/>
    <w:semiHidden/>
    <w:unhideWhenUsed/>
    <w:rsid w:val="006E5B0F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E5B0F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E5B0F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E5B0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E5B0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E5B0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E5B0F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E5B0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E5B0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E5B0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E5B0F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E5B0F"/>
    <w:rPr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6E5B0F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E5B0F"/>
    <w:pPr>
      <w:spacing w:after="200" w:line="240" w:lineRule="auto"/>
    </w:pPr>
    <w:rPr>
      <w:i/>
      <w:iCs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E5B0F"/>
  </w:style>
  <w:style w:type="table" w:styleId="ColorfulGrid">
    <w:name w:val="Colorful Grid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</w:rPr>
      <w:tblPr/>
      <w:tcPr>
        <w:shd w:val="clear" w:color="auto" w:fill="F2ACC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ACC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</w:rPr>
      <w:tblPr/>
      <w:tcPr>
        <w:shd w:val="clear" w:color="auto" w:fill="D5E9B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E9B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</w:rPr>
      <w:tblPr/>
      <w:tcPr>
        <w:shd w:val="clear" w:color="auto" w:fill="F8DEA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DEA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</w:rPr>
      <w:tblPr/>
      <w:tcPr>
        <w:shd w:val="clear" w:color="auto" w:fill="F7C2A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2A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</w:rPr>
      <w:tblPr/>
      <w:tcPr>
        <w:shd w:val="clear" w:color="auto" w:fill="C7BCD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BCD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</w:rPr>
      <w:tblPr/>
      <w:tcPr>
        <w:shd w:val="clear" w:color="auto" w:fill="A3DC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DC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EAF1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9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7E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520F" w:themeFill="accent4" w:themeFillShade="CC"/>
      </w:tcPr>
    </w:tblStylePr>
    <w:tblStylePr w:type="lastRow">
      <w:rPr>
        <w:b/>
        <w:bCs/>
        <w:color w:val="BD520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0E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8E0F" w:themeFill="accent3" w:themeFillShade="CC"/>
      </w:tcPr>
    </w:tblStylePr>
    <w:tblStylePr w:type="lastRow">
      <w:rPr>
        <w:b/>
        <w:bCs/>
        <w:color w:val="C78E0F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EE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83A3" w:themeFill="accent6" w:themeFillShade="CC"/>
      </w:tcPr>
    </w:tblStylePr>
    <w:tblStylePr w:type="lastRow">
      <w:rPr>
        <w:b/>
        <w:bCs/>
        <w:color w:val="1D83A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6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C4589" w:themeFill="accent5" w:themeFillShade="CC"/>
      </w:tcPr>
    </w:tblStylePr>
    <w:tblStylePr w:type="lastRow">
      <w:rPr>
        <w:b/>
        <w:bCs/>
        <w:color w:val="5C458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AF1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154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1545" w:themeColor="accent1" w:themeShade="99"/>
          <w:insideV w:val="nil"/>
        </w:tcBorders>
        <w:shd w:val="clear" w:color="auto" w:fill="8E154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1545" w:themeFill="accent1" w:themeFillShade="99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EF98B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792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7922" w:themeColor="accent2" w:themeShade="99"/>
          <w:insideV w:val="nil"/>
        </w:tcBorders>
        <w:shd w:val="clear" w:color="auto" w:fill="5A792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7922" w:themeFill="accent2" w:themeFillShade="99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CAE3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C6814" w:themeColor="accent4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7E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6A0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6A0B" w:themeColor="accent3" w:themeShade="99"/>
          <w:insideV w:val="nil"/>
        </w:tcBorders>
        <w:shd w:val="clear" w:color="auto" w:fill="956A0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6A0B" w:themeFill="accent3" w:themeFillShade="99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EAE1F" w:themeColor="accent3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0E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D3E0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D3E0B" w:themeColor="accent4" w:themeShade="99"/>
          <w:insideV w:val="nil"/>
        </w:tcBorders>
        <w:shd w:val="clear" w:color="auto" w:fill="8D3E0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3E0B" w:themeFill="accent4" w:themeFillShade="99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5B38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4A5CD" w:themeColor="accent6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E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5346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53467" w:themeColor="accent5" w:themeShade="99"/>
          <w:insideV w:val="nil"/>
        </w:tcBorders>
        <w:shd w:val="clear" w:color="auto" w:fill="45346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3467" w:themeFill="accent5" w:themeFillShade="99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B9ABD5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458AB" w:themeColor="accent5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6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27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27A" w:themeColor="accent6" w:themeShade="99"/>
          <w:insideV w:val="nil"/>
        </w:tcBorders>
        <w:shd w:val="clear" w:color="auto" w:fill="15627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27A" w:themeFill="accent6" w:themeFillShade="99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8DD4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E5B0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5B0F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5B0F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B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B0F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113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1A5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641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972B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C5809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B850E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330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4D0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2B5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418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2516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B7B9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6E5B0F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E5B0F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E5B0F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E5B0F"/>
  </w:style>
  <w:style w:type="character" w:styleId="Emphasis">
    <w:name w:val="Emphasis"/>
    <w:basedOn w:val="DefaultParagraphFont"/>
    <w:uiPriority w:val="20"/>
    <w:unhideWhenUsed/>
    <w:qFormat/>
    <w:rsid w:val="006E5B0F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6E5B0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E5B0F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E5B0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E5B0F"/>
    <w:rPr>
      <w:color w:val="7458AB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1153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532"/>
  </w:style>
  <w:style w:type="character" w:styleId="FootnoteReference">
    <w:name w:val="footnote reference"/>
    <w:basedOn w:val="DefaultParagraphFont"/>
    <w:uiPriority w:val="99"/>
    <w:semiHidden/>
    <w:unhideWhenUsed/>
    <w:rsid w:val="006E5B0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5B0F"/>
    <w:rPr>
      <w:sz w:val="22"/>
      <w:szCs w:val="20"/>
    </w:rPr>
  </w:style>
  <w:style w:type="table" w:styleId="GridTable1Light">
    <w:name w:val="Grid Table 1 Light"/>
    <w:basedOn w:val="TableNormal"/>
    <w:uiPriority w:val="46"/>
    <w:rsid w:val="00FA21D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rPr>
      <w:tblHeader/>
    </w:trPr>
    <w:tblStylePr w:type="firstRow">
      <w:rPr>
        <w:b w:val="0"/>
        <w:bCs/>
        <w:i w:val="0"/>
      </w:rPr>
      <w:tblPr/>
      <w:tcPr>
        <w:tcBorders>
          <w:bottom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2ACC8" w:themeColor="accent1" w:themeTint="66"/>
        <w:left w:val="single" w:sz="4" w:space="0" w:color="F2ACC8" w:themeColor="accent1" w:themeTint="66"/>
        <w:bottom w:val="single" w:sz="4" w:space="0" w:color="F2ACC8" w:themeColor="accent1" w:themeTint="66"/>
        <w:right w:val="single" w:sz="4" w:space="0" w:color="F2ACC8" w:themeColor="accent1" w:themeTint="66"/>
        <w:insideH w:val="single" w:sz="4" w:space="0" w:color="F2ACC8" w:themeColor="accent1" w:themeTint="66"/>
        <w:insideV w:val="single" w:sz="4" w:space="0" w:color="F2ACC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5E9B1" w:themeColor="accent2" w:themeTint="66"/>
        <w:left w:val="single" w:sz="4" w:space="0" w:color="D5E9B1" w:themeColor="accent2" w:themeTint="66"/>
        <w:bottom w:val="single" w:sz="4" w:space="0" w:color="D5E9B1" w:themeColor="accent2" w:themeTint="66"/>
        <w:right w:val="single" w:sz="4" w:space="0" w:color="D5E9B1" w:themeColor="accent2" w:themeTint="66"/>
        <w:insideH w:val="single" w:sz="4" w:space="0" w:color="D5E9B1" w:themeColor="accent2" w:themeTint="66"/>
        <w:insideV w:val="single" w:sz="4" w:space="0" w:color="D5E9B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8DEA5" w:themeColor="accent3" w:themeTint="66"/>
        <w:left w:val="single" w:sz="4" w:space="0" w:color="F8DEA5" w:themeColor="accent3" w:themeTint="66"/>
        <w:bottom w:val="single" w:sz="4" w:space="0" w:color="F8DEA5" w:themeColor="accent3" w:themeTint="66"/>
        <w:right w:val="single" w:sz="4" w:space="0" w:color="F8DEA5" w:themeColor="accent3" w:themeTint="66"/>
        <w:insideH w:val="single" w:sz="4" w:space="0" w:color="F8DEA5" w:themeColor="accent3" w:themeTint="66"/>
        <w:insideV w:val="single" w:sz="4" w:space="0" w:color="F8DEA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7C2A0" w:themeColor="accent4" w:themeTint="66"/>
        <w:left w:val="single" w:sz="4" w:space="0" w:color="F7C2A0" w:themeColor="accent4" w:themeTint="66"/>
        <w:bottom w:val="single" w:sz="4" w:space="0" w:color="F7C2A0" w:themeColor="accent4" w:themeTint="66"/>
        <w:right w:val="single" w:sz="4" w:space="0" w:color="F7C2A0" w:themeColor="accent4" w:themeTint="66"/>
        <w:insideH w:val="single" w:sz="4" w:space="0" w:color="F7C2A0" w:themeColor="accent4" w:themeTint="66"/>
        <w:insideV w:val="single" w:sz="4" w:space="0" w:color="F7C2A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7BCDD" w:themeColor="accent5" w:themeTint="66"/>
        <w:left w:val="single" w:sz="4" w:space="0" w:color="C7BCDD" w:themeColor="accent5" w:themeTint="66"/>
        <w:bottom w:val="single" w:sz="4" w:space="0" w:color="C7BCDD" w:themeColor="accent5" w:themeTint="66"/>
        <w:right w:val="single" w:sz="4" w:space="0" w:color="C7BCDD" w:themeColor="accent5" w:themeTint="66"/>
        <w:insideH w:val="single" w:sz="4" w:space="0" w:color="C7BCDD" w:themeColor="accent5" w:themeTint="66"/>
        <w:insideV w:val="single" w:sz="4" w:space="0" w:color="C7BCD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3DCEF" w:themeColor="accent6" w:themeTint="66"/>
        <w:left w:val="single" w:sz="4" w:space="0" w:color="A3DCEF" w:themeColor="accent6" w:themeTint="66"/>
        <w:bottom w:val="single" w:sz="4" w:space="0" w:color="A3DCEF" w:themeColor="accent6" w:themeTint="66"/>
        <w:right w:val="single" w:sz="4" w:space="0" w:color="A3DCEF" w:themeColor="accent6" w:themeTint="66"/>
        <w:insideH w:val="single" w:sz="4" w:space="0" w:color="A3DCEF" w:themeColor="accent6" w:themeTint="66"/>
        <w:insideV w:val="single" w:sz="4" w:space="0" w:color="A3DC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EC83AD" w:themeColor="accent1" w:themeTint="99"/>
        <w:bottom w:val="single" w:sz="2" w:space="0" w:color="EC83AD" w:themeColor="accent1" w:themeTint="99"/>
        <w:insideH w:val="single" w:sz="2" w:space="0" w:color="EC83AD" w:themeColor="accent1" w:themeTint="99"/>
        <w:insideV w:val="single" w:sz="2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83A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C0DE8A" w:themeColor="accent2" w:themeTint="99"/>
        <w:bottom w:val="single" w:sz="2" w:space="0" w:color="C0DE8A" w:themeColor="accent2" w:themeTint="99"/>
        <w:insideH w:val="single" w:sz="2" w:space="0" w:color="C0DE8A" w:themeColor="accent2" w:themeTint="99"/>
        <w:insideV w:val="single" w:sz="2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DE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4CE78" w:themeColor="accent3" w:themeTint="99"/>
        <w:bottom w:val="single" w:sz="2" w:space="0" w:color="F4CE78" w:themeColor="accent3" w:themeTint="99"/>
        <w:insideH w:val="single" w:sz="2" w:space="0" w:color="F4CE78" w:themeColor="accent3" w:themeTint="99"/>
        <w:insideV w:val="single" w:sz="2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CE78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3A471" w:themeColor="accent4" w:themeTint="99"/>
        <w:bottom w:val="single" w:sz="2" w:space="0" w:color="F3A471" w:themeColor="accent4" w:themeTint="99"/>
        <w:insideH w:val="single" w:sz="2" w:space="0" w:color="F3A471" w:themeColor="accent4" w:themeTint="99"/>
        <w:insideV w:val="single" w:sz="2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3A47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AB9ACC" w:themeColor="accent5" w:themeTint="99"/>
        <w:bottom w:val="single" w:sz="2" w:space="0" w:color="AB9ACC" w:themeColor="accent5" w:themeTint="99"/>
        <w:insideH w:val="single" w:sz="2" w:space="0" w:color="AB9ACC" w:themeColor="accent5" w:themeTint="99"/>
        <w:insideV w:val="single" w:sz="2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9AC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75CBE6" w:themeColor="accent6" w:themeTint="99"/>
        <w:bottom w:val="single" w:sz="2" w:space="0" w:color="75CBE6" w:themeColor="accent6" w:themeTint="99"/>
        <w:insideH w:val="single" w:sz="2" w:space="0" w:color="75CBE6" w:themeColor="accent6" w:themeTint="99"/>
        <w:insideV w:val="single" w:sz="2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5CB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GridTable3">
    <w:name w:val="Grid Table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F2ACC8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D5E9B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8DEA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7C2A0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C7BCDD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A3DCEF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1153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532"/>
  </w:style>
  <w:style w:type="character" w:customStyle="1" w:styleId="Heading5Char">
    <w:name w:val="Heading 5 Char"/>
    <w:basedOn w:val="DefaultParagraphFont"/>
    <w:link w:val="Heading5"/>
    <w:uiPriority w:val="3"/>
    <w:semiHidden/>
    <w:rsid w:val="008D17FF"/>
    <w:rPr>
      <w:rFonts w:asciiTheme="majorHAnsi" w:eastAsiaTheme="majorEastAsia" w:hAnsiTheme="majorHAnsi" w:cstheme="majorBidi"/>
      <w:color w:val="B11A57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8D17FF"/>
    <w:rPr>
      <w:rFonts w:asciiTheme="majorHAnsi" w:eastAsiaTheme="majorEastAsia" w:hAnsiTheme="majorHAnsi" w:cstheme="majorBidi"/>
      <w:color w:val="75113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8D17FF"/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8D17FF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8D17FF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6E5B0F"/>
  </w:style>
  <w:style w:type="paragraph" w:styleId="HTMLAddress">
    <w:name w:val="HTML Address"/>
    <w:basedOn w:val="Normal"/>
    <w:link w:val="HTMLAddressChar"/>
    <w:uiPriority w:val="99"/>
    <w:semiHidden/>
    <w:unhideWhenUsed/>
    <w:rsid w:val="006E5B0F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E5B0F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E5B0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E5B0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5B0F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6E5B0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6E5B0F"/>
    <w:rPr>
      <w:i/>
      <w:iCs/>
    </w:rPr>
  </w:style>
  <w:style w:type="character" w:styleId="Hyperlink">
    <w:name w:val="Hyperlink"/>
    <w:basedOn w:val="DefaultParagraphFont"/>
    <w:uiPriority w:val="99"/>
    <w:unhideWhenUsed/>
    <w:rsid w:val="00A97C88"/>
    <w:rPr>
      <w:color w:val="125266" w:themeColor="accent6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E5B0F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E5B0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71CDD"/>
    <w:rPr>
      <w:i/>
      <w:iCs/>
      <w:color w:val="B11A57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71CDD"/>
    <w:pPr>
      <w:pBdr>
        <w:top w:val="single" w:sz="4" w:space="10" w:color="E03177" w:themeColor="accent1"/>
        <w:bottom w:val="single" w:sz="4" w:space="10" w:color="E03177" w:themeColor="accent1"/>
      </w:pBdr>
      <w:spacing w:before="360" w:after="360"/>
      <w:ind w:left="864" w:right="864"/>
      <w:jc w:val="center"/>
    </w:pPr>
    <w:rPr>
      <w:i/>
      <w:iCs/>
      <w:color w:val="B11A57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71CDD"/>
    <w:rPr>
      <w:i/>
      <w:iCs/>
      <w:color w:val="B11A57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97C88"/>
    <w:rPr>
      <w:b/>
      <w:bCs/>
      <w:caps w:val="0"/>
      <w:smallCaps/>
      <w:color w:val="77123A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1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  <w:shd w:val="clear" w:color="auto" w:fill="F7CCDD" w:themeFill="accent1" w:themeFillTint="3F"/>
      </w:tcPr>
    </w:tblStylePr>
    <w:tblStylePr w:type="band2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1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  <w:shd w:val="clear" w:color="auto" w:fill="E5F1CE" w:themeFill="accent2" w:themeFillTint="3F"/>
      </w:tcPr>
    </w:tblStylePr>
    <w:tblStylePr w:type="band2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1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  <w:shd w:val="clear" w:color="auto" w:fill="FAEAC7" w:themeFill="accent3" w:themeFillTint="3F"/>
      </w:tcPr>
    </w:tblStylePr>
    <w:tblStylePr w:type="band2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1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  <w:shd w:val="clear" w:color="auto" w:fill="FAD9C4" w:themeFill="accent4" w:themeFillTint="3F"/>
      </w:tcPr>
    </w:tblStylePr>
    <w:tblStylePr w:type="band2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1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  <w:shd w:val="clear" w:color="auto" w:fill="DCD5EA" w:themeFill="accent5" w:themeFillTint="3F"/>
      </w:tcPr>
    </w:tblStylePr>
    <w:tblStylePr w:type="band2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1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  <w:shd w:val="clear" w:color="auto" w:fill="C6E9F5" w:themeFill="accent6" w:themeFillTint="3F"/>
      </w:tcPr>
    </w:tblStylePr>
    <w:tblStylePr w:type="band2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E5B0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6E5B0F"/>
  </w:style>
  <w:style w:type="paragraph" w:styleId="List">
    <w:name w:val="List"/>
    <w:basedOn w:val="Normal"/>
    <w:uiPriority w:val="99"/>
    <w:semiHidden/>
    <w:unhideWhenUsed/>
    <w:rsid w:val="006E5B0F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6E5B0F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6E5B0F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6E5B0F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6E5B0F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6E5B0F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E5B0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E5B0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E5B0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E5B0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6E5B0F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E5B0F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E5B0F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E5B0F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E5B0F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6E5B0F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E5B0F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E5B0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E5B0F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E5B0F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6E5B0F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2">
    <w:name w:val="List Table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bottom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bottom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bottom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bottom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bottom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bottom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3">
    <w:name w:val="List Table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03177" w:themeColor="accent1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3177" w:themeColor="accent1"/>
          <w:right w:val="single" w:sz="4" w:space="0" w:color="E03177" w:themeColor="accent1"/>
        </w:tcBorders>
      </w:tcPr>
    </w:tblStylePr>
    <w:tblStylePr w:type="band1Horz">
      <w:tblPr/>
      <w:tcPr>
        <w:tcBorders>
          <w:top w:val="single" w:sz="4" w:space="0" w:color="E03177" w:themeColor="accent1"/>
          <w:bottom w:val="single" w:sz="4" w:space="0" w:color="E0317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3177" w:themeColor="accent1"/>
          <w:left w:val="nil"/>
        </w:tcBorders>
      </w:tcPr>
    </w:tblStylePr>
    <w:tblStylePr w:type="swCell">
      <w:tblPr/>
      <w:tcPr>
        <w:tcBorders>
          <w:top w:val="double" w:sz="4" w:space="0" w:color="E03177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7C83C" w:themeColor="accent2"/>
          <w:right w:val="single" w:sz="4" w:space="0" w:color="97C83C" w:themeColor="accent2"/>
        </w:tcBorders>
      </w:tcPr>
    </w:tblStylePr>
    <w:tblStylePr w:type="band1Horz">
      <w:tblPr/>
      <w:tcPr>
        <w:tcBorders>
          <w:top w:val="single" w:sz="4" w:space="0" w:color="97C83C" w:themeColor="accent2"/>
          <w:bottom w:val="single" w:sz="4" w:space="0" w:color="97C83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7C83C" w:themeColor="accent2"/>
          <w:left w:val="nil"/>
        </w:tcBorders>
      </w:tcPr>
    </w:tblStylePr>
    <w:tblStylePr w:type="swCell">
      <w:tblPr/>
      <w:tcPr>
        <w:tcBorders>
          <w:top w:val="double" w:sz="4" w:space="0" w:color="97C83C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EAE1F" w:themeColor="accent3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EAE1F" w:themeColor="accent3"/>
          <w:right w:val="single" w:sz="4" w:space="0" w:color="EEAE1F" w:themeColor="accent3"/>
        </w:tcBorders>
      </w:tcPr>
    </w:tblStylePr>
    <w:tblStylePr w:type="band1Horz">
      <w:tblPr/>
      <w:tcPr>
        <w:tcBorders>
          <w:top w:val="single" w:sz="4" w:space="0" w:color="EEAE1F" w:themeColor="accent3"/>
          <w:bottom w:val="single" w:sz="4" w:space="0" w:color="EEAE1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EAE1F" w:themeColor="accent3"/>
          <w:left w:val="nil"/>
        </w:tcBorders>
      </w:tcPr>
    </w:tblStylePr>
    <w:tblStylePr w:type="swCell">
      <w:tblPr/>
      <w:tcPr>
        <w:tcBorders>
          <w:top w:val="double" w:sz="4" w:space="0" w:color="EEAE1F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6814" w:themeColor="accent4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C6814" w:themeColor="accent4"/>
          <w:right w:val="single" w:sz="4" w:space="0" w:color="EC6814" w:themeColor="accent4"/>
        </w:tcBorders>
      </w:tcPr>
    </w:tblStylePr>
    <w:tblStylePr w:type="band1Horz">
      <w:tblPr/>
      <w:tcPr>
        <w:tcBorders>
          <w:top w:val="single" w:sz="4" w:space="0" w:color="EC6814" w:themeColor="accent4"/>
          <w:bottom w:val="single" w:sz="4" w:space="0" w:color="EC6814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C6814" w:themeColor="accent4"/>
          <w:left w:val="nil"/>
        </w:tcBorders>
      </w:tcPr>
    </w:tblStylePr>
    <w:tblStylePr w:type="swCell">
      <w:tblPr/>
      <w:tcPr>
        <w:tcBorders>
          <w:top w:val="double" w:sz="4" w:space="0" w:color="EC6814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458AB" w:themeColor="accent5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58AB" w:themeColor="accent5"/>
          <w:right w:val="single" w:sz="4" w:space="0" w:color="7458AB" w:themeColor="accent5"/>
        </w:tcBorders>
      </w:tcPr>
    </w:tblStylePr>
    <w:tblStylePr w:type="band1Horz">
      <w:tblPr/>
      <w:tcPr>
        <w:tcBorders>
          <w:top w:val="single" w:sz="4" w:space="0" w:color="7458AB" w:themeColor="accent5"/>
          <w:bottom w:val="single" w:sz="4" w:space="0" w:color="7458A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58AB" w:themeColor="accent5"/>
          <w:left w:val="nil"/>
        </w:tcBorders>
      </w:tcPr>
    </w:tblStylePr>
    <w:tblStylePr w:type="swCell">
      <w:tblPr/>
      <w:tcPr>
        <w:tcBorders>
          <w:top w:val="double" w:sz="4" w:space="0" w:color="7458AB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24A5CD" w:themeColor="accent6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4A5CD" w:themeColor="accent6"/>
          <w:right w:val="single" w:sz="4" w:space="0" w:color="24A5CD" w:themeColor="accent6"/>
        </w:tcBorders>
      </w:tcPr>
    </w:tblStylePr>
    <w:tblStylePr w:type="band1Horz">
      <w:tblPr/>
      <w:tcPr>
        <w:tcBorders>
          <w:top w:val="single" w:sz="4" w:space="0" w:color="24A5CD" w:themeColor="accent6"/>
          <w:bottom w:val="single" w:sz="4" w:space="0" w:color="24A5C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4A5CD" w:themeColor="accent6"/>
          <w:left w:val="nil"/>
        </w:tcBorders>
      </w:tcPr>
    </w:tblStylePr>
    <w:tblStylePr w:type="swCell">
      <w:tblPr/>
      <w:tcPr>
        <w:tcBorders>
          <w:top w:val="double" w:sz="4" w:space="0" w:color="24A5C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3177" w:themeColor="accent1"/>
        <w:left w:val="single" w:sz="24" w:space="0" w:color="E03177" w:themeColor="accent1"/>
        <w:bottom w:val="single" w:sz="24" w:space="0" w:color="E03177" w:themeColor="accent1"/>
        <w:right w:val="single" w:sz="24" w:space="0" w:color="E03177" w:themeColor="accent1"/>
      </w:tblBorders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7C83C" w:themeColor="accent2"/>
        <w:left w:val="single" w:sz="24" w:space="0" w:color="97C83C" w:themeColor="accent2"/>
        <w:bottom w:val="single" w:sz="24" w:space="0" w:color="97C83C" w:themeColor="accent2"/>
        <w:right w:val="single" w:sz="24" w:space="0" w:color="97C83C" w:themeColor="accent2"/>
      </w:tblBorders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EAE1F" w:themeColor="accent3"/>
        <w:left w:val="single" w:sz="24" w:space="0" w:color="EEAE1F" w:themeColor="accent3"/>
        <w:bottom w:val="single" w:sz="24" w:space="0" w:color="EEAE1F" w:themeColor="accent3"/>
        <w:right w:val="single" w:sz="24" w:space="0" w:color="EEAE1F" w:themeColor="accent3"/>
      </w:tblBorders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C6814" w:themeColor="accent4"/>
        <w:left w:val="single" w:sz="24" w:space="0" w:color="EC6814" w:themeColor="accent4"/>
        <w:bottom w:val="single" w:sz="24" w:space="0" w:color="EC6814" w:themeColor="accent4"/>
        <w:right w:val="single" w:sz="24" w:space="0" w:color="EC6814" w:themeColor="accent4"/>
      </w:tblBorders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58AB" w:themeColor="accent5"/>
        <w:left w:val="single" w:sz="24" w:space="0" w:color="7458AB" w:themeColor="accent5"/>
        <w:bottom w:val="single" w:sz="24" w:space="0" w:color="7458AB" w:themeColor="accent5"/>
        <w:right w:val="single" w:sz="24" w:space="0" w:color="7458AB" w:themeColor="accent5"/>
      </w:tblBorders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4A5CD" w:themeColor="accent6"/>
        <w:left w:val="single" w:sz="24" w:space="0" w:color="24A5CD" w:themeColor="accent6"/>
        <w:bottom w:val="single" w:sz="24" w:space="0" w:color="24A5CD" w:themeColor="accent6"/>
        <w:right w:val="single" w:sz="24" w:space="0" w:color="24A5CD" w:themeColor="accent6"/>
      </w:tblBorders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03177" w:themeColor="accent1"/>
        <w:bottom w:val="single" w:sz="4" w:space="0" w:color="E0317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0317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97C83C" w:themeColor="accent2"/>
        <w:bottom w:val="single" w:sz="4" w:space="0" w:color="97C83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7C83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EEAE1F" w:themeColor="accent3"/>
        <w:bottom w:val="single" w:sz="4" w:space="0" w:color="EEAE1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EAE1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EC6814" w:themeColor="accent4"/>
        <w:bottom w:val="single" w:sz="4" w:space="0" w:color="EC6814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EC6814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7458AB" w:themeColor="accent5"/>
        <w:bottom w:val="single" w:sz="4" w:space="0" w:color="7458A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458A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24A5CD" w:themeColor="accent6"/>
        <w:bottom w:val="single" w:sz="4" w:space="0" w:color="24A5C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4A5C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317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317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317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317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7C83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7C83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7C83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7C83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EAE1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EAE1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EAE1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EAE1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C6814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C6814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C6814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C6814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58A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58A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58A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58A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4A5C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4A5C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4A5C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4A5C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E5B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E5B0F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  <w:insideV w:val="single" w:sz="8" w:space="0" w:color="E76499" w:themeColor="accent1" w:themeTint="BF"/>
      </w:tblBorders>
    </w:tblPr>
    <w:tcPr>
      <w:shd w:val="clear" w:color="auto" w:fill="F7CCD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649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  <w:insideV w:val="single" w:sz="8" w:space="0" w:color="B0D56C" w:themeColor="accent2" w:themeTint="BF"/>
      </w:tblBorders>
    </w:tblPr>
    <w:tcPr>
      <w:shd w:val="clear" w:color="auto" w:fill="E5F1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D56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  <w:insideV w:val="single" w:sz="8" w:space="0" w:color="F2C257" w:themeColor="accent3" w:themeTint="BF"/>
      </w:tblBorders>
    </w:tblPr>
    <w:tcPr>
      <w:shd w:val="clear" w:color="auto" w:fill="FAEA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C25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  <w:insideV w:val="single" w:sz="8" w:space="0" w:color="F08D4E" w:themeColor="accent4" w:themeTint="BF"/>
      </w:tblBorders>
    </w:tblPr>
    <w:tcPr>
      <w:shd w:val="clear" w:color="auto" w:fill="FAD9C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08D4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  <w:insideV w:val="single" w:sz="8" w:space="0" w:color="9681C0" w:themeColor="accent5" w:themeTint="BF"/>
      </w:tblBorders>
    </w:tblPr>
    <w:tcPr>
      <w:shd w:val="clear" w:color="auto" w:fill="DCD5EA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81C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  <w:insideV w:val="single" w:sz="8" w:space="0" w:color="53BFE0" w:themeColor="accent6" w:themeTint="BF"/>
      </w:tblBorders>
    </w:tblPr>
    <w:tcPr>
      <w:shd w:val="clear" w:color="auto" w:fill="C6E9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3BF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cPr>
      <w:shd w:val="clear" w:color="auto" w:fill="F7CCD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AF1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5E3" w:themeFill="accent1" w:themeFillTint="33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tcBorders>
          <w:insideH w:val="single" w:sz="6" w:space="0" w:color="E03177" w:themeColor="accent1"/>
          <w:insideV w:val="single" w:sz="6" w:space="0" w:color="E03177" w:themeColor="accent1"/>
        </w:tcBorders>
        <w:shd w:val="clear" w:color="auto" w:fill="EF98B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cPr>
      <w:shd w:val="clear" w:color="auto" w:fill="E5F1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4D8" w:themeFill="accent2" w:themeFillTint="33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tcBorders>
          <w:insideH w:val="single" w:sz="6" w:space="0" w:color="97C83C" w:themeColor="accent2"/>
          <w:insideV w:val="single" w:sz="6" w:space="0" w:color="97C83C" w:themeColor="accent2"/>
        </w:tcBorders>
        <w:shd w:val="clear" w:color="auto" w:fill="CAE3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cPr>
      <w:shd w:val="clear" w:color="auto" w:fill="FAEA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F7E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ED2" w:themeFill="accent3" w:themeFillTint="33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tcBorders>
          <w:insideH w:val="single" w:sz="6" w:space="0" w:color="EEAE1F" w:themeColor="accent3"/>
          <w:insideV w:val="single" w:sz="6" w:space="0" w:color="EEAE1F" w:themeColor="accent3"/>
        </w:tcBorders>
        <w:shd w:val="clear" w:color="auto" w:fill="F6D68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cPr>
      <w:shd w:val="clear" w:color="auto" w:fill="FAD9C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0E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0CF" w:themeFill="accent4" w:themeFillTint="33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tcBorders>
          <w:insideH w:val="single" w:sz="6" w:space="0" w:color="EC6814" w:themeColor="accent4"/>
          <w:insideV w:val="single" w:sz="6" w:space="0" w:color="EC6814" w:themeColor="accent4"/>
        </w:tcBorders>
        <w:shd w:val="clear" w:color="auto" w:fill="F5B38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cPr>
      <w:shd w:val="clear" w:color="auto" w:fill="DCD5EA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EE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DEE" w:themeFill="accent5" w:themeFillTint="33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tcBorders>
          <w:insideH w:val="single" w:sz="6" w:space="0" w:color="7458AB" w:themeColor="accent5"/>
          <w:insideV w:val="single" w:sz="6" w:space="0" w:color="7458AB" w:themeColor="accent5"/>
        </w:tcBorders>
        <w:shd w:val="clear" w:color="auto" w:fill="B9ABD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cPr>
      <w:shd w:val="clear" w:color="auto" w:fill="C6E9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6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EDF7" w:themeFill="accent6" w:themeFillTint="33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tcBorders>
          <w:insideH w:val="single" w:sz="6" w:space="0" w:color="24A5CD" w:themeColor="accent6"/>
          <w:insideV w:val="single" w:sz="6" w:space="0" w:color="24A5CD" w:themeColor="accent6"/>
        </w:tcBorders>
        <w:shd w:val="clear" w:color="auto" w:fill="8DD4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CCD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98B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98BB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F1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E3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E39D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EA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D68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D68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9C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5B38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5B389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D5EA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ABD5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ABD5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6E9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DD4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DD4EB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3177" w:themeColor="accen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shd w:val="clear" w:color="auto" w:fill="F7CCDD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7C83C" w:themeColor="accent2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shd w:val="clear" w:color="auto" w:fill="E5F1CE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EAE1F" w:themeColor="accent3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shd w:val="clear" w:color="auto" w:fill="FAEA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C6814" w:themeColor="accent4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shd w:val="clear" w:color="auto" w:fill="FAD9C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58AB" w:themeColor="accent5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shd w:val="clear" w:color="auto" w:fill="DCD5EA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4A5CD" w:themeColor="accent6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shd w:val="clear" w:color="auto" w:fill="C6E9F5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317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317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317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CCD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7C83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7C83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F1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EAE1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EAE1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EA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C6814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C6814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9C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58A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58A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D5EA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4A5C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4A5C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6E9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CCD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F1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EA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9C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D5EA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6E9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E5B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E5B0F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E5B0F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6E5B0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E5B0F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E5B0F"/>
  </w:style>
  <w:style w:type="character" w:styleId="PageNumber">
    <w:name w:val="page number"/>
    <w:basedOn w:val="DefaultParagraphFont"/>
    <w:uiPriority w:val="99"/>
    <w:semiHidden/>
    <w:unhideWhenUsed/>
    <w:rsid w:val="006E5B0F"/>
  </w:style>
  <w:style w:type="table" w:styleId="PlainTable1">
    <w:name w:val="Plain Table 1"/>
    <w:basedOn w:val="TableNormal"/>
    <w:uiPriority w:val="41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E5B0F"/>
    <w:rPr>
      <w:rFonts w:ascii="Consolas" w:hAnsi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6E5B0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E5B0F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E5B0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E5B0F"/>
  </w:style>
  <w:style w:type="paragraph" w:styleId="Signature">
    <w:name w:val="Signature"/>
    <w:basedOn w:val="Normal"/>
    <w:link w:val="Signature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E5B0F"/>
  </w:style>
  <w:style w:type="character" w:styleId="Strong">
    <w:name w:val="Strong"/>
    <w:basedOn w:val="DefaultParagraphFont"/>
    <w:uiPriority w:val="22"/>
    <w:unhideWhenUsed/>
    <w:qFormat/>
    <w:rsid w:val="006E5B0F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6E5B0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6E5B0F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6E5B0F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E5B0F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E5B0F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E5B0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E5B0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E5B0F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E5B0F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E5B0F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E5B0F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E5B0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E5B0F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E5B0F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E5B0F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E5B0F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6E5B0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6E5B0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E5B0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E5B0F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E5B0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E5B0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E5B0F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E5B0F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E5B0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E5B0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E5B0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E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6E5B0F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E5B0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E5B0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E5B0F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E5B0F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E5B0F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E5B0F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E5B0F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E5B0F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E5B0F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E5B0F"/>
    <w:pPr>
      <w:spacing w:before="240" w:after="0" w:line="312" w:lineRule="auto"/>
      <w:contextualSpacing w:val="0"/>
      <w:outlineLvl w:val="9"/>
    </w:pPr>
    <w:rPr>
      <w:rFonts w:asciiTheme="majorHAnsi" w:eastAsiaTheme="majorEastAsia" w:hAnsiTheme="majorHAnsi" w:cstheme="majorBidi"/>
      <w:b w:val="0"/>
      <w:bCs w:val="0"/>
      <w:color w:val="B11A57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55A9"/>
    <w:rPr>
      <w:color w:val="605E5C"/>
      <w:shd w:val="clear" w:color="auto" w:fill="E1DFDD"/>
    </w:rPr>
  </w:style>
  <w:style w:type="character" w:customStyle="1" w:styleId="text">
    <w:name w:val="text"/>
    <w:basedOn w:val="DefaultParagraphFont"/>
    <w:rsid w:val="00FE3A0D"/>
  </w:style>
  <w:style w:type="character" w:customStyle="1" w:styleId="journaltitle">
    <w:name w:val="journaltitle"/>
    <w:basedOn w:val="DefaultParagraphFont"/>
    <w:rsid w:val="00194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0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nk.springer.com/article/10.1007/s00334-015-0553-8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researchgate.net/figure/Location-of-Lattara-in-France-and-reconstitution-of-the-coastline-and-the-lagoons-of_fig1_2253552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nk.springer.com/journal/33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ace\AppData\Roaming\Microsoft\Templates\Seasonal%20event%20flyer.dotx" TargetMode="External"/></Relationships>
</file>

<file path=word/theme/theme1.xml><?xml version="1.0" encoding="utf-8"?>
<a:theme xmlns:a="http://schemas.openxmlformats.org/drawingml/2006/main" name="Office Theme">
  <a:themeElements>
    <a:clrScheme name="Summer Business">
      <a:dk1>
        <a:sysClr val="windowText" lastClr="000000"/>
      </a:dk1>
      <a:lt1>
        <a:sysClr val="window" lastClr="FFFFFF"/>
      </a:lt1>
      <a:dk2>
        <a:srgbClr val="333333"/>
      </a:dk2>
      <a:lt2>
        <a:srgbClr val="E6E6E6"/>
      </a:lt2>
      <a:accent1>
        <a:srgbClr val="E03177"/>
      </a:accent1>
      <a:accent2>
        <a:srgbClr val="97C83C"/>
      </a:accent2>
      <a:accent3>
        <a:srgbClr val="EEAE1F"/>
      </a:accent3>
      <a:accent4>
        <a:srgbClr val="EC6814"/>
      </a:accent4>
      <a:accent5>
        <a:srgbClr val="7458AB"/>
      </a:accent5>
      <a:accent6>
        <a:srgbClr val="24A5CD"/>
      </a:accent6>
      <a:hlink>
        <a:srgbClr val="24A5CD"/>
      </a:hlink>
      <a:folHlink>
        <a:srgbClr val="7458AB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Seasonal event flyer</Template>
  <TotalTime>555</TotalTime>
  <Pages>5</Pages>
  <Words>1595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Lovedaay</dc:creator>
  <cp:keywords/>
  <dc:description/>
  <cp:lastModifiedBy>Melantha Snow</cp:lastModifiedBy>
  <cp:revision>136</cp:revision>
  <dcterms:created xsi:type="dcterms:W3CDTF">2019-01-31T12:12:00Z</dcterms:created>
  <dcterms:modified xsi:type="dcterms:W3CDTF">2019-02-03T21:54:00Z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