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3E3D8" w14:textId="77777777" w:rsidR="00F37E7E" w:rsidRDefault="00F37E7E" w:rsidP="00F37E7E">
      <w:pPr>
        <w:pStyle w:val="NormalWeb"/>
        <w:spacing w:before="0" w:beforeAutospacing="0" w:after="0" w:afterAutospacing="0"/>
        <w:ind w:left="-180" w:right="-334"/>
      </w:pPr>
      <w:bookmarkStart w:id="0" w:name="_Hlk221788963"/>
      <w:r>
        <w:rPr>
          <w:noProof/>
          <w:lang w:eastAsia="en-GB"/>
        </w:rPr>
        <w:drawing>
          <wp:inline distT="0" distB="0" distL="0" distR="0" wp14:anchorId="33FE12E3" wp14:editId="35276276">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B68ACC3" w14:textId="77777777" w:rsidR="00F37E7E" w:rsidRDefault="00F37E7E" w:rsidP="00F37E7E">
      <w:pPr>
        <w:pStyle w:val="NormalWeb"/>
        <w:spacing w:before="0" w:beforeAutospacing="0" w:after="0" w:afterAutospacing="0"/>
        <w:ind w:left="-180" w:right="-334"/>
      </w:pPr>
    </w:p>
    <w:p w14:paraId="39B87FC5" w14:textId="77777777" w:rsidR="00F37E7E" w:rsidRDefault="00F37E7E" w:rsidP="00F37E7E">
      <w:pPr>
        <w:pStyle w:val="NormalWeb"/>
        <w:spacing w:before="0" w:beforeAutospacing="0" w:after="0" w:afterAutospacing="0"/>
        <w:ind w:left="-180" w:right="-334"/>
      </w:pPr>
    </w:p>
    <w:p w14:paraId="760A749E" w14:textId="77777777" w:rsidR="00F37E7E" w:rsidRDefault="00F37E7E" w:rsidP="00F37E7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A28B941" w14:textId="77777777" w:rsidR="00F37E7E" w:rsidRPr="00230F35" w:rsidRDefault="00F37E7E" w:rsidP="00F37E7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7579CCC" w14:textId="77777777" w:rsidR="00F37E7E" w:rsidRPr="00230F35" w:rsidRDefault="00F37E7E" w:rsidP="00F37E7E">
      <w:pPr>
        <w:rPr>
          <w:rFonts w:ascii="Arial" w:hAnsi="Arial" w:cs="Arial"/>
          <w:sz w:val="28"/>
          <w:szCs w:val="28"/>
          <w:lang w:val="cy-GB"/>
        </w:rPr>
      </w:pPr>
    </w:p>
    <w:p w14:paraId="57272210" w14:textId="77777777" w:rsidR="00F37E7E" w:rsidRDefault="00F37E7E" w:rsidP="00F37E7E">
      <w:pPr>
        <w:pStyle w:val="Heading3"/>
        <w:jc w:val="center"/>
        <w:rPr>
          <w:lang w:val="cy-GB"/>
        </w:rPr>
      </w:pPr>
      <w:r>
        <w:rPr>
          <w:lang w:val="cy-GB"/>
        </w:rPr>
        <w:t>THIS SHEET MUST BE THE FIRST PAGE OF THE ASSIGNMENT YOU ARE SUBMITTING  (DO NOT SEND AS A SEPARATE FILE)</w:t>
      </w:r>
    </w:p>
    <w:p w14:paraId="1352A57E" w14:textId="77777777" w:rsidR="00F37E7E" w:rsidRDefault="00F37E7E" w:rsidP="00F37E7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37E7E" w:rsidRPr="00230F35" w14:paraId="732DD6B8" w14:textId="77777777" w:rsidTr="008D26B2">
        <w:trPr>
          <w:trHeight w:val="614"/>
        </w:trPr>
        <w:tc>
          <w:tcPr>
            <w:tcW w:w="8856" w:type="dxa"/>
            <w:gridSpan w:val="5"/>
          </w:tcPr>
          <w:p w14:paraId="64A398E8" w14:textId="77777777" w:rsidR="00F37E7E" w:rsidRPr="00230F35"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37E7E" w:rsidRPr="00F105D5" w14:paraId="66DA25BD" w14:textId="77777777" w:rsidTr="008D26B2">
        <w:trPr>
          <w:trHeight w:val="718"/>
        </w:trPr>
        <w:tc>
          <w:tcPr>
            <w:tcW w:w="8856" w:type="dxa"/>
            <w:gridSpan w:val="5"/>
          </w:tcPr>
          <w:p w14:paraId="409333E6" w14:textId="283E28AF" w:rsidR="00F37E7E" w:rsidRPr="00F105D5" w:rsidRDefault="00F37E7E" w:rsidP="008D26B2">
            <w:pPr>
              <w:pStyle w:val="NormalWeb"/>
              <w:spacing w:before="0" w:beforeAutospacing="0" w:after="0" w:afterAutospacing="0"/>
              <w:ind w:right="34"/>
              <w:rPr>
                <w:rFonts w:ascii="Arial" w:hAnsi="Arial" w:cs="Arial"/>
                <w:sz w:val="22"/>
                <w:szCs w:val="22"/>
                <w:lang w:val="nl-BE"/>
              </w:rPr>
            </w:pPr>
            <w:r w:rsidRPr="00F105D5">
              <w:rPr>
                <w:rFonts w:ascii="Arial" w:hAnsi="Arial" w:cs="Arial"/>
                <w:sz w:val="22"/>
                <w:szCs w:val="22"/>
                <w:lang w:val="nl-BE"/>
              </w:rPr>
              <w:t xml:space="preserve">Student Name: </w:t>
            </w:r>
            <w:r w:rsidR="00F105D5" w:rsidRPr="00F105D5">
              <w:rPr>
                <w:rFonts w:ascii="Arial" w:hAnsi="Arial" w:cs="Arial"/>
                <w:sz w:val="22"/>
                <w:szCs w:val="22"/>
                <w:lang w:val="nl-BE"/>
              </w:rPr>
              <w:t>Maria Raquel De Die</w:t>
            </w:r>
            <w:r w:rsidR="00F105D5">
              <w:rPr>
                <w:rFonts w:ascii="Arial" w:hAnsi="Arial" w:cs="Arial"/>
                <w:sz w:val="22"/>
                <w:szCs w:val="22"/>
                <w:lang w:val="nl-BE"/>
              </w:rPr>
              <w:t>go Samaniego</w:t>
            </w:r>
          </w:p>
          <w:p w14:paraId="6A3ADD7D" w14:textId="77777777" w:rsidR="00F37E7E" w:rsidRPr="00F105D5" w:rsidRDefault="00F37E7E" w:rsidP="008D26B2">
            <w:pPr>
              <w:pStyle w:val="NormalWeb"/>
              <w:spacing w:before="0" w:beforeAutospacing="0" w:after="0" w:afterAutospacing="0"/>
              <w:ind w:right="34"/>
              <w:rPr>
                <w:rFonts w:ascii="Arial" w:hAnsi="Arial" w:cs="Arial"/>
                <w:sz w:val="22"/>
                <w:szCs w:val="22"/>
                <w:lang w:val="nl-BE"/>
              </w:rPr>
            </w:pPr>
          </w:p>
          <w:p w14:paraId="6F4FE391" w14:textId="5167A23E" w:rsidR="00F37E7E" w:rsidRPr="00F105D5" w:rsidRDefault="00F37E7E" w:rsidP="008D26B2">
            <w:pPr>
              <w:pStyle w:val="NormalWeb"/>
              <w:spacing w:before="0" w:beforeAutospacing="0" w:after="0" w:afterAutospacing="0"/>
              <w:ind w:right="34"/>
              <w:rPr>
                <w:rFonts w:ascii="Arial" w:hAnsi="Arial" w:cs="Arial"/>
                <w:sz w:val="22"/>
                <w:szCs w:val="22"/>
                <w:lang w:val="nl-BE"/>
              </w:rPr>
            </w:pPr>
            <w:r w:rsidRPr="00F105D5">
              <w:rPr>
                <w:rFonts w:ascii="Arial" w:hAnsi="Arial" w:cs="Arial"/>
                <w:sz w:val="22"/>
                <w:szCs w:val="22"/>
                <w:lang w:val="nl-BE"/>
              </w:rPr>
              <w:t xml:space="preserve">Student </w:t>
            </w:r>
            <w:r w:rsidRPr="00F105D5">
              <w:rPr>
                <w:rFonts w:ascii="Arial" w:hAnsi="Arial" w:cs="Arial"/>
                <w:b/>
                <w:bCs/>
                <w:sz w:val="22"/>
                <w:szCs w:val="22"/>
                <w:u w:val="single"/>
                <w:lang w:val="nl-BE"/>
              </w:rPr>
              <w:t>University</w:t>
            </w:r>
            <w:r w:rsidRPr="00F105D5">
              <w:rPr>
                <w:rFonts w:ascii="Arial" w:hAnsi="Arial" w:cs="Arial"/>
                <w:sz w:val="22"/>
                <w:szCs w:val="22"/>
                <w:u w:val="single"/>
                <w:lang w:val="nl-BE"/>
              </w:rPr>
              <w:t xml:space="preserve"> </w:t>
            </w:r>
            <w:r w:rsidRPr="00F105D5">
              <w:rPr>
                <w:rFonts w:ascii="Arial" w:hAnsi="Arial" w:cs="Arial"/>
                <w:sz w:val="22"/>
                <w:szCs w:val="22"/>
                <w:lang w:val="nl-BE"/>
              </w:rPr>
              <w:t xml:space="preserve">Email: </w:t>
            </w:r>
            <w:r w:rsidR="00F105D5">
              <w:rPr>
                <w:rFonts w:ascii="Arial" w:hAnsi="Arial" w:cs="Arial"/>
                <w:sz w:val="22"/>
                <w:szCs w:val="22"/>
                <w:lang w:val="nl-BE"/>
              </w:rPr>
              <w:t xml:space="preserve"> </w:t>
            </w:r>
            <w:r w:rsidR="00F105D5" w:rsidRPr="00F105D5">
              <w:rPr>
                <w:rFonts w:ascii="Arial" w:hAnsi="Arial" w:cs="Arial"/>
                <w:sz w:val="22"/>
                <w:szCs w:val="22"/>
                <w:lang w:val="en-BE"/>
              </w:rPr>
              <w:t>2500924@student.uwtsd.ac.uk</w:t>
            </w:r>
          </w:p>
        </w:tc>
      </w:tr>
      <w:tr w:rsidR="00F37E7E" w:rsidRPr="00230F35" w14:paraId="0301FF69" w14:textId="77777777" w:rsidTr="008D26B2">
        <w:trPr>
          <w:trHeight w:val="849"/>
        </w:trPr>
        <w:tc>
          <w:tcPr>
            <w:tcW w:w="4788" w:type="dxa"/>
          </w:tcPr>
          <w:p w14:paraId="59E6AB6F" w14:textId="7851366A" w:rsidR="00F37E7E"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F105D5">
              <w:rPr>
                <w:rFonts w:ascii="Arial" w:hAnsi="Arial" w:cs="Arial"/>
                <w:sz w:val="22"/>
                <w:szCs w:val="22"/>
              </w:rPr>
              <w:t>HPCA7016</w:t>
            </w:r>
          </w:p>
          <w:p w14:paraId="014BB11F" w14:textId="77777777" w:rsidR="00F37E7E" w:rsidRPr="00230F35" w:rsidRDefault="00F37E7E" w:rsidP="008D26B2">
            <w:pPr>
              <w:pStyle w:val="NormalWeb"/>
              <w:spacing w:before="0" w:beforeAutospacing="0" w:after="0" w:afterAutospacing="0"/>
              <w:ind w:right="34"/>
              <w:rPr>
                <w:rFonts w:ascii="Arial" w:hAnsi="Arial" w:cs="Arial"/>
                <w:sz w:val="22"/>
                <w:szCs w:val="22"/>
              </w:rPr>
            </w:pPr>
          </w:p>
          <w:p w14:paraId="4FD6A609" w14:textId="6476FF44" w:rsidR="00F37E7E"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F105D5">
              <w:rPr>
                <w:rFonts w:ascii="Arial" w:hAnsi="Arial" w:cs="Arial"/>
                <w:sz w:val="22"/>
                <w:szCs w:val="22"/>
              </w:rPr>
              <w:t>Researching Contemporary Cosmologies</w:t>
            </w:r>
          </w:p>
          <w:p w14:paraId="78AC94D0" w14:textId="77777777" w:rsidR="00F37E7E" w:rsidRPr="00230F35" w:rsidRDefault="00F37E7E" w:rsidP="008D26B2">
            <w:pPr>
              <w:pStyle w:val="NormalWeb"/>
              <w:spacing w:before="0" w:beforeAutospacing="0" w:after="0" w:afterAutospacing="0"/>
              <w:ind w:right="34"/>
              <w:rPr>
                <w:rFonts w:ascii="Arial" w:hAnsi="Arial" w:cs="Arial"/>
                <w:sz w:val="22"/>
                <w:szCs w:val="22"/>
              </w:rPr>
            </w:pPr>
          </w:p>
        </w:tc>
        <w:tc>
          <w:tcPr>
            <w:tcW w:w="2266" w:type="dxa"/>
            <w:gridSpan w:val="3"/>
          </w:tcPr>
          <w:p w14:paraId="0FD5EA4C" w14:textId="5B231631" w:rsidR="00F37E7E" w:rsidRPr="00230F35"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F105D5" w:rsidRPr="00F105D5">
              <w:rPr>
                <w:rFonts w:ascii="Arial" w:hAnsi="Arial" w:cs="Arial"/>
                <w:sz w:val="22"/>
                <w:szCs w:val="22"/>
                <w:lang w:val="en-BE"/>
              </w:rPr>
              <w:t xml:space="preserve"> </w:t>
            </w:r>
            <w:r w:rsidR="00F105D5" w:rsidRPr="00F105D5">
              <w:rPr>
                <w:rFonts w:ascii="Arial" w:hAnsi="Arial" w:cs="Arial"/>
                <w:sz w:val="22"/>
                <w:szCs w:val="22"/>
                <w:lang w:val="en-BE"/>
              </w:rPr>
              <w:t>2500924</w:t>
            </w:r>
            <w:r>
              <w:rPr>
                <w:rFonts w:ascii="Arial" w:hAnsi="Arial" w:cs="Arial"/>
                <w:sz w:val="22"/>
                <w:szCs w:val="22"/>
              </w:rPr>
              <w:t xml:space="preserve"> </w:t>
            </w:r>
          </w:p>
        </w:tc>
        <w:tc>
          <w:tcPr>
            <w:tcW w:w="1802" w:type="dxa"/>
          </w:tcPr>
          <w:p w14:paraId="1C8A2D78" w14:textId="77777777" w:rsidR="00F37E7E"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840F0FC" w14:textId="2E766FC1" w:rsidR="00C3275B" w:rsidRPr="00230F35" w:rsidRDefault="00C3275B" w:rsidP="008D26B2">
            <w:pPr>
              <w:pStyle w:val="NormalWeb"/>
              <w:spacing w:before="0" w:beforeAutospacing="0" w:after="0" w:afterAutospacing="0"/>
              <w:ind w:right="34"/>
              <w:rPr>
                <w:rFonts w:ascii="Arial" w:hAnsi="Arial" w:cs="Arial"/>
                <w:sz w:val="22"/>
                <w:szCs w:val="22"/>
              </w:rPr>
            </w:pPr>
            <w:r>
              <w:rPr>
                <w:rFonts w:ascii="Arial" w:hAnsi="Arial" w:cs="Arial"/>
                <w:sz w:val="22"/>
                <w:szCs w:val="22"/>
              </w:rPr>
              <w:t>None</w:t>
            </w:r>
          </w:p>
          <w:p w14:paraId="7BFF0F7C" w14:textId="77777777" w:rsidR="00F37E7E" w:rsidRPr="00230F35" w:rsidRDefault="00F37E7E" w:rsidP="008D26B2">
            <w:pPr>
              <w:pStyle w:val="NormalWeb"/>
              <w:spacing w:before="0" w:beforeAutospacing="0" w:after="0" w:afterAutospacing="0"/>
              <w:ind w:right="34"/>
              <w:rPr>
                <w:rFonts w:ascii="Arial" w:hAnsi="Arial" w:cs="Arial"/>
                <w:sz w:val="22"/>
                <w:szCs w:val="22"/>
              </w:rPr>
            </w:pPr>
          </w:p>
        </w:tc>
      </w:tr>
      <w:tr w:rsidR="00F37E7E" w:rsidRPr="00230F35" w14:paraId="06ED2DC8" w14:textId="77777777" w:rsidTr="008D26B2">
        <w:trPr>
          <w:trHeight w:val="1139"/>
        </w:trPr>
        <w:tc>
          <w:tcPr>
            <w:tcW w:w="8856" w:type="dxa"/>
            <w:gridSpan w:val="5"/>
          </w:tcPr>
          <w:p w14:paraId="7EB02041" w14:textId="3D1080F3" w:rsidR="00F37E7E" w:rsidRPr="00230F35"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F105D5" w:rsidRPr="00F105D5">
              <w:rPr>
                <w:rFonts w:ascii="Arial" w:hAnsi="Arial" w:cs="Arial"/>
                <w:sz w:val="22"/>
                <w:szCs w:val="22"/>
              </w:rPr>
              <w:t>A Critical Comparison of Two Secondary Sources</w:t>
            </w:r>
          </w:p>
          <w:p w14:paraId="45D257E6" w14:textId="77777777" w:rsidR="00F37E7E" w:rsidRDefault="00F37E7E" w:rsidP="008D26B2">
            <w:pPr>
              <w:pStyle w:val="NormalWeb"/>
              <w:spacing w:before="0" w:beforeAutospacing="0" w:after="0" w:afterAutospacing="0"/>
              <w:ind w:right="34"/>
              <w:rPr>
                <w:rFonts w:ascii="Arial" w:hAnsi="Arial" w:cs="Arial"/>
                <w:sz w:val="22"/>
                <w:szCs w:val="22"/>
              </w:rPr>
            </w:pPr>
          </w:p>
          <w:p w14:paraId="3182EDE5" w14:textId="03E5FBA0" w:rsidR="00F37E7E" w:rsidRPr="00230F35" w:rsidRDefault="00F37E7E" w:rsidP="008D26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F105D5">
              <w:rPr>
                <w:rFonts w:ascii="Arial" w:hAnsi="Arial" w:cs="Arial"/>
                <w:sz w:val="22"/>
                <w:szCs w:val="22"/>
              </w:rPr>
              <w:t>17</w:t>
            </w:r>
            <w:r w:rsidR="00F105D5" w:rsidRPr="00F105D5">
              <w:rPr>
                <w:rFonts w:ascii="Arial" w:hAnsi="Arial" w:cs="Arial"/>
                <w:sz w:val="22"/>
                <w:szCs w:val="22"/>
                <w:vertAlign w:val="superscript"/>
              </w:rPr>
              <w:t>th</w:t>
            </w:r>
            <w:r w:rsidR="00F105D5">
              <w:rPr>
                <w:rFonts w:ascii="Arial" w:hAnsi="Arial" w:cs="Arial"/>
                <w:sz w:val="22"/>
                <w:szCs w:val="22"/>
              </w:rPr>
              <w:t xml:space="preserve"> of March, 2026</w:t>
            </w:r>
          </w:p>
        </w:tc>
      </w:tr>
      <w:tr w:rsidR="00F37E7E" w:rsidRPr="00230F35" w14:paraId="6BA005A0" w14:textId="77777777" w:rsidTr="008D26B2">
        <w:trPr>
          <w:trHeight w:val="978"/>
        </w:trPr>
        <w:tc>
          <w:tcPr>
            <w:tcW w:w="8856" w:type="dxa"/>
            <w:gridSpan w:val="5"/>
            <w:tcBorders>
              <w:bottom w:val="single" w:sz="4" w:space="0" w:color="000000"/>
            </w:tcBorders>
          </w:tcPr>
          <w:p w14:paraId="5401FEFD" w14:textId="1359F193" w:rsidR="00F37E7E" w:rsidRPr="00230F35" w:rsidRDefault="00F37E7E" w:rsidP="008D26B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F105D5">
              <w:rPr>
                <w:rFonts w:ascii="Arial" w:hAnsi="Arial" w:cs="Arial"/>
              </w:rPr>
              <w:fldChar w:fldCharType="begin">
                <w:ffData>
                  <w:name w:val=""/>
                  <w:enabled/>
                  <w:calcOnExit w:val="0"/>
                  <w:checkBox>
                    <w:sizeAuto/>
                    <w:default w:val="1"/>
                  </w:checkBox>
                </w:ffData>
              </w:fldChar>
            </w:r>
            <w:r w:rsidR="00F105D5">
              <w:rPr>
                <w:rFonts w:ascii="Arial" w:hAnsi="Arial" w:cs="Arial"/>
              </w:rPr>
              <w:instrText xml:space="preserve"> FORMCHECKBOX </w:instrText>
            </w:r>
            <w:r w:rsidR="00F105D5">
              <w:rPr>
                <w:rFonts w:ascii="Arial" w:hAnsi="Arial" w:cs="Arial"/>
              </w:rPr>
            </w:r>
            <w:r w:rsidR="00F105D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37E7E" w:rsidRPr="00F105D5" w14:paraId="7BAC5753" w14:textId="77777777" w:rsidTr="008D26B2">
        <w:trPr>
          <w:trHeight w:val="978"/>
        </w:trPr>
        <w:tc>
          <w:tcPr>
            <w:tcW w:w="8856" w:type="dxa"/>
            <w:gridSpan w:val="5"/>
            <w:shd w:val="clear" w:color="auto" w:fill="D9D9D9"/>
          </w:tcPr>
          <w:p w14:paraId="7504C388" w14:textId="77777777" w:rsidR="00F37E7E" w:rsidRPr="00B728EA" w:rsidRDefault="00F37E7E" w:rsidP="008D26B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52CE34B6" w14:textId="77777777" w:rsidR="00F37E7E" w:rsidRPr="00B728EA" w:rsidRDefault="00F37E7E" w:rsidP="008D26B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4BC91125" w14:textId="77777777" w:rsidR="00F37E7E" w:rsidRPr="00B728EA" w:rsidRDefault="00F37E7E" w:rsidP="008D26B2">
            <w:pPr>
              <w:pStyle w:val="NormalWeb"/>
              <w:spacing w:before="0" w:beforeAutospacing="0" w:after="0" w:afterAutospacing="0"/>
              <w:ind w:right="34"/>
              <w:rPr>
                <w:rFonts w:ascii="Arial" w:hAnsi="Arial" w:cs="Arial"/>
                <w:sz w:val="22"/>
                <w:szCs w:val="22"/>
              </w:rPr>
            </w:pPr>
          </w:p>
          <w:p w14:paraId="7BA388E9" w14:textId="77777777" w:rsidR="00F37E7E" w:rsidRPr="00B728EA" w:rsidRDefault="00F37E7E" w:rsidP="008D26B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4BC855FE" w14:textId="77777777" w:rsidR="00F37E7E" w:rsidRPr="00B728EA" w:rsidRDefault="00F37E7E" w:rsidP="008D26B2">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5F97DB25" w14:textId="77777777" w:rsidR="00F37E7E" w:rsidRPr="00B728EA" w:rsidRDefault="00F37E7E" w:rsidP="008D26B2">
            <w:pPr>
              <w:pStyle w:val="NormalWeb"/>
              <w:spacing w:before="0" w:beforeAutospacing="0" w:after="0" w:afterAutospacing="0"/>
              <w:ind w:right="34"/>
              <w:rPr>
                <w:rFonts w:ascii="Arial" w:hAnsi="Arial" w:cs="Arial"/>
                <w:color w:val="000000" w:themeColor="text1"/>
                <w:sz w:val="22"/>
                <w:szCs w:val="22"/>
              </w:rPr>
            </w:pPr>
          </w:p>
          <w:p w14:paraId="5FBF0D88" w14:textId="77777777" w:rsidR="00F37E7E" w:rsidRPr="0051774C" w:rsidRDefault="00F37E7E" w:rsidP="008D26B2">
            <w:pPr>
              <w:pStyle w:val="NormalWeb"/>
              <w:spacing w:before="0" w:beforeAutospacing="0" w:after="0" w:afterAutospacing="0"/>
              <w:ind w:right="34"/>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3F76F43F" w14:textId="77777777" w:rsidR="00F37E7E" w:rsidRPr="00B728EA" w:rsidRDefault="00F37E7E" w:rsidP="008D26B2">
            <w:pPr>
              <w:pStyle w:val="NormalWeb"/>
              <w:spacing w:before="0" w:beforeAutospacing="0" w:after="0" w:afterAutospacing="0"/>
              <w:ind w:right="34"/>
              <w:rPr>
                <w:rFonts w:ascii="Arial" w:hAnsi="Arial" w:cs="Arial"/>
                <w:sz w:val="22"/>
                <w:szCs w:val="22"/>
              </w:rPr>
            </w:pPr>
          </w:p>
          <w:p w14:paraId="5184E68F" w14:textId="77777777" w:rsidR="00F37E7E" w:rsidRPr="00B728EA" w:rsidRDefault="00F37E7E" w:rsidP="008D26B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728DD556" w14:textId="77777777" w:rsidR="00F37E7E" w:rsidRPr="00B728EA" w:rsidRDefault="00F37E7E" w:rsidP="008D26B2">
            <w:pPr>
              <w:pStyle w:val="NormalWeb"/>
              <w:spacing w:before="0" w:beforeAutospacing="0" w:after="0" w:afterAutospacing="0"/>
              <w:ind w:right="34"/>
              <w:rPr>
                <w:rFonts w:ascii="Arial" w:hAnsi="Arial" w:cs="Arial"/>
                <w:sz w:val="22"/>
                <w:szCs w:val="22"/>
              </w:rPr>
            </w:pPr>
          </w:p>
          <w:p w14:paraId="463E38D5" w14:textId="347782AF" w:rsidR="00F37E7E" w:rsidRDefault="00F37E7E" w:rsidP="008D26B2">
            <w:pPr>
              <w:pStyle w:val="NormalWeb"/>
              <w:spacing w:before="0" w:beforeAutospacing="0" w:after="0" w:afterAutospacing="0"/>
              <w:ind w:right="34"/>
              <w:rPr>
                <w:rFonts w:ascii="Arial" w:hAnsi="Arial" w:cs="Arial"/>
                <w:sz w:val="22"/>
                <w:szCs w:val="22"/>
                <w:lang w:val="es-PA"/>
              </w:rPr>
            </w:pPr>
            <w:proofErr w:type="spellStart"/>
            <w:r w:rsidRPr="00F105D5">
              <w:rPr>
                <w:rFonts w:ascii="Arial" w:hAnsi="Arial" w:cs="Arial"/>
                <w:sz w:val="22"/>
                <w:szCs w:val="22"/>
                <w:lang w:val="es-PA"/>
              </w:rPr>
              <w:t>Signed</w:t>
            </w:r>
            <w:proofErr w:type="spellEnd"/>
            <w:r w:rsidRPr="00F105D5">
              <w:rPr>
                <w:rFonts w:ascii="Arial" w:hAnsi="Arial" w:cs="Arial"/>
                <w:sz w:val="22"/>
                <w:szCs w:val="22"/>
                <w:lang w:val="es-PA"/>
              </w:rPr>
              <w:t xml:space="preserve">: </w:t>
            </w:r>
            <w:r w:rsidR="00F105D5" w:rsidRPr="00F105D5">
              <w:rPr>
                <w:rFonts w:ascii="Arial" w:hAnsi="Arial" w:cs="Arial"/>
                <w:sz w:val="22"/>
                <w:szCs w:val="22"/>
                <w:lang w:val="es-PA"/>
              </w:rPr>
              <w:t xml:space="preserve">Maria Raquel De </w:t>
            </w:r>
            <w:r w:rsidR="00F105D5">
              <w:rPr>
                <w:rFonts w:ascii="Arial" w:hAnsi="Arial" w:cs="Arial"/>
                <w:sz w:val="22"/>
                <w:szCs w:val="22"/>
                <w:lang w:val="es-PA"/>
              </w:rPr>
              <w:t>Diego Samaniego</w:t>
            </w:r>
          </w:p>
          <w:p w14:paraId="6231A3F8" w14:textId="3BDD2219" w:rsidR="00F105D5" w:rsidRPr="00F105D5" w:rsidRDefault="00F105D5" w:rsidP="00F105D5">
            <w:pPr>
              <w:pStyle w:val="NormalWeb"/>
              <w:rPr>
                <w:rFonts w:ascii="Arial" w:hAnsi="Arial" w:cs="Arial"/>
                <w:b/>
              </w:rPr>
            </w:pPr>
            <w:r w:rsidRPr="00F105D5">
              <w:rPr>
                <w:rFonts w:ascii="Arial" w:hAnsi="Arial" w:cs="Arial"/>
                <w:b/>
              </w:rPr>
              <w:lastRenderedPageBreak/>
              <w:t>Email submission:</w:t>
            </w:r>
            <w:r>
              <w:rPr>
                <w:rFonts w:ascii="Arial" w:hAnsi="Arial" w:cs="Arial"/>
                <w:b/>
              </w:rPr>
              <w:t xml:space="preserve"> </w:t>
            </w:r>
            <w:r w:rsidRPr="00F105D5">
              <w:rPr>
                <w:rFonts w:ascii="Arial" w:hAnsi="Arial" w:cs="Arial"/>
                <w:b/>
              </w:rPr>
              <w:t xml:space="preserve">if you are submitting this form via email, please tick this box </w:t>
            </w:r>
            <w:r>
              <w:rPr>
                <w:rFonts w:ascii="Arial" w:hAnsi="Arial" w:cs="Arial"/>
              </w:rPr>
              <w:fldChar w:fldCharType="begin">
                <w:ffData>
                  <w:name w:val=""/>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end"/>
            </w:r>
          </w:p>
          <w:p w14:paraId="2B0E5EBD" w14:textId="256C4E0B" w:rsidR="00F105D5" w:rsidRPr="00F105D5" w:rsidRDefault="00F105D5" w:rsidP="00F105D5">
            <w:pPr>
              <w:pStyle w:val="NormalWeb"/>
              <w:spacing w:before="0" w:beforeAutospacing="0" w:after="0" w:afterAutospacing="0"/>
              <w:ind w:right="34"/>
              <w:rPr>
                <w:rFonts w:ascii="Arial" w:hAnsi="Arial" w:cs="Arial"/>
                <w:sz w:val="22"/>
                <w:szCs w:val="22"/>
                <w:lang w:val="en-US"/>
              </w:rPr>
            </w:pPr>
            <w:r w:rsidRPr="00F105D5">
              <w:rPr>
                <w:rFonts w:ascii="Arial" w:hAnsi="Arial" w:cs="Arial"/>
                <w:b/>
                <w:sz w:val="22"/>
                <w:szCs w:val="22"/>
                <w:lang w:val="en-BE"/>
              </w:rPr>
              <w:t>(as a substitute for your signature) to confirm that you agree to the above declaration.</w:t>
            </w:r>
          </w:p>
          <w:p w14:paraId="5C170F21" w14:textId="77777777" w:rsidR="00F37E7E" w:rsidRPr="00F105D5" w:rsidRDefault="00F37E7E" w:rsidP="008D26B2">
            <w:pPr>
              <w:pStyle w:val="NormalWeb"/>
              <w:spacing w:before="0" w:beforeAutospacing="0" w:after="0" w:afterAutospacing="0"/>
              <w:ind w:right="34"/>
              <w:rPr>
                <w:rFonts w:ascii="Arial" w:hAnsi="Arial" w:cs="Arial"/>
                <w:sz w:val="22"/>
                <w:szCs w:val="22"/>
                <w:lang w:val="en-US"/>
              </w:rPr>
            </w:pPr>
          </w:p>
        </w:tc>
      </w:tr>
      <w:tr w:rsidR="00F37E7E" w:rsidRPr="00230F35" w14:paraId="07EB819F" w14:textId="77777777" w:rsidTr="008D26B2">
        <w:trPr>
          <w:trHeight w:val="3972"/>
        </w:trPr>
        <w:tc>
          <w:tcPr>
            <w:tcW w:w="8856" w:type="dxa"/>
            <w:gridSpan w:val="5"/>
          </w:tcPr>
          <w:p w14:paraId="1D9F1266" w14:textId="77777777" w:rsidR="00F37E7E" w:rsidRPr="00F105D5" w:rsidRDefault="00F37E7E" w:rsidP="008D26B2">
            <w:pPr>
              <w:rPr>
                <w:rFonts w:ascii="Arial" w:hAnsi="Arial"/>
                <w:b/>
                <w:lang w:val="en-US"/>
              </w:rPr>
            </w:pPr>
          </w:p>
          <w:p w14:paraId="7A91A7A5" w14:textId="77777777" w:rsidR="00F37E7E" w:rsidRPr="00116CE6" w:rsidRDefault="00F37E7E" w:rsidP="008D26B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37E7E" w:rsidRPr="00116CE6" w14:paraId="04F7B4FB" w14:textId="77777777" w:rsidTr="008D26B2">
              <w:tc>
                <w:tcPr>
                  <w:tcW w:w="6970" w:type="dxa"/>
                </w:tcPr>
                <w:p w14:paraId="40D967EB" w14:textId="77777777" w:rsidR="00F37E7E" w:rsidRPr="00116CE6" w:rsidRDefault="00F37E7E" w:rsidP="008D26B2">
                  <w:pPr>
                    <w:rPr>
                      <w:rFonts w:ascii="Arial" w:hAnsi="Arial"/>
                      <w:sz w:val="20"/>
                      <w:szCs w:val="20"/>
                    </w:rPr>
                  </w:pPr>
                </w:p>
                <w:p w14:paraId="6F746953" w14:textId="77777777" w:rsidR="00F37E7E" w:rsidRPr="00116CE6" w:rsidRDefault="00F37E7E" w:rsidP="008D26B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FF995E1" w14:textId="77777777" w:rsidR="00F37E7E" w:rsidRPr="00116CE6" w:rsidRDefault="00F37E7E" w:rsidP="008D26B2">
                  <w:pPr>
                    <w:rPr>
                      <w:rFonts w:ascii="Arial" w:hAnsi="Arial"/>
                      <w:sz w:val="20"/>
                      <w:szCs w:val="20"/>
                    </w:rPr>
                  </w:pPr>
                </w:p>
              </w:tc>
            </w:tr>
            <w:tr w:rsidR="00F37E7E" w:rsidRPr="00116CE6" w14:paraId="28019156" w14:textId="77777777" w:rsidTr="008D26B2">
              <w:tc>
                <w:tcPr>
                  <w:tcW w:w="6970" w:type="dxa"/>
                </w:tcPr>
                <w:p w14:paraId="2DE6A54D" w14:textId="77777777" w:rsidR="00F37E7E" w:rsidRPr="00116CE6" w:rsidRDefault="00F37E7E" w:rsidP="008D26B2">
                  <w:pPr>
                    <w:rPr>
                      <w:rFonts w:ascii="Arial" w:hAnsi="Arial"/>
                      <w:sz w:val="20"/>
                      <w:szCs w:val="20"/>
                    </w:rPr>
                  </w:pPr>
                </w:p>
                <w:p w14:paraId="04604395" w14:textId="77777777" w:rsidR="00F37E7E" w:rsidRPr="00116CE6" w:rsidRDefault="00F37E7E" w:rsidP="008D26B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C0D5EFA" w14:textId="77777777" w:rsidR="00F37E7E" w:rsidRPr="00116CE6" w:rsidRDefault="00F37E7E" w:rsidP="008D26B2">
                  <w:pPr>
                    <w:rPr>
                      <w:rFonts w:ascii="Arial" w:hAnsi="Arial"/>
                      <w:sz w:val="20"/>
                      <w:szCs w:val="20"/>
                    </w:rPr>
                  </w:pPr>
                </w:p>
              </w:tc>
            </w:tr>
            <w:tr w:rsidR="00F37E7E" w:rsidRPr="00116CE6" w14:paraId="1CDBFD3E" w14:textId="77777777" w:rsidTr="008D26B2">
              <w:tc>
                <w:tcPr>
                  <w:tcW w:w="6970" w:type="dxa"/>
                </w:tcPr>
                <w:p w14:paraId="5F31551A" w14:textId="77777777" w:rsidR="00F37E7E" w:rsidRPr="00116CE6" w:rsidRDefault="00F37E7E" w:rsidP="008D26B2">
                  <w:pPr>
                    <w:rPr>
                      <w:rFonts w:ascii="Arial" w:hAnsi="Arial"/>
                      <w:sz w:val="20"/>
                      <w:szCs w:val="20"/>
                    </w:rPr>
                  </w:pPr>
                </w:p>
                <w:p w14:paraId="029A9D84" w14:textId="77777777" w:rsidR="00F37E7E" w:rsidRPr="00116CE6" w:rsidRDefault="00F37E7E" w:rsidP="008D26B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09986FB" w14:textId="77777777" w:rsidR="00F37E7E" w:rsidRPr="00116CE6" w:rsidRDefault="00F37E7E" w:rsidP="008D26B2">
                  <w:pPr>
                    <w:rPr>
                      <w:rFonts w:ascii="Arial" w:hAnsi="Arial"/>
                      <w:sz w:val="20"/>
                      <w:szCs w:val="20"/>
                    </w:rPr>
                  </w:pPr>
                </w:p>
              </w:tc>
            </w:tr>
            <w:tr w:rsidR="00F37E7E" w:rsidRPr="00116CE6" w14:paraId="5CC679F3" w14:textId="77777777" w:rsidTr="008D26B2">
              <w:tc>
                <w:tcPr>
                  <w:tcW w:w="6970" w:type="dxa"/>
                </w:tcPr>
                <w:p w14:paraId="3E8EE485" w14:textId="77777777" w:rsidR="00F37E7E" w:rsidRDefault="00F37E7E" w:rsidP="008D26B2">
                  <w:pPr>
                    <w:rPr>
                      <w:rFonts w:ascii="Arial" w:hAnsi="Arial"/>
                      <w:sz w:val="20"/>
                      <w:szCs w:val="20"/>
                    </w:rPr>
                  </w:pPr>
                </w:p>
                <w:p w14:paraId="0AE1A770" w14:textId="77777777" w:rsidR="00F37E7E" w:rsidRPr="00022345" w:rsidRDefault="00F37E7E" w:rsidP="008D26B2">
                  <w:pPr>
                    <w:rPr>
                      <w:rFonts w:ascii="Arial" w:hAnsi="Arial"/>
                      <w:b/>
                      <w:sz w:val="20"/>
                      <w:szCs w:val="20"/>
                    </w:rPr>
                  </w:pPr>
                  <w:r w:rsidRPr="00022345">
                    <w:rPr>
                      <w:rFonts w:ascii="Arial" w:hAnsi="Arial"/>
                      <w:b/>
                      <w:sz w:val="20"/>
                      <w:szCs w:val="20"/>
                    </w:rPr>
                    <w:t>Final Mark</w:t>
                  </w:r>
                </w:p>
                <w:p w14:paraId="0DE118B5" w14:textId="77777777" w:rsidR="00F37E7E" w:rsidRPr="00116CE6" w:rsidRDefault="00F37E7E" w:rsidP="008D26B2">
                  <w:pPr>
                    <w:rPr>
                      <w:rFonts w:ascii="Arial" w:hAnsi="Arial"/>
                      <w:sz w:val="20"/>
                      <w:szCs w:val="20"/>
                    </w:rPr>
                  </w:pPr>
                </w:p>
              </w:tc>
              <w:tc>
                <w:tcPr>
                  <w:tcW w:w="1660" w:type="dxa"/>
                </w:tcPr>
                <w:p w14:paraId="0F7D80E5" w14:textId="77777777" w:rsidR="00F37E7E" w:rsidRPr="00116CE6" w:rsidRDefault="00F37E7E" w:rsidP="008D26B2">
                  <w:pPr>
                    <w:rPr>
                      <w:rFonts w:ascii="Arial" w:hAnsi="Arial"/>
                      <w:sz w:val="20"/>
                      <w:szCs w:val="20"/>
                    </w:rPr>
                  </w:pPr>
                </w:p>
              </w:tc>
            </w:tr>
          </w:tbl>
          <w:p w14:paraId="45415849" w14:textId="77777777" w:rsidR="00F37E7E" w:rsidRDefault="00F37E7E" w:rsidP="008D26B2">
            <w:pPr>
              <w:pStyle w:val="NormalWeb"/>
              <w:spacing w:before="0" w:beforeAutospacing="0" w:after="0" w:afterAutospacing="0"/>
              <w:ind w:left="142" w:right="34"/>
              <w:rPr>
                <w:rFonts w:ascii="Arial" w:hAnsi="Arial" w:cs="Arial"/>
                <w:b/>
                <w:sz w:val="22"/>
                <w:szCs w:val="22"/>
              </w:rPr>
            </w:pPr>
          </w:p>
          <w:p w14:paraId="76E4CFC5" w14:textId="77777777" w:rsidR="00F37E7E" w:rsidRPr="00230F35" w:rsidRDefault="00F37E7E" w:rsidP="008D26B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039DF2" w14:textId="77777777" w:rsidR="00F37E7E" w:rsidRDefault="00F37E7E" w:rsidP="008D26B2">
            <w:pPr>
              <w:pStyle w:val="NormalWeb"/>
              <w:spacing w:before="0" w:beforeAutospacing="0" w:after="0" w:afterAutospacing="0"/>
              <w:rPr>
                <w:rFonts w:ascii="Arial" w:hAnsi="Arial" w:cs="Arial"/>
                <w:b/>
                <w:sz w:val="22"/>
                <w:szCs w:val="22"/>
              </w:rPr>
            </w:pPr>
          </w:p>
          <w:p w14:paraId="7CCF1D9C" w14:textId="77777777" w:rsidR="00F37E7E" w:rsidRDefault="00F37E7E" w:rsidP="008D26B2">
            <w:pPr>
              <w:pStyle w:val="NormalWeb"/>
              <w:spacing w:before="0" w:beforeAutospacing="0" w:after="0" w:afterAutospacing="0"/>
              <w:rPr>
                <w:rFonts w:ascii="Arial" w:hAnsi="Arial" w:cs="Arial"/>
                <w:b/>
                <w:sz w:val="22"/>
                <w:szCs w:val="22"/>
              </w:rPr>
            </w:pPr>
          </w:p>
          <w:p w14:paraId="30AFDB90" w14:textId="77777777" w:rsidR="00F37E7E" w:rsidRDefault="00F37E7E" w:rsidP="008D26B2">
            <w:pPr>
              <w:pStyle w:val="NormalWeb"/>
              <w:spacing w:before="0" w:beforeAutospacing="0" w:after="0" w:afterAutospacing="0"/>
              <w:rPr>
                <w:rFonts w:ascii="Arial" w:hAnsi="Arial" w:cs="Arial"/>
                <w:b/>
                <w:sz w:val="22"/>
                <w:szCs w:val="22"/>
              </w:rPr>
            </w:pPr>
          </w:p>
          <w:p w14:paraId="658700BF" w14:textId="77777777" w:rsidR="00F37E7E" w:rsidRDefault="00F37E7E" w:rsidP="008D26B2">
            <w:pPr>
              <w:pStyle w:val="NormalWeb"/>
              <w:spacing w:before="0" w:beforeAutospacing="0" w:after="0" w:afterAutospacing="0"/>
              <w:rPr>
                <w:rFonts w:ascii="Arial" w:hAnsi="Arial" w:cs="Arial"/>
                <w:b/>
                <w:sz w:val="22"/>
                <w:szCs w:val="22"/>
              </w:rPr>
            </w:pPr>
          </w:p>
          <w:p w14:paraId="07348CA3" w14:textId="77777777" w:rsidR="00F37E7E" w:rsidRDefault="00F37E7E" w:rsidP="008D26B2">
            <w:pPr>
              <w:pStyle w:val="NormalWeb"/>
              <w:spacing w:before="0" w:beforeAutospacing="0" w:after="0" w:afterAutospacing="0"/>
              <w:rPr>
                <w:rFonts w:ascii="Arial" w:hAnsi="Arial" w:cs="Arial"/>
                <w:b/>
                <w:sz w:val="22"/>
                <w:szCs w:val="22"/>
              </w:rPr>
            </w:pPr>
          </w:p>
          <w:p w14:paraId="0603F640" w14:textId="77777777" w:rsidR="00F37E7E" w:rsidRPr="00230F35" w:rsidRDefault="00F37E7E" w:rsidP="008D26B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10AAF18" w14:textId="77777777" w:rsidR="00F37E7E" w:rsidRDefault="00F37E7E" w:rsidP="008D26B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1EC0E3F" w14:textId="77777777" w:rsidR="00F37E7E" w:rsidRPr="00001C3B" w:rsidRDefault="00F37E7E" w:rsidP="008D26B2">
            <w:pPr>
              <w:pStyle w:val="NormalWeb"/>
              <w:rPr>
                <w:rFonts w:ascii="Arial" w:hAnsi="Arial" w:cs="Arial"/>
                <w:sz w:val="22"/>
                <w:szCs w:val="22"/>
              </w:rPr>
            </w:pPr>
          </w:p>
        </w:tc>
      </w:tr>
      <w:tr w:rsidR="00F37E7E" w:rsidRPr="00230F35" w14:paraId="570FCC2D" w14:textId="77777777" w:rsidTr="008D26B2">
        <w:trPr>
          <w:trHeight w:val="492"/>
        </w:trPr>
        <w:tc>
          <w:tcPr>
            <w:tcW w:w="6768" w:type="dxa"/>
            <w:gridSpan w:val="3"/>
          </w:tcPr>
          <w:p w14:paraId="70D8789E" w14:textId="77777777" w:rsidR="00F37E7E" w:rsidRPr="00230F35" w:rsidRDefault="00F37E7E" w:rsidP="008D26B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B9826A8" w14:textId="77777777" w:rsidR="00F37E7E" w:rsidRPr="00230F35" w:rsidRDefault="00F37E7E" w:rsidP="008D26B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37E7E" w:rsidRPr="002F467C" w14:paraId="3C579AAB" w14:textId="77777777" w:rsidTr="008D26B2">
        <w:tc>
          <w:tcPr>
            <w:tcW w:w="8856" w:type="dxa"/>
            <w:gridSpan w:val="5"/>
          </w:tcPr>
          <w:p w14:paraId="1418CFB0" w14:textId="77777777" w:rsidR="00F37E7E" w:rsidRPr="00230F35" w:rsidRDefault="00F37E7E" w:rsidP="008D26B2">
            <w:pPr>
              <w:pStyle w:val="NormalWeb"/>
              <w:spacing w:before="0" w:beforeAutospacing="0" w:after="0" w:afterAutospacing="0"/>
              <w:ind w:right="-334"/>
              <w:rPr>
                <w:rFonts w:ascii="Arial" w:hAnsi="Arial" w:cs="Arial"/>
                <w:bCs/>
                <w:i/>
                <w:sz w:val="22"/>
                <w:szCs w:val="22"/>
              </w:rPr>
            </w:pPr>
          </w:p>
          <w:p w14:paraId="16E457A6" w14:textId="77777777" w:rsidR="00F37E7E" w:rsidRPr="00230F35" w:rsidRDefault="00F37E7E" w:rsidP="008D26B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103446F" w14:textId="77777777" w:rsidR="00F37E7E" w:rsidRPr="00230F35" w:rsidRDefault="00F37E7E" w:rsidP="008D26B2">
            <w:pPr>
              <w:pStyle w:val="NormalWeb"/>
              <w:spacing w:before="0" w:beforeAutospacing="0" w:after="0" w:afterAutospacing="0"/>
              <w:ind w:right="-334"/>
              <w:rPr>
                <w:rFonts w:ascii="Arial" w:hAnsi="Arial" w:cs="Arial"/>
                <w:b/>
                <w:bCs/>
                <w:sz w:val="22"/>
                <w:szCs w:val="22"/>
              </w:rPr>
            </w:pPr>
          </w:p>
          <w:p w14:paraId="05653AF5"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7937A4F"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FC7F01C"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453199F"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30AAC20"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4B7A066A"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2354F298"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CEB72C9"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3F9F3A06"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5A81CA13" w14:textId="77777777" w:rsidR="00F37E7E" w:rsidRDefault="00F37E7E" w:rsidP="008D26B2">
            <w:pPr>
              <w:pStyle w:val="NormalWeb"/>
              <w:spacing w:before="0" w:beforeAutospacing="0" w:after="0" w:afterAutospacing="0"/>
              <w:ind w:right="-334"/>
              <w:rPr>
                <w:rFonts w:ascii="Arial" w:hAnsi="Arial" w:cs="Arial"/>
                <w:bCs/>
                <w:sz w:val="22"/>
                <w:szCs w:val="22"/>
              </w:rPr>
            </w:pPr>
          </w:p>
          <w:p w14:paraId="40322932"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5F634B63"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7F500833"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tc>
      </w:tr>
      <w:tr w:rsidR="00F37E7E" w:rsidRPr="002F467C" w14:paraId="7FAEC2DB" w14:textId="77777777" w:rsidTr="008D26B2">
        <w:trPr>
          <w:trHeight w:val="720"/>
        </w:trPr>
        <w:tc>
          <w:tcPr>
            <w:tcW w:w="5211" w:type="dxa"/>
            <w:gridSpan w:val="2"/>
          </w:tcPr>
          <w:p w14:paraId="07D55BA1"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F28EA3C"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37E7E" w:rsidRPr="002F467C" w14:paraId="0082E397" w14:textId="77777777" w:rsidTr="008D26B2">
        <w:trPr>
          <w:trHeight w:val="720"/>
        </w:trPr>
        <w:tc>
          <w:tcPr>
            <w:tcW w:w="8856" w:type="dxa"/>
            <w:gridSpan w:val="5"/>
          </w:tcPr>
          <w:p w14:paraId="6E763B33" w14:textId="77777777" w:rsidR="00F37E7E" w:rsidRPr="00B34964" w:rsidRDefault="00F37E7E" w:rsidP="008D26B2">
            <w:pPr>
              <w:rPr>
                <w:rFonts w:ascii="Arial" w:hAnsi="Arial" w:cs="Arial"/>
                <w:b/>
              </w:rPr>
            </w:pPr>
            <w:r w:rsidRPr="00B34964">
              <w:rPr>
                <w:rFonts w:ascii="Arial" w:hAnsi="Arial" w:cs="Arial"/>
                <w:b/>
              </w:rPr>
              <w:t>External Examiner’s comments (if relevant)</w:t>
            </w:r>
          </w:p>
          <w:p w14:paraId="48CA063E"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95E55F6"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03148541"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4548BBA5"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12538928"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29C17057"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7CFF84E8"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719AA72C"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550C3C98" w14:textId="77777777" w:rsidR="00F37E7E" w:rsidRDefault="00F37E7E" w:rsidP="008D26B2">
            <w:pPr>
              <w:pStyle w:val="NormalWeb"/>
              <w:spacing w:before="0" w:beforeAutospacing="0" w:after="0" w:afterAutospacing="0"/>
              <w:ind w:right="-334"/>
              <w:rPr>
                <w:rFonts w:ascii="Arial" w:hAnsi="Arial" w:cs="Arial"/>
                <w:bCs/>
                <w:sz w:val="22"/>
                <w:szCs w:val="22"/>
              </w:rPr>
            </w:pPr>
          </w:p>
          <w:p w14:paraId="517D6590"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p w14:paraId="52AE370E" w14:textId="77777777" w:rsidR="00F37E7E" w:rsidRPr="00230F35" w:rsidRDefault="00F37E7E" w:rsidP="008D26B2">
            <w:pPr>
              <w:pStyle w:val="NormalWeb"/>
              <w:spacing w:before="0" w:beforeAutospacing="0" w:after="0" w:afterAutospacing="0"/>
              <w:ind w:right="-334"/>
              <w:rPr>
                <w:rFonts w:ascii="Arial" w:hAnsi="Arial" w:cs="Arial"/>
                <w:bCs/>
                <w:sz w:val="22"/>
                <w:szCs w:val="22"/>
              </w:rPr>
            </w:pPr>
          </w:p>
        </w:tc>
      </w:tr>
      <w:tr w:rsidR="00F37E7E" w:rsidRPr="002F467C" w14:paraId="11D0D8B7" w14:textId="77777777" w:rsidTr="008D26B2">
        <w:trPr>
          <w:trHeight w:val="720"/>
        </w:trPr>
        <w:tc>
          <w:tcPr>
            <w:tcW w:w="5211" w:type="dxa"/>
            <w:gridSpan w:val="2"/>
          </w:tcPr>
          <w:p w14:paraId="3861C09E" w14:textId="77777777" w:rsidR="00F37E7E" w:rsidRPr="00230F35" w:rsidRDefault="00F37E7E" w:rsidP="008D26B2">
            <w:pPr>
              <w:rPr>
                <w:rFonts w:ascii="Arial" w:hAnsi="Arial" w:cs="Arial"/>
              </w:rPr>
            </w:pPr>
            <w:r w:rsidRPr="00230F35">
              <w:rPr>
                <w:rFonts w:ascii="Arial" w:hAnsi="Arial" w:cs="Arial"/>
              </w:rPr>
              <w:t>External Examiner’s Signature:</w:t>
            </w:r>
          </w:p>
        </w:tc>
        <w:tc>
          <w:tcPr>
            <w:tcW w:w="3645" w:type="dxa"/>
            <w:gridSpan w:val="3"/>
          </w:tcPr>
          <w:p w14:paraId="1927400C" w14:textId="77777777" w:rsidR="00F37E7E" w:rsidRPr="00230F35" w:rsidRDefault="00F37E7E" w:rsidP="008D26B2">
            <w:pPr>
              <w:rPr>
                <w:rFonts w:ascii="Arial" w:hAnsi="Arial" w:cs="Arial"/>
              </w:rPr>
            </w:pPr>
            <w:r w:rsidRPr="00230F35">
              <w:rPr>
                <w:rFonts w:ascii="Arial" w:hAnsi="Arial" w:cs="Arial"/>
              </w:rPr>
              <w:t>Date:</w:t>
            </w:r>
          </w:p>
        </w:tc>
      </w:tr>
    </w:tbl>
    <w:p w14:paraId="14169B7B" w14:textId="77777777" w:rsidR="00F37E7E" w:rsidRDefault="00F37E7E" w:rsidP="00F37E7E"/>
    <w:p w14:paraId="42577D99" w14:textId="77777777" w:rsidR="00F37E7E" w:rsidRDefault="00F37E7E" w:rsidP="00F37E7E"/>
    <w:p w14:paraId="317A2E19" w14:textId="77777777" w:rsidR="00F37E7E" w:rsidRDefault="00F37E7E" w:rsidP="00F37E7E"/>
    <w:p w14:paraId="374754EB" w14:textId="77777777" w:rsidR="00F37E7E" w:rsidRDefault="00F37E7E" w:rsidP="00F37E7E"/>
    <w:p w14:paraId="46917B0F" w14:textId="77777777" w:rsidR="00F37E7E" w:rsidRDefault="00F37E7E" w:rsidP="00F37E7E"/>
    <w:p w14:paraId="562AD76C" w14:textId="77777777" w:rsidR="00F37E7E" w:rsidRDefault="00F37E7E" w:rsidP="00F37E7E"/>
    <w:p w14:paraId="4497366E" w14:textId="77777777" w:rsidR="00F37E7E" w:rsidRDefault="00F37E7E" w:rsidP="00F37E7E"/>
    <w:p w14:paraId="780FFEE3" w14:textId="77777777" w:rsidR="00F37E7E" w:rsidRDefault="00F37E7E" w:rsidP="00F37E7E"/>
    <w:p w14:paraId="18B23E02" w14:textId="77777777" w:rsidR="00F37E7E" w:rsidRDefault="00F37E7E" w:rsidP="00F37E7E"/>
    <w:p w14:paraId="090189CD" w14:textId="77777777" w:rsidR="00F37E7E" w:rsidRDefault="00F37E7E" w:rsidP="00F37E7E"/>
    <w:p w14:paraId="1B10445B" w14:textId="77777777" w:rsidR="00F37E7E" w:rsidRDefault="00F37E7E" w:rsidP="00F37E7E"/>
    <w:p w14:paraId="5A1B2A74" w14:textId="77777777" w:rsidR="00F37E7E" w:rsidRDefault="00F37E7E" w:rsidP="00F37E7E"/>
    <w:p w14:paraId="5F388459" w14:textId="77777777" w:rsidR="00F37E7E" w:rsidRDefault="00F37E7E" w:rsidP="00F37E7E"/>
    <w:p w14:paraId="163A2CDE" w14:textId="77777777" w:rsidR="00F37E7E" w:rsidRDefault="00F37E7E" w:rsidP="00F37E7E"/>
    <w:p w14:paraId="50D7EEA7" w14:textId="77777777" w:rsidR="00F37E7E" w:rsidRDefault="00F37E7E" w:rsidP="00F37E7E"/>
    <w:p w14:paraId="06EB6ABE" w14:textId="77777777" w:rsidR="00F37E7E" w:rsidRDefault="00F37E7E" w:rsidP="00F37E7E"/>
    <w:p w14:paraId="106AA7FC" w14:textId="77777777" w:rsidR="00F37E7E" w:rsidRDefault="00F37E7E" w:rsidP="00F37E7E"/>
    <w:p w14:paraId="66BB216C" w14:textId="77777777" w:rsidR="00F37E7E" w:rsidRDefault="00F37E7E" w:rsidP="00F37E7E"/>
    <w:p w14:paraId="60E861C8" w14:textId="77777777" w:rsidR="00F37E7E" w:rsidRDefault="00F37E7E">
      <w:pPr>
        <w:rPr>
          <w:rFonts w:asciiTheme="majorHAnsi" w:eastAsiaTheme="majorEastAsia" w:hAnsiTheme="majorHAnsi" w:cstheme="majorBidi"/>
          <w:spacing w:val="-10"/>
          <w:kern w:val="28"/>
          <w:sz w:val="56"/>
          <w:szCs w:val="56"/>
        </w:rPr>
      </w:pPr>
      <w:r>
        <w:br w:type="page"/>
      </w:r>
    </w:p>
    <w:p w14:paraId="30DFAB77" w14:textId="76B6E126" w:rsidR="003459B6" w:rsidRDefault="003459B6" w:rsidP="00D7437E">
      <w:pPr>
        <w:pStyle w:val="Title"/>
        <w:rPr>
          <w:lang w:val="en-US"/>
        </w:rPr>
      </w:pPr>
      <w:r w:rsidRPr="003459B6">
        <w:rPr>
          <w:lang w:val="en-US"/>
        </w:rPr>
        <w:lastRenderedPageBreak/>
        <w:t>A C</w:t>
      </w:r>
      <w:r>
        <w:rPr>
          <w:lang w:val="en-US"/>
        </w:rPr>
        <w:t>ritical Comparison of Two Secondary Sources</w:t>
      </w:r>
    </w:p>
    <w:p w14:paraId="431A2A6F" w14:textId="70A1556D" w:rsidR="00DF79F3" w:rsidRDefault="001C2C52">
      <w:pPr>
        <w:rPr>
          <w:lang w:val="en-US"/>
        </w:rPr>
      </w:pPr>
      <w:r>
        <w:rPr>
          <w:lang w:val="en-US"/>
        </w:rPr>
        <w:t>Word count: 2,5</w:t>
      </w:r>
      <w:r w:rsidR="00665FA3">
        <w:rPr>
          <w:lang w:val="en-US"/>
        </w:rPr>
        <w:t>2</w:t>
      </w:r>
      <w:r w:rsidR="00F81AB6">
        <w:rPr>
          <w:lang w:val="en-US"/>
        </w:rPr>
        <w:t>7</w:t>
      </w:r>
    </w:p>
    <w:p w14:paraId="588B86C8" w14:textId="77777777" w:rsidR="00441E0F" w:rsidRPr="003459B6" w:rsidRDefault="00441E0F">
      <w:pPr>
        <w:rPr>
          <w:lang w:val="en-US"/>
        </w:rPr>
      </w:pPr>
    </w:p>
    <w:p w14:paraId="4BF0A454" w14:textId="2C2B5EED" w:rsidR="006E590C" w:rsidRDefault="003459B6" w:rsidP="000A3366">
      <w:pPr>
        <w:pStyle w:val="Heading2"/>
        <w:rPr>
          <w:lang w:val="en-US"/>
        </w:rPr>
      </w:pPr>
      <w:r w:rsidRPr="003459B6">
        <w:rPr>
          <w:lang w:val="en-US"/>
        </w:rPr>
        <w:t>Introduction</w:t>
      </w:r>
      <w:r w:rsidR="002D4A4A">
        <w:rPr>
          <w:lang w:val="en-US"/>
        </w:rPr>
        <w:t xml:space="preserve"> </w:t>
      </w:r>
      <w:bookmarkEnd w:id="0"/>
    </w:p>
    <w:p w14:paraId="5D321438" w14:textId="581A3CD2" w:rsidR="00000644" w:rsidRDefault="00151B85" w:rsidP="00710555">
      <w:pPr>
        <w:ind w:firstLine="567"/>
        <w:jc w:val="both"/>
        <w:rPr>
          <w:lang w:val="en-US"/>
        </w:rPr>
      </w:pPr>
      <w:r w:rsidRPr="00151B85">
        <w:rPr>
          <w:lang w:val="en-US"/>
        </w:rPr>
        <w:t xml:space="preserve">This essay presents a critical </w:t>
      </w:r>
      <w:r w:rsidR="00D1487E">
        <w:rPr>
          <w:lang w:val="en-US"/>
        </w:rPr>
        <w:t>comparative</w:t>
      </w:r>
      <w:r w:rsidR="00A308E9">
        <w:rPr>
          <w:lang w:val="en-US"/>
        </w:rPr>
        <w:t xml:space="preserve"> analysis</w:t>
      </w:r>
      <w:r w:rsidRPr="00151B85">
        <w:rPr>
          <w:lang w:val="en-US"/>
        </w:rPr>
        <w:t xml:space="preserve"> of two academic papers that </w:t>
      </w:r>
      <w:r w:rsidR="00B610AF">
        <w:rPr>
          <w:lang w:val="en-US"/>
        </w:rPr>
        <w:t>investig</w:t>
      </w:r>
      <w:r w:rsidR="00D1487E">
        <w:rPr>
          <w:lang w:val="en-US"/>
        </w:rPr>
        <w:t>ate</w:t>
      </w:r>
      <w:r w:rsidRPr="00151B85">
        <w:rPr>
          <w:lang w:val="en-US"/>
        </w:rPr>
        <w:t xml:space="preserve"> distinct spiritual subjects</w:t>
      </w:r>
      <w:r w:rsidR="00B610AF">
        <w:rPr>
          <w:lang w:val="en-US"/>
        </w:rPr>
        <w:t>,</w:t>
      </w:r>
      <w:r w:rsidRPr="00151B85">
        <w:rPr>
          <w:lang w:val="en-US"/>
        </w:rPr>
        <w:t xml:space="preserve"> rooted in the scholarly study of unseen experience</w:t>
      </w:r>
      <w:r w:rsidR="00D1487E">
        <w:rPr>
          <w:lang w:val="en-US"/>
        </w:rPr>
        <w:t>s</w:t>
      </w:r>
      <w:r w:rsidRPr="00151B85">
        <w:rPr>
          <w:lang w:val="en-US"/>
        </w:rPr>
        <w:t xml:space="preserve"> and belief. </w:t>
      </w:r>
    </w:p>
    <w:p w14:paraId="024AFDBA" w14:textId="69BEF4C5" w:rsidR="00151B85" w:rsidRPr="00151B85" w:rsidRDefault="00151B85" w:rsidP="00710555">
      <w:pPr>
        <w:ind w:firstLine="567"/>
        <w:jc w:val="both"/>
        <w:rPr>
          <w:lang w:val="en-US"/>
        </w:rPr>
      </w:pPr>
      <w:r w:rsidRPr="00151B85">
        <w:rPr>
          <w:lang w:val="en-US"/>
        </w:rPr>
        <w:t xml:space="preserve">On the one hand, Gillian Bennett’s chapter </w:t>
      </w:r>
      <w:r w:rsidR="00000644">
        <w:rPr>
          <w:lang w:val="en-US"/>
        </w:rPr>
        <w:t>‘</w:t>
      </w:r>
      <w:r w:rsidRPr="00000644">
        <w:rPr>
          <w:lang w:val="en-US"/>
        </w:rPr>
        <w:t>If I Knew You Were Coming, I’d Have Baked a Cake: The Folklore of Foreknowledge in a Neighborhood Group</w:t>
      </w:r>
      <w:r w:rsidR="00000644">
        <w:rPr>
          <w:lang w:val="en-US"/>
        </w:rPr>
        <w:t>’</w:t>
      </w:r>
      <w:r w:rsidR="00403920">
        <w:rPr>
          <w:lang w:val="en-US"/>
        </w:rPr>
        <w:t xml:space="preserve"> is </w:t>
      </w:r>
      <w:r w:rsidRPr="00151B85">
        <w:rPr>
          <w:lang w:val="en-US"/>
        </w:rPr>
        <w:t xml:space="preserve">a contribution </w:t>
      </w:r>
      <w:r w:rsidR="00000644">
        <w:rPr>
          <w:lang w:val="en-US"/>
        </w:rPr>
        <w:t xml:space="preserve">chapter </w:t>
      </w:r>
      <w:r w:rsidRPr="00151B85">
        <w:rPr>
          <w:lang w:val="en-US"/>
        </w:rPr>
        <w:t xml:space="preserve">within the edited </w:t>
      </w:r>
      <w:r w:rsidR="00000644">
        <w:rPr>
          <w:lang w:val="en-US"/>
        </w:rPr>
        <w:t>book</w:t>
      </w:r>
      <w:r w:rsidRPr="00151B85">
        <w:rPr>
          <w:lang w:val="en-US"/>
        </w:rPr>
        <w:t xml:space="preserve"> </w:t>
      </w:r>
      <w:bookmarkStart w:id="5" w:name="_Hlk221795305"/>
      <w:r w:rsidRPr="00000644">
        <w:rPr>
          <w:i/>
          <w:iCs/>
          <w:lang w:val="en-US"/>
        </w:rPr>
        <w:t>Out of the Ordinary</w:t>
      </w:r>
      <w:bookmarkEnd w:id="5"/>
      <w:r w:rsidRPr="00151B85">
        <w:rPr>
          <w:lang w:val="en-US"/>
        </w:rPr>
        <w:t xml:space="preserve">, </w:t>
      </w:r>
      <w:r w:rsidR="00EA6348">
        <w:rPr>
          <w:lang w:val="en-US"/>
        </w:rPr>
        <w:t xml:space="preserve">edited by Barbara Walker and </w:t>
      </w:r>
      <w:r w:rsidRPr="00151B85">
        <w:rPr>
          <w:lang w:val="en-US"/>
        </w:rPr>
        <w:t xml:space="preserve">published in </w:t>
      </w:r>
      <w:r w:rsidRPr="00D71F7A">
        <w:rPr>
          <w:lang w:val="en-US"/>
        </w:rPr>
        <w:t>1995</w:t>
      </w:r>
      <w:r w:rsidRPr="00151B85">
        <w:rPr>
          <w:lang w:val="en-US"/>
        </w:rPr>
        <w:t xml:space="preserve"> by the University Press of Colorado and Utah State University Press</w:t>
      </w:r>
      <w:r w:rsidR="00403920">
        <w:rPr>
          <w:lang w:val="en-US"/>
        </w:rPr>
        <w:t xml:space="preserve">. This work </w:t>
      </w:r>
      <w:r w:rsidRPr="00151B85">
        <w:rPr>
          <w:lang w:val="en-US"/>
        </w:rPr>
        <w:t>research</w:t>
      </w:r>
      <w:r w:rsidR="00403920">
        <w:rPr>
          <w:lang w:val="en-US"/>
        </w:rPr>
        <w:t>es</w:t>
      </w:r>
      <w:r w:rsidRPr="00151B85">
        <w:rPr>
          <w:lang w:val="en-US"/>
        </w:rPr>
        <w:t xml:space="preserve"> the lived experiences of foreknowing among elderly women in Britain.</w:t>
      </w:r>
      <w:r w:rsidR="009B18A7">
        <w:rPr>
          <w:rStyle w:val="FootnoteReference"/>
          <w:lang w:val="en-US"/>
        </w:rPr>
        <w:footnoteReference w:id="1"/>
      </w:r>
      <w:r w:rsidRPr="00151B85">
        <w:rPr>
          <w:lang w:val="en-US"/>
        </w:rPr>
        <w:t xml:space="preserve"> Bennett’s work explores both spontaneous psychic experiences and structured foretelling practices, such as astrology, </w:t>
      </w:r>
      <w:r w:rsidR="00080038">
        <w:rPr>
          <w:lang w:val="en-US"/>
        </w:rPr>
        <w:t>and</w:t>
      </w:r>
      <w:r w:rsidRPr="00151B85">
        <w:rPr>
          <w:lang w:val="en-US"/>
        </w:rPr>
        <w:t xml:space="preserve"> provid</w:t>
      </w:r>
      <w:r w:rsidR="00080038">
        <w:rPr>
          <w:lang w:val="en-US"/>
        </w:rPr>
        <w:t>es</w:t>
      </w:r>
      <w:r w:rsidRPr="00151B85">
        <w:rPr>
          <w:lang w:val="en-US"/>
        </w:rPr>
        <w:t xml:space="preserve"> a foundational introduction to the folklore surrounding these phenomena.</w:t>
      </w:r>
    </w:p>
    <w:p w14:paraId="6D139557" w14:textId="141A9B79" w:rsidR="00151B85" w:rsidRPr="00151B85" w:rsidRDefault="00151B85" w:rsidP="00710555">
      <w:pPr>
        <w:ind w:firstLine="567"/>
        <w:jc w:val="both"/>
        <w:rPr>
          <w:lang w:val="en-US"/>
        </w:rPr>
      </w:pPr>
      <w:r w:rsidRPr="00151B85">
        <w:rPr>
          <w:lang w:val="en-US"/>
        </w:rPr>
        <w:t xml:space="preserve">On the other hand, </w:t>
      </w:r>
      <w:r w:rsidR="00000644">
        <w:rPr>
          <w:lang w:val="en-US"/>
        </w:rPr>
        <w:t>‘</w:t>
      </w:r>
      <w:r w:rsidRPr="00000644">
        <w:rPr>
          <w:lang w:val="en-US"/>
        </w:rPr>
        <w:t>A Very Private Belief: Reincarnation in Contemporary England</w:t>
      </w:r>
      <w:r w:rsidR="00000644">
        <w:rPr>
          <w:lang w:val="en-US"/>
        </w:rPr>
        <w:t>’</w:t>
      </w:r>
      <w:r w:rsidR="00403920">
        <w:rPr>
          <w:lang w:val="en-US"/>
        </w:rPr>
        <w:t xml:space="preserve"> is </w:t>
      </w:r>
      <w:r w:rsidRPr="00151B85">
        <w:rPr>
          <w:lang w:val="en-US"/>
        </w:rPr>
        <w:t xml:space="preserve">an article authored by Tony Walter and Helen Waterhouse and published in the journal </w:t>
      </w:r>
      <w:r w:rsidRPr="00000644">
        <w:rPr>
          <w:i/>
          <w:iCs/>
          <w:lang w:val="en-US"/>
        </w:rPr>
        <w:t>Sociology of Religion</w:t>
      </w:r>
      <w:r w:rsidRPr="00151B85">
        <w:rPr>
          <w:lang w:val="en-US"/>
        </w:rPr>
        <w:t xml:space="preserve"> in 1999</w:t>
      </w:r>
      <w:r w:rsidR="00403920">
        <w:rPr>
          <w:lang w:val="en-US"/>
        </w:rPr>
        <w:t xml:space="preserve">, which </w:t>
      </w:r>
      <w:r w:rsidRPr="00151B85">
        <w:rPr>
          <w:lang w:val="en-US"/>
        </w:rPr>
        <w:t>investigates belief in reincarnation.</w:t>
      </w:r>
      <w:r w:rsidR="00B1706B">
        <w:rPr>
          <w:rStyle w:val="FootnoteReference"/>
          <w:lang w:val="en-US"/>
        </w:rPr>
        <w:footnoteReference w:id="2"/>
      </w:r>
      <w:r w:rsidRPr="00151B85">
        <w:rPr>
          <w:lang w:val="en-US"/>
        </w:rPr>
        <w:t xml:space="preserve"> Their study focuses on British group</w:t>
      </w:r>
      <w:r w:rsidR="00B610AF">
        <w:rPr>
          <w:lang w:val="en-US"/>
        </w:rPr>
        <w:t>s</w:t>
      </w:r>
      <w:r w:rsidRPr="00151B85">
        <w:rPr>
          <w:lang w:val="en-US"/>
        </w:rPr>
        <w:t xml:space="preserve"> unaffiliated with Eastern or New Age religions, highlighting the private nature of such beliefs.</w:t>
      </w:r>
    </w:p>
    <w:p w14:paraId="7CDDE8C0" w14:textId="483BB593" w:rsidR="00151B85" w:rsidRDefault="00151B85" w:rsidP="00710555">
      <w:pPr>
        <w:ind w:firstLine="567"/>
        <w:jc w:val="both"/>
        <w:rPr>
          <w:lang w:val="en-US"/>
        </w:rPr>
      </w:pPr>
      <w:r w:rsidRPr="00151B85">
        <w:rPr>
          <w:lang w:val="en-US"/>
        </w:rPr>
        <w:t>To execute this critique, a brief introduction to the authors' respective academic backgrounds will first be provided</w:t>
      </w:r>
      <w:r w:rsidR="0056698E">
        <w:rPr>
          <w:lang w:val="en-US"/>
        </w:rPr>
        <w:t xml:space="preserve">, </w:t>
      </w:r>
      <w:r w:rsidRPr="00151B85">
        <w:rPr>
          <w:lang w:val="en-US"/>
        </w:rPr>
        <w:t>followed by a comparison and contrast of the papers. The analytical structure includes an examination of the methodological approaches employed by the authors</w:t>
      </w:r>
      <w:r w:rsidR="00021FA5">
        <w:rPr>
          <w:lang w:val="en-US"/>
        </w:rPr>
        <w:t xml:space="preserve">, </w:t>
      </w:r>
      <w:r w:rsidR="00107136" w:rsidRPr="00151B85">
        <w:rPr>
          <w:lang w:val="en-US"/>
        </w:rPr>
        <w:t>an assessment of how ethical considerations and reflexivity were navigated</w:t>
      </w:r>
      <w:r w:rsidR="00107136">
        <w:rPr>
          <w:lang w:val="en-US"/>
        </w:rPr>
        <w:t xml:space="preserve">, </w:t>
      </w:r>
      <w:r w:rsidRPr="00151B85">
        <w:rPr>
          <w:lang w:val="en-US"/>
        </w:rPr>
        <w:t>a critical review of the papers’ structures</w:t>
      </w:r>
      <w:r w:rsidR="0025141D">
        <w:rPr>
          <w:lang w:val="en-US"/>
        </w:rPr>
        <w:t xml:space="preserve">, </w:t>
      </w:r>
      <w:r w:rsidR="00107136">
        <w:rPr>
          <w:lang w:val="en-US"/>
        </w:rPr>
        <w:t xml:space="preserve">and </w:t>
      </w:r>
      <w:r w:rsidRPr="00151B85">
        <w:rPr>
          <w:lang w:val="en-US"/>
        </w:rPr>
        <w:t>an evaluation of the literature and theoretical frameworks applied</w:t>
      </w:r>
      <w:r w:rsidR="00107136">
        <w:rPr>
          <w:lang w:val="en-US"/>
        </w:rPr>
        <w:t>.</w:t>
      </w:r>
    </w:p>
    <w:p w14:paraId="1B9C1772" w14:textId="7994BBB2" w:rsidR="00151B85" w:rsidRDefault="00151B85" w:rsidP="00710555">
      <w:pPr>
        <w:ind w:firstLine="567"/>
        <w:jc w:val="both"/>
        <w:rPr>
          <w:lang w:val="en-US"/>
        </w:rPr>
      </w:pPr>
      <w:r w:rsidRPr="00151B85">
        <w:rPr>
          <w:lang w:val="en-US"/>
        </w:rPr>
        <w:t xml:space="preserve">The intention of this essay is not to perform a deep dive into the specific theological </w:t>
      </w:r>
      <w:r w:rsidR="00A950D6">
        <w:rPr>
          <w:lang w:val="en-US"/>
        </w:rPr>
        <w:t xml:space="preserve">or sociological </w:t>
      </w:r>
      <w:r w:rsidRPr="00151B85">
        <w:rPr>
          <w:lang w:val="en-US"/>
        </w:rPr>
        <w:t>content of the papers, but to critically analyze their academic composition</w:t>
      </w:r>
      <w:r w:rsidR="00F36330">
        <w:rPr>
          <w:lang w:val="en-US"/>
        </w:rPr>
        <w:t xml:space="preserve"> b</w:t>
      </w:r>
      <w:r w:rsidRPr="00151B85">
        <w:rPr>
          <w:lang w:val="en-US"/>
        </w:rPr>
        <w:t>y comparing how these papers were constructed, how the authors’ backgrounds influenced the depth of their findings, and how clearly their arguments are outlined</w:t>
      </w:r>
      <w:r w:rsidR="00F36330">
        <w:rPr>
          <w:lang w:val="en-US"/>
        </w:rPr>
        <w:t>.</w:t>
      </w:r>
    </w:p>
    <w:p w14:paraId="2F6918ED" w14:textId="77777777" w:rsidR="00AD454A" w:rsidRPr="00AD454A" w:rsidRDefault="00AD454A" w:rsidP="00351458">
      <w:pPr>
        <w:jc w:val="both"/>
        <w:rPr>
          <w:lang w:val="en-US"/>
        </w:rPr>
      </w:pPr>
    </w:p>
    <w:p w14:paraId="077D18BD" w14:textId="77777777" w:rsidR="006E590C" w:rsidRDefault="002D4A4A" w:rsidP="00351458">
      <w:pPr>
        <w:pStyle w:val="Heading2"/>
        <w:jc w:val="both"/>
        <w:rPr>
          <w:lang w:val="en-US"/>
        </w:rPr>
      </w:pPr>
      <w:r>
        <w:rPr>
          <w:lang w:val="en-US"/>
        </w:rPr>
        <w:lastRenderedPageBreak/>
        <w:t>Author</w:t>
      </w:r>
      <w:r w:rsidR="00D24604">
        <w:rPr>
          <w:lang w:val="en-US"/>
        </w:rPr>
        <w:t>s’</w:t>
      </w:r>
      <w:r>
        <w:rPr>
          <w:lang w:val="en-US"/>
        </w:rPr>
        <w:t xml:space="preserve"> Background and Context </w:t>
      </w:r>
    </w:p>
    <w:p w14:paraId="0CA89D96" w14:textId="20162486" w:rsidR="00611EF5" w:rsidRPr="00C021BB" w:rsidRDefault="00C021BB" w:rsidP="00710555">
      <w:pPr>
        <w:ind w:firstLine="567"/>
        <w:jc w:val="both"/>
      </w:pPr>
      <w:r w:rsidRPr="00C021BB">
        <w:t xml:space="preserve">Gillian Bennett was </w:t>
      </w:r>
      <w:r w:rsidR="00C53354">
        <w:t xml:space="preserve">a </w:t>
      </w:r>
      <w:r w:rsidR="005C6474" w:rsidRPr="005C6474">
        <w:t>distinguished folklorist, specialized in contemporary legends and supernatural narratives</w:t>
      </w:r>
      <w:r w:rsidR="002023D6">
        <w:rPr>
          <w:lang w:val="en-US"/>
        </w:rPr>
        <w:t>.</w:t>
      </w:r>
      <w:r w:rsidR="00F60163">
        <w:rPr>
          <w:rStyle w:val="FootnoteReference"/>
          <w:lang w:val="en-US"/>
        </w:rPr>
        <w:footnoteReference w:id="3"/>
      </w:r>
      <w:r w:rsidR="001D774B">
        <w:rPr>
          <w:lang w:val="en-US"/>
        </w:rPr>
        <w:t xml:space="preserve"> </w:t>
      </w:r>
      <w:r w:rsidR="005C6474" w:rsidRPr="005C6474">
        <w:t xml:space="preserve">Her research at the Centre for English Cultural Tradition and Language (CECTAL) culminated in her 1985 PhD, which </w:t>
      </w:r>
      <w:r w:rsidR="006A350D">
        <w:t>led to</w:t>
      </w:r>
      <w:r w:rsidR="005C6474" w:rsidRPr="005C6474">
        <w:t xml:space="preserve"> her book </w:t>
      </w:r>
      <w:r w:rsidR="005C6474" w:rsidRPr="005C6474">
        <w:rPr>
          <w:i/>
          <w:iCs/>
        </w:rPr>
        <w:t xml:space="preserve">Traditions of Belief: </w:t>
      </w:r>
      <w:r w:rsidRPr="005C6474">
        <w:rPr>
          <w:i/>
          <w:iCs/>
        </w:rPr>
        <w:t>Women, Folklore and the Supernatural</w:t>
      </w:r>
      <w:r w:rsidR="00982619">
        <w:t>.</w:t>
      </w:r>
      <w:r w:rsidR="002023D6">
        <w:rPr>
          <w:rStyle w:val="FootnoteReference"/>
          <w:lang w:val="en-US"/>
        </w:rPr>
        <w:footnoteReference w:id="4"/>
      </w:r>
      <w:r>
        <w:rPr>
          <w:lang w:val="en-US"/>
        </w:rPr>
        <w:t xml:space="preserve"> </w:t>
      </w:r>
      <w:r w:rsidR="005C6474" w:rsidRPr="005C6474">
        <w:rPr>
          <w:lang w:val="en-US"/>
        </w:rPr>
        <w:t>Her expertise is further established by her</w:t>
      </w:r>
      <w:r w:rsidR="005C6474">
        <w:rPr>
          <w:lang w:val="en-US"/>
        </w:rPr>
        <w:t xml:space="preserve"> </w:t>
      </w:r>
      <w:r w:rsidR="005C6474" w:rsidRPr="005C6474">
        <w:rPr>
          <w:lang w:val="en-US"/>
        </w:rPr>
        <w:t xml:space="preserve">tenure as the editor of the journal </w:t>
      </w:r>
      <w:r w:rsidR="005C6474" w:rsidRPr="005C6474">
        <w:rPr>
          <w:i/>
          <w:iCs/>
          <w:lang w:val="en-US"/>
        </w:rPr>
        <w:t>Folklore</w:t>
      </w:r>
      <w:r w:rsidRPr="00C021BB">
        <w:t xml:space="preserve"> (1994–2002</w:t>
      </w:r>
      <w:r w:rsidR="00982619">
        <w:t>)</w:t>
      </w:r>
      <w:r w:rsidR="00C53354">
        <w:t>.</w:t>
      </w:r>
      <w:r w:rsidR="00C97919">
        <w:rPr>
          <w:rStyle w:val="FootnoteReference"/>
        </w:rPr>
        <w:footnoteReference w:id="5"/>
      </w:r>
      <w:r w:rsidR="00982619">
        <w:t xml:space="preserve"> </w:t>
      </w:r>
      <w:r w:rsidR="00C53354">
        <w:t xml:space="preserve">Additionally, she also </w:t>
      </w:r>
      <w:r w:rsidR="00982619">
        <w:t>approached the subject of gender stereotyping.</w:t>
      </w:r>
      <w:r w:rsidR="00982619">
        <w:rPr>
          <w:rStyle w:val="FootnoteReference"/>
        </w:rPr>
        <w:footnoteReference w:id="6"/>
      </w:r>
    </w:p>
    <w:p w14:paraId="3ED5C4CD" w14:textId="3B48A65F" w:rsidR="00C421F4" w:rsidRDefault="00C421F4" w:rsidP="00C04EFC">
      <w:pPr>
        <w:ind w:firstLine="567"/>
        <w:jc w:val="both"/>
        <w:rPr>
          <w:lang w:val="en-US"/>
        </w:rPr>
      </w:pPr>
      <w:r w:rsidRPr="00C021BB">
        <w:t xml:space="preserve">In contrast, </w:t>
      </w:r>
      <w:r>
        <w:t>‘</w:t>
      </w:r>
      <w:r w:rsidRPr="00C021BB">
        <w:t>A Very Private Belief</w:t>
      </w:r>
      <w:r>
        <w:t>’</w:t>
      </w:r>
      <w:r w:rsidRPr="00C021BB">
        <w:t xml:space="preserve"> is the product of a cross-disciplinary collaboration between Tony Walter and Helen Waterhouse, whose backgrounds in sociology and religious studies, respectively, offer a synergistic perspective on </w:t>
      </w:r>
      <w:r w:rsidR="00C53354">
        <w:t>belief</w:t>
      </w:r>
      <w:r w:rsidRPr="00C021BB">
        <w:t xml:space="preserve"> inquiry</w:t>
      </w:r>
      <w:r w:rsidR="00C72443">
        <w:rPr>
          <w:lang w:val="en-US"/>
        </w:rPr>
        <w:t>.</w:t>
      </w:r>
      <w:r w:rsidR="00C72443">
        <w:rPr>
          <w:rStyle w:val="FootnoteReference"/>
          <w:lang w:val="en-US"/>
        </w:rPr>
        <w:footnoteReference w:id="7"/>
      </w:r>
      <w:r w:rsidR="00404AD1">
        <w:rPr>
          <w:lang w:val="en-US"/>
        </w:rPr>
        <w:t xml:space="preserve"> </w:t>
      </w:r>
      <w:r w:rsidRPr="00C021BB">
        <w:t xml:space="preserve">Walter, </w:t>
      </w:r>
      <w:r w:rsidR="007265A6">
        <w:t>a</w:t>
      </w:r>
      <w:r w:rsidRPr="00C021BB">
        <w:t xml:space="preserve"> Professor Emeritus at the University of Bath’s Centre for Death and Society, has dedicated his career to the sociology of funerals, afterlife beliefs, and end-of-life discourses.</w:t>
      </w:r>
      <w:r w:rsidR="00404AD1">
        <w:rPr>
          <w:rStyle w:val="FootnoteReference"/>
          <w:lang w:val="en-US"/>
        </w:rPr>
        <w:footnoteReference w:id="8"/>
      </w:r>
      <w:r w:rsidR="00C04EFC">
        <w:rPr>
          <w:lang w:val="en-US"/>
        </w:rPr>
        <w:t xml:space="preserve"> </w:t>
      </w:r>
      <w:r w:rsidRPr="00C021BB">
        <w:t xml:space="preserve">Waterhouse, </w:t>
      </w:r>
      <w:r w:rsidR="002D0396">
        <w:t>who served</w:t>
      </w:r>
      <w:r w:rsidRPr="00C021BB">
        <w:t xml:space="preserve"> </w:t>
      </w:r>
      <w:r w:rsidR="002D0396">
        <w:t xml:space="preserve">as an </w:t>
      </w:r>
      <w:r w:rsidRPr="00C021BB">
        <w:t>Honorary Research Associate at Bath Spa University College</w:t>
      </w:r>
      <w:r w:rsidR="00AD4171">
        <w:t xml:space="preserve"> during this research, </w:t>
      </w:r>
      <w:r w:rsidRPr="00C021BB">
        <w:t>specializes in British Buddhism and religious pluralism</w:t>
      </w:r>
      <w:r>
        <w:t xml:space="preserve">, but also </w:t>
      </w:r>
      <w:r w:rsidR="001959E5">
        <w:t>the subject of</w:t>
      </w:r>
      <w:r>
        <w:t xml:space="preserve"> reincarnation</w:t>
      </w:r>
      <w:r w:rsidR="00033B92">
        <w:rPr>
          <w:lang w:val="en-US"/>
        </w:rPr>
        <w:t>.</w:t>
      </w:r>
      <w:r w:rsidR="00BF3ED7">
        <w:rPr>
          <w:rStyle w:val="FootnoteReference"/>
          <w:lang w:val="en-US"/>
        </w:rPr>
        <w:footnoteReference w:id="9"/>
      </w:r>
      <w:r w:rsidR="00054847">
        <w:rPr>
          <w:lang w:val="en-US"/>
        </w:rPr>
        <w:t xml:space="preserve"> </w:t>
      </w:r>
      <w:r w:rsidRPr="00C021BB">
        <w:t xml:space="preserve">Their partnership has </w:t>
      </w:r>
      <w:r w:rsidR="006A350D">
        <w:t>provided several</w:t>
      </w:r>
      <w:r w:rsidRPr="00C021BB">
        <w:t xml:space="preserve"> contributions to the study of reincarnation, including works such as </w:t>
      </w:r>
      <w:r w:rsidRPr="00C021BB">
        <w:rPr>
          <w:i/>
          <w:iCs/>
        </w:rPr>
        <w:t>Lives-Long Learning</w:t>
      </w:r>
      <w:r w:rsidRPr="00C021BB">
        <w:t xml:space="preserve"> (2001) and </w:t>
      </w:r>
      <w:r w:rsidRPr="00C021BB">
        <w:rPr>
          <w:i/>
          <w:iCs/>
        </w:rPr>
        <w:t>Reincarnation Belief and the Christian Churches</w:t>
      </w:r>
      <w:r w:rsidRPr="00C021BB">
        <w:t xml:space="preserve"> (2003).</w:t>
      </w:r>
      <w:r w:rsidR="00054847">
        <w:rPr>
          <w:rStyle w:val="FootnoteReference"/>
          <w:lang w:val="en-US"/>
        </w:rPr>
        <w:footnoteReference w:id="10"/>
      </w:r>
      <w:r>
        <w:rPr>
          <w:lang w:val="en-US"/>
        </w:rPr>
        <w:t xml:space="preserve"> </w:t>
      </w:r>
    </w:p>
    <w:p w14:paraId="51FC0113" w14:textId="016AD1BA" w:rsidR="00C421F4" w:rsidRDefault="00C421F4" w:rsidP="00710555">
      <w:pPr>
        <w:ind w:firstLine="567"/>
        <w:jc w:val="both"/>
      </w:pPr>
      <w:r w:rsidRPr="00C021BB">
        <w:t>While Bennett approaches unseen experiences through the lens of folklore, Walter and Waterhouse utilize their combined expertise to examine how private spiritual concepts like reincarnation function within the broader context of English society.</w:t>
      </w:r>
    </w:p>
    <w:p w14:paraId="23F03064" w14:textId="77777777" w:rsidR="00953DC3" w:rsidRPr="00953DC3" w:rsidRDefault="00953DC3" w:rsidP="00351458">
      <w:pPr>
        <w:jc w:val="both"/>
      </w:pPr>
    </w:p>
    <w:p w14:paraId="26B7ED9D" w14:textId="1A245E65" w:rsidR="003459B6" w:rsidRPr="003459B6" w:rsidRDefault="003459B6" w:rsidP="00351458">
      <w:pPr>
        <w:pStyle w:val="Heading2"/>
        <w:jc w:val="both"/>
        <w:rPr>
          <w:lang w:val="en-US"/>
        </w:rPr>
      </w:pPr>
      <w:r w:rsidRPr="00D71F7A">
        <w:rPr>
          <w:lang w:val="en-US"/>
        </w:rPr>
        <w:t>Methodological Approaches</w:t>
      </w:r>
    </w:p>
    <w:p w14:paraId="35BD2368" w14:textId="2DB069CD" w:rsidR="002971FB" w:rsidRDefault="00AE0F69" w:rsidP="00710555">
      <w:pPr>
        <w:ind w:firstLine="567"/>
        <w:jc w:val="both"/>
        <w:rPr>
          <w:lang w:val="en-US"/>
        </w:rPr>
      </w:pPr>
      <w:r w:rsidRPr="00AE0F69">
        <w:t>Both studies employ qualitative research designs to explore how individuals ascribe meaning to extraordinary experiences</w:t>
      </w:r>
      <w:r w:rsidR="002971FB">
        <w:t xml:space="preserve"> – specifically </w:t>
      </w:r>
      <w:r w:rsidRPr="00AE0F69">
        <w:t xml:space="preserve">foreknowledge (Bennett) and reincarnation (Walter and Waterhouse). </w:t>
      </w:r>
      <w:r w:rsidR="006F2E1B">
        <w:t>Qualitative</w:t>
      </w:r>
      <w:r w:rsidRPr="00AE0F69">
        <w:t xml:space="preserve"> research is often defined as an approach for understanding the meanings groups ascribe to social problems</w:t>
      </w:r>
      <w:r w:rsidR="006F2E1B">
        <w:t>.</w:t>
      </w:r>
      <w:r>
        <w:rPr>
          <w:rStyle w:val="FootnoteReference"/>
          <w:lang w:val="en-US"/>
        </w:rPr>
        <w:footnoteReference w:id="11"/>
      </w:r>
      <w:r>
        <w:rPr>
          <w:lang w:val="en-US"/>
        </w:rPr>
        <w:t xml:space="preserve"> </w:t>
      </w:r>
      <w:r w:rsidR="00060DE4">
        <w:rPr>
          <w:lang w:val="en-US"/>
        </w:rPr>
        <w:t>Additionally</w:t>
      </w:r>
      <w:r w:rsidR="006F2E1B">
        <w:rPr>
          <w:lang w:val="en-US"/>
        </w:rPr>
        <w:t>, both</w:t>
      </w:r>
      <w:r w:rsidRPr="00AE0F69">
        <w:t xml:space="preserve"> papers align with Denzin’s interpretivist </w:t>
      </w:r>
      <w:r w:rsidR="002971FB">
        <w:t>philosophical perspective</w:t>
      </w:r>
      <w:r w:rsidR="006F2E1B">
        <w:t>, which sees qualitative research as</w:t>
      </w:r>
      <w:r w:rsidRPr="00AE0F69">
        <w:t xml:space="preserve"> a set of practices that make the world visible through interpretation</w:t>
      </w:r>
      <w:r>
        <w:t>.</w:t>
      </w:r>
      <w:r>
        <w:rPr>
          <w:rStyle w:val="FootnoteReference"/>
          <w:lang w:val="en-US"/>
        </w:rPr>
        <w:footnoteReference w:id="12"/>
      </w:r>
      <w:r w:rsidR="00134182">
        <w:rPr>
          <w:lang w:val="en-US"/>
        </w:rPr>
        <w:t xml:space="preserve"> </w:t>
      </w:r>
      <w:r w:rsidR="004E794E">
        <w:rPr>
          <w:lang w:val="en-US"/>
        </w:rPr>
        <w:t>Their</w:t>
      </w:r>
      <w:r w:rsidR="002971FB">
        <w:rPr>
          <w:lang w:val="en-US"/>
        </w:rPr>
        <w:t xml:space="preserve"> relativist ontology differs in the sense that </w:t>
      </w:r>
      <w:r w:rsidR="002971FB">
        <w:rPr>
          <w:lang w:val="en-US"/>
        </w:rPr>
        <w:lastRenderedPageBreak/>
        <w:t xml:space="preserve">for Bennett, reality </w:t>
      </w:r>
      <w:r w:rsidR="006F2E1B">
        <w:rPr>
          <w:lang w:val="en-US"/>
        </w:rPr>
        <w:t>appears to be</w:t>
      </w:r>
      <w:r w:rsidR="002971FB">
        <w:rPr>
          <w:lang w:val="en-US"/>
        </w:rPr>
        <w:t xml:space="preserve"> local and group-dependent, aligning with a </w:t>
      </w:r>
      <w:r w:rsidR="002971FB" w:rsidRPr="004C3FF5">
        <w:rPr>
          <w:i/>
          <w:iCs/>
          <w:lang w:val="en-US"/>
        </w:rPr>
        <w:t>bounded</w:t>
      </w:r>
      <w:r w:rsidR="002971FB">
        <w:rPr>
          <w:lang w:val="en-US"/>
        </w:rPr>
        <w:t xml:space="preserve"> relativist ontology; while for Walter and Waterhouse reality </w:t>
      </w:r>
      <w:r w:rsidR="006F2E1B">
        <w:rPr>
          <w:lang w:val="en-US"/>
        </w:rPr>
        <w:t>seems to be</w:t>
      </w:r>
      <w:r w:rsidR="002971FB">
        <w:rPr>
          <w:lang w:val="en-US"/>
        </w:rPr>
        <w:t xml:space="preserve"> subjective and private within the human’s mind, aligning with</w:t>
      </w:r>
      <w:r w:rsidR="004E794E">
        <w:rPr>
          <w:lang w:val="en-US"/>
        </w:rPr>
        <w:t xml:space="preserve"> a</w:t>
      </w:r>
      <w:r w:rsidR="00820DCF">
        <w:rPr>
          <w:lang w:val="en-US"/>
        </w:rPr>
        <w:t xml:space="preserve"> purely</w:t>
      </w:r>
      <w:r w:rsidR="002971FB">
        <w:rPr>
          <w:lang w:val="en-US"/>
        </w:rPr>
        <w:t xml:space="preserve"> relativist ontology.</w:t>
      </w:r>
      <w:r w:rsidR="002971FB">
        <w:rPr>
          <w:rStyle w:val="FootnoteReference"/>
          <w:lang w:val="en-US"/>
        </w:rPr>
        <w:footnoteReference w:id="13"/>
      </w:r>
      <w:r w:rsidR="002971FB">
        <w:rPr>
          <w:lang w:val="en-US"/>
        </w:rPr>
        <w:t xml:space="preserve"> Their epistemologies also differ in the sense that for Bennett, one could argue that she follows a constructionist epistemology</w:t>
      </w:r>
      <w:r w:rsidR="00820DCF">
        <w:rPr>
          <w:lang w:val="en-US"/>
        </w:rPr>
        <w:t>,</w:t>
      </w:r>
      <w:r w:rsidR="002971FB">
        <w:rPr>
          <w:lang w:val="en-US"/>
        </w:rPr>
        <w:t xml:space="preserve"> since meaning derives from our engagement with the world</w:t>
      </w:r>
      <w:r w:rsidR="00B56220">
        <w:rPr>
          <w:lang w:val="en-US"/>
        </w:rPr>
        <w:t xml:space="preserve">, while for </w:t>
      </w:r>
      <w:r w:rsidR="002971FB">
        <w:rPr>
          <w:lang w:val="en-US"/>
        </w:rPr>
        <w:t>Walter and Waterhouse, meaning comes from how a person perceives reality, aligning with a subjectivist epistemology.</w:t>
      </w:r>
      <w:r w:rsidR="002971FB">
        <w:rPr>
          <w:rStyle w:val="FootnoteReference"/>
          <w:lang w:val="en-US"/>
        </w:rPr>
        <w:footnoteReference w:id="14"/>
      </w:r>
    </w:p>
    <w:p w14:paraId="60F038AE" w14:textId="7D6D9D69" w:rsidR="008A5A14" w:rsidRDefault="00B31E12" w:rsidP="00710555">
      <w:pPr>
        <w:ind w:firstLine="567"/>
        <w:jc w:val="both"/>
        <w:rPr>
          <w:lang w:val="en-US"/>
        </w:rPr>
      </w:pPr>
      <w:r>
        <w:rPr>
          <w:lang w:val="en-US"/>
        </w:rPr>
        <w:t xml:space="preserve">None of the papers, however, outline a specific </w:t>
      </w:r>
      <w:r w:rsidR="002971FB">
        <w:rPr>
          <w:lang w:val="en-US"/>
        </w:rPr>
        <w:t xml:space="preserve">research </w:t>
      </w:r>
      <w:r>
        <w:rPr>
          <w:lang w:val="en-US"/>
        </w:rPr>
        <w:t>methodology. Bennett describes how she conducted her fieldwork, while Walter and Waterhouse provide more detail, including number of interviews, gender gap, religion, and others.</w:t>
      </w:r>
    </w:p>
    <w:p w14:paraId="1E75BE10" w14:textId="3928B741" w:rsidR="00B809D6" w:rsidRPr="003E20A9" w:rsidRDefault="00B809D6" w:rsidP="00351458">
      <w:pPr>
        <w:pStyle w:val="Heading3"/>
        <w:jc w:val="both"/>
        <w:rPr>
          <w:sz w:val="24"/>
          <w:szCs w:val="24"/>
        </w:rPr>
      </w:pPr>
      <w:r w:rsidRPr="003E20A9">
        <w:rPr>
          <w:sz w:val="24"/>
          <w:szCs w:val="24"/>
        </w:rPr>
        <w:t>Fieldwork Approaches</w:t>
      </w:r>
    </w:p>
    <w:p w14:paraId="260925E2" w14:textId="705C8094" w:rsidR="00B809D6" w:rsidRPr="00B809D6" w:rsidRDefault="00B809D6" w:rsidP="00710555">
      <w:pPr>
        <w:ind w:firstLine="567"/>
        <w:jc w:val="both"/>
      </w:pPr>
      <w:r>
        <w:t xml:space="preserve">Both </w:t>
      </w:r>
      <w:r w:rsidR="00FD1340">
        <w:t>studies</w:t>
      </w:r>
      <w:r>
        <w:t xml:space="preserve"> used interviews</w:t>
      </w:r>
      <w:r w:rsidR="00FD1340">
        <w:t xml:space="preserve"> to collect data, </w:t>
      </w:r>
      <w:r w:rsidR="00C04EFC">
        <w:t>but</w:t>
      </w:r>
      <w:r w:rsidR="00FD1340">
        <w:t xml:space="preserve"> they differed</w:t>
      </w:r>
      <w:r w:rsidRPr="00B809D6">
        <w:t xml:space="preserve"> in their approaches to fieldwork. Bennett utilize</w:t>
      </w:r>
      <w:r w:rsidR="00E03C8E">
        <w:t>d</w:t>
      </w:r>
      <w:r w:rsidRPr="00B809D6">
        <w:t xml:space="preserve"> ethnography, defined by </w:t>
      </w:r>
      <w:r>
        <w:t>Brewer</w:t>
      </w:r>
      <w:r w:rsidR="00FC4280">
        <w:t xml:space="preserve"> – cited </w:t>
      </w:r>
      <w:r w:rsidR="00E03C8E">
        <w:t>in</w:t>
      </w:r>
      <w:r w:rsidR="00814C10">
        <w:t xml:space="preserve"> Bell</w:t>
      </w:r>
      <w:r w:rsidR="00C63CA9">
        <w:t xml:space="preserve">, </w:t>
      </w:r>
      <w:r w:rsidR="00814C10">
        <w:t>Waters</w:t>
      </w:r>
      <w:r w:rsidR="00C63CA9">
        <w:t xml:space="preserve"> and Johnson</w:t>
      </w:r>
      <w:r w:rsidR="00814C10">
        <w:t xml:space="preserve"> </w:t>
      </w:r>
      <w:r w:rsidR="00FC4280">
        <w:t>– as</w:t>
      </w:r>
      <w:r>
        <w:t xml:space="preserve"> ‘the study of people in naturally occurring settings’</w:t>
      </w:r>
      <w:r w:rsidRPr="00B809D6">
        <w:t xml:space="preserve"> through direct researcher participation</w:t>
      </w:r>
      <w:r>
        <w:t>.</w:t>
      </w:r>
      <w:r>
        <w:rPr>
          <w:rStyle w:val="FootnoteReference"/>
        </w:rPr>
        <w:footnoteReference w:id="15"/>
      </w:r>
      <w:r w:rsidRPr="00B809D6">
        <w:t xml:space="preserve"> </w:t>
      </w:r>
      <w:r w:rsidR="00FD1340" w:rsidRPr="00FD1340">
        <w:t xml:space="preserve">By embedding herself in </w:t>
      </w:r>
      <w:r w:rsidR="00EE15CF">
        <w:t>her father’s</w:t>
      </w:r>
      <w:r w:rsidR="00FD1340" w:rsidRPr="00FD1340">
        <w:t xml:space="preserve"> clinic, she observe</w:t>
      </w:r>
      <w:r w:rsidR="00EE15CF">
        <w:t>d</w:t>
      </w:r>
      <w:r w:rsidR="00FD1340" w:rsidRPr="00FD1340">
        <w:t xml:space="preserve"> her informants in their natural social context. </w:t>
      </w:r>
      <w:r w:rsidR="005330EA">
        <w:t xml:space="preserve">This aligns with </w:t>
      </w:r>
      <w:r w:rsidR="005330EA" w:rsidRPr="00861859">
        <w:t>narrative inquiry</w:t>
      </w:r>
      <w:r w:rsidR="005330EA">
        <w:t xml:space="preserve">’s </w:t>
      </w:r>
      <w:r w:rsidR="00FD1340">
        <w:t>goal</w:t>
      </w:r>
      <w:r w:rsidR="005330EA">
        <w:t xml:space="preserve"> of understanding people’s experiences</w:t>
      </w:r>
      <w:r w:rsidR="00E03C8E">
        <w:t>.</w:t>
      </w:r>
      <w:r w:rsidR="005330EA">
        <w:rPr>
          <w:rStyle w:val="FootnoteReference"/>
        </w:rPr>
        <w:footnoteReference w:id="16"/>
      </w:r>
      <w:r w:rsidR="005330EA">
        <w:t xml:space="preserve"> </w:t>
      </w:r>
      <w:r w:rsidR="00E03C8E">
        <w:t xml:space="preserve">She also </w:t>
      </w:r>
      <w:r w:rsidR="00FD1340" w:rsidRPr="00FD1340">
        <w:t>treat</w:t>
      </w:r>
      <w:r w:rsidR="00E03C8E">
        <w:t>ed</w:t>
      </w:r>
      <w:r w:rsidR="00FD1340" w:rsidRPr="00FD1340">
        <w:t xml:space="preserve"> </w:t>
      </w:r>
      <w:r w:rsidR="00D62432">
        <w:t>language</w:t>
      </w:r>
      <w:r w:rsidR="00FD1340" w:rsidRPr="00FD1340">
        <w:t xml:space="preserve"> nuances and narrative gaps as evidence of shared folklore.</w:t>
      </w:r>
      <w:r w:rsidR="005330EA" w:rsidRPr="00272CFC">
        <w:rPr>
          <w:rStyle w:val="FootnoteReference"/>
        </w:rPr>
        <w:footnoteReference w:id="17"/>
      </w:r>
    </w:p>
    <w:p w14:paraId="0D6081BD" w14:textId="4D863DFD" w:rsidR="00AE6376" w:rsidRDefault="00EE15CF" w:rsidP="00710555">
      <w:pPr>
        <w:ind w:firstLine="567"/>
        <w:jc w:val="both"/>
      </w:pPr>
      <w:r>
        <w:t>Conversely</w:t>
      </w:r>
      <w:r w:rsidR="005330EA" w:rsidRPr="004251BC">
        <w:t>, Walter and Waterhouse utilized semi-structured, in-depth interviewing</w:t>
      </w:r>
      <w:r>
        <w:t xml:space="preserve"> and</w:t>
      </w:r>
      <w:r w:rsidR="005330EA" w:rsidRPr="005330EA">
        <w:t xml:space="preserve"> purposive sampling</w:t>
      </w:r>
      <w:r>
        <w:t>. T</w:t>
      </w:r>
      <w:r w:rsidR="005330EA" w:rsidRPr="005330EA">
        <w:t xml:space="preserve">hey recruited via </w:t>
      </w:r>
      <w:r w:rsidR="005330EA">
        <w:t xml:space="preserve">personal contacts and </w:t>
      </w:r>
      <w:r w:rsidR="005330EA" w:rsidRPr="005330EA">
        <w:t xml:space="preserve">local media </w:t>
      </w:r>
      <w:r w:rsidR="005330EA">
        <w:t xml:space="preserve">to </w:t>
      </w:r>
      <w:r w:rsidR="005330EA" w:rsidRPr="005330EA">
        <w:t xml:space="preserve">target </w:t>
      </w:r>
      <w:r w:rsidR="005330EA">
        <w:t xml:space="preserve">their informants, deliberately excluding people belonging to religions or groups where belief in reincarnation is traditional – their </w:t>
      </w:r>
      <w:r w:rsidR="00E03C8E">
        <w:t>goal</w:t>
      </w:r>
      <w:r w:rsidR="005330EA">
        <w:t xml:space="preserve"> was to explore this belief in England.</w:t>
      </w:r>
      <w:r w:rsidR="005330EA">
        <w:rPr>
          <w:rStyle w:val="FootnoteReference"/>
        </w:rPr>
        <w:footnoteReference w:id="18"/>
      </w:r>
      <w:r w:rsidR="00AE6376">
        <w:t xml:space="preserve"> Additionally, the authors both analysed the data, </w:t>
      </w:r>
      <w:r w:rsidR="005A55E3">
        <w:t>joining</w:t>
      </w:r>
      <w:r w:rsidR="00AE6376">
        <w:t xml:space="preserve"> their respective backgrounds in sociology and religious studies.</w:t>
      </w:r>
      <w:r w:rsidR="00AE6376">
        <w:rPr>
          <w:rStyle w:val="FootnoteReference"/>
        </w:rPr>
        <w:footnoteReference w:id="19"/>
      </w:r>
      <w:r w:rsidR="00AE6376">
        <w:t xml:space="preserve"> </w:t>
      </w:r>
    </w:p>
    <w:p w14:paraId="108EB3FE" w14:textId="4C33F81F" w:rsidR="00AE6376" w:rsidRPr="003E20A9" w:rsidRDefault="00AE6376" w:rsidP="00351458">
      <w:pPr>
        <w:pStyle w:val="Heading3"/>
        <w:jc w:val="both"/>
        <w:rPr>
          <w:sz w:val="24"/>
          <w:szCs w:val="24"/>
        </w:rPr>
      </w:pPr>
      <w:r w:rsidRPr="003E20A9">
        <w:rPr>
          <w:sz w:val="24"/>
          <w:szCs w:val="24"/>
        </w:rPr>
        <w:t>Conceptual Evolution: From Deductive to Inductive</w:t>
      </w:r>
    </w:p>
    <w:p w14:paraId="682C1E13" w14:textId="453070AB" w:rsidR="00AE6376" w:rsidRDefault="00401E42" w:rsidP="00710555">
      <w:pPr>
        <w:ind w:firstLine="567"/>
        <w:jc w:val="both"/>
      </w:pPr>
      <w:r w:rsidRPr="00401E42">
        <w:t>Both studies demonstrate a</w:t>
      </w:r>
      <w:r>
        <w:t xml:space="preserve">n </w:t>
      </w:r>
      <w:r w:rsidRPr="00401E42">
        <w:t>evolution in their conceptual frameworks. While they initially engage with a deductive element</w:t>
      </w:r>
      <w:r w:rsidR="001D6805">
        <w:t xml:space="preserve"> </w:t>
      </w:r>
      <w:r w:rsidRPr="00401E42">
        <w:t>by grounding their inquiries in existing literature and surveys</w:t>
      </w:r>
      <w:r w:rsidR="00FC76BD">
        <w:t xml:space="preserve">, </w:t>
      </w:r>
      <w:r w:rsidRPr="00401E42">
        <w:t xml:space="preserve">they both </w:t>
      </w:r>
      <w:r w:rsidR="00231A0F">
        <w:t>move</w:t>
      </w:r>
      <w:r w:rsidRPr="00401E42">
        <w:t xml:space="preserve"> toward an inductive conceptual framework</w:t>
      </w:r>
      <w:r w:rsidR="001D6805">
        <w:t xml:space="preserve">, where </w:t>
      </w:r>
      <w:r w:rsidRPr="00401E42">
        <w:t>they allowed their research design to be shaped by the collected data</w:t>
      </w:r>
      <w:r w:rsidR="00FC76BD">
        <w:t xml:space="preserve">, which in turn helped </w:t>
      </w:r>
      <w:r w:rsidR="001D6805">
        <w:t xml:space="preserve">the </w:t>
      </w:r>
      <w:r w:rsidRPr="00401E42">
        <w:t xml:space="preserve">final </w:t>
      </w:r>
      <w:r w:rsidR="001D6805">
        <w:t xml:space="preserve">findings to be </w:t>
      </w:r>
      <w:r w:rsidRPr="00401E42">
        <w:t xml:space="preserve">grounded in the participants' lived </w:t>
      </w:r>
      <w:r w:rsidR="00C57C5F">
        <w:t>realities</w:t>
      </w:r>
      <w:r w:rsidRPr="00401E42">
        <w:t>.</w:t>
      </w:r>
      <w:r w:rsidR="001D6805">
        <w:rPr>
          <w:rStyle w:val="FootnoteReference"/>
        </w:rPr>
        <w:footnoteReference w:id="20"/>
      </w:r>
    </w:p>
    <w:p w14:paraId="42118200" w14:textId="34B51D22" w:rsidR="00622B87" w:rsidRPr="003E20A9" w:rsidRDefault="00AE6376" w:rsidP="00351458">
      <w:pPr>
        <w:pStyle w:val="Heading3"/>
        <w:jc w:val="both"/>
        <w:rPr>
          <w:sz w:val="24"/>
          <w:szCs w:val="24"/>
        </w:rPr>
      </w:pPr>
      <w:r w:rsidRPr="003E20A9">
        <w:rPr>
          <w:sz w:val="24"/>
          <w:szCs w:val="24"/>
        </w:rPr>
        <w:lastRenderedPageBreak/>
        <w:t>Triangulation and Context</w:t>
      </w:r>
    </w:p>
    <w:p w14:paraId="0E34B515" w14:textId="70B8F187" w:rsidR="00AE6376" w:rsidRPr="00AE6376" w:rsidRDefault="00AE6376" w:rsidP="00710555">
      <w:pPr>
        <w:ind w:firstLine="567"/>
        <w:jc w:val="both"/>
      </w:pPr>
      <w:r w:rsidRPr="00AE6376">
        <w:t xml:space="preserve">A core methodological strength in both papers is triangulation: </w:t>
      </w:r>
      <w:r w:rsidRPr="004251BC">
        <w:t>the use of an array of methods and perspectives to gain clearer and more holistic insight.</w:t>
      </w:r>
      <w:r w:rsidRPr="004251BC">
        <w:rPr>
          <w:rStyle w:val="FootnoteReference"/>
        </w:rPr>
        <w:footnoteReference w:id="21"/>
      </w:r>
      <w:r w:rsidRPr="004251BC">
        <w:t xml:space="preserve"> Walter and Waterhouse</w:t>
      </w:r>
      <w:r w:rsidRPr="00AE6376">
        <w:t xml:space="preserve"> utilized methodological triangulation by cross-referencing their qualitative interviews with quantitative data from the European Values Survey (EVS).</w:t>
      </w:r>
      <w:r w:rsidR="00865A38">
        <w:rPr>
          <w:rStyle w:val="FootnoteReference"/>
        </w:rPr>
        <w:footnoteReference w:id="22"/>
      </w:r>
      <w:r w:rsidRPr="00AE6376">
        <w:t xml:space="preserve"> This allowed them to </w:t>
      </w:r>
      <w:r>
        <w:t>question</w:t>
      </w:r>
      <w:r w:rsidRPr="00AE6376">
        <w:t xml:space="preserve"> the </w:t>
      </w:r>
      <w:r>
        <w:t xml:space="preserve">existing </w:t>
      </w:r>
      <w:r w:rsidRPr="00AE6376">
        <w:t>statistics, revealing the private nature of the belief</w:t>
      </w:r>
      <w:r>
        <w:t xml:space="preserve">, as well as considering </w:t>
      </w:r>
      <w:r w:rsidRPr="00AE6376">
        <w:rPr>
          <w:i/>
          <w:iCs/>
        </w:rPr>
        <w:t>interest</w:t>
      </w:r>
      <w:r>
        <w:t xml:space="preserve"> </w:t>
      </w:r>
      <w:r w:rsidRPr="003A0198">
        <w:rPr>
          <w:i/>
          <w:iCs/>
        </w:rPr>
        <w:t>in</w:t>
      </w:r>
      <w:r>
        <w:t xml:space="preserve"> reincarnation rather than </w:t>
      </w:r>
      <w:r w:rsidRPr="00AE6376">
        <w:rPr>
          <w:i/>
          <w:iCs/>
        </w:rPr>
        <w:t>belief</w:t>
      </w:r>
      <w:r w:rsidRPr="00AE6376">
        <w:t>.</w:t>
      </w:r>
      <w:r w:rsidRPr="00AE6376">
        <w:rPr>
          <w:rStyle w:val="FootnoteReference"/>
        </w:rPr>
        <w:t xml:space="preserve"> </w:t>
      </w:r>
      <w:r>
        <w:rPr>
          <w:rStyle w:val="FootnoteReference"/>
        </w:rPr>
        <w:footnoteReference w:id="23"/>
      </w:r>
    </w:p>
    <w:p w14:paraId="5B01736B" w14:textId="385388F0" w:rsidR="004251BC" w:rsidRDefault="00AE6376" w:rsidP="00710555">
      <w:pPr>
        <w:ind w:firstLine="567"/>
        <w:jc w:val="both"/>
        <w:rPr>
          <w:lang w:val="en-US"/>
        </w:rPr>
      </w:pPr>
      <w:r w:rsidRPr="00AE6376">
        <w:t xml:space="preserve">Bennett employs historical discourse analysis as a form of data triangulation. She cross-references ethnographic observations with </w:t>
      </w:r>
      <w:r w:rsidR="008731B0">
        <w:t>centuries</w:t>
      </w:r>
      <w:r w:rsidRPr="00AE6376">
        <w:t xml:space="preserve"> of </w:t>
      </w:r>
      <w:r w:rsidR="008731B0">
        <w:t xml:space="preserve">antiquarian </w:t>
      </w:r>
      <w:r w:rsidRPr="00AE6376">
        <w:t>literature</w:t>
      </w:r>
      <w:r w:rsidR="008731B0">
        <w:t xml:space="preserve"> – from omens from the seventeenth</w:t>
      </w:r>
      <w:r w:rsidR="00466CDF">
        <w:t xml:space="preserve"> </w:t>
      </w:r>
      <w:r w:rsidR="008731B0">
        <w:t>century to surveys of the twentieth</w:t>
      </w:r>
      <w:r w:rsidR="00466CDF">
        <w:t xml:space="preserve"> </w:t>
      </w:r>
      <w:r w:rsidR="008731B0">
        <w:t>century</w:t>
      </w:r>
      <w:r w:rsidRPr="00AE6376">
        <w:t>.</w:t>
      </w:r>
      <w:r w:rsidR="008731B0">
        <w:rPr>
          <w:rStyle w:val="FootnoteReference"/>
        </w:rPr>
        <w:footnoteReference w:id="24"/>
      </w:r>
      <w:r w:rsidRPr="00AE6376">
        <w:t xml:space="preserve"> This historical context allows her to interpret modern </w:t>
      </w:r>
      <w:r w:rsidR="00017C6C">
        <w:t>psychic</w:t>
      </w:r>
      <w:r w:rsidRPr="00AE6376">
        <w:t xml:space="preserve"> </w:t>
      </w:r>
      <w:r w:rsidR="00017C6C">
        <w:t>language</w:t>
      </w:r>
      <w:r w:rsidRPr="00AE6376">
        <w:t xml:space="preserve"> as a</w:t>
      </w:r>
      <w:r w:rsidR="005D19AF">
        <w:t xml:space="preserve">n </w:t>
      </w:r>
      <w:r w:rsidRPr="00AE6376">
        <w:t>evolution of British folklore</w:t>
      </w:r>
      <w:r w:rsidR="0042657D">
        <w:t xml:space="preserve">, </w:t>
      </w:r>
      <w:r w:rsidRPr="00AE6376">
        <w:t>specifically, the transition from external omens to</w:t>
      </w:r>
      <w:r w:rsidR="004251BC" w:rsidRPr="004251BC">
        <w:t xml:space="preserve"> the</w:t>
      </w:r>
      <w:r w:rsidRPr="00AE6376">
        <w:t xml:space="preserve"> </w:t>
      </w:r>
      <w:r w:rsidR="004251BC" w:rsidRPr="004251BC">
        <w:t>internalization of the supernatural.</w:t>
      </w:r>
      <w:r w:rsidR="004251BC" w:rsidRPr="004251BC">
        <w:rPr>
          <w:rStyle w:val="FootnoteReference"/>
        </w:rPr>
        <w:footnoteReference w:id="25"/>
      </w:r>
      <w:r w:rsidR="004251BC" w:rsidRPr="003738BE">
        <w:rPr>
          <w:lang w:val="en-US"/>
        </w:rPr>
        <w:t xml:space="preserve"> </w:t>
      </w:r>
    </w:p>
    <w:p w14:paraId="0D6EE7EC" w14:textId="77777777" w:rsidR="00F504B0" w:rsidRPr="00AE6376" w:rsidRDefault="00F504B0" w:rsidP="00351458">
      <w:pPr>
        <w:jc w:val="both"/>
        <w:rPr>
          <w:lang w:val="en-US"/>
        </w:rPr>
      </w:pPr>
    </w:p>
    <w:p w14:paraId="51832DF2" w14:textId="744CE171" w:rsidR="00111D5A" w:rsidRDefault="00F504B0" w:rsidP="00351458">
      <w:pPr>
        <w:pStyle w:val="Heading2"/>
        <w:jc w:val="both"/>
        <w:rPr>
          <w:lang w:val="en-US"/>
        </w:rPr>
      </w:pPr>
      <w:r w:rsidRPr="002D4A4A">
        <w:rPr>
          <w:lang w:val="en-US"/>
        </w:rPr>
        <w:t>Reflexivity</w:t>
      </w:r>
      <w:r>
        <w:rPr>
          <w:lang w:val="en-US"/>
        </w:rPr>
        <w:t xml:space="preserve"> </w:t>
      </w:r>
      <w:r w:rsidR="00622B87">
        <w:rPr>
          <w:lang w:val="en-US"/>
        </w:rPr>
        <w:t xml:space="preserve">and Ethics </w:t>
      </w:r>
    </w:p>
    <w:p w14:paraId="625D8664" w14:textId="5E7A0BDA" w:rsidR="002E2798" w:rsidRDefault="00F10C16" w:rsidP="00710555">
      <w:pPr>
        <w:ind w:firstLine="567"/>
        <w:jc w:val="both"/>
      </w:pPr>
      <w:r w:rsidRPr="00F10C16">
        <w:t xml:space="preserve">Reflexivity </w:t>
      </w:r>
      <w:r w:rsidR="009C5C9D">
        <w:t>ensures</w:t>
      </w:r>
      <w:r w:rsidRPr="00F10C16">
        <w:t xml:space="preserve"> alignment between methodology,</w:t>
      </w:r>
      <w:r>
        <w:t xml:space="preserve"> epistemology</w:t>
      </w:r>
      <w:r w:rsidRPr="00F10C16">
        <w:t>, and their ethical</w:t>
      </w:r>
      <w:r>
        <w:t xml:space="preserve"> considerations, emphasizing the importance of honesty, </w:t>
      </w:r>
      <w:r w:rsidR="00A12BA5">
        <w:t>clearness</w:t>
      </w:r>
      <w:r>
        <w:t xml:space="preserve"> and general </w:t>
      </w:r>
      <w:r w:rsidR="00A12BA5">
        <w:t>responsibility</w:t>
      </w:r>
      <w:r>
        <w:t xml:space="preserve"> in research.</w:t>
      </w:r>
      <w:r w:rsidR="001D5DEC">
        <w:rPr>
          <w:rStyle w:val="FootnoteReference"/>
        </w:rPr>
        <w:footnoteReference w:id="26"/>
      </w:r>
      <w:r w:rsidR="00CE74FC">
        <w:t xml:space="preserve"> </w:t>
      </w:r>
      <w:r w:rsidR="000D6AC9">
        <w:t>Both</w:t>
      </w:r>
      <w:r w:rsidR="00622B87">
        <w:t xml:space="preserve"> studies initially adopt an etic perspective, grounding their inquiry in an outsider’s evaluation of existing literature and quantitative data.</w:t>
      </w:r>
      <w:r w:rsidR="00622B87" w:rsidRPr="00636A88">
        <w:rPr>
          <w:rStyle w:val="FootnoteReference"/>
          <w:lang w:val="en-US"/>
        </w:rPr>
        <w:t xml:space="preserve"> </w:t>
      </w:r>
      <w:r w:rsidR="00622B87">
        <w:rPr>
          <w:rStyle w:val="FootnoteReference"/>
          <w:lang w:val="en-US"/>
        </w:rPr>
        <w:footnoteReference w:id="27"/>
      </w:r>
      <w:r w:rsidR="00622B87">
        <w:t xml:space="preserve"> </w:t>
      </w:r>
    </w:p>
    <w:p w14:paraId="483B9F72" w14:textId="62E2D061" w:rsidR="00622B87" w:rsidRDefault="00622B87" w:rsidP="00710555">
      <w:pPr>
        <w:ind w:firstLine="567"/>
        <w:jc w:val="both"/>
      </w:pPr>
      <w:r>
        <w:t>Bennett transitions toward an emic perspective by conducting fieldwork in her hometown</w:t>
      </w:r>
      <w:r w:rsidR="008337C0">
        <w:t>,</w:t>
      </w:r>
      <w:r w:rsidR="00CE74FC">
        <w:t xml:space="preserve"> </w:t>
      </w:r>
      <w:r w:rsidR="008337C0">
        <w:t xml:space="preserve">sharing a </w:t>
      </w:r>
      <w:r>
        <w:t>geographical bond with her informants</w:t>
      </w:r>
      <w:r w:rsidR="00361DD7">
        <w:t xml:space="preserve"> </w:t>
      </w:r>
      <w:r w:rsidR="008337C0">
        <w:t>while remaining</w:t>
      </w:r>
      <w:r w:rsidR="003A0198">
        <w:t xml:space="preserve"> </w:t>
      </w:r>
      <w:r w:rsidR="003A2C9D">
        <w:t>differentiated</w:t>
      </w:r>
      <w:r>
        <w:t xml:space="preserve"> by her academic role and</w:t>
      </w:r>
      <w:r w:rsidR="008337C0">
        <w:t xml:space="preserve"> their</w:t>
      </w:r>
      <w:r>
        <w:t xml:space="preserve"> age gap. </w:t>
      </w:r>
      <w:r w:rsidR="008337C0">
        <w:t xml:space="preserve">At </w:t>
      </w:r>
      <w:r w:rsidR="00C535D2">
        <w:t>times, she struggled with understanding the motivations or reactions from participants.</w:t>
      </w:r>
      <w:r w:rsidR="00C535D2">
        <w:rPr>
          <w:rStyle w:val="FootnoteReference"/>
        </w:rPr>
        <w:footnoteReference w:id="28"/>
      </w:r>
    </w:p>
    <w:p w14:paraId="476D53FB" w14:textId="6365AC81" w:rsidR="00622B87" w:rsidRPr="00622B87" w:rsidRDefault="00622B87" w:rsidP="00710555">
      <w:pPr>
        <w:ind w:firstLine="567"/>
        <w:jc w:val="both"/>
      </w:pPr>
      <w:r>
        <w:t>In contrast, Walter and Waterhouse maintain a predominantly etic perspective</w:t>
      </w:r>
      <w:r w:rsidR="003F5B50">
        <w:t>, being</w:t>
      </w:r>
      <w:r>
        <w:t xml:space="preserve"> professional strangers to their participants</w:t>
      </w:r>
      <w:r w:rsidR="0042268B">
        <w:t xml:space="preserve">, </w:t>
      </w:r>
      <w:r w:rsidR="004632FB">
        <w:t xml:space="preserve">and </w:t>
      </w:r>
      <w:r w:rsidR="0042268B">
        <w:t>acting as</w:t>
      </w:r>
      <w:r>
        <w:t xml:space="preserve"> analysts </w:t>
      </w:r>
      <w:r w:rsidRPr="00D71F7A">
        <w:t xml:space="preserve">who organize personal testimonies into a </w:t>
      </w:r>
      <w:r w:rsidR="001C064D">
        <w:t>structure</w:t>
      </w:r>
      <w:r w:rsidR="00B063F4">
        <w:t>: nature, source, content and effect of belief in reincarnation.</w:t>
      </w:r>
      <w:r w:rsidR="00B063F4">
        <w:rPr>
          <w:rStyle w:val="FootnoteReference"/>
        </w:rPr>
        <w:footnoteReference w:id="29"/>
      </w:r>
      <w:r w:rsidR="00B063F4">
        <w:t xml:space="preserve"> This reinforces</w:t>
      </w:r>
      <w:r w:rsidRPr="00D71F7A">
        <w:t xml:space="preserve"> their position as external observers.</w:t>
      </w:r>
    </w:p>
    <w:p w14:paraId="2CA33D66" w14:textId="77777777" w:rsidR="00FB78AC" w:rsidRDefault="0042268B" w:rsidP="00710555">
      <w:pPr>
        <w:ind w:firstLine="567"/>
        <w:jc w:val="both"/>
        <w:rPr>
          <w:lang w:val="en-US"/>
        </w:rPr>
      </w:pPr>
      <w:r>
        <w:rPr>
          <w:lang w:val="en-US"/>
        </w:rPr>
        <w:t>In terms of</w:t>
      </w:r>
      <w:r w:rsidR="003060D2">
        <w:rPr>
          <w:lang w:val="en-US"/>
        </w:rPr>
        <w:t xml:space="preserve"> ethical </w:t>
      </w:r>
      <w:r>
        <w:rPr>
          <w:lang w:val="en-US"/>
        </w:rPr>
        <w:t>considerations,</w:t>
      </w:r>
      <w:r w:rsidR="003060D2">
        <w:rPr>
          <w:lang w:val="en-US"/>
        </w:rPr>
        <w:t xml:space="preserve"> we should first evaluate what concerns ethics in qualitative research. According to </w:t>
      </w:r>
      <w:r w:rsidR="008B1073">
        <w:rPr>
          <w:lang w:val="en-US"/>
        </w:rPr>
        <w:t xml:space="preserve">Edwards and </w:t>
      </w:r>
      <w:proofErr w:type="spellStart"/>
      <w:r w:rsidR="003060D2">
        <w:rPr>
          <w:lang w:val="en-US"/>
        </w:rPr>
        <w:t>Mauthner</w:t>
      </w:r>
      <w:proofErr w:type="spellEnd"/>
      <w:r w:rsidR="003060D2">
        <w:rPr>
          <w:lang w:val="en-US"/>
        </w:rPr>
        <w:t>:</w:t>
      </w:r>
    </w:p>
    <w:p w14:paraId="780288EE" w14:textId="084726AC" w:rsidR="003060D2" w:rsidRDefault="003060D2" w:rsidP="00116287">
      <w:pPr>
        <w:ind w:left="1440"/>
        <w:jc w:val="both"/>
        <w:rPr>
          <w:lang w:val="en-US"/>
        </w:rPr>
      </w:pPr>
      <w:r>
        <w:rPr>
          <w:lang w:val="en-US"/>
        </w:rPr>
        <w:lastRenderedPageBreak/>
        <w:t>Ethics concerns the morality of human conduct. In relation to social research, it refers to the moral deliberation, choice, and accountability on the part of researchers throughout the research process.</w:t>
      </w:r>
      <w:r w:rsidR="008B1073">
        <w:rPr>
          <w:rStyle w:val="FootnoteReference"/>
          <w:lang w:val="en-US"/>
        </w:rPr>
        <w:footnoteReference w:id="30"/>
      </w:r>
    </w:p>
    <w:p w14:paraId="190D79BC" w14:textId="3798B976" w:rsidR="0000655F" w:rsidRPr="0000655F" w:rsidRDefault="0042268B" w:rsidP="00710555">
      <w:pPr>
        <w:ind w:firstLine="567"/>
        <w:jc w:val="both"/>
        <w:rPr>
          <w:lang w:val="en-US"/>
        </w:rPr>
      </w:pPr>
      <w:r>
        <w:rPr>
          <w:lang w:val="en-US"/>
        </w:rPr>
        <w:t>Bennett</w:t>
      </w:r>
      <w:r w:rsidR="00394E60">
        <w:rPr>
          <w:lang w:val="en-US"/>
        </w:rPr>
        <w:t xml:space="preserve"> </w:t>
      </w:r>
      <w:r w:rsidR="00D421D5">
        <w:rPr>
          <w:lang w:val="en-US"/>
        </w:rPr>
        <w:t>discloses that she</w:t>
      </w:r>
      <w:r w:rsidR="0000655F" w:rsidRPr="0000655F">
        <w:rPr>
          <w:lang w:val="en-US"/>
        </w:rPr>
        <w:t xml:space="preserve"> obtained informed consent from all participants</w:t>
      </w:r>
      <w:r w:rsidR="00394E60">
        <w:rPr>
          <w:lang w:val="en-US"/>
        </w:rPr>
        <w:t xml:space="preserve"> when conducting the fieldwork</w:t>
      </w:r>
      <w:r>
        <w:rPr>
          <w:lang w:val="en-US"/>
        </w:rPr>
        <w:t xml:space="preserve">, noting </w:t>
      </w:r>
      <w:r w:rsidR="0000655F" w:rsidRPr="0000655F">
        <w:rPr>
          <w:lang w:val="en-US"/>
        </w:rPr>
        <w:t xml:space="preserve">that patients were fully informed of her research objectives, use of the data, </w:t>
      </w:r>
      <w:r w:rsidR="00D421D5">
        <w:rPr>
          <w:lang w:val="en-US"/>
        </w:rPr>
        <w:t>and of being observed and</w:t>
      </w:r>
      <w:r w:rsidR="0000655F" w:rsidRPr="0000655F">
        <w:rPr>
          <w:lang w:val="en-US"/>
        </w:rPr>
        <w:t xml:space="preserve"> recorded during their treatments</w:t>
      </w:r>
      <w:r w:rsidR="0000655F">
        <w:rPr>
          <w:lang w:val="en-US"/>
        </w:rPr>
        <w:t>.</w:t>
      </w:r>
      <w:r w:rsidR="00394E60">
        <w:rPr>
          <w:rStyle w:val="FootnoteReference"/>
          <w:lang w:val="en-US"/>
        </w:rPr>
        <w:footnoteReference w:id="31"/>
      </w:r>
      <w:r w:rsidR="0000655F" w:rsidRPr="0000655F">
        <w:rPr>
          <w:lang w:val="en-US"/>
        </w:rPr>
        <w:t xml:space="preserve"> However, the research setting</w:t>
      </w:r>
      <w:r w:rsidR="0000655F">
        <w:rPr>
          <w:lang w:val="en-US"/>
        </w:rPr>
        <w:t xml:space="preserve"> – her </w:t>
      </w:r>
      <w:r w:rsidR="0000655F" w:rsidRPr="0000655F">
        <w:rPr>
          <w:lang w:val="en-US"/>
        </w:rPr>
        <w:t>father’s medical clinic</w:t>
      </w:r>
      <w:r w:rsidR="0000655F">
        <w:rPr>
          <w:lang w:val="en-US"/>
        </w:rPr>
        <w:t xml:space="preserve"> – shows some</w:t>
      </w:r>
      <w:r w:rsidR="0000655F" w:rsidRPr="0000655F">
        <w:rPr>
          <w:lang w:val="en-US"/>
        </w:rPr>
        <w:t xml:space="preserve"> ethical complexities</w:t>
      </w:r>
      <w:r w:rsidR="0000655F">
        <w:rPr>
          <w:lang w:val="en-US"/>
        </w:rPr>
        <w:t>.</w:t>
      </w:r>
    </w:p>
    <w:p w14:paraId="6EF54260" w14:textId="4A82C9B3" w:rsidR="0000655F" w:rsidRPr="0000655F" w:rsidRDefault="0000655F" w:rsidP="00710555">
      <w:pPr>
        <w:ind w:firstLine="567"/>
        <w:jc w:val="both"/>
        <w:rPr>
          <w:lang w:val="en-US"/>
        </w:rPr>
      </w:pPr>
      <w:r>
        <w:rPr>
          <w:lang w:val="en-US"/>
        </w:rPr>
        <w:t>By utilizing</w:t>
      </w:r>
      <w:r w:rsidRPr="0000655F">
        <w:rPr>
          <w:lang w:val="en-US"/>
        </w:rPr>
        <w:t xml:space="preserve"> her father as </w:t>
      </w:r>
      <w:r w:rsidR="005447D3">
        <w:rPr>
          <w:lang w:val="en-US"/>
        </w:rPr>
        <w:t>an entry</w:t>
      </w:r>
      <w:r w:rsidR="004C2163">
        <w:rPr>
          <w:lang w:val="en-US"/>
        </w:rPr>
        <w:t xml:space="preserve"> point</w:t>
      </w:r>
      <w:r w:rsidR="00CB0ABA">
        <w:rPr>
          <w:lang w:val="en-US"/>
        </w:rPr>
        <w:t xml:space="preserve">, she received </w:t>
      </w:r>
      <w:r w:rsidRPr="0000655F">
        <w:rPr>
          <w:lang w:val="en-US"/>
        </w:rPr>
        <w:t>access to a localized community</w:t>
      </w:r>
      <w:r w:rsidR="003850CB">
        <w:rPr>
          <w:lang w:val="en-US"/>
        </w:rPr>
        <w:t xml:space="preserve">. </w:t>
      </w:r>
      <w:r w:rsidR="00CB0ABA">
        <w:rPr>
          <w:lang w:val="en-US"/>
        </w:rPr>
        <w:t xml:space="preserve">But this could </w:t>
      </w:r>
      <w:r w:rsidR="001C0697">
        <w:rPr>
          <w:lang w:val="en-US"/>
        </w:rPr>
        <w:t xml:space="preserve">present </w:t>
      </w:r>
      <w:r w:rsidR="00455DF7">
        <w:rPr>
          <w:lang w:val="en-US"/>
        </w:rPr>
        <w:t>some risks</w:t>
      </w:r>
      <w:r w:rsidRPr="0000655F">
        <w:rPr>
          <w:lang w:val="en-US"/>
        </w:rPr>
        <w:t xml:space="preserve">. </w:t>
      </w:r>
      <w:proofErr w:type="spellStart"/>
      <w:r w:rsidR="00455DF7">
        <w:rPr>
          <w:lang w:val="en-US"/>
        </w:rPr>
        <w:t>Labov</w:t>
      </w:r>
      <w:proofErr w:type="spellEnd"/>
      <w:r w:rsidR="000B4131">
        <w:rPr>
          <w:lang w:val="en-US"/>
        </w:rPr>
        <w:t xml:space="preserve"> </w:t>
      </w:r>
      <w:r w:rsidR="0042268B">
        <w:rPr>
          <w:lang w:val="en-US"/>
        </w:rPr>
        <w:t xml:space="preserve">– cited </w:t>
      </w:r>
      <w:r w:rsidR="00A70104">
        <w:rPr>
          <w:lang w:val="en-US"/>
        </w:rPr>
        <w:t>in</w:t>
      </w:r>
      <w:r w:rsidR="00455DF7">
        <w:rPr>
          <w:lang w:val="en-US"/>
        </w:rPr>
        <w:t xml:space="preserve"> de </w:t>
      </w:r>
      <w:proofErr w:type="spellStart"/>
      <w:r w:rsidR="00455DF7">
        <w:rPr>
          <w:lang w:val="en-US"/>
        </w:rPr>
        <w:t>Roest</w:t>
      </w:r>
      <w:proofErr w:type="spellEnd"/>
      <w:r w:rsidR="0042268B">
        <w:rPr>
          <w:lang w:val="en-US"/>
        </w:rPr>
        <w:t xml:space="preserve"> – indicates </w:t>
      </w:r>
      <w:r w:rsidR="00455DF7">
        <w:rPr>
          <w:lang w:val="en-US"/>
        </w:rPr>
        <w:t xml:space="preserve">that the emic or insider perspective assists with cutting deeper in the conversations by being </w:t>
      </w:r>
      <w:r w:rsidR="00394E60">
        <w:rPr>
          <w:lang w:val="en-US"/>
        </w:rPr>
        <w:t>‘</w:t>
      </w:r>
      <w:r w:rsidR="00455DF7">
        <w:rPr>
          <w:lang w:val="en-US"/>
        </w:rPr>
        <w:t>more fragmentary and less well-formed</w:t>
      </w:r>
      <w:r w:rsidR="00394E60">
        <w:rPr>
          <w:lang w:val="en-US"/>
        </w:rPr>
        <w:t>’</w:t>
      </w:r>
      <w:r w:rsidR="00455DF7">
        <w:rPr>
          <w:lang w:val="en-US"/>
        </w:rPr>
        <w:t>.</w:t>
      </w:r>
      <w:r w:rsidR="00455DF7">
        <w:rPr>
          <w:rStyle w:val="FootnoteReference"/>
          <w:lang w:val="en-US"/>
        </w:rPr>
        <w:footnoteReference w:id="32"/>
      </w:r>
      <w:r w:rsidR="00455DF7">
        <w:rPr>
          <w:lang w:val="en-US"/>
        </w:rPr>
        <w:t xml:space="preserve"> On the other hand, de </w:t>
      </w:r>
      <w:proofErr w:type="spellStart"/>
      <w:r w:rsidR="00455DF7">
        <w:rPr>
          <w:lang w:val="en-US"/>
        </w:rPr>
        <w:t>Roest</w:t>
      </w:r>
      <w:proofErr w:type="spellEnd"/>
      <w:r w:rsidR="00455DF7">
        <w:rPr>
          <w:lang w:val="en-US"/>
        </w:rPr>
        <w:t xml:space="preserve"> </w:t>
      </w:r>
      <w:r w:rsidR="0042268B">
        <w:rPr>
          <w:lang w:val="en-US"/>
        </w:rPr>
        <w:t>adds</w:t>
      </w:r>
      <w:r w:rsidR="00455DF7">
        <w:rPr>
          <w:lang w:val="en-US"/>
        </w:rPr>
        <w:t xml:space="preserve"> that this familiarity could make participants feel inhibited from speaking freely.</w:t>
      </w:r>
      <w:r w:rsidR="00455DF7">
        <w:rPr>
          <w:rStyle w:val="FootnoteReference"/>
          <w:lang w:val="en-US"/>
        </w:rPr>
        <w:footnoteReference w:id="33"/>
      </w:r>
      <w:r w:rsidR="00455DF7">
        <w:rPr>
          <w:lang w:val="en-US"/>
        </w:rPr>
        <w:t xml:space="preserve"> </w:t>
      </w:r>
      <w:r w:rsidR="0042268B">
        <w:rPr>
          <w:lang w:val="en-US"/>
        </w:rPr>
        <w:t>Participants</w:t>
      </w:r>
      <w:r w:rsidR="00274487">
        <w:rPr>
          <w:lang w:val="en-US"/>
        </w:rPr>
        <w:t xml:space="preserve"> may</w:t>
      </w:r>
      <w:r w:rsidRPr="0000655F">
        <w:rPr>
          <w:lang w:val="en-US"/>
        </w:rPr>
        <w:t xml:space="preserve"> </w:t>
      </w:r>
      <w:r w:rsidR="00274487">
        <w:rPr>
          <w:lang w:val="en-US"/>
        </w:rPr>
        <w:t>feel</w:t>
      </w:r>
      <w:r w:rsidRPr="0000655F">
        <w:rPr>
          <w:lang w:val="en-US"/>
        </w:rPr>
        <w:t xml:space="preserve"> a social obligation to participate</w:t>
      </w:r>
      <w:r w:rsidR="00394E60">
        <w:rPr>
          <w:lang w:val="en-US"/>
        </w:rPr>
        <w:t xml:space="preserve"> in order</w:t>
      </w:r>
      <w:r w:rsidRPr="0000655F">
        <w:rPr>
          <w:lang w:val="en-US"/>
        </w:rPr>
        <w:t xml:space="preserve"> to please their physician</w:t>
      </w:r>
      <w:r w:rsidR="001765A1">
        <w:rPr>
          <w:lang w:val="en-US"/>
        </w:rPr>
        <w:t>, creating</w:t>
      </w:r>
      <w:r w:rsidR="00DF3FF9" w:rsidRPr="00DF3FF9">
        <w:rPr>
          <w:lang w:val="en-US"/>
        </w:rPr>
        <w:t xml:space="preserve"> </w:t>
      </w:r>
      <w:r w:rsidRPr="00D63CD7">
        <w:rPr>
          <w:lang w:val="en-US"/>
        </w:rPr>
        <w:t>a</w:t>
      </w:r>
      <w:r w:rsidR="00104EAF">
        <w:rPr>
          <w:lang w:val="en-US"/>
        </w:rPr>
        <w:t xml:space="preserve">n undercurrent </w:t>
      </w:r>
      <w:r w:rsidRPr="00D63CD7">
        <w:rPr>
          <w:lang w:val="en-US"/>
        </w:rPr>
        <w:t>that requires management</w:t>
      </w:r>
      <w:r w:rsidR="00B719A4">
        <w:rPr>
          <w:lang w:val="en-US"/>
        </w:rPr>
        <w:t xml:space="preserve"> </w:t>
      </w:r>
      <w:r w:rsidR="001765A1">
        <w:rPr>
          <w:lang w:val="en-US"/>
        </w:rPr>
        <w:t xml:space="preserve">by </w:t>
      </w:r>
      <w:r w:rsidR="00B719A4">
        <w:rPr>
          <w:lang w:val="en-US"/>
        </w:rPr>
        <w:t>ensuring</w:t>
      </w:r>
      <w:r w:rsidR="001765A1">
        <w:rPr>
          <w:lang w:val="en-US"/>
        </w:rPr>
        <w:t xml:space="preserve"> participants </w:t>
      </w:r>
      <w:r w:rsidR="00B719A4">
        <w:rPr>
          <w:lang w:val="en-US"/>
        </w:rPr>
        <w:t xml:space="preserve">are fully </w:t>
      </w:r>
      <w:r w:rsidR="001765A1">
        <w:rPr>
          <w:lang w:val="en-US"/>
        </w:rPr>
        <w:t>aware that they are not obliged to participate</w:t>
      </w:r>
      <w:r w:rsidRPr="00D63CD7">
        <w:rPr>
          <w:lang w:val="en-US"/>
        </w:rPr>
        <w:t>.</w:t>
      </w:r>
      <w:r w:rsidR="00D63CD7">
        <w:rPr>
          <w:rStyle w:val="FootnoteReference"/>
          <w:lang w:val="en-US"/>
        </w:rPr>
        <w:footnoteReference w:id="34"/>
      </w:r>
    </w:p>
    <w:p w14:paraId="629E30E9" w14:textId="23326269" w:rsidR="0000655F" w:rsidRPr="0000655F" w:rsidRDefault="003850CB" w:rsidP="00710555">
      <w:pPr>
        <w:ind w:firstLine="567"/>
        <w:jc w:val="both"/>
        <w:rPr>
          <w:lang w:val="en-US"/>
        </w:rPr>
      </w:pPr>
      <w:r w:rsidRPr="003850CB">
        <w:t xml:space="preserve">Another critique involves how participant demographics were obtained. </w:t>
      </w:r>
      <w:proofErr w:type="spellStart"/>
      <w:r w:rsidRPr="003850CB">
        <w:t>Sutrop</w:t>
      </w:r>
      <w:proofErr w:type="spellEnd"/>
      <w:r w:rsidRPr="003850CB">
        <w:t xml:space="preserve"> and </w:t>
      </w:r>
      <w:proofErr w:type="spellStart"/>
      <w:r w:rsidRPr="003850CB">
        <w:t>Lõuk</w:t>
      </w:r>
      <w:proofErr w:type="spellEnd"/>
      <w:r w:rsidRPr="003850CB">
        <w:t xml:space="preserve"> emphasize that researchers must use appropriate methods to </w:t>
      </w:r>
      <w:r w:rsidR="0031138A" w:rsidRPr="003850CB">
        <w:t>honour</w:t>
      </w:r>
      <w:r w:rsidRPr="003850CB">
        <w:t xml:space="preserve"> participant privacy and ensure their wellbeing</w:t>
      </w:r>
      <w:r w:rsidR="00C91157">
        <w:rPr>
          <w:lang w:val="en-US"/>
        </w:rPr>
        <w:t>.</w:t>
      </w:r>
      <w:r w:rsidR="00C91157">
        <w:rPr>
          <w:rStyle w:val="FootnoteReference"/>
          <w:lang w:val="en-US"/>
        </w:rPr>
        <w:footnoteReference w:id="35"/>
      </w:r>
      <w:r w:rsidR="00C91157">
        <w:rPr>
          <w:lang w:val="en-US"/>
        </w:rPr>
        <w:t xml:space="preserve"> </w:t>
      </w:r>
      <w:r w:rsidRPr="003850CB">
        <w:t>While Bennett admits to receiving background information from her father, it is unclear if the participants consented to their medical or social records being shared. In a liberal ethical framework, the importance of the individual is paramount</w:t>
      </w:r>
      <w:r w:rsidR="00F176F0">
        <w:rPr>
          <w:lang w:val="en-US"/>
        </w:rPr>
        <w:t>.</w:t>
      </w:r>
      <w:r w:rsidR="00F176F0">
        <w:rPr>
          <w:rStyle w:val="FootnoteReference"/>
          <w:lang w:val="en-US"/>
        </w:rPr>
        <w:footnoteReference w:id="36"/>
      </w:r>
      <w:r w:rsidR="00022EE1">
        <w:rPr>
          <w:lang w:val="en-US"/>
        </w:rPr>
        <w:t xml:space="preserve"> </w:t>
      </w:r>
      <w:r>
        <w:rPr>
          <w:lang w:val="en-US"/>
        </w:rPr>
        <w:t>And</w:t>
      </w:r>
      <w:r w:rsidRPr="003850CB">
        <w:rPr>
          <w:lang w:val="en-US"/>
        </w:rPr>
        <w:t xml:space="preserve"> while her immersion in the clinic provided a valuable emic perspective, it blurred the ethical lines between a professional medical environment and a research field.</w:t>
      </w:r>
    </w:p>
    <w:p w14:paraId="38313A24" w14:textId="733BE1EC" w:rsidR="00A66BD1" w:rsidRDefault="00A66BD1" w:rsidP="00710555">
      <w:pPr>
        <w:ind w:firstLine="567"/>
        <w:jc w:val="both"/>
      </w:pPr>
      <w:r w:rsidRPr="0000655F">
        <w:rPr>
          <w:lang w:val="en-US"/>
        </w:rPr>
        <w:t>In contrast, Walter and Waterhouse recruited via public calls</w:t>
      </w:r>
      <w:r>
        <w:rPr>
          <w:lang w:val="en-US"/>
        </w:rPr>
        <w:t xml:space="preserve">, personal contacts, and word of mouth, </w:t>
      </w:r>
      <w:r w:rsidRPr="0000655F">
        <w:rPr>
          <w:lang w:val="en-US"/>
        </w:rPr>
        <w:t xml:space="preserve">ensuring that participants engaged with the researchers </w:t>
      </w:r>
      <w:r w:rsidR="00A86C66">
        <w:rPr>
          <w:lang w:val="en-US"/>
        </w:rPr>
        <w:t>only</w:t>
      </w:r>
      <w:r w:rsidRPr="0000655F">
        <w:rPr>
          <w:lang w:val="en-US"/>
        </w:rPr>
        <w:t xml:space="preserve"> in their </w:t>
      </w:r>
      <w:r w:rsidR="00A86C66">
        <w:rPr>
          <w:lang w:val="en-US"/>
        </w:rPr>
        <w:t>role</w:t>
      </w:r>
      <w:r w:rsidRPr="0000655F">
        <w:rPr>
          <w:lang w:val="en-US"/>
        </w:rPr>
        <w:t xml:space="preserve"> as </w:t>
      </w:r>
      <w:r>
        <w:rPr>
          <w:lang w:val="en-US"/>
        </w:rPr>
        <w:t>researchers</w:t>
      </w:r>
      <w:r w:rsidRPr="00A66BD1">
        <w:t>. However, a</w:t>
      </w:r>
      <w:r>
        <w:t xml:space="preserve">n ethical </w:t>
      </w:r>
      <w:r w:rsidRPr="00A66BD1">
        <w:t>limitation of their paper is the absence of explicit ethical reporting</w:t>
      </w:r>
      <w:r w:rsidR="00CA3C69">
        <w:t xml:space="preserve">. </w:t>
      </w:r>
    </w:p>
    <w:p w14:paraId="34D75ED8" w14:textId="3093735C" w:rsidR="00CA3C69" w:rsidRPr="00A66BD1" w:rsidRDefault="00CA3C69" w:rsidP="00710555">
      <w:pPr>
        <w:ind w:firstLine="567"/>
        <w:jc w:val="both"/>
        <w:rPr>
          <w:lang w:val="en-US"/>
        </w:rPr>
      </w:pPr>
      <w:r>
        <w:rPr>
          <w:lang w:val="en-US"/>
        </w:rPr>
        <w:lastRenderedPageBreak/>
        <w:t xml:space="preserve">Edwards and </w:t>
      </w:r>
      <w:proofErr w:type="spellStart"/>
      <w:r>
        <w:rPr>
          <w:lang w:val="en-US"/>
        </w:rPr>
        <w:t>Mauthner</w:t>
      </w:r>
      <w:proofErr w:type="spellEnd"/>
      <w:r>
        <w:rPr>
          <w:lang w:val="en-US"/>
        </w:rPr>
        <w:t xml:space="preserve"> note that concerns about ethics have been steadily growing, and give the example that in the UK in the late 1980s and early 1900s a number of professional associations developed or revised ethical declarations for their members.</w:t>
      </w:r>
      <w:r>
        <w:rPr>
          <w:rStyle w:val="FootnoteReference"/>
          <w:lang w:val="en-US"/>
        </w:rPr>
        <w:footnoteReference w:id="37"/>
      </w:r>
      <w:r>
        <w:rPr>
          <w:lang w:val="en-US"/>
        </w:rPr>
        <w:t xml:space="preserve"> As a result, one could expect to read some ethical considerations</w:t>
      </w:r>
      <w:r w:rsidR="0098454D">
        <w:rPr>
          <w:lang w:val="en-US"/>
        </w:rPr>
        <w:t xml:space="preserve"> </w:t>
      </w:r>
      <w:r w:rsidR="00002AE8">
        <w:rPr>
          <w:lang w:val="en-US"/>
        </w:rPr>
        <w:t>in both papers</w:t>
      </w:r>
      <w:r>
        <w:rPr>
          <w:lang w:val="en-US"/>
        </w:rPr>
        <w:t xml:space="preserve">. But that is not explicitly </w:t>
      </w:r>
      <w:r w:rsidR="00002AE8">
        <w:rPr>
          <w:lang w:val="en-US"/>
        </w:rPr>
        <w:t>provided</w:t>
      </w:r>
      <w:r>
        <w:rPr>
          <w:lang w:val="en-US"/>
        </w:rPr>
        <w:t xml:space="preserve"> by Walter and Waterhouse, while Bennett provide</w:t>
      </w:r>
      <w:r w:rsidR="00F728AB">
        <w:rPr>
          <w:lang w:val="en-US"/>
        </w:rPr>
        <w:t>s</w:t>
      </w:r>
      <w:r>
        <w:rPr>
          <w:lang w:val="en-US"/>
        </w:rPr>
        <w:t xml:space="preserve"> some considerations.</w:t>
      </w:r>
    </w:p>
    <w:p w14:paraId="325A0F95" w14:textId="3005C59F" w:rsidR="00125FD9" w:rsidRPr="00A66BD1" w:rsidRDefault="00E80C60" w:rsidP="00710555">
      <w:pPr>
        <w:ind w:firstLine="567"/>
        <w:jc w:val="both"/>
      </w:pPr>
      <w:r>
        <w:rPr>
          <w:lang w:val="en-US"/>
        </w:rPr>
        <w:t>One particular ethical concern</w:t>
      </w:r>
      <w:r w:rsidR="00584B5B">
        <w:rPr>
          <w:lang w:val="en-US"/>
        </w:rPr>
        <w:t xml:space="preserve"> found in Walter and Waterhouse</w:t>
      </w:r>
      <w:r w:rsidR="009B102A">
        <w:rPr>
          <w:lang w:val="en-US"/>
        </w:rPr>
        <w:t>’s</w:t>
      </w:r>
      <w:r w:rsidR="00584B5B">
        <w:rPr>
          <w:lang w:val="en-US"/>
        </w:rPr>
        <w:t xml:space="preserve"> paper</w:t>
      </w:r>
      <w:r>
        <w:rPr>
          <w:lang w:val="en-US"/>
        </w:rPr>
        <w:t xml:space="preserve"> is </w:t>
      </w:r>
      <w:r w:rsidR="00584B5B">
        <w:rPr>
          <w:lang w:val="en-US"/>
        </w:rPr>
        <w:t xml:space="preserve">their </w:t>
      </w:r>
      <w:r>
        <w:rPr>
          <w:lang w:val="en-US"/>
        </w:rPr>
        <w:t>mention</w:t>
      </w:r>
      <w:r w:rsidR="00A66BD1" w:rsidRPr="00A66BD1">
        <w:t xml:space="preserve"> of conducting group </w:t>
      </w:r>
      <w:r w:rsidR="00D421D5">
        <w:t>interviews with</w:t>
      </w:r>
      <w:r w:rsidR="00A66BD1" w:rsidRPr="00A66BD1">
        <w:t xml:space="preserve"> schoolchildren.</w:t>
      </w:r>
      <w:r w:rsidR="00584B5B">
        <w:rPr>
          <w:rStyle w:val="FootnoteReference"/>
        </w:rPr>
        <w:footnoteReference w:id="38"/>
      </w:r>
      <w:r w:rsidR="00A66BD1" w:rsidRPr="00A66BD1">
        <w:t xml:space="preserve"> In qualitative research, involving minors as a vulnerable population </w:t>
      </w:r>
      <w:r w:rsidR="00125FD9">
        <w:t>requires</w:t>
      </w:r>
      <w:r w:rsidR="00A66BD1" w:rsidRPr="00A66BD1">
        <w:t xml:space="preserve"> </w:t>
      </w:r>
      <w:r w:rsidR="00D92914">
        <w:t>additional</w:t>
      </w:r>
      <w:r w:rsidR="00A66BD1" w:rsidRPr="00A66BD1">
        <w:t xml:space="preserve"> ethical protocols, </w:t>
      </w:r>
      <w:r w:rsidR="00D92914">
        <w:t>which include obtaining</w:t>
      </w:r>
      <w:r w:rsidR="00A61681">
        <w:t xml:space="preserve"> dual consent from</w:t>
      </w:r>
      <w:r w:rsidR="00D92914">
        <w:t xml:space="preserve"> both</w:t>
      </w:r>
      <w:r w:rsidR="00A61681">
        <w:t xml:space="preserve"> the minor and their parent or guardian</w:t>
      </w:r>
      <w:r w:rsidR="00125FD9">
        <w:t xml:space="preserve"> – </w:t>
      </w:r>
      <w:r w:rsidR="00584B5B">
        <w:t xml:space="preserve"> and </w:t>
      </w:r>
      <w:r w:rsidR="00125FD9">
        <w:t xml:space="preserve">in this case the school – </w:t>
      </w:r>
      <w:r w:rsidR="00584B5B">
        <w:t xml:space="preserve">which all </w:t>
      </w:r>
      <w:r w:rsidR="00125FD9">
        <w:t xml:space="preserve">can </w:t>
      </w:r>
      <w:r w:rsidR="00D92914" w:rsidRPr="00D92914">
        <w:t>act as a deterrent for researchers</w:t>
      </w:r>
      <w:r w:rsidR="00A61681">
        <w:t>.</w:t>
      </w:r>
      <w:r w:rsidR="00A61681">
        <w:rPr>
          <w:rStyle w:val="FootnoteReference"/>
        </w:rPr>
        <w:footnoteReference w:id="39"/>
      </w:r>
      <w:r w:rsidR="009346DB">
        <w:t xml:space="preserve"> </w:t>
      </w:r>
      <w:r w:rsidR="00125FD9">
        <w:t>Walter and Waterhouse</w:t>
      </w:r>
      <w:r w:rsidR="00A66BD1" w:rsidRPr="00A66BD1">
        <w:t xml:space="preserve"> provide no discussion regarding these safeguards.</w:t>
      </w:r>
      <w:r w:rsidR="00125FD9">
        <w:t xml:space="preserve"> </w:t>
      </w:r>
      <w:r w:rsidR="00A66BD1" w:rsidRPr="00A66BD1">
        <w:t xml:space="preserve">Furthermore, there is a lack of transparency concerning this </w:t>
      </w:r>
      <w:r w:rsidR="00125FD9">
        <w:t>part</w:t>
      </w:r>
      <w:r w:rsidR="00A66BD1" w:rsidRPr="00A66BD1">
        <w:t xml:space="preserve"> of data</w:t>
      </w:r>
      <w:r w:rsidR="00125FD9">
        <w:t>, since</w:t>
      </w:r>
      <w:r w:rsidR="00A66BD1" w:rsidRPr="00A66BD1">
        <w:t xml:space="preserve"> the authors do not indicate how the children’s perspectives were integrated into the final analysis or how they contributed to the </w:t>
      </w:r>
      <w:r w:rsidR="009C3FAD">
        <w:t>research</w:t>
      </w:r>
      <w:r w:rsidR="00A66BD1" w:rsidRPr="00A66BD1">
        <w:t xml:space="preserve"> findings</w:t>
      </w:r>
      <w:r w:rsidR="00D421D5">
        <w:t>.</w:t>
      </w:r>
    </w:p>
    <w:p w14:paraId="489EE885" w14:textId="77777777" w:rsidR="0063680F" w:rsidRDefault="0063680F" w:rsidP="00351458">
      <w:pPr>
        <w:jc w:val="both"/>
        <w:rPr>
          <w:lang w:val="en-US"/>
        </w:rPr>
      </w:pPr>
    </w:p>
    <w:p w14:paraId="26737098" w14:textId="77777777" w:rsidR="005C0CA2" w:rsidRDefault="009E641F" w:rsidP="00351458">
      <w:pPr>
        <w:pStyle w:val="Heading2"/>
        <w:jc w:val="both"/>
        <w:rPr>
          <w:lang w:val="en-US"/>
        </w:rPr>
      </w:pPr>
      <w:r w:rsidRPr="0063680F">
        <w:rPr>
          <w:lang w:val="en-US"/>
        </w:rPr>
        <w:t xml:space="preserve">Structure Overview </w:t>
      </w:r>
    </w:p>
    <w:p w14:paraId="35F7A50E" w14:textId="7E41073B" w:rsidR="008617FF" w:rsidRPr="005C0CA2" w:rsidRDefault="00935A96" w:rsidP="00710555">
      <w:pPr>
        <w:ind w:firstLine="567"/>
        <w:jc w:val="both"/>
        <w:rPr>
          <w:b/>
          <w:bCs/>
          <w:lang w:val="en-US"/>
        </w:rPr>
      </w:pPr>
      <w:r>
        <w:rPr>
          <w:lang w:val="en-US"/>
        </w:rPr>
        <w:t>Effective introductions are essential for engaging the reader</w:t>
      </w:r>
      <w:r w:rsidR="005C0CA2">
        <w:rPr>
          <w:lang w:val="en-US"/>
        </w:rPr>
        <w:t>.</w:t>
      </w:r>
      <w:r w:rsidR="005C0CA2">
        <w:rPr>
          <w:rStyle w:val="FootnoteReference"/>
          <w:lang w:val="en-US"/>
        </w:rPr>
        <w:footnoteReference w:id="40"/>
      </w:r>
      <w:r w:rsidR="005C0CA2">
        <w:rPr>
          <w:lang w:val="en-US"/>
        </w:rPr>
        <w:t xml:space="preserve"> </w:t>
      </w:r>
      <w:r w:rsidRPr="00935A96">
        <w:rPr>
          <w:lang w:val="en-US"/>
        </w:rPr>
        <w:t xml:space="preserve">Bennett achieves this by opening with John Beaumont’s 1705 defense of </w:t>
      </w:r>
      <w:r w:rsidR="00D9647B">
        <w:rPr>
          <w:lang w:val="en-US"/>
        </w:rPr>
        <w:t>divination</w:t>
      </w:r>
      <w:r>
        <w:rPr>
          <w:lang w:val="en-US"/>
        </w:rPr>
        <w:t>,</w:t>
      </w:r>
      <w:r w:rsidRPr="00935A96">
        <w:rPr>
          <w:lang w:val="en-US"/>
        </w:rPr>
        <w:t xml:space="preserve"> leveraging the phrase </w:t>
      </w:r>
      <w:r>
        <w:rPr>
          <w:lang w:val="en-US"/>
        </w:rPr>
        <w:t>‘</w:t>
      </w:r>
      <w:r w:rsidRPr="00935A96">
        <w:rPr>
          <w:lang w:val="en-US"/>
        </w:rPr>
        <w:t>common consent and agreement of mankind</w:t>
      </w:r>
      <w:r>
        <w:rPr>
          <w:lang w:val="en-US"/>
        </w:rPr>
        <w:t>’</w:t>
      </w:r>
      <w:r w:rsidRPr="00935A96">
        <w:rPr>
          <w:lang w:val="en-US"/>
        </w:rPr>
        <w:t xml:space="preserve"> to establish the existence of a shared</w:t>
      </w:r>
      <w:r w:rsidR="00AA174E">
        <w:rPr>
          <w:lang w:val="en-US"/>
        </w:rPr>
        <w:t xml:space="preserve"> </w:t>
      </w:r>
      <w:r w:rsidRPr="00935A96">
        <w:rPr>
          <w:lang w:val="en-US"/>
        </w:rPr>
        <w:t>folklore regarding foreknowledge.</w:t>
      </w:r>
      <w:r w:rsidR="00D9647B">
        <w:rPr>
          <w:rStyle w:val="FootnoteReference"/>
          <w:lang w:val="en-US"/>
        </w:rPr>
        <w:footnoteReference w:id="41"/>
      </w:r>
      <w:r w:rsidRPr="00935A96">
        <w:rPr>
          <w:lang w:val="en-US"/>
        </w:rPr>
        <w:t xml:space="preserve"> While this </w:t>
      </w:r>
      <w:r>
        <w:rPr>
          <w:lang w:val="en-US"/>
        </w:rPr>
        <w:t>particular</w:t>
      </w:r>
      <w:r w:rsidRPr="00935A96">
        <w:rPr>
          <w:lang w:val="en-US"/>
        </w:rPr>
        <w:t xml:space="preserve"> terminology might initially challenge a</w:t>
      </w:r>
      <w:r w:rsidR="00AA174E">
        <w:rPr>
          <w:lang w:val="en-US"/>
        </w:rPr>
        <w:t xml:space="preserve">n inexpert </w:t>
      </w:r>
      <w:r w:rsidRPr="00935A96">
        <w:rPr>
          <w:lang w:val="en-US"/>
        </w:rPr>
        <w:t>reader, it ground</w:t>
      </w:r>
      <w:r w:rsidR="00AA174E">
        <w:rPr>
          <w:lang w:val="en-US"/>
        </w:rPr>
        <w:t>s</w:t>
      </w:r>
      <w:r w:rsidRPr="00935A96">
        <w:rPr>
          <w:lang w:val="en-US"/>
        </w:rPr>
        <w:t xml:space="preserve"> her investigation within her expertise as a folklorist.</w:t>
      </w:r>
      <w:r w:rsidR="008617FF">
        <w:rPr>
          <w:lang w:val="en-US"/>
        </w:rPr>
        <w:t xml:space="preserve"> </w:t>
      </w:r>
      <w:r w:rsidRPr="00935A96">
        <w:rPr>
          <w:lang w:val="en-US"/>
        </w:rPr>
        <w:t>Bennett employs thematic headings</w:t>
      </w:r>
      <w:r w:rsidR="009E641F">
        <w:rPr>
          <w:lang w:val="en-US"/>
        </w:rPr>
        <w:t>:</w:t>
      </w:r>
      <w:r w:rsidR="008617FF">
        <w:rPr>
          <w:lang w:val="en-US"/>
        </w:rPr>
        <w:t xml:space="preserve"> </w:t>
      </w:r>
      <w:r w:rsidR="009E641F" w:rsidRPr="008617FF">
        <w:rPr>
          <w:lang w:val="en-US"/>
        </w:rPr>
        <w:t>Historical Perspective</w:t>
      </w:r>
      <w:r w:rsidR="008617FF">
        <w:rPr>
          <w:lang w:val="en-US"/>
        </w:rPr>
        <w:t xml:space="preserve">, </w:t>
      </w:r>
      <w:r w:rsidR="009E641F" w:rsidRPr="008617FF">
        <w:rPr>
          <w:lang w:val="en-US"/>
        </w:rPr>
        <w:t>Research Context</w:t>
      </w:r>
      <w:r w:rsidR="008617FF">
        <w:rPr>
          <w:lang w:val="en-US"/>
        </w:rPr>
        <w:t xml:space="preserve">, </w:t>
      </w:r>
      <w:r w:rsidR="009E641F" w:rsidRPr="008617FF">
        <w:rPr>
          <w:lang w:val="en-US"/>
        </w:rPr>
        <w:t>Beliefs and Stories about Knowing the Future</w:t>
      </w:r>
      <w:r w:rsidR="008617FF">
        <w:rPr>
          <w:lang w:val="en-US"/>
        </w:rPr>
        <w:t xml:space="preserve">, </w:t>
      </w:r>
      <w:r w:rsidR="009E641F" w:rsidRPr="008617FF">
        <w:rPr>
          <w:lang w:val="en-US"/>
        </w:rPr>
        <w:t>Traditional Values and Roles</w:t>
      </w:r>
      <w:r w:rsidR="008617FF">
        <w:rPr>
          <w:lang w:val="en-US"/>
        </w:rPr>
        <w:t xml:space="preserve">, </w:t>
      </w:r>
      <w:r w:rsidR="009E641F" w:rsidRPr="008617FF">
        <w:rPr>
          <w:lang w:val="en-US"/>
        </w:rPr>
        <w:t>Negative Aspects of Psychic Power</w:t>
      </w:r>
      <w:r w:rsidR="008617FF">
        <w:rPr>
          <w:lang w:val="en-US"/>
        </w:rPr>
        <w:t xml:space="preserve">, and </w:t>
      </w:r>
      <w:r w:rsidR="009E641F" w:rsidRPr="008617FF">
        <w:rPr>
          <w:lang w:val="en-US"/>
        </w:rPr>
        <w:t>Conclusion</w:t>
      </w:r>
      <w:r w:rsidR="008617FF">
        <w:rPr>
          <w:lang w:val="en-US"/>
        </w:rPr>
        <w:t xml:space="preserve">. </w:t>
      </w:r>
      <w:r w:rsidR="002C403F">
        <w:rPr>
          <w:lang w:val="en-US"/>
        </w:rPr>
        <w:t>According to Day, h</w:t>
      </w:r>
      <w:r w:rsidR="005C0CA2">
        <w:rPr>
          <w:lang w:val="en-US"/>
        </w:rPr>
        <w:t xml:space="preserve">eadings </w:t>
      </w:r>
      <w:r w:rsidR="00136288">
        <w:rPr>
          <w:lang w:val="en-US"/>
        </w:rPr>
        <w:t xml:space="preserve">– and </w:t>
      </w:r>
      <w:r w:rsidR="005C0CA2">
        <w:rPr>
          <w:lang w:val="en-US"/>
        </w:rPr>
        <w:t xml:space="preserve">subheadings </w:t>
      </w:r>
      <w:r w:rsidR="00136288">
        <w:rPr>
          <w:lang w:val="en-US"/>
        </w:rPr>
        <w:t>– help guide</w:t>
      </w:r>
      <w:r w:rsidR="005C0CA2">
        <w:rPr>
          <w:lang w:val="en-US"/>
        </w:rPr>
        <w:t xml:space="preserve"> the reader to different parts of the discussion.</w:t>
      </w:r>
      <w:r w:rsidR="005C0CA2">
        <w:rPr>
          <w:rStyle w:val="FootnoteReference"/>
          <w:lang w:val="en-US"/>
        </w:rPr>
        <w:footnoteReference w:id="42"/>
      </w:r>
      <w:r w:rsidR="005C0CA2">
        <w:rPr>
          <w:lang w:val="en-US"/>
        </w:rPr>
        <w:t xml:space="preserve"> </w:t>
      </w:r>
    </w:p>
    <w:p w14:paraId="24F86B3F" w14:textId="01E82697" w:rsidR="005F6BA5" w:rsidRPr="005F6BA5" w:rsidRDefault="00183B20" w:rsidP="00710555">
      <w:pPr>
        <w:ind w:firstLine="567"/>
        <w:jc w:val="both"/>
        <w:rPr>
          <w:lang w:val="en-US"/>
        </w:rPr>
      </w:pPr>
      <w:r>
        <w:rPr>
          <w:lang w:val="en-US"/>
        </w:rPr>
        <w:t xml:space="preserve">On the other hand, Walter and Waterhouse start their paper with an abstract where they clearly explain </w:t>
      </w:r>
      <w:r w:rsidR="0074560E">
        <w:rPr>
          <w:lang w:val="en-US"/>
        </w:rPr>
        <w:t>the aim of their investigation</w:t>
      </w:r>
      <w:r>
        <w:rPr>
          <w:lang w:val="en-US"/>
        </w:rPr>
        <w:t xml:space="preserve"> – belief in reincarnation in populations not attached to Eastern or New Age religions – and proceed immediately to outline </w:t>
      </w:r>
      <w:r w:rsidR="0074560E">
        <w:rPr>
          <w:lang w:val="en-US"/>
        </w:rPr>
        <w:t>the</w:t>
      </w:r>
      <w:r>
        <w:rPr>
          <w:lang w:val="en-US"/>
        </w:rPr>
        <w:t xml:space="preserve"> findings of their study</w:t>
      </w:r>
      <w:r w:rsidR="00CD353D">
        <w:rPr>
          <w:lang w:val="en-US"/>
        </w:rPr>
        <w:t>.</w:t>
      </w:r>
      <w:r w:rsidR="00F76276">
        <w:rPr>
          <w:rStyle w:val="FootnoteReference"/>
          <w:lang w:val="en-US"/>
        </w:rPr>
        <w:footnoteReference w:id="43"/>
      </w:r>
      <w:r w:rsidR="00CD353D">
        <w:rPr>
          <w:lang w:val="en-US"/>
        </w:rPr>
        <w:t xml:space="preserve"> </w:t>
      </w:r>
      <w:r w:rsidR="005C0CA2">
        <w:rPr>
          <w:lang w:val="en-US"/>
        </w:rPr>
        <w:t xml:space="preserve">Day mentions that sometimes introductions include part of </w:t>
      </w:r>
      <w:r w:rsidR="004310C3">
        <w:rPr>
          <w:lang w:val="en-US"/>
        </w:rPr>
        <w:t xml:space="preserve">the </w:t>
      </w:r>
      <w:r w:rsidR="005C0CA2">
        <w:rPr>
          <w:lang w:val="en-US"/>
        </w:rPr>
        <w:t>work’s conclusions.</w:t>
      </w:r>
      <w:r w:rsidR="005C0CA2">
        <w:rPr>
          <w:rStyle w:val="FootnoteReference"/>
          <w:lang w:val="en-US"/>
        </w:rPr>
        <w:footnoteReference w:id="44"/>
      </w:r>
      <w:r w:rsidR="005C0CA2">
        <w:rPr>
          <w:lang w:val="en-US"/>
        </w:rPr>
        <w:t xml:space="preserve"> </w:t>
      </w:r>
      <w:r w:rsidR="00CD353D">
        <w:rPr>
          <w:lang w:val="en-US"/>
        </w:rPr>
        <w:t xml:space="preserve">One benefit of doing </w:t>
      </w:r>
      <w:r w:rsidR="004310C3">
        <w:rPr>
          <w:lang w:val="en-US"/>
        </w:rPr>
        <w:t xml:space="preserve">this </w:t>
      </w:r>
      <w:r w:rsidR="00CD353D">
        <w:rPr>
          <w:lang w:val="en-US"/>
        </w:rPr>
        <w:t xml:space="preserve">could be to inform the reader of the general outcome of the study, facilitating their decision to keep reading. </w:t>
      </w:r>
      <w:r w:rsidR="0074560E">
        <w:rPr>
          <w:lang w:val="en-US"/>
        </w:rPr>
        <w:t>They proceed to break down the structure of the paper by using headings</w:t>
      </w:r>
      <w:r w:rsidR="008E5063">
        <w:rPr>
          <w:lang w:val="en-US"/>
        </w:rPr>
        <w:t xml:space="preserve">: Survey Data, Findings, and Conclusion. The subheadings of the </w:t>
      </w:r>
      <w:r w:rsidR="008E5063" w:rsidRPr="0003626C">
        <w:rPr>
          <w:i/>
          <w:iCs/>
          <w:lang w:val="en-US"/>
        </w:rPr>
        <w:t>Findings</w:t>
      </w:r>
      <w:r w:rsidR="008E5063">
        <w:rPr>
          <w:lang w:val="en-US"/>
        </w:rPr>
        <w:t xml:space="preserve"> section – Religious Associations, Nature of Belief, Sources of Belief, Content of Belief, and Effects –</w:t>
      </w:r>
      <w:r w:rsidR="00610639">
        <w:rPr>
          <w:lang w:val="en-US"/>
        </w:rPr>
        <w:t xml:space="preserve"> </w:t>
      </w:r>
      <w:r w:rsidR="005E2BE3">
        <w:rPr>
          <w:lang w:val="en-US"/>
        </w:rPr>
        <w:t xml:space="preserve">outline the </w:t>
      </w:r>
      <w:r w:rsidR="00B87B52">
        <w:rPr>
          <w:lang w:val="en-US"/>
        </w:rPr>
        <w:t xml:space="preserve">specific </w:t>
      </w:r>
      <w:r w:rsidR="005E2BE3">
        <w:rPr>
          <w:lang w:val="en-US"/>
        </w:rPr>
        <w:t xml:space="preserve">themes and concepts that emerged from the </w:t>
      </w:r>
      <w:r w:rsidR="00562ADE">
        <w:rPr>
          <w:lang w:val="en-US"/>
        </w:rPr>
        <w:t>collected</w:t>
      </w:r>
      <w:r w:rsidR="005E2BE3">
        <w:rPr>
          <w:lang w:val="en-US"/>
        </w:rPr>
        <w:t xml:space="preserve"> data</w:t>
      </w:r>
      <w:r w:rsidR="00EA7231">
        <w:rPr>
          <w:lang w:val="en-US"/>
        </w:rPr>
        <w:t xml:space="preserve">, </w:t>
      </w:r>
      <w:r w:rsidR="00F90120">
        <w:rPr>
          <w:lang w:val="en-US"/>
        </w:rPr>
        <w:t>aligning with</w:t>
      </w:r>
      <w:r w:rsidR="00EA7231">
        <w:rPr>
          <w:lang w:val="en-US"/>
        </w:rPr>
        <w:t xml:space="preserve"> the inductive conceptual perspective</w:t>
      </w:r>
      <w:r w:rsidR="005E2BE3">
        <w:rPr>
          <w:lang w:val="en-US"/>
        </w:rPr>
        <w:t>.</w:t>
      </w:r>
      <w:r w:rsidR="00383FB5">
        <w:rPr>
          <w:rStyle w:val="FootnoteReference"/>
          <w:lang w:val="en-US"/>
        </w:rPr>
        <w:footnoteReference w:id="45"/>
      </w:r>
    </w:p>
    <w:p w14:paraId="21DE241A" w14:textId="1C75AB0D" w:rsidR="009E641F" w:rsidRDefault="008B2CD8" w:rsidP="00710555">
      <w:pPr>
        <w:ind w:firstLine="567"/>
        <w:jc w:val="both"/>
        <w:rPr>
          <w:lang w:val="en-US"/>
        </w:rPr>
      </w:pPr>
      <w:r>
        <w:rPr>
          <w:lang w:val="en-US"/>
        </w:rPr>
        <w:lastRenderedPageBreak/>
        <w:t xml:space="preserve">When it comes to the conclusion, </w:t>
      </w:r>
      <w:r w:rsidR="00B31E12">
        <w:rPr>
          <w:lang w:val="en-US"/>
        </w:rPr>
        <w:t>Bennett</w:t>
      </w:r>
      <w:r>
        <w:rPr>
          <w:lang w:val="en-US"/>
        </w:rPr>
        <w:t xml:space="preserve"> </w:t>
      </w:r>
      <w:r w:rsidR="004A1691" w:rsidRPr="004A1691">
        <w:rPr>
          <w:lang w:val="en-US"/>
        </w:rPr>
        <w:t>introduces new statistical data and secondary study group</w:t>
      </w:r>
      <w:r w:rsidR="004A1691">
        <w:rPr>
          <w:lang w:val="en-US"/>
        </w:rPr>
        <w:t xml:space="preserve">s – specifically </w:t>
      </w:r>
      <w:r w:rsidR="004A1691" w:rsidRPr="004A1691">
        <w:rPr>
          <w:lang w:val="en-US"/>
        </w:rPr>
        <w:t>younger women and elderly men</w:t>
      </w:r>
      <w:r w:rsidR="004A1691">
        <w:rPr>
          <w:lang w:val="en-US"/>
        </w:rPr>
        <w:t xml:space="preserve"> – that </w:t>
      </w:r>
      <w:r w:rsidR="004A1691" w:rsidRPr="004A1691">
        <w:rPr>
          <w:lang w:val="en-US"/>
        </w:rPr>
        <w:t>were not the primary focus of her investigation</w:t>
      </w:r>
      <w:r w:rsidR="009E641F" w:rsidRPr="009E641F">
        <w:rPr>
          <w:lang w:val="en-US"/>
        </w:rPr>
        <w:t>.</w:t>
      </w:r>
      <w:r w:rsidR="003F6B46">
        <w:rPr>
          <w:rStyle w:val="FootnoteReference"/>
          <w:lang w:val="en-US"/>
        </w:rPr>
        <w:footnoteReference w:id="46"/>
      </w:r>
      <w:r w:rsidR="009E641F" w:rsidRPr="009E641F">
        <w:rPr>
          <w:lang w:val="en-US"/>
        </w:rPr>
        <w:t xml:space="preserve"> </w:t>
      </w:r>
      <w:r w:rsidR="004A1691" w:rsidRPr="004A1691">
        <w:rPr>
          <w:lang w:val="en-US"/>
        </w:rPr>
        <w:t xml:space="preserve">While </w:t>
      </w:r>
      <w:r w:rsidR="00782B73">
        <w:rPr>
          <w:lang w:val="en-US"/>
        </w:rPr>
        <w:t>this can provide</w:t>
      </w:r>
      <w:r w:rsidR="00774772">
        <w:rPr>
          <w:lang w:val="en-US"/>
        </w:rPr>
        <w:t xml:space="preserve"> a</w:t>
      </w:r>
      <w:r w:rsidR="004A1691" w:rsidRPr="004A1691">
        <w:rPr>
          <w:lang w:val="en-US"/>
        </w:rPr>
        <w:t xml:space="preserve"> comparative context, </w:t>
      </w:r>
      <w:r w:rsidR="00782B73">
        <w:rPr>
          <w:lang w:val="en-US"/>
        </w:rPr>
        <w:t>it</w:t>
      </w:r>
      <w:r w:rsidR="004A1691" w:rsidRPr="004A1691">
        <w:rPr>
          <w:lang w:val="en-US"/>
        </w:rPr>
        <w:t xml:space="preserve"> </w:t>
      </w:r>
      <w:r w:rsidR="00C87792">
        <w:rPr>
          <w:lang w:val="en-US"/>
        </w:rPr>
        <w:t>shadows</w:t>
      </w:r>
      <w:r w:rsidR="004A1691" w:rsidRPr="004A1691">
        <w:rPr>
          <w:lang w:val="en-US"/>
        </w:rPr>
        <w:t xml:space="preserve"> her original focus on the neighborhood group of elderly women. Although Day notes that a conclusion may occasionally include new evidence to create a </w:t>
      </w:r>
      <w:r w:rsidR="004A1691">
        <w:rPr>
          <w:lang w:val="en-US"/>
        </w:rPr>
        <w:t>‘</w:t>
      </w:r>
      <w:r w:rsidR="004A1691" w:rsidRPr="004A1691">
        <w:rPr>
          <w:lang w:val="en-US"/>
        </w:rPr>
        <w:t>twist</w:t>
      </w:r>
      <w:r w:rsidR="004A1691">
        <w:rPr>
          <w:lang w:val="en-US"/>
        </w:rPr>
        <w:t>’,</w:t>
      </w:r>
      <w:r w:rsidR="004A1691" w:rsidRPr="004A1691">
        <w:rPr>
          <w:rStyle w:val="FootnoteReference"/>
          <w:lang w:val="en-US"/>
        </w:rPr>
        <w:t xml:space="preserve"> </w:t>
      </w:r>
      <w:r w:rsidR="004A1691" w:rsidRPr="004A1691">
        <w:rPr>
          <w:lang w:val="en-US"/>
        </w:rPr>
        <w:t xml:space="preserve">Bennett provides considerable detailed data that arguably belonged </w:t>
      </w:r>
      <w:r w:rsidR="004A1691">
        <w:rPr>
          <w:lang w:val="en-US"/>
        </w:rPr>
        <w:t>in the</w:t>
      </w:r>
      <w:r w:rsidR="004A1691" w:rsidRPr="004A1691">
        <w:rPr>
          <w:lang w:val="en-US"/>
        </w:rPr>
        <w:t xml:space="preserve"> research context.</w:t>
      </w:r>
      <w:r w:rsidR="00774772" w:rsidRPr="00774772">
        <w:rPr>
          <w:rStyle w:val="FootnoteReference"/>
          <w:lang w:val="en-US"/>
        </w:rPr>
        <w:t xml:space="preserve"> </w:t>
      </w:r>
      <w:r w:rsidR="00774772">
        <w:rPr>
          <w:rStyle w:val="FootnoteReference"/>
          <w:lang w:val="en-US"/>
        </w:rPr>
        <w:footnoteReference w:id="47"/>
      </w:r>
      <w:r w:rsidR="00774772" w:rsidRPr="004A1691">
        <w:rPr>
          <w:lang w:val="en-US"/>
        </w:rPr>
        <w:t xml:space="preserve"> </w:t>
      </w:r>
      <w:r w:rsidR="003A51F0">
        <w:rPr>
          <w:lang w:val="en-US"/>
        </w:rPr>
        <w:t xml:space="preserve"> </w:t>
      </w:r>
    </w:p>
    <w:p w14:paraId="43BA290E" w14:textId="54D3BD7F" w:rsidR="0063680F" w:rsidRDefault="0003626C" w:rsidP="00710555">
      <w:pPr>
        <w:ind w:firstLine="567"/>
        <w:jc w:val="both"/>
        <w:rPr>
          <w:lang w:val="en-US"/>
        </w:rPr>
      </w:pPr>
      <w:r>
        <w:rPr>
          <w:lang w:val="en-US"/>
        </w:rPr>
        <w:t xml:space="preserve">Walter and Waterhouse, by contrast, present a conclusion </w:t>
      </w:r>
      <w:r w:rsidR="00E11C4A">
        <w:rPr>
          <w:lang w:val="en-US"/>
        </w:rPr>
        <w:t>that outlines in a straightforward way</w:t>
      </w:r>
      <w:r>
        <w:rPr>
          <w:lang w:val="en-US"/>
        </w:rPr>
        <w:t xml:space="preserve"> the core findings of their research – using bullet points</w:t>
      </w:r>
      <w:r w:rsidR="00E11C4A">
        <w:rPr>
          <w:lang w:val="en-US"/>
        </w:rPr>
        <w:t xml:space="preserve"> for each core </w:t>
      </w:r>
      <w:r w:rsidR="00AD469E">
        <w:rPr>
          <w:lang w:val="en-US"/>
        </w:rPr>
        <w:t>finding, and closing</w:t>
      </w:r>
      <w:r>
        <w:rPr>
          <w:lang w:val="en-US"/>
        </w:rPr>
        <w:t xml:space="preserve"> with a short discussion of what these findings mean in terms of their research focus</w:t>
      </w:r>
      <w:r w:rsidR="00E11C4A">
        <w:rPr>
          <w:lang w:val="en-US"/>
        </w:rPr>
        <w:t xml:space="preserve">: </w:t>
      </w:r>
      <w:r>
        <w:rPr>
          <w:lang w:val="en-US"/>
        </w:rPr>
        <w:t xml:space="preserve">the belief </w:t>
      </w:r>
      <w:r w:rsidR="004C0F56">
        <w:rPr>
          <w:lang w:val="en-US"/>
        </w:rPr>
        <w:t>in reincarnation and the private nature of this belief among non-Easter and non-New Age affiliated groups.</w:t>
      </w:r>
      <w:r w:rsidR="00DF192B">
        <w:rPr>
          <w:rStyle w:val="FootnoteReference"/>
          <w:lang w:val="en-US"/>
        </w:rPr>
        <w:footnoteReference w:id="48"/>
      </w:r>
    </w:p>
    <w:p w14:paraId="42E3A235" w14:textId="77777777" w:rsidR="008B2CD8" w:rsidRPr="008B2CD8" w:rsidRDefault="008B2CD8" w:rsidP="00351458">
      <w:pPr>
        <w:jc w:val="both"/>
        <w:rPr>
          <w:lang w:val="en-US"/>
        </w:rPr>
      </w:pPr>
    </w:p>
    <w:p w14:paraId="5680A4A8" w14:textId="682B20B7" w:rsidR="003459B6" w:rsidRPr="0063680F" w:rsidRDefault="00F504B0" w:rsidP="00351458">
      <w:pPr>
        <w:pStyle w:val="Heading2"/>
        <w:jc w:val="both"/>
        <w:rPr>
          <w:lang w:val="en-US"/>
        </w:rPr>
      </w:pPr>
      <w:r w:rsidRPr="0063680F">
        <w:rPr>
          <w:lang w:val="en-US"/>
        </w:rPr>
        <w:t xml:space="preserve">Literature and Theoretical Grounding </w:t>
      </w:r>
    </w:p>
    <w:p w14:paraId="442DA784" w14:textId="07D34969" w:rsidR="00410639" w:rsidRDefault="00410639" w:rsidP="00710555">
      <w:pPr>
        <w:ind w:firstLine="567"/>
        <w:jc w:val="both"/>
        <w:rPr>
          <w:lang w:val="en-US"/>
        </w:rPr>
      </w:pPr>
      <w:r>
        <w:rPr>
          <w:lang w:val="en-US"/>
        </w:rPr>
        <w:t xml:space="preserve">Bennett sets the foundation by providing </w:t>
      </w:r>
      <w:r w:rsidR="0080450C">
        <w:rPr>
          <w:lang w:val="en-US"/>
        </w:rPr>
        <w:t>a</w:t>
      </w:r>
      <w:r>
        <w:rPr>
          <w:lang w:val="en-US"/>
        </w:rPr>
        <w:t xml:space="preserve"> historical overview of how foreknowledge has evolved</w:t>
      </w:r>
      <w:r w:rsidR="00577125">
        <w:rPr>
          <w:lang w:val="en-US"/>
        </w:rPr>
        <w:t xml:space="preserve"> from the seventeenth</w:t>
      </w:r>
      <w:r w:rsidR="0080450C">
        <w:rPr>
          <w:lang w:val="en-US"/>
        </w:rPr>
        <w:t xml:space="preserve"> </w:t>
      </w:r>
      <w:r w:rsidR="00577125">
        <w:rPr>
          <w:lang w:val="en-US"/>
        </w:rPr>
        <w:t xml:space="preserve">century </w:t>
      </w:r>
      <w:r w:rsidR="0080450C">
        <w:rPr>
          <w:lang w:val="en-US"/>
        </w:rPr>
        <w:t>to</w:t>
      </w:r>
      <w:r w:rsidR="00577125">
        <w:rPr>
          <w:lang w:val="en-US"/>
        </w:rPr>
        <w:t xml:space="preserve"> the present</w:t>
      </w:r>
      <w:r w:rsidR="0080450C">
        <w:rPr>
          <w:lang w:val="en-US"/>
        </w:rPr>
        <w:t>. She identifies</w:t>
      </w:r>
      <w:r w:rsidR="00D0404A">
        <w:rPr>
          <w:lang w:val="en-US"/>
        </w:rPr>
        <w:t xml:space="preserve"> two main British folkloric currents of foreknowledge: one </w:t>
      </w:r>
      <w:r w:rsidR="0080450C">
        <w:rPr>
          <w:lang w:val="en-US"/>
        </w:rPr>
        <w:t>based on</w:t>
      </w:r>
      <w:r w:rsidR="00D0404A">
        <w:rPr>
          <w:lang w:val="en-US"/>
        </w:rPr>
        <w:t xml:space="preserve"> the interpretation of external stimuli</w:t>
      </w:r>
      <w:r w:rsidR="007D4A00">
        <w:rPr>
          <w:lang w:val="en-US"/>
        </w:rPr>
        <w:t xml:space="preserve"> </w:t>
      </w:r>
      <w:r w:rsidR="00D0404A">
        <w:rPr>
          <w:lang w:val="en-US"/>
        </w:rPr>
        <w:t xml:space="preserve">– </w:t>
      </w:r>
      <w:r w:rsidR="0080450C">
        <w:rPr>
          <w:lang w:val="en-US"/>
        </w:rPr>
        <w:t>such as</w:t>
      </w:r>
      <w:r w:rsidR="00D0404A">
        <w:rPr>
          <w:lang w:val="en-US"/>
        </w:rPr>
        <w:t xml:space="preserve"> astrology and fortunetelling – and the other depending on sensitive perception</w:t>
      </w:r>
      <w:r w:rsidR="0080450C">
        <w:rPr>
          <w:lang w:val="en-US"/>
        </w:rPr>
        <w:t>, like</w:t>
      </w:r>
      <w:r w:rsidR="00D0404A">
        <w:rPr>
          <w:lang w:val="en-US"/>
        </w:rPr>
        <w:t xml:space="preserve"> spontaneous visions, dreams</w:t>
      </w:r>
      <w:r w:rsidR="0080450C">
        <w:rPr>
          <w:lang w:val="en-US"/>
        </w:rPr>
        <w:t>,</w:t>
      </w:r>
      <w:r w:rsidR="00D0404A">
        <w:rPr>
          <w:lang w:val="en-US"/>
        </w:rPr>
        <w:t xml:space="preserve"> or presentiments. Throughout this historical review, she consistently provides appropriate references.</w:t>
      </w:r>
      <w:r w:rsidR="00577125">
        <w:rPr>
          <w:rStyle w:val="FootnoteReference"/>
          <w:lang w:val="en-US"/>
        </w:rPr>
        <w:footnoteReference w:id="49"/>
      </w:r>
      <w:r w:rsidR="00D0404A">
        <w:rPr>
          <w:lang w:val="en-US"/>
        </w:rPr>
        <w:t xml:space="preserve"> </w:t>
      </w:r>
    </w:p>
    <w:p w14:paraId="0125927B" w14:textId="6FE305B7" w:rsidR="009E641F" w:rsidRDefault="00BE2E07" w:rsidP="00710555">
      <w:pPr>
        <w:ind w:firstLine="567"/>
        <w:jc w:val="both"/>
        <w:rPr>
          <w:lang w:val="en-US"/>
        </w:rPr>
      </w:pPr>
      <w:r>
        <w:rPr>
          <w:lang w:val="en-US"/>
        </w:rPr>
        <w:t>During the analysis</w:t>
      </w:r>
      <w:r w:rsidR="00BB7E48">
        <w:rPr>
          <w:lang w:val="en-US"/>
        </w:rPr>
        <w:t xml:space="preserve">, </w:t>
      </w:r>
      <w:r w:rsidR="00FD2419">
        <w:rPr>
          <w:lang w:val="en-US"/>
        </w:rPr>
        <w:t>s</w:t>
      </w:r>
      <w:r w:rsidR="00C91573">
        <w:rPr>
          <w:lang w:val="en-US"/>
        </w:rPr>
        <w:t xml:space="preserve">he provides statements </w:t>
      </w:r>
      <w:r>
        <w:rPr>
          <w:lang w:val="en-US"/>
        </w:rPr>
        <w:t>based on</w:t>
      </w:r>
      <w:r w:rsidR="00C91573">
        <w:rPr>
          <w:lang w:val="en-US"/>
        </w:rPr>
        <w:t xml:space="preserve"> her own opinion</w:t>
      </w:r>
      <w:r w:rsidR="00BB7E48">
        <w:rPr>
          <w:lang w:val="en-US"/>
        </w:rPr>
        <w:t>s</w:t>
      </w:r>
      <w:r>
        <w:rPr>
          <w:lang w:val="en-US"/>
        </w:rPr>
        <w:t xml:space="preserve"> which lack </w:t>
      </w:r>
      <w:r w:rsidR="00C91573">
        <w:rPr>
          <w:lang w:val="en-US"/>
        </w:rPr>
        <w:t xml:space="preserve">adequate referencing. </w:t>
      </w:r>
      <w:r w:rsidR="006D0722">
        <w:rPr>
          <w:lang w:val="en-US"/>
        </w:rPr>
        <w:t>For example, when discuss</w:t>
      </w:r>
      <w:r>
        <w:rPr>
          <w:lang w:val="en-US"/>
        </w:rPr>
        <w:t>ing</w:t>
      </w:r>
      <w:r w:rsidR="006D0722">
        <w:rPr>
          <w:lang w:val="en-US"/>
        </w:rPr>
        <w:t xml:space="preserve"> the negative aspects of psychic power, she engages in a psychological discussion about power</w:t>
      </w:r>
      <w:r w:rsidR="00064863">
        <w:rPr>
          <w:lang w:val="en-US"/>
        </w:rPr>
        <w:t xml:space="preserve"> versus </w:t>
      </w:r>
      <w:r w:rsidR="00BB7E48">
        <w:rPr>
          <w:lang w:val="en-US"/>
        </w:rPr>
        <w:t xml:space="preserve">the </w:t>
      </w:r>
      <w:r w:rsidR="00064863">
        <w:rPr>
          <w:lang w:val="en-US"/>
        </w:rPr>
        <w:t>moral danger</w:t>
      </w:r>
      <w:r w:rsidR="00BB7E48">
        <w:rPr>
          <w:lang w:val="en-US"/>
        </w:rPr>
        <w:t xml:space="preserve"> these women</w:t>
      </w:r>
      <w:r>
        <w:rPr>
          <w:lang w:val="en-US"/>
        </w:rPr>
        <w:t xml:space="preserve"> face</w:t>
      </w:r>
      <w:r w:rsidR="00BB7E48">
        <w:rPr>
          <w:lang w:val="en-US"/>
        </w:rPr>
        <w:t xml:space="preserve"> for</w:t>
      </w:r>
      <w:r w:rsidR="00064863">
        <w:rPr>
          <w:lang w:val="en-US"/>
        </w:rPr>
        <w:t xml:space="preserve"> having the </w:t>
      </w:r>
      <w:r w:rsidR="00064863" w:rsidRPr="00BE2E07">
        <w:rPr>
          <w:i/>
          <w:iCs/>
          <w:lang w:val="en-US"/>
        </w:rPr>
        <w:t>gift</w:t>
      </w:r>
      <w:r w:rsidR="00064863">
        <w:rPr>
          <w:lang w:val="en-US"/>
        </w:rPr>
        <w:t xml:space="preserve"> of foreknowledge.</w:t>
      </w:r>
      <w:r w:rsidR="001343D1">
        <w:rPr>
          <w:rStyle w:val="FootnoteReference"/>
          <w:lang w:val="en-US"/>
        </w:rPr>
        <w:footnoteReference w:id="50"/>
      </w:r>
      <w:r w:rsidR="00064863">
        <w:rPr>
          <w:lang w:val="en-US"/>
        </w:rPr>
        <w:t xml:space="preserve"> Throughout this section, </w:t>
      </w:r>
      <w:r w:rsidR="00834B6C">
        <w:rPr>
          <w:lang w:val="en-US"/>
        </w:rPr>
        <w:t>there are no</w:t>
      </w:r>
      <w:r w:rsidR="00064863">
        <w:rPr>
          <w:lang w:val="en-US"/>
        </w:rPr>
        <w:t xml:space="preserve"> reference</w:t>
      </w:r>
      <w:r w:rsidR="009A16AE">
        <w:rPr>
          <w:lang w:val="en-US"/>
        </w:rPr>
        <w:t>s</w:t>
      </w:r>
      <w:r w:rsidR="00064863">
        <w:rPr>
          <w:lang w:val="en-US"/>
        </w:rPr>
        <w:t xml:space="preserve"> to other works.</w:t>
      </w:r>
    </w:p>
    <w:p w14:paraId="58896CBD" w14:textId="576C96C2" w:rsidR="00156D23" w:rsidRDefault="00D43D4B" w:rsidP="00710555">
      <w:pPr>
        <w:ind w:firstLine="567"/>
        <w:jc w:val="both"/>
        <w:rPr>
          <w:lang w:val="en-US"/>
        </w:rPr>
      </w:pPr>
      <w:r w:rsidRPr="00D43D4B">
        <w:t>Walter and Waterhouse, on the other hand, root their research in available data on reincarnation, using various surveys from the 1947 Mass Observation to more recent ones from 1995–1997</w:t>
      </w:r>
      <w:r w:rsidR="003C04C0">
        <w:rPr>
          <w:lang w:val="en-US"/>
        </w:rPr>
        <w:t>.</w:t>
      </w:r>
      <w:r w:rsidR="00C45278">
        <w:rPr>
          <w:rStyle w:val="FootnoteReference"/>
          <w:lang w:val="en-US"/>
        </w:rPr>
        <w:footnoteReference w:id="51"/>
      </w:r>
      <w:r w:rsidR="003C04C0">
        <w:rPr>
          <w:lang w:val="en-US"/>
        </w:rPr>
        <w:t xml:space="preserve"> </w:t>
      </w:r>
      <w:r w:rsidRPr="00D43D4B">
        <w:t>Throughout the paper, they use values from the 1981 and 1990 European Values Surveys (EVS) as a point</w:t>
      </w:r>
      <w:r w:rsidR="0070779D">
        <w:t xml:space="preserve"> of comparison</w:t>
      </w:r>
      <w:r w:rsidR="003C04C0">
        <w:rPr>
          <w:lang w:val="en-US"/>
        </w:rPr>
        <w:t xml:space="preserve">. </w:t>
      </w:r>
      <w:r>
        <w:rPr>
          <w:lang w:val="en-US"/>
        </w:rPr>
        <w:t>F</w:t>
      </w:r>
      <w:r w:rsidRPr="00D43D4B">
        <w:rPr>
          <w:lang w:val="en-US"/>
        </w:rPr>
        <w:t xml:space="preserve">or this, they reference Ashford and Timms’ 1992 study, </w:t>
      </w:r>
      <w:r w:rsidRPr="00D43D4B">
        <w:rPr>
          <w:i/>
          <w:iCs/>
          <w:lang w:val="en-US"/>
        </w:rPr>
        <w:t>What Europe Thinks</w:t>
      </w:r>
      <w:r w:rsidRPr="00D43D4B">
        <w:rPr>
          <w:lang w:val="en-US"/>
        </w:rPr>
        <w:t>, as listed in their references</w:t>
      </w:r>
      <w:r w:rsidR="00C078B0">
        <w:rPr>
          <w:lang w:val="en-US"/>
        </w:rPr>
        <w:t>.</w:t>
      </w:r>
      <w:r w:rsidR="00C45278">
        <w:rPr>
          <w:rStyle w:val="FootnoteReference"/>
          <w:lang w:val="en-US"/>
        </w:rPr>
        <w:footnoteReference w:id="52"/>
      </w:r>
    </w:p>
    <w:p w14:paraId="3B65B476" w14:textId="2E97B476" w:rsidR="00745DAB" w:rsidRDefault="002004F8" w:rsidP="00710555">
      <w:pPr>
        <w:ind w:firstLine="567"/>
        <w:jc w:val="both"/>
        <w:rPr>
          <w:lang w:val="en-US"/>
        </w:rPr>
      </w:pPr>
      <w:r w:rsidRPr="002004F8">
        <w:t xml:space="preserve">They also refer the reader to their own previous articles for specific data analysis. This prevents the paper from getting </w:t>
      </w:r>
      <w:r w:rsidR="002850B0">
        <w:t>overwhelmed by</w:t>
      </w:r>
      <w:r w:rsidRPr="002004F8">
        <w:t xml:space="preserve"> detail</w:t>
      </w:r>
      <w:r w:rsidR="002850B0">
        <w:t>s</w:t>
      </w:r>
      <w:r w:rsidRPr="002004F8">
        <w:t>, as their main goal is to summarize findings within the current reincarnation debate</w:t>
      </w:r>
      <w:r w:rsidR="00C078B0">
        <w:rPr>
          <w:lang w:val="en-US"/>
        </w:rPr>
        <w:t>.</w:t>
      </w:r>
      <w:r w:rsidR="00C078B0">
        <w:rPr>
          <w:rStyle w:val="FootnoteReference"/>
          <w:lang w:val="en-US"/>
        </w:rPr>
        <w:footnoteReference w:id="53"/>
      </w:r>
      <w:r w:rsidR="005D3395">
        <w:rPr>
          <w:lang w:val="en-US"/>
        </w:rPr>
        <w:t xml:space="preserve"> </w:t>
      </w:r>
    </w:p>
    <w:p w14:paraId="382E9996" w14:textId="4BCE4400" w:rsidR="00745DAB" w:rsidRPr="00C45278" w:rsidRDefault="002004F8" w:rsidP="00710555">
      <w:pPr>
        <w:ind w:firstLine="567"/>
        <w:jc w:val="both"/>
        <w:rPr>
          <w:lang w:val="en-US"/>
        </w:rPr>
      </w:pPr>
      <w:r w:rsidRPr="002004F8">
        <w:lastRenderedPageBreak/>
        <w:t xml:space="preserve">As the discussion begins, they use academic works to back up their points, such as the </w:t>
      </w:r>
      <w:r w:rsidRPr="002004F8">
        <w:rPr>
          <w:i/>
          <w:iCs/>
        </w:rPr>
        <w:t>westernization</w:t>
      </w:r>
      <w:r>
        <w:t xml:space="preserve"> </w:t>
      </w:r>
      <w:r w:rsidRPr="002004F8">
        <w:t>of karma</w:t>
      </w:r>
      <w:r w:rsidR="00745DAB">
        <w:rPr>
          <w:lang w:val="en-US"/>
        </w:rPr>
        <w:t>.</w:t>
      </w:r>
      <w:r w:rsidR="00745DAB">
        <w:rPr>
          <w:rStyle w:val="FootnoteReference"/>
          <w:lang w:val="en-US"/>
        </w:rPr>
        <w:footnoteReference w:id="54"/>
      </w:r>
      <w:r w:rsidR="00A46A73">
        <w:rPr>
          <w:lang w:val="en-US"/>
        </w:rPr>
        <w:t xml:space="preserve"> </w:t>
      </w:r>
      <w:r w:rsidRPr="002004F8">
        <w:rPr>
          <w:lang w:val="en-US"/>
        </w:rPr>
        <w:t xml:space="preserve">Their </w:t>
      </w:r>
      <w:r w:rsidR="007D5013">
        <w:rPr>
          <w:lang w:val="en-US"/>
        </w:rPr>
        <w:t>various</w:t>
      </w:r>
      <w:r w:rsidRPr="002004F8">
        <w:rPr>
          <w:lang w:val="en-US"/>
        </w:rPr>
        <w:t xml:space="preserve"> self-citations reflect their expertise</w:t>
      </w:r>
      <w:r w:rsidR="00604D45">
        <w:rPr>
          <w:lang w:val="en-US"/>
        </w:rPr>
        <w:t>. But</w:t>
      </w:r>
      <w:r w:rsidRPr="002004F8">
        <w:rPr>
          <w:lang w:val="en-US"/>
        </w:rPr>
        <w:t xml:space="preserve"> when discussing reincarnation experiences, they </w:t>
      </w:r>
      <w:r w:rsidR="00604D45">
        <w:rPr>
          <w:lang w:val="en-US"/>
        </w:rPr>
        <w:t>cite</w:t>
      </w:r>
      <w:r w:rsidRPr="002004F8">
        <w:rPr>
          <w:lang w:val="en-US"/>
        </w:rPr>
        <w:t xml:space="preserve"> popular books </w:t>
      </w:r>
      <w:r w:rsidR="00604D45">
        <w:rPr>
          <w:lang w:val="en-US"/>
        </w:rPr>
        <w:t>and less academic literature.</w:t>
      </w:r>
      <w:r w:rsidR="00BA579F">
        <w:rPr>
          <w:rStyle w:val="FootnoteReference"/>
          <w:lang w:val="en-US"/>
        </w:rPr>
        <w:footnoteReference w:id="55"/>
      </w:r>
      <w:r w:rsidR="007C1F20">
        <w:rPr>
          <w:lang w:val="en-US"/>
        </w:rPr>
        <w:t xml:space="preserve"> </w:t>
      </w:r>
    </w:p>
    <w:p w14:paraId="07E65E31" w14:textId="77777777" w:rsidR="00665E48" w:rsidRDefault="00665E48" w:rsidP="00351458">
      <w:pPr>
        <w:pStyle w:val="Heading2"/>
        <w:jc w:val="both"/>
        <w:rPr>
          <w:lang w:val="en-US"/>
        </w:rPr>
      </w:pPr>
    </w:p>
    <w:p w14:paraId="6149DCE4" w14:textId="31A451E4" w:rsidR="003459B6" w:rsidRDefault="003459B6" w:rsidP="00351458">
      <w:pPr>
        <w:pStyle w:val="Heading2"/>
        <w:jc w:val="both"/>
        <w:rPr>
          <w:lang w:val="en-US"/>
        </w:rPr>
      </w:pPr>
      <w:r w:rsidRPr="002D4A4A">
        <w:rPr>
          <w:lang w:val="en-US"/>
        </w:rPr>
        <w:t>Conclusion</w:t>
      </w:r>
      <w:r w:rsidR="002D4A4A">
        <w:rPr>
          <w:lang w:val="en-US"/>
        </w:rPr>
        <w:t xml:space="preserve"> </w:t>
      </w:r>
    </w:p>
    <w:p w14:paraId="0C399DB6" w14:textId="5382D5D3" w:rsidR="00AE0094" w:rsidRPr="00AE0094" w:rsidRDefault="00AE0094" w:rsidP="00710555">
      <w:pPr>
        <w:ind w:firstLine="567"/>
        <w:jc w:val="both"/>
      </w:pPr>
      <w:r w:rsidRPr="00AE0094">
        <w:t xml:space="preserve">This comparative analysis demonstrates that qualitative research, situated within an interpretivist framework, serves as a powerful tool for uncovering the subjective meanings individuals ascribe to </w:t>
      </w:r>
      <w:r>
        <w:t>unseen</w:t>
      </w:r>
      <w:r w:rsidRPr="00AE0094">
        <w:t xml:space="preserve"> experiences</w:t>
      </w:r>
      <w:r>
        <w:t xml:space="preserve"> or concepts</w:t>
      </w:r>
      <w:r w:rsidRPr="00AE0094">
        <w:t xml:space="preserve">. </w:t>
      </w:r>
      <w:r w:rsidR="005D33EB">
        <w:t>Bennett’s ethnography explores how British folklore evolved as a community, while Walter and Waterhouse focus on the personal interest individuals have in reincarnation.</w:t>
      </w:r>
      <w:r w:rsidRPr="00AE0094">
        <w:t xml:space="preserve"> </w:t>
      </w:r>
      <w:r w:rsidR="005D33EB">
        <w:t>B</w:t>
      </w:r>
      <w:r w:rsidRPr="00AE0094">
        <w:t xml:space="preserve">oth papers </w:t>
      </w:r>
      <w:r>
        <w:t>show</w:t>
      </w:r>
      <w:r w:rsidRPr="00AE0094">
        <w:t xml:space="preserve"> that interviews and narrative inquiry </w:t>
      </w:r>
      <w:r>
        <w:t xml:space="preserve">can </w:t>
      </w:r>
      <w:r w:rsidRPr="00AE0094">
        <w:t>provide a depth of insight that quantitative data alone cannot capture.</w:t>
      </w:r>
    </w:p>
    <w:p w14:paraId="1964031F" w14:textId="6301A328" w:rsidR="00AE0094" w:rsidRPr="00AE0094" w:rsidRDefault="00AE0094" w:rsidP="00710555">
      <w:pPr>
        <w:ind w:firstLine="567"/>
        <w:jc w:val="both"/>
      </w:pPr>
      <w:r w:rsidRPr="00AE0094">
        <w:t>However, the strength of such research depends on methodological and ethical transparency. As seen in the critique of both studies, addressing ethical considerations</w:t>
      </w:r>
      <w:r>
        <w:t xml:space="preserve"> – such </w:t>
      </w:r>
      <w:r w:rsidRPr="00AE0094">
        <w:t xml:space="preserve">as the handling of </w:t>
      </w:r>
      <w:r w:rsidR="00980EB7">
        <w:t>data coming from minors</w:t>
      </w:r>
      <w:r w:rsidRPr="00AE0094">
        <w:t xml:space="preserve"> or the role of </w:t>
      </w:r>
      <w:r w:rsidR="00980EB7">
        <w:t>intermediaries</w:t>
      </w:r>
      <w:r>
        <w:t xml:space="preserve"> – is </w:t>
      </w:r>
      <w:r w:rsidRPr="00AE0094">
        <w:t xml:space="preserve">not </w:t>
      </w:r>
      <w:r w:rsidR="001D1D9E">
        <w:t>just a</w:t>
      </w:r>
      <w:r w:rsidRPr="00AE0094">
        <w:t xml:space="preserve"> formality</w:t>
      </w:r>
      <w:r w:rsidR="0097202F">
        <w:t>. It can clear</w:t>
      </w:r>
      <w:r w:rsidRPr="00AE0094">
        <w:t xml:space="preserve"> </w:t>
      </w:r>
      <w:r w:rsidR="008C5F6E">
        <w:t>possible</w:t>
      </w:r>
      <w:r w:rsidRPr="00AE0094">
        <w:t xml:space="preserve"> reader confusion and establis</w:t>
      </w:r>
      <w:r w:rsidR="00980EB7">
        <w:t>h</w:t>
      </w:r>
      <w:r w:rsidRPr="00AE0094">
        <w:t xml:space="preserve"> the study's integrity. While Bennett’s use of her father’s clinic </w:t>
      </w:r>
      <w:r w:rsidR="00980EB7">
        <w:t>as</w:t>
      </w:r>
      <w:r w:rsidR="004C0787">
        <w:t xml:space="preserve"> an</w:t>
      </w:r>
      <w:r w:rsidR="00980EB7">
        <w:t xml:space="preserve"> intermediary facilitated</w:t>
      </w:r>
      <w:r w:rsidRPr="00AE0094">
        <w:t xml:space="preserve"> access, it raised questions regarding secondary data consent. Similarly, Walter and Waterhouse’s mention of schoolchildren highlighted the need for explicit protocols concerning dual consent </w:t>
      </w:r>
      <w:r w:rsidR="00F8589C">
        <w:t>and transparency</w:t>
      </w:r>
      <w:r w:rsidRPr="00AE0094">
        <w:t>.</w:t>
      </w:r>
    </w:p>
    <w:p w14:paraId="2CD871FD" w14:textId="0BC00B76" w:rsidR="00B87EFE" w:rsidRDefault="00AE0094" w:rsidP="00710555">
      <w:pPr>
        <w:ind w:firstLine="567"/>
        <w:jc w:val="both"/>
      </w:pPr>
      <w:r w:rsidRPr="00AE0094">
        <w:t xml:space="preserve">Ultimately, no study is without limitations. </w:t>
      </w:r>
      <w:r w:rsidR="004C0787">
        <w:t>A</w:t>
      </w:r>
      <w:r w:rsidRPr="00AE0094">
        <w:t xml:space="preserve"> researcher </w:t>
      </w:r>
      <w:r w:rsidR="004C0787">
        <w:t>should have</w:t>
      </w:r>
      <w:r w:rsidRPr="00AE0094">
        <w:t xml:space="preserve"> the ability to identify, clarify, and mitigate these</w:t>
      </w:r>
      <w:r>
        <w:t xml:space="preserve"> </w:t>
      </w:r>
      <w:r w:rsidRPr="00AE0094">
        <w:t>constraints</w:t>
      </w:r>
      <w:r>
        <w:t>, either</w:t>
      </w:r>
      <w:r w:rsidRPr="00AE0094">
        <w:t xml:space="preserve"> through </w:t>
      </w:r>
      <w:r>
        <w:t xml:space="preserve">careful </w:t>
      </w:r>
      <w:r w:rsidRPr="00AE0094">
        <w:t xml:space="preserve">reflexivity </w:t>
      </w:r>
      <w:r w:rsidR="00F8589C">
        <w:t>regarding</w:t>
      </w:r>
      <w:r>
        <w:t xml:space="preserve"> ethics or by aid from</w:t>
      </w:r>
      <w:r w:rsidRPr="00AE0094">
        <w:t xml:space="preserve"> triangulation</w:t>
      </w:r>
      <w:r>
        <w:t xml:space="preserve"> when interpreting data</w:t>
      </w:r>
      <w:r w:rsidRPr="00AE0094">
        <w:t xml:space="preserve">. </w:t>
      </w:r>
    </w:p>
    <w:p w14:paraId="3B29A807" w14:textId="77777777" w:rsidR="00B87EFE" w:rsidRDefault="00B87EFE" w:rsidP="00351458">
      <w:pPr>
        <w:jc w:val="both"/>
      </w:pPr>
      <w:r>
        <w:br w:type="page"/>
      </w:r>
    </w:p>
    <w:p w14:paraId="57534C75" w14:textId="45A4AEF6" w:rsidR="00AE0094" w:rsidRDefault="00B87EFE" w:rsidP="00D86D60">
      <w:pPr>
        <w:pStyle w:val="Heading2"/>
        <w:rPr>
          <w:lang w:val="en-US"/>
        </w:rPr>
      </w:pPr>
      <w:r w:rsidRPr="00D86D60">
        <w:rPr>
          <w:lang w:val="en-US"/>
        </w:rPr>
        <w:lastRenderedPageBreak/>
        <w:t>Bibliography</w:t>
      </w:r>
    </w:p>
    <w:p w14:paraId="16B2BC4F" w14:textId="77777777" w:rsidR="002F29B7" w:rsidRDefault="002F29B7" w:rsidP="002F29B7">
      <w:pPr>
        <w:rPr>
          <w:lang w:val="en-US"/>
        </w:rPr>
      </w:pPr>
    </w:p>
    <w:p w14:paraId="7D4E168C" w14:textId="4CD6B879" w:rsidR="002F29B7" w:rsidRDefault="002F29B7" w:rsidP="002F29B7">
      <w:pPr>
        <w:pStyle w:val="Heading3"/>
        <w:rPr>
          <w:lang w:val="en-US"/>
        </w:rPr>
      </w:pPr>
      <w:r>
        <w:rPr>
          <w:lang w:val="en-US"/>
        </w:rPr>
        <w:t>Primary Sources</w:t>
      </w:r>
    </w:p>
    <w:p w14:paraId="381305EA" w14:textId="22837782" w:rsidR="002F29B7" w:rsidRPr="00126F22" w:rsidRDefault="002F29B7" w:rsidP="002F29B7">
      <w:r w:rsidRPr="00126F22">
        <w:t>The Folklore Society</w:t>
      </w:r>
      <w:r>
        <w:t xml:space="preserve">, </w:t>
      </w:r>
      <w:r w:rsidRPr="00126F22">
        <w:t>‘</w:t>
      </w:r>
      <w:proofErr w:type="spellStart"/>
      <w:r w:rsidRPr="00126F22">
        <w:t>Dr.</w:t>
      </w:r>
      <w:proofErr w:type="spellEnd"/>
      <w:r w:rsidRPr="00126F22">
        <w:t xml:space="preserve"> Gillian Bennett (1939-2023)’,</w:t>
      </w:r>
      <w:r>
        <w:t xml:space="preserve"> </w:t>
      </w:r>
      <w:r w:rsidRPr="00126F22">
        <w:t>n.d.</w:t>
      </w:r>
      <w:r>
        <w:t>,</w:t>
      </w:r>
      <w:r w:rsidRPr="00126F22">
        <w:t xml:space="preserve"> &lt;</w:t>
      </w:r>
      <w:hyperlink r:id="rId9" w:history="1">
        <w:r w:rsidRPr="00126F22">
          <w:rPr>
            <w:rStyle w:val="Hyperlink"/>
            <w:lang w:val="en-US"/>
          </w:rPr>
          <w:t>https://www.folklore-society.com/blog/post/dr-gillian-bennett-1939-2023/</w:t>
        </w:r>
      </w:hyperlink>
      <w:r w:rsidRPr="00126F22">
        <w:rPr>
          <w:lang w:val="en-US"/>
        </w:rPr>
        <w:t>&gt; [accessed 6 February 2026]</w:t>
      </w:r>
    </w:p>
    <w:p w14:paraId="233A45B8" w14:textId="749F68C6" w:rsidR="002F29B7" w:rsidRDefault="002F29B7" w:rsidP="002F29B7">
      <w:pPr>
        <w:rPr>
          <w:lang w:val="en-US"/>
        </w:rPr>
      </w:pPr>
      <w:r w:rsidRPr="00126F22">
        <w:rPr>
          <w:lang w:val="en-US"/>
        </w:rPr>
        <w:t>The Open University, ‘Helen Waterhouse’, n.d.</w:t>
      </w:r>
      <w:r>
        <w:rPr>
          <w:lang w:val="en-US"/>
        </w:rPr>
        <w:t xml:space="preserve">, </w:t>
      </w:r>
      <w:r w:rsidRPr="00126F22">
        <w:rPr>
          <w:lang w:val="en-US"/>
        </w:rPr>
        <w:t>&lt;</w:t>
      </w:r>
      <w:hyperlink r:id="rId10" w:history="1">
        <w:r w:rsidRPr="00126F22">
          <w:rPr>
            <w:rStyle w:val="Hyperlink"/>
            <w:lang w:val="en-US"/>
          </w:rPr>
          <w:t>https://oro.open.ac.uk/view/person/hjw26.html</w:t>
        </w:r>
      </w:hyperlink>
      <w:r w:rsidRPr="00126F22">
        <w:rPr>
          <w:lang w:val="en-US"/>
        </w:rPr>
        <w:t>&gt; [accessed February 9 2026]</w:t>
      </w:r>
    </w:p>
    <w:p w14:paraId="733C91E4" w14:textId="56D2EB72" w:rsidR="002F29B7" w:rsidRPr="00126F22" w:rsidRDefault="002F29B7" w:rsidP="002F29B7">
      <w:r w:rsidRPr="00126F22">
        <w:rPr>
          <w:lang w:val="en-US"/>
        </w:rPr>
        <w:t>University of Bath</w:t>
      </w:r>
      <w:r>
        <w:rPr>
          <w:lang w:val="en-US"/>
        </w:rPr>
        <w:t xml:space="preserve">, </w:t>
      </w:r>
      <w:r w:rsidRPr="00126F22">
        <w:rPr>
          <w:lang w:val="en-US"/>
        </w:rPr>
        <w:t>‘Tony Walter Personal Profile’, n.d.</w:t>
      </w:r>
      <w:r>
        <w:rPr>
          <w:lang w:val="en-US"/>
        </w:rPr>
        <w:t xml:space="preserve">, </w:t>
      </w:r>
      <w:r w:rsidRPr="00126F22">
        <w:rPr>
          <w:lang w:val="en-US"/>
        </w:rPr>
        <w:t>&lt;</w:t>
      </w:r>
      <w:hyperlink r:id="rId11" w:history="1">
        <w:r w:rsidRPr="00126F22">
          <w:rPr>
            <w:rStyle w:val="Hyperlink"/>
            <w:lang w:val="en-US"/>
          </w:rPr>
          <w:t>https://researchportal.bath.ac.uk/en/persons/tony-walter/</w:t>
        </w:r>
      </w:hyperlink>
      <w:r w:rsidRPr="00126F22">
        <w:rPr>
          <w:lang w:val="en-US"/>
        </w:rPr>
        <w:t>&gt; [accessed February 9 2026]</w:t>
      </w:r>
    </w:p>
    <w:p w14:paraId="1864EF49" w14:textId="77777777" w:rsidR="002F29B7" w:rsidRPr="002F29B7" w:rsidRDefault="002F29B7" w:rsidP="002F29B7"/>
    <w:p w14:paraId="4B23D0EE" w14:textId="77777777" w:rsidR="002F29B7" w:rsidRPr="002F29B7" w:rsidRDefault="002F29B7" w:rsidP="002F29B7">
      <w:pPr>
        <w:rPr>
          <w:lang w:val="en-US"/>
        </w:rPr>
      </w:pPr>
    </w:p>
    <w:p w14:paraId="7B2B3C4B" w14:textId="770D1B36" w:rsidR="002F29B7" w:rsidRDefault="002F29B7" w:rsidP="002F29B7">
      <w:pPr>
        <w:pStyle w:val="Heading3"/>
        <w:rPr>
          <w:lang w:val="en-US"/>
        </w:rPr>
      </w:pPr>
      <w:r>
        <w:rPr>
          <w:lang w:val="en-US"/>
        </w:rPr>
        <w:t>Secondary Sources</w:t>
      </w:r>
    </w:p>
    <w:p w14:paraId="222601FE" w14:textId="04D7688F" w:rsidR="002F29B7" w:rsidRDefault="002F29B7" w:rsidP="002F29B7">
      <w:pPr>
        <w:pStyle w:val="FootnoteText"/>
        <w:rPr>
          <w:sz w:val="22"/>
          <w:szCs w:val="22"/>
          <w:lang w:val="en-US"/>
        </w:rPr>
      </w:pPr>
      <w:r w:rsidRPr="00126F22">
        <w:rPr>
          <w:sz w:val="22"/>
          <w:szCs w:val="22"/>
          <w:lang w:val="en-US"/>
        </w:rPr>
        <w:t xml:space="preserve">Bell, Judith and Stephen Waters, with Helen Johnson, </w:t>
      </w:r>
      <w:r w:rsidRPr="00126F22">
        <w:rPr>
          <w:i/>
          <w:iCs/>
          <w:sz w:val="22"/>
          <w:szCs w:val="22"/>
          <w:lang w:val="en-US"/>
        </w:rPr>
        <w:t>Doing Your Research Project: A Guide For First-Time Researchers</w:t>
      </w:r>
      <w:r w:rsidRPr="00126F22">
        <w:rPr>
          <w:sz w:val="22"/>
          <w:szCs w:val="22"/>
          <w:lang w:val="en-US"/>
        </w:rPr>
        <w:t xml:space="preserve">, 8th </w:t>
      </w:r>
      <w:proofErr w:type="spellStart"/>
      <w:r w:rsidRPr="00126F22">
        <w:rPr>
          <w:sz w:val="22"/>
          <w:szCs w:val="22"/>
          <w:lang w:val="en-US"/>
        </w:rPr>
        <w:t>edn</w:t>
      </w:r>
      <w:proofErr w:type="spellEnd"/>
      <w:r w:rsidRPr="00126F22">
        <w:rPr>
          <w:sz w:val="22"/>
          <w:szCs w:val="22"/>
          <w:lang w:val="en-US"/>
        </w:rPr>
        <w:t xml:space="preserve"> e-book (Maidenhead: Open International Publishing Limited, 2024), &lt;</w:t>
      </w:r>
      <w:hyperlink r:id="rId12" w:history="1">
        <w:r w:rsidRPr="00126F22">
          <w:rPr>
            <w:rStyle w:val="Hyperlink"/>
            <w:sz w:val="22"/>
            <w:szCs w:val="22"/>
            <w:lang w:val="en-US"/>
          </w:rPr>
          <w:t>https://www-vlebooks-com.uwtsd.idm.oclc.org/Product/Index/3630179?page=0&amp;startBookmarkId=-1</w:t>
        </w:r>
      </w:hyperlink>
      <w:r w:rsidRPr="00126F22">
        <w:rPr>
          <w:sz w:val="22"/>
          <w:szCs w:val="22"/>
          <w:lang w:val="en-US"/>
        </w:rPr>
        <w:t>&gt; [accessed 18 February 2026]</w:t>
      </w:r>
    </w:p>
    <w:p w14:paraId="233A53D0" w14:textId="77777777" w:rsidR="002F29B7" w:rsidRDefault="002F29B7" w:rsidP="002F29B7">
      <w:pPr>
        <w:pStyle w:val="FootnoteText"/>
        <w:rPr>
          <w:sz w:val="22"/>
          <w:szCs w:val="22"/>
          <w:lang w:val="en-US"/>
        </w:rPr>
      </w:pPr>
    </w:p>
    <w:p w14:paraId="5A81C88D" w14:textId="0E2D8F19" w:rsidR="002F29B7" w:rsidRDefault="002F29B7" w:rsidP="002F29B7">
      <w:pPr>
        <w:spacing w:after="0"/>
        <w:rPr>
          <w:lang w:val="en-US"/>
        </w:rPr>
      </w:pPr>
      <w:r w:rsidRPr="00126F22">
        <w:rPr>
          <w:lang w:val="en-US"/>
        </w:rPr>
        <w:t xml:space="preserve">Bennett, Gillian, ‘If I Knew You Were Coming, I’d Have Baked A Cake: The Folklore Of Foreknowledge In A Neighborhood Group’ in </w:t>
      </w:r>
      <w:r w:rsidRPr="00126F22">
        <w:rPr>
          <w:i/>
          <w:iCs/>
          <w:lang w:val="en-US"/>
        </w:rPr>
        <w:t xml:space="preserve">Out Of The Ordinary </w:t>
      </w:r>
      <w:r w:rsidRPr="00126F22">
        <w:rPr>
          <w:lang w:val="en-US"/>
        </w:rPr>
        <w:t>, ed. by Barbara Walker (Utah: University Press of Colorado and Utah State University Press, 1995), pp. 122-142, &lt;</w:t>
      </w:r>
      <w:hyperlink r:id="rId13" w:history="1">
        <w:r w:rsidRPr="00126F22">
          <w:rPr>
            <w:rStyle w:val="Hyperlink"/>
            <w:lang w:val="en-US"/>
          </w:rPr>
          <w:t>http://www.jstor.com/stable/j.ctt46nwn8.13</w:t>
        </w:r>
      </w:hyperlink>
      <w:r w:rsidRPr="00126F22">
        <w:rPr>
          <w:lang w:val="en-US"/>
        </w:rPr>
        <w:t>&gt; [accessed 2 February 2026]</w:t>
      </w:r>
    </w:p>
    <w:p w14:paraId="14147A78" w14:textId="77777777" w:rsidR="002F29B7" w:rsidRDefault="002F29B7" w:rsidP="002F29B7">
      <w:pPr>
        <w:spacing w:after="0"/>
        <w:rPr>
          <w:lang w:val="en-US"/>
        </w:rPr>
      </w:pPr>
    </w:p>
    <w:p w14:paraId="61A9A709" w14:textId="4350CF4D" w:rsidR="002F29B7" w:rsidRPr="00126F22" w:rsidRDefault="002F29B7" w:rsidP="002F29B7">
      <w:pPr>
        <w:spacing w:after="0"/>
      </w:pPr>
      <w:r w:rsidRPr="00126F22">
        <w:t xml:space="preserve">Bowman, Marion, ‘Gillian Clayton Bennett (Née Lawley) 1939–2023’, </w:t>
      </w:r>
      <w:r w:rsidRPr="00126F22">
        <w:rPr>
          <w:i/>
          <w:iCs/>
        </w:rPr>
        <w:t>Folklore</w:t>
      </w:r>
      <w:r w:rsidRPr="00126F22">
        <w:t>, 135.4 (2024), pp. 657-660, doi:10.1080/0015587X.2024.2401266</w:t>
      </w:r>
    </w:p>
    <w:p w14:paraId="26B3CB0F" w14:textId="77777777" w:rsidR="002F29B7" w:rsidRPr="00126F22" w:rsidRDefault="002F29B7" w:rsidP="002F29B7">
      <w:pPr>
        <w:pStyle w:val="FootnoteText"/>
        <w:rPr>
          <w:sz w:val="22"/>
          <w:szCs w:val="22"/>
          <w:lang w:val="en-US"/>
        </w:rPr>
      </w:pPr>
    </w:p>
    <w:p w14:paraId="13BA994B" w14:textId="05A26D89" w:rsidR="002F29B7" w:rsidRDefault="002F29B7" w:rsidP="002F29B7">
      <w:pPr>
        <w:pStyle w:val="FootnoteText"/>
        <w:rPr>
          <w:sz w:val="22"/>
          <w:szCs w:val="22"/>
        </w:rPr>
      </w:pPr>
      <w:r w:rsidRPr="00126F22">
        <w:rPr>
          <w:sz w:val="22"/>
          <w:szCs w:val="22"/>
        </w:rPr>
        <w:t xml:space="preserve">Bülow, William and others, ‘Experiences Of Ethical Review: Perspectives Of Swedish Researchers In Social Science And Humanities’, </w:t>
      </w:r>
      <w:r w:rsidRPr="00126F22">
        <w:rPr>
          <w:i/>
          <w:iCs/>
          <w:sz w:val="22"/>
          <w:szCs w:val="22"/>
        </w:rPr>
        <w:t>Journal Of Academic Ethics</w:t>
      </w:r>
      <w:r w:rsidRPr="00126F22">
        <w:rPr>
          <w:sz w:val="22"/>
          <w:szCs w:val="22"/>
        </w:rPr>
        <w:t>, 24.35 (2026), pp. 1-20, doi:10.1007/s10805-025-09702-3</w:t>
      </w:r>
    </w:p>
    <w:p w14:paraId="521B96CA" w14:textId="77777777" w:rsidR="002F29B7" w:rsidRDefault="002F29B7" w:rsidP="002F29B7">
      <w:pPr>
        <w:pStyle w:val="FootnoteText"/>
        <w:rPr>
          <w:sz w:val="22"/>
          <w:szCs w:val="22"/>
        </w:rPr>
      </w:pPr>
    </w:p>
    <w:p w14:paraId="7A082976" w14:textId="3B429D89" w:rsidR="002F29B7" w:rsidRPr="00126F22" w:rsidRDefault="002F29B7" w:rsidP="002F29B7">
      <w:pPr>
        <w:spacing w:after="0"/>
      </w:pPr>
      <w:r w:rsidRPr="00126F22">
        <w:t xml:space="preserve">Davies, Edward B. and others, ‘Using Qualitative And Mixed Methods To Study Relational Spirituality’, </w:t>
      </w:r>
      <w:r w:rsidRPr="00126F22">
        <w:rPr>
          <w:i/>
          <w:iCs/>
        </w:rPr>
        <w:t>Psychology Of Religion And Spirituality</w:t>
      </w:r>
      <w:r w:rsidRPr="00126F22">
        <w:t>, 8.2 (2016), pp. 92-98, doi:10.1037/rel0000046</w:t>
      </w:r>
    </w:p>
    <w:p w14:paraId="1F1C8CC1" w14:textId="77777777" w:rsidR="002F29B7" w:rsidRPr="00126F22" w:rsidRDefault="002F29B7" w:rsidP="002F29B7">
      <w:pPr>
        <w:pStyle w:val="FootnoteText"/>
        <w:rPr>
          <w:sz w:val="22"/>
          <w:szCs w:val="22"/>
        </w:rPr>
      </w:pPr>
    </w:p>
    <w:p w14:paraId="70AB6A8F" w14:textId="47163D83" w:rsidR="002F29B7" w:rsidRDefault="002F29B7" w:rsidP="002F29B7">
      <w:pPr>
        <w:spacing w:after="0"/>
      </w:pPr>
      <w:r w:rsidRPr="00126F22">
        <w:t xml:space="preserve">Day, Trevor, </w:t>
      </w:r>
      <w:r w:rsidRPr="00126F22">
        <w:rPr>
          <w:i/>
          <w:iCs/>
        </w:rPr>
        <w:t>Success In Academic Writing</w:t>
      </w:r>
      <w:r w:rsidRPr="00126F22">
        <w:t xml:space="preserve"> (London: Bloomsbury Publishing, 2023)</w:t>
      </w:r>
    </w:p>
    <w:p w14:paraId="2B474C32" w14:textId="77777777" w:rsidR="002F29B7" w:rsidRDefault="002F29B7" w:rsidP="002F29B7">
      <w:pPr>
        <w:spacing w:after="0"/>
      </w:pPr>
    </w:p>
    <w:p w14:paraId="38ADC2C7" w14:textId="73FCDF7A" w:rsidR="002F29B7" w:rsidRPr="00126F22" w:rsidRDefault="002F29B7" w:rsidP="002F29B7">
      <w:pPr>
        <w:pStyle w:val="FootnoteText"/>
        <w:rPr>
          <w:sz w:val="22"/>
          <w:szCs w:val="22"/>
        </w:rPr>
      </w:pPr>
      <w:r w:rsidRPr="00126F22">
        <w:rPr>
          <w:sz w:val="22"/>
          <w:szCs w:val="22"/>
        </w:rPr>
        <w:t xml:space="preserve">Doucet, Andrea and Natasha </w:t>
      </w:r>
      <w:proofErr w:type="spellStart"/>
      <w:r w:rsidRPr="00126F22">
        <w:rPr>
          <w:sz w:val="22"/>
          <w:szCs w:val="22"/>
        </w:rPr>
        <w:t>Mauthner</w:t>
      </w:r>
      <w:proofErr w:type="spellEnd"/>
      <w:r w:rsidRPr="00126F22">
        <w:rPr>
          <w:sz w:val="22"/>
          <w:szCs w:val="22"/>
        </w:rPr>
        <w:t xml:space="preserve">, ‘Knowing Responsibly: Linking Ethics, Research Practice And Epistemology’, in </w:t>
      </w:r>
      <w:r w:rsidRPr="00126F22">
        <w:rPr>
          <w:i/>
          <w:iCs/>
          <w:sz w:val="22"/>
          <w:szCs w:val="22"/>
        </w:rPr>
        <w:t>Ethics In Qualitative Research</w:t>
      </w:r>
      <w:r w:rsidRPr="00126F22">
        <w:rPr>
          <w:sz w:val="22"/>
          <w:szCs w:val="22"/>
        </w:rPr>
        <w:t xml:space="preserve">, ed. by Melanie </w:t>
      </w:r>
      <w:proofErr w:type="spellStart"/>
      <w:r w:rsidRPr="00126F22">
        <w:rPr>
          <w:sz w:val="22"/>
          <w:szCs w:val="22"/>
        </w:rPr>
        <w:t>Mauthner</w:t>
      </w:r>
      <w:proofErr w:type="spellEnd"/>
      <w:r w:rsidRPr="00126F22">
        <w:rPr>
          <w:sz w:val="22"/>
          <w:szCs w:val="22"/>
        </w:rPr>
        <w:t xml:space="preserve"> and others (London: SAGE Publications, 2002), pp. 123-145</w:t>
      </w:r>
    </w:p>
    <w:p w14:paraId="4686B3D5" w14:textId="77777777" w:rsidR="002F29B7" w:rsidRPr="00126F22" w:rsidRDefault="002F29B7" w:rsidP="002F29B7">
      <w:pPr>
        <w:spacing w:after="0"/>
      </w:pPr>
    </w:p>
    <w:p w14:paraId="0682E97D" w14:textId="11A4A28E" w:rsidR="002F29B7" w:rsidRDefault="002F29B7" w:rsidP="002F29B7">
      <w:r w:rsidRPr="00126F22">
        <w:t xml:space="preserve">Edwards, Rosalind and Melanie </w:t>
      </w:r>
      <w:proofErr w:type="spellStart"/>
      <w:r w:rsidRPr="00126F22">
        <w:t>Mauthner</w:t>
      </w:r>
      <w:proofErr w:type="spellEnd"/>
      <w:r w:rsidRPr="00126F22">
        <w:t xml:space="preserve">, ‘Ethics And Feminist Research: Theory And Practice’, in </w:t>
      </w:r>
      <w:r w:rsidRPr="00126F22">
        <w:rPr>
          <w:i/>
          <w:iCs/>
        </w:rPr>
        <w:t>Ethics In Qualitative Research</w:t>
      </w:r>
      <w:r w:rsidRPr="00126F22">
        <w:t xml:space="preserve">, ed. by Melanie </w:t>
      </w:r>
      <w:proofErr w:type="spellStart"/>
      <w:r w:rsidRPr="00126F22">
        <w:t>Mauthner</w:t>
      </w:r>
      <w:proofErr w:type="spellEnd"/>
      <w:r w:rsidRPr="00126F22">
        <w:t xml:space="preserve"> and others (London: SAGE Publications, 2002), pp. 14-31</w:t>
      </w:r>
    </w:p>
    <w:p w14:paraId="3CB29AFF" w14:textId="021F9BB2" w:rsidR="002F29B7" w:rsidRDefault="002F29B7" w:rsidP="002F29B7">
      <w:pPr>
        <w:spacing w:after="0"/>
        <w:rPr>
          <w:lang w:val="en-US"/>
        </w:rPr>
      </w:pPr>
      <w:proofErr w:type="spellStart"/>
      <w:r w:rsidRPr="00126F22">
        <w:rPr>
          <w:lang w:val="en-US"/>
        </w:rPr>
        <w:lastRenderedPageBreak/>
        <w:t>Hennink</w:t>
      </w:r>
      <w:proofErr w:type="spellEnd"/>
      <w:r w:rsidRPr="00126F22">
        <w:rPr>
          <w:lang w:val="en-US"/>
        </w:rPr>
        <w:t xml:space="preserve">, Monique, Inge </w:t>
      </w:r>
      <w:proofErr w:type="spellStart"/>
      <w:r w:rsidRPr="00126F22">
        <w:rPr>
          <w:lang w:val="en-US"/>
        </w:rPr>
        <w:t>Hutter</w:t>
      </w:r>
      <w:proofErr w:type="spellEnd"/>
      <w:r w:rsidRPr="00126F22">
        <w:rPr>
          <w:lang w:val="en-US"/>
        </w:rPr>
        <w:t xml:space="preserve"> and Ajay Bailey, </w:t>
      </w:r>
      <w:r w:rsidRPr="00126F22">
        <w:rPr>
          <w:i/>
          <w:iCs/>
          <w:lang w:val="en-US"/>
        </w:rPr>
        <w:t>Qualitative Research Methods</w:t>
      </w:r>
      <w:r w:rsidRPr="00126F22">
        <w:rPr>
          <w:lang w:val="en-US"/>
        </w:rPr>
        <w:t xml:space="preserve">, 2nd </w:t>
      </w:r>
      <w:proofErr w:type="spellStart"/>
      <w:r w:rsidRPr="00126F22">
        <w:rPr>
          <w:lang w:val="en-US"/>
        </w:rPr>
        <w:t>edn</w:t>
      </w:r>
      <w:proofErr w:type="spellEnd"/>
      <w:r w:rsidRPr="00126F22">
        <w:rPr>
          <w:lang w:val="en-US"/>
        </w:rPr>
        <w:t xml:space="preserve"> (Los Angeles: SAGE Publications, 2020)</w:t>
      </w:r>
    </w:p>
    <w:p w14:paraId="5AA71904" w14:textId="77777777" w:rsidR="002F29B7" w:rsidRPr="00126F22" w:rsidRDefault="002F29B7" w:rsidP="002F29B7">
      <w:pPr>
        <w:pStyle w:val="FootnoteText"/>
        <w:rPr>
          <w:sz w:val="22"/>
          <w:szCs w:val="22"/>
        </w:rPr>
      </w:pPr>
    </w:p>
    <w:p w14:paraId="57778764" w14:textId="4A3C308E" w:rsidR="002F29B7" w:rsidRDefault="002F29B7" w:rsidP="002F29B7">
      <w:pPr>
        <w:pStyle w:val="FootnoteText"/>
        <w:jc w:val="both"/>
        <w:rPr>
          <w:sz w:val="22"/>
          <w:szCs w:val="22"/>
          <w:lang w:val="en-US"/>
        </w:rPr>
      </w:pPr>
      <w:r w:rsidRPr="00126F22">
        <w:rPr>
          <w:sz w:val="22"/>
          <w:szCs w:val="22"/>
          <w:lang w:val="en-US"/>
        </w:rPr>
        <w:t xml:space="preserve">Moon, Katie and Deborah Blackman, ‘A Guide To Understanding Social Science Research For Natural Scientists’, </w:t>
      </w:r>
      <w:r w:rsidRPr="00126F22">
        <w:rPr>
          <w:i/>
          <w:iCs/>
          <w:sz w:val="22"/>
          <w:szCs w:val="22"/>
          <w:lang w:val="en-US"/>
        </w:rPr>
        <w:t>Conservation Biology</w:t>
      </w:r>
      <w:r w:rsidRPr="00126F22">
        <w:rPr>
          <w:sz w:val="22"/>
          <w:szCs w:val="22"/>
          <w:lang w:val="en-US"/>
        </w:rPr>
        <w:t>, 28.5 (2014), 1167-1177, doi:10.1111/cobi.12326</w:t>
      </w:r>
    </w:p>
    <w:p w14:paraId="7493D397" w14:textId="77777777" w:rsidR="002F29B7" w:rsidRDefault="002F29B7" w:rsidP="002F29B7">
      <w:pPr>
        <w:pStyle w:val="FootnoteText"/>
        <w:jc w:val="both"/>
        <w:rPr>
          <w:sz w:val="22"/>
          <w:szCs w:val="22"/>
          <w:lang w:val="en-US"/>
        </w:rPr>
      </w:pPr>
    </w:p>
    <w:p w14:paraId="4848491B" w14:textId="5C4E7DC7" w:rsidR="002F29B7" w:rsidRPr="00126F22" w:rsidRDefault="002F29B7" w:rsidP="002F29B7">
      <w:pPr>
        <w:pStyle w:val="FootnoteText"/>
        <w:rPr>
          <w:sz w:val="22"/>
          <w:szCs w:val="22"/>
        </w:rPr>
      </w:pPr>
      <w:proofErr w:type="spellStart"/>
      <w:r w:rsidRPr="00126F22">
        <w:rPr>
          <w:sz w:val="22"/>
          <w:szCs w:val="22"/>
        </w:rPr>
        <w:t>Roest</w:t>
      </w:r>
      <w:proofErr w:type="spellEnd"/>
      <w:r w:rsidRPr="00126F22">
        <w:rPr>
          <w:sz w:val="22"/>
          <w:szCs w:val="22"/>
        </w:rPr>
        <w:t xml:space="preserve">, Henk de, ‘Doing Research In Community A Multiplicity Of Collaborative Research Practices’ in </w:t>
      </w:r>
      <w:r w:rsidRPr="00126F22">
        <w:rPr>
          <w:i/>
          <w:iCs/>
          <w:sz w:val="22"/>
          <w:szCs w:val="22"/>
        </w:rPr>
        <w:t>Collaborative Practical Theology: Engaging Practitioners In Research On Christian Practices</w:t>
      </w:r>
      <w:r w:rsidRPr="00126F22">
        <w:rPr>
          <w:sz w:val="22"/>
          <w:szCs w:val="22"/>
        </w:rPr>
        <w:t xml:space="preserve"> (Leiden: Brill, 2020), pp. 185-251, &lt;</w:t>
      </w:r>
      <w:hyperlink r:id="rId14" w:history="1">
        <w:r w:rsidRPr="00126F22">
          <w:rPr>
            <w:rStyle w:val="Hyperlink"/>
            <w:sz w:val="22"/>
            <w:szCs w:val="22"/>
          </w:rPr>
          <w:t>https://www.jstor.org/stable/10.1163/j.ctv1sr6h8g.10</w:t>
        </w:r>
      </w:hyperlink>
      <w:r w:rsidRPr="00126F22">
        <w:rPr>
          <w:sz w:val="22"/>
          <w:szCs w:val="22"/>
        </w:rPr>
        <w:t>&gt; [accessed 11 February 2026]</w:t>
      </w:r>
    </w:p>
    <w:p w14:paraId="561D9775" w14:textId="77777777" w:rsidR="002F29B7" w:rsidRPr="002F29B7" w:rsidRDefault="002F29B7" w:rsidP="002F29B7">
      <w:pPr>
        <w:pStyle w:val="FootnoteText"/>
        <w:jc w:val="both"/>
        <w:rPr>
          <w:sz w:val="22"/>
          <w:szCs w:val="22"/>
        </w:rPr>
      </w:pPr>
    </w:p>
    <w:p w14:paraId="09AD9FCE" w14:textId="431A201B" w:rsidR="002F29B7" w:rsidRDefault="002F29B7" w:rsidP="002F29B7">
      <w:pPr>
        <w:pStyle w:val="FootnoteText"/>
        <w:rPr>
          <w:sz w:val="22"/>
          <w:szCs w:val="22"/>
        </w:rPr>
      </w:pPr>
      <w:proofErr w:type="spellStart"/>
      <w:r w:rsidRPr="00126F22">
        <w:rPr>
          <w:sz w:val="22"/>
          <w:szCs w:val="22"/>
        </w:rPr>
        <w:t>Sutrop</w:t>
      </w:r>
      <w:proofErr w:type="spellEnd"/>
      <w:r w:rsidRPr="00126F22">
        <w:rPr>
          <w:sz w:val="22"/>
          <w:szCs w:val="22"/>
        </w:rPr>
        <w:t xml:space="preserve">, Margit and Kristi </w:t>
      </w:r>
      <w:proofErr w:type="spellStart"/>
      <w:r w:rsidRPr="00126F22">
        <w:rPr>
          <w:sz w:val="22"/>
          <w:szCs w:val="22"/>
        </w:rPr>
        <w:t>Lõuk</w:t>
      </w:r>
      <w:proofErr w:type="spellEnd"/>
      <w:r w:rsidRPr="00126F22">
        <w:rPr>
          <w:sz w:val="22"/>
          <w:szCs w:val="22"/>
        </w:rPr>
        <w:t xml:space="preserve">, ‘Ethical Research In A Global Context: A Dynamic Tension Between  Universal Values, Principles And Contextual Applications’, in </w:t>
      </w:r>
      <w:r w:rsidRPr="00126F22">
        <w:rPr>
          <w:i/>
          <w:iCs/>
          <w:sz w:val="22"/>
          <w:szCs w:val="22"/>
        </w:rPr>
        <w:t>Ethical Evidence And Policymaking: Interdisciplinary And International Research</w:t>
      </w:r>
      <w:r w:rsidRPr="00126F22">
        <w:rPr>
          <w:sz w:val="22"/>
          <w:szCs w:val="22"/>
        </w:rPr>
        <w:t xml:space="preserve">, ed. by Ron </w:t>
      </w:r>
      <w:proofErr w:type="spellStart"/>
      <w:r w:rsidRPr="00126F22">
        <w:rPr>
          <w:sz w:val="22"/>
          <w:szCs w:val="22"/>
        </w:rPr>
        <w:t>Iphofen</w:t>
      </w:r>
      <w:proofErr w:type="spellEnd"/>
      <w:r w:rsidRPr="00126F22">
        <w:rPr>
          <w:sz w:val="22"/>
          <w:szCs w:val="22"/>
        </w:rPr>
        <w:t xml:space="preserve"> and Dónal </w:t>
      </w:r>
      <w:proofErr w:type="spellStart"/>
      <w:r w:rsidRPr="00126F22">
        <w:rPr>
          <w:sz w:val="22"/>
          <w:szCs w:val="22"/>
        </w:rPr>
        <w:t>O’Mathúna</w:t>
      </w:r>
      <w:proofErr w:type="spellEnd"/>
      <w:r w:rsidRPr="00126F22">
        <w:rPr>
          <w:sz w:val="22"/>
          <w:szCs w:val="22"/>
        </w:rPr>
        <w:t xml:space="preserve"> (Bristol: Bristol University Press, Policy Press, 2022), pp. 15-39, &lt;</w:t>
      </w:r>
      <w:hyperlink r:id="rId15" w:history="1">
        <w:r w:rsidRPr="00126F22">
          <w:rPr>
            <w:rStyle w:val="Hyperlink"/>
            <w:sz w:val="22"/>
            <w:szCs w:val="22"/>
          </w:rPr>
          <w:t>https://www.jstor.org/stable/j.ctv2tbwqd5.6</w:t>
        </w:r>
      </w:hyperlink>
      <w:r w:rsidRPr="00126F22">
        <w:rPr>
          <w:sz w:val="22"/>
          <w:szCs w:val="22"/>
        </w:rPr>
        <w:t>&gt; [accessed 11 February 2026]</w:t>
      </w:r>
    </w:p>
    <w:p w14:paraId="5F213AFE" w14:textId="77777777" w:rsidR="002F29B7" w:rsidRDefault="002F29B7" w:rsidP="002F29B7">
      <w:pPr>
        <w:pStyle w:val="FootnoteText"/>
        <w:rPr>
          <w:sz w:val="22"/>
          <w:szCs w:val="22"/>
        </w:rPr>
      </w:pPr>
    </w:p>
    <w:p w14:paraId="523A8A5A" w14:textId="24C8B6D0" w:rsidR="002F29B7" w:rsidRPr="00126F22" w:rsidRDefault="002F29B7" w:rsidP="002F29B7">
      <w:pPr>
        <w:spacing w:after="0"/>
      </w:pPr>
      <w:r w:rsidRPr="00126F22">
        <w:t xml:space="preserve">Walter, Tony and Helen Waterhouse, ‘A Very Private Belief: Reincarnation In Contemporary England’, </w:t>
      </w:r>
      <w:r w:rsidRPr="00126F22">
        <w:rPr>
          <w:i/>
          <w:iCs/>
        </w:rPr>
        <w:t>Sociology Of Religion</w:t>
      </w:r>
      <w:r w:rsidRPr="00126F22">
        <w:t>, 60.2 (1999), pp.187-197, &lt;</w:t>
      </w:r>
      <w:hyperlink r:id="rId16" w:history="1">
        <w:r w:rsidRPr="00126F22">
          <w:rPr>
            <w:rStyle w:val="Hyperlink"/>
          </w:rPr>
          <w:t>https://academic.oup.com/socrel/article/60/2/187/1623131</w:t>
        </w:r>
      </w:hyperlink>
      <w:r w:rsidRPr="00126F22">
        <w:t>&gt; [accessed 2 February 2026]</w:t>
      </w:r>
    </w:p>
    <w:p w14:paraId="2ADA7E61" w14:textId="77777777" w:rsidR="002F29B7" w:rsidRPr="00126F22" w:rsidRDefault="002F29B7" w:rsidP="002F29B7">
      <w:pPr>
        <w:spacing w:after="0"/>
      </w:pPr>
    </w:p>
    <w:p w14:paraId="1B2F275B" w14:textId="5E0C9BFA" w:rsidR="002F29B7" w:rsidRPr="00126F22" w:rsidRDefault="002F29B7" w:rsidP="002F29B7">
      <w:pPr>
        <w:spacing w:after="0"/>
      </w:pPr>
      <w:r w:rsidRPr="00126F22">
        <w:rPr>
          <w:lang w:val="en-US"/>
        </w:rPr>
        <w:t xml:space="preserve">Waterhouse, Helen, ‘Reincarnation Belief In Britain: New Age Orientation Or Mainstream Option?’, </w:t>
      </w:r>
      <w:r w:rsidRPr="00126F22">
        <w:rPr>
          <w:i/>
          <w:iCs/>
          <w:lang w:val="en-US"/>
        </w:rPr>
        <w:t>Journal Of Contemporary Religion</w:t>
      </w:r>
      <w:r w:rsidRPr="00126F22">
        <w:rPr>
          <w:lang w:val="en-US"/>
        </w:rPr>
        <w:t>, 14.1 (1999), pp. 97-109, doi:10.1080/13537909908580854</w:t>
      </w:r>
    </w:p>
    <w:p w14:paraId="7B0598E9" w14:textId="77777777" w:rsidR="002F29B7" w:rsidRPr="00126F22" w:rsidRDefault="002F29B7" w:rsidP="002F29B7">
      <w:pPr>
        <w:pStyle w:val="FootnoteText"/>
        <w:rPr>
          <w:sz w:val="22"/>
          <w:szCs w:val="22"/>
        </w:rPr>
      </w:pPr>
    </w:p>
    <w:p w14:paraId="20C80E18" w14:textId="4D9B68B4" w:rsidR="002F29B7" w:rsidRPr="00126F22" w:rsidRDefault="002F29B7" w:rsidP="002F29B7">
      <w:pPr>
        <w:pStyle w:val="FootnoteText"/>
        <w:rPr>
          <w:sz w:val="22"/>
          <w:szCs w:val="22"/>
        </w:rPr>
      </w:pPr>
      <w:r w:rsidRPr="00126F22">
        <w:rPr>
          <w:sz w:val="22"/>
          <w:szCs w:val="22"/>
        </w:rPr>
        <w:t xml:space="preserve">Wiles, Rose, ‘Informed Consent’, in </w:t>
      </w:r>
      <w:r w:rsidRPr="00126F22">
        <w:rPr>
          <w:i/>
          <w:iCs/>
          <w:sz w:val="22"/>
          <w:szCs w:val="22"/>
        </w:rPr>
        <w:t>What Are Qualitative Research Ethics?</w:t>
      </w:r>
      <w:r w:rsidRPr="00126F22">
        <w:rPr>
          <w:sz w:val="22"/>
          <w:szCs w:val="22"/>
        </w:rPr>
        <w:t xml:space="preserve"> (London: Bloomsbury, 2012), pp. 25-40, doi:10.5040/9781849666558.ch-003</w:t>
      </w:r>
    </w:p>
    <w:p w14:paraId="0BE102F1" w14:textId="77777777" w:rsidR="002F29B7" w:rsidRDefault="002F29B7" w:rsidP="002F29B7">
      <w:pPr>
        <w:pStyle w:val="FootnoteText"/>
        <w:rPr>
          <w:sz w:val="22"/>
          <w:szCs w:val="22"/>
        </w:rPr>
      </w:pPr>
    </w:p>
    <w:p w14:paraId="7799999D" w14:textId="77777777" w:rsidR="002F29B7" w:rsidRDefault="002F29B7" w:rsidP="002F29B7"/>
    <w:p w14:paraId="5BA0E079" w14:textId="77777777" w:rsidR="002F29B7" w:rsidRPr="002F29B7" w:rsidRDefault="002F29B7" w:rsidP="002F29B7"/>
    <w:p w14:paraId="730FFA38" w14:textId="1EC0791C" w:rsidR="00FB636E" w:rsidRPr="00FB636E" w:rsidRDefault="002F29B7" w:rsidP="002F29B7">
      <w:pPr>
        <w:pStyle w:val="Heading3"/>
        <w:rPr>
          <w:lang w:val="en-US"/>
        </w:rPr>
      </w:pPr>
      <w:r>
        <w:rPr>
          <w:lang w:val="en-US"/>
        </w:rPr>
        <w:t>Tertiary Sources</w:t>
      </w:r>
    </w:p>
    <w:p w14:paraId="439AA533" w14:textId="037F8198" w:rsidR="002F29B7" w:rsidRPr="00126F22" w:rsidRDefault="002F29B7" w:rsidP="002F29B7">
      <w:pPr>
        <w:spacing w:after="0"/>
      </w:pPr>
      <w:proofErr w:type="spellStart"/>
      <w:r w:rsidRPr="00126F22">
        <w:t>Clandinin</w:t>
      </w:r>
      <w:proofErr w:type="spellEnd"/>
      <w:r w:rsidRPr="00126F22">
        <w:t xml:space="preserve">, D. Jean and Vera Caine, ‘Narrative Inquiry’, in </w:t>
      </w:r>
      <w:r w:rsidRPr="00126F22">
        <w:rPr>
          <w:i/>
          <w:iCs/>
        </w:rPr>
        <w:t xml:space="preserve">The SAGE </w:t>
      </w:r>
      <w:proofErr w:type="spellStart"/>
      <w:r w:rsidRPr="00126F22">
        <w:rPr>
          <w:i/>
          <w:iCs/>
        </w:rPr>
        <w:t>Encyclopedia</w:t>
      </w:r>
      <w:proofErr w:type="spellEnd"/>
      <w:r w:rsidRPr="00126F22">
        <w:rPr>
          <w:i/>
          <w:iCs/>
        </w:rPr>
        <w:t xml:space="preserve"> Of Qualitative Research Methods</w:t>
      </w:r>
      <w:r w:rsidRPr="00126F22">
        <w:t>, ed. by Lisa M. Given (Thousand Oaks: SAGE Publications, 2008), pp. 542-544, doi:10.4135/9781412963909.n275</w:t>
      </w:r>
    </w:p>
    <w:p w14:paraId="05B432A7" w14:textId="77777777" w:rsidR="002F29B7" w:rsidRPr="00126F22" w:rsidRDefault="002F29B7" w:rsidP="002F29B7">
      <w:pPr>
        <w:spacing w:after="0"/>
      </w:pPr>
    </w:p>
    <w:p w14:paraId="6E89B682" w14:textId="4362D6E9" w:rsidR="00E1701C" w:rsidRDefault="002F29B7" w:rsidP="002F29B7">
      <w:pPr>
        <w:spacing w:after="0"/>
      </w:pPr>
      <w:r w:rsidRPr="00126F22">
        <w:rPr>
          <w:lang w:val="en-US"/>
        </w:rPr>
        <w:t xml:space="preserve">Denzin, Norman K., ‘Evolution Of Qualitative Research’ in </w:t>
      </w:r>
      <w:r w:rsidRPr="00126F22">
        <w:rPr>
          <w:i/>
          <w:iCs/>
          <w:lang w:val="en-US"/>
        </w:rPr>
        <w:t>The SAGE Encyclopedia Of Qualitative Research Methods</w:t>
      </w:r>
      <w:r w:rsidRPr="00126F22">
        <w:rPr>
          <w:lang w:val="en-US"/>
        </w:rPr>
        <w:t>, ed. by Lisa M. Given (Thousand Oaks: SAGE Publications, 2008), pp. 311-318,  doi:10</w:t>
      </w:r>
      <w:r w:rsidRPr="00126F22">
        <w:t>.4135/9781412963909.n160</w:t>
      </w:r>
    </w:p>
    <w:p w14:paraId="2F352430" w14:textId="77777777" w:rsidR="00057B5C" w:rsidRPr="00126F22" w:rsidRDefault="00057B5C" w:rsidP="0065479C"/>
    <w:p w14:paraId="083F173B" w14:textId="77777777" w:rsidR="00E1701C" w:rsidRPr="0065479C" w:rsidRDefault="00E1701C" w:rsidP="00E1701C">
      <w:pPr>
        <w:rPr>
          <w:lang w:val="en-US"/>
        </w:rPr>
      </w:pPr>
    </w:p>
    <w:p w14:paraId="5ECACACE" w14:textId="77777777" w:rsidR="00E1701C" w:rsidRPr="0065479C" w:rsidRDefault="00E1701C" w:rsidP="00E1701C">
      <w:pPr>
        <w:rPr>
          <w:lang w:val="en-US"/>
        </w:rPr>
      </w:pPr>
    </w:p>
    <w:p w14:paraId="083C7C31" w14:textId="77777777" w:rsidR="00E1701C" w:rsidRPr="00E1701C" w:rsidRDefault="00E1701C" w:rsidP="0065479C">
      <w:pPr>
        <w:rPr>
          <w:lang w:val="en-US"/>
        </w:rPr>
      </w:pPr>
    </w:p>
    <w:sectPr w:rsidR="00E1701C" w:rsidRPr="00E1701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14A6F" w14:textId="77777777" w:rsidR="00325ECE" w:rsidRDefault="00325ECE" w:rsidP="009B18A7">
      <w:pPr>
        <w:spacing w:after="0" w:line="240" w:lineRule="auto"/>
      </w:pPr>
      <w:r>
        <w:separator/>
      </w:r>
    </w:p>
  </w:endnote>
  <w:endnote w:type="continuationSeparator" w:id="0">
    <w:p w14:paraId="5A448BA7" w14:textId="77777777" w:rsidR="00325ECE" w:rsidRDefault="00325ECE" w:rsidP="009B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D23B1" w14:textId="77777777" w:rsidR="00325ECE" w:rsidRDefault="00325ECE" w:rsidP="009B18A7">
      <w:pPr>
        <w:spacing w:after="0" w:line="240" w:lineRule="auto"/>
      </w:pPr>
      <w:r>
        <w:separator/>
      </w:r>
    </w:p>
  </w:footnote>
  <w:footnote w:type="continuationSeparator" w:id="0">
    <w:p w14:paraId="25C294DB" w14:textId="77777777" w:rsidR="00325ECE" w:rsidRDefault="00325ECE" w:rsidP="009B18A7">
      <w:pPr>
        <w:spacing w:after="0" w:line="240" w:lineRule="auto"/>
      </w:pPr>
      <w:r>
        <w:continuationSeparator/>
      </w:r>
    </w:p>
  </w:footnote>
  <w:footnote w:id="1">
    <w:p w14:paraId="0183AA8A" w14:textId="282DC566" w:rsidR="00137F44" w:rsidRPr="00EA6348" w:rsidRDefault="009B18A7">
      <w:pPr>
        <w:pStyle w:val="FootnoteText"/>
        <w:rPr>
          <w:lang w:val="en-US"/>
        </w:rPr>
      </w:pPr>
      <w:r>
        <w:rPr>
          <w:rStyle w:val="FootnoteReference"/>
        </w:rPr>
        <w:footnoteRef/>
      </w:r>
      <w:r>
        <w:t xml:space="preserve"> </w:t>
      </w:r>
      <w:r w:rsidRPr="00EA6348">
        <w:rPr>
          <w:lang w:val="en-US"/>
        </w:rPr>
        <w:t xml:space="preserve">Gillian Bennett, </w:t>
      </w:r>
      <w:r w:rsidR="00EA6348">
        <w:rPr>
          <w:lang w:val="en-US"/>
        </w:rPr>
        <w:t>‘</w:t>
      </w:r>
      <w:r w:rsidR="00EA6348" w:rsidRPr="00000644">
        <w:rPr>
          <w:lang w:val="en-US"/>
        </w:rPr>
        <w:t>If I Knew You Were Coming</w:t>
      </w:r>
      <w:r w:rsidR="00137F44" w:rsidRPr="00000644">
        <w:rPr>
          <w:lang w:val="en-US"/>
        </w:rPr>
        <w:t xml:space="preserve">, </w:t>
      </w:r>
      <w:r w:rsidR="00EA6348" w:rsidRPr="00000644">
        <w:rPr>
          <w:lang w:val="en-US"/>
        </w:rPr>
        <w:t xml:space="preserve">I’d Have Baked </w:t>
      </w:r>
      <w:r w:rsidR="00137F44" w:rsidRPr="00000644">
        <w:rPr>
          <w:lang w:val="en-US"/>
        </w:rPr>
        <w:t xml:space="preserve">A </w:t>
      </w:r>
      <w:r w:rsidR="00EA6348" w:rsidRPr="00126F22">
        <w:rPr>
          <w:lang w:val="en-US"/>
        </w:rPr>
        <w:t>Cake</w:t>
      </w:r>
      <w:r w:rsidR="00137F44" w:rsidRPr="00126F22">
        <w:rPr>
          <w:lang w:val="en-US"/>
        </w:rPr>
        <w:t xml:space="preserve">: </w:t>
      </w:r>
      <w:r w:rsidR="00EA6348" w:rsidRPr="00126F22">
        <w:rPr>
          <w:lang w:val="en-US"/>
        </w:rPr>
        <w:t xml:space="preserve">The Folklore </w:t>
      </w:r>
      <w:r w:rsidR="00137F44" w:rsidRPr="00126F22">
        <w:rPr>
          <w:lang w:val="en-US"/>
        </w:rPr>
        <w:t xml:space="preserve">Of </w:t>
      </w:r>
      <w:r w:rsidR="00EA6348" w:rsidRPr="00126F22">
        <w:rPr>
          <w:lang w:val="en-US"/>
        </w:rPr>
        <w:t xml:space="preserve">Foreknowledge </w:t>
      </w:r>
      <w:r w:rsidR="00137F44" w:rsidRPr="00126F22">
        <w:rPr>
          <w:lang w:val="en-US"/>
        </w:rPr>
        <w:t xml:space="preserve">In A </w:t>
      </w:r>
      <w:r w:rsidR="00EA6348" w:rsidRPr="00126F22">
        <w:rPr>
          <w:lang w:val="en-US"/>
        </w:rPr>
        <w:t xml:space="preserve">Neighborhood Group’ in </w:t>
      </w:r>
      <w:r w:rsidR="00EA6348" w:rsidRPr="00126F22">
        <w:rPr>
          <w:i/>
          <w:iCs/>
          <w:lang w:val="en-US"/>
        </w:rPr>
        <w:t xml:space="preserve">Out </w:t>
      </w:r>
      <w:r w:rsidR="00137F44" w:rsidRPr="00126F22">
        <w:rPr>
          <w:i/>
          <w:iCs/>
          <w:lang w:val="en-US"/>
        </w:rPr>
        <w:t xml:space="preserve">Of The </w:t>
      </w:r>
      <w:r w:rsidR="00EA6348" w:rsidRPr="00126F22">
        <w:rPr>
          <w:i/>
          <w:iCs/>
          <w:lang w:val="en-US"/>
        </w:rPr>
        <w:t xml:space="preserve">Ordinary </w:t>
      </w:r>
      <w:r w:rsidR="00EA6348" w:rsidRPr="00126F22">
        <w:rPr>
          <w:lang w:val="en-US"/>
        </w:rPr>
        <w:t>, ed. by Barbara Walker</w:t>
      </w:r>
      <w:r w:rsidR="00137F44" w:rsidRPr="00126F22">
        <w:rPr>
          <w:lang w:val="en-US"/>
        </w:rPr>
        <w:t xml:space="preserve"> (</w:t>
      </w:r>
      <w:r w:rsidR="00292C00" w:rsidRPr="00126F22">
        <w:rPr>
          <w:lang w:val="en-US"/>
        </w:rPr>
        <w:t xml:space="preserve">Utah: </w:t>
      </w:r>
      <w:r w:rsidR="00137F44" w:rsidRPr="00126F22">
        <w:rPr>
          <w:lang w:val="en-US"/>
        </w:rPr>
        <w:t>University</w:t>
      </w:r>
      <w:r w:rsidR="00137F44">
        <w:rPr>
          <w:lang w:val="en-US"/>
        </w:rPr>
        <w:t xml:space="preserve"> Press of Colorado and Utah State University Press, </w:t>
      </w:r>
      <w:r w:rsidR="00137F44" w:rsidRPr="00D71F7A">
        <w:rPr>
          <w:lang w:val="en-US"/>
        </w:rPr>
        <w:t>1995</w:t>
      </w:r>
      <w:r w:rsidR="00137F44">
        <w:rPr>
          <w:lang w:val="en-US"/>
        </w:rPr>
        <w:t>)</w:t>
      </w:r>
      <w:r w:rsidR="0099737B">
        <w:rPr>
          <w:lang w:val="en-US"/>
        </w:rPr>
        <w:t>, pp. 122-142</w:t>
      </w:r>
      <w:r w:rsidR="00071BEA">
        <w:rPr>
          <w:lang w:val="en-US"/>
        </w:rPr>
        <w:t>, &lt;</w:t>
      </w:r>
      <w:hyperlink r:id="rId1" w:history="1">
        <w:r w:rsidR="00071BEA" w:rsidRPr="008231C8">
          <w:rPr>
            <w:rStyle w:val="Hyperlink"/>
            <w:lang w:val="en-US"/>
          </w:rPr>
          <w:t>http://www.jstor.com/stable/j.ctt46nwn8.13</w:t>
        </w:r>
      </w:hyperlink>
      <w:r w:rsidR="00071BEA">
        <w:rPr>
          <w:lang w:val="en-US"/>
        </w:rPr>
        <w:t>&gt; [accessed 2 February 2026].</w:t>
      </w:r>
    </w:p>
  </w:footnote>
  <w:footnote w:id="2">
    <w:p w14:paraId="65160E9D" w14:textId="781E29C0" w:rsidR="00B1706B" w:rsidRPr="00B1706B" w:rsidRDefault="00B1706B">
      <w:pPr>
        <w:pStyle w:val="FootnoteText"/>
        <w:rPr>
          <w:lang w:val="en-US"/>
        </w:rPr>
      </w:pPr>
      <w:r>
        <w:rPr>
          <w:rStyle w:val="FootnoteReference"/>
        </w:rPr>
        <w:footnoteRef/>
      </w:r>
      <w:r>
        <w:t xml:space="preserve"> </w:t>
      </w:r>
      <w:r w:rsidR="00872EE8">
        <w:t xml:space="preserve">Tony Walter and Helen Waterhouse, </w:t>
      </w:r>
      <w:r w:rsidRPr="00B1706B">
        <w:t>‘A Very Private Belief: Reincarnation In Contemporary England’</w:t>
      </w:r>
      <w:r>
        <w:t xml:space="preserve">, </w:t>
      </w:r>
      <w:r w:rsidRPr="00B1706B">
        <w:rPr>
          <w:i/>
          <w:iCs/>
        </w:rPr>
        <w:t>Sociology Of Religion</w:t>
      </w:r>
      <w:r>
        <w:t>, 60.2 (1999), pp.187-197 &lt;</w:t>
      </w:r>
      <w:hyperlink r:id="rId2" w:history="1">
        <w:r w:rsidRPr="008221DC">
          <w:rPr>
            <w:rStyle w:val="Hyperlink"/>
          </w:rPr>
          <w:t>https://academic.oup.com/socrel/article/60/2/187/1623131</w:t>
        </w:r>
      </w:hyperlink>
      <w:r>
        <w:t>&gt; [accessed 2 February 2026].</w:t>
      </w:r>
    </w:p>
  </w:footnote>
  <w:footnote w:id="3">
    <w:p w14:paraId="58A5F5B7" w14:textId="188F3FCF" w:rsidR="00F60163" w:rsidRPr="00F60163" w:rsidRDefault="00F60163">
      <w:pPr>
        <w:pStyle w:val="FootnoteText"/>
        <w:rPr>
          <w:lang w:val="en-US"/>
        </w:rPr>
      </w:pPr>
      <w:r>
        <w:rPr>
          <w:rStyle w:val="FootnoteReference"/>
        </w:rPr>
        <w:footnoteRef/>
      </w:r>
      <w:r>
        <w:t xml:space="preserve"> </w:t>
      </w:r>
      <w:r w:rsidR="00C47C41">
        <w:t xml:space="preserve">The Folklore Society, </w:t>
      </w:r>
      <w:r w:rsidR="00753B85">
        <w:t>‘</w:t>
      </w:r>
      <w:proofErr w:type="spellStart"/>
      <w:r w:rsidR="00761CFC">
        <w:t>Dr</w:t>
      </w:r>
      <w:r w:rsidR="005E413F">
        <w:t>.</w:t>
      </w:r>
      <w:proofErr w:type="spellEnd"/>
      <w:r w:rsidR="005E413F">
        <w:t xml:space="preserve"> </w:t>
      </w:r>
      <w:r w:rsidR="00761CFC">
        <w:t>Gillian Bennett (1939-2023)</w:t>
      </w:r>
      <w:r w:rsidR="00753B85">
        <w:t>’</w:t>
      </w:r>
      <w:r w:rsidR="00761CFC">
        <w:t>,</w:t>
      </w:r>
      <w:r w:rsidR="00753B85">
        <w:t xml:space="preserve"> n.d.</w:t>
      </w:r>
      <w:r w:rsidR="00F821BF">
        <w:t>,</w:t>
      </w:r>
      <w:r w:rsidR="00753B85">
        <w:t xml:space="preserve"> &lt;</w:t>
      </w:r>
      <w:hyperlink r:id="rId3" w:history="1">
        <w:r w:rsidR="00753B85" w:rsidRPr="008221DC">
          <w:rPr>
            <w:rStyle w:val="Hyperlink"/>
            <w:lang w:val="en-US"/>
          </w:rPr>
          <w:t>https://www.folklore-society.com/blog/post/dr-gillian-bennett-1939-2023/</w:t>
        </w:r>
      </w:hyperlink>
      <w:r w:rsidR="00753B85">
        <w:rPr>
          <w:lang w:val="en-US"/>
        </w:rPr>
        <w:t>&gt;</w:t>
      </w:r>
      <w:r>
        <w:rPr>
          <w:lang w:val="en-US"/>
        </w:rPr>
        <w:t xml:space="preserve"> [accessed </w:t>
      </w:r>
      <w:r w:rsidR="00761CFC">
        <w:rPr>
          <w:lang w:val="en-US"/>
        </w:rPr>
        <w:t>6 February 2026].</w:t>
      </w:r>
    </w:p>
  </w:footnote>
  <w:footnote w:id="4">
    <w:p w14:paraId="6B37D9E0" w14:textId="4FE1494C" w:rsidR="002023D6" w:rsidRPr="002023D6" w:rsidRDefault="002023D6">
      <w:pPr>
        <w:pStyle w:val="FootnoteText"/>
        <w:rPr>
          <w:lang w:val="en-US"/>
        </w:rPr>
      </w:pPr>
      <w:r>
        <w:rPr>
          <w:rStyle w:val="FootnoteReference"/>
        </w:rPr>
        <w:footnoteRef/>
      </w:r>
      <w:r>
        <w:t xml:space="preserve"> Marion Bowman, ‘</w:t>
      </w:r>
      <w:r w:rsidRPr="002023D6">
        <w:t>Gillian Clayton Bennett (Née Lawley)</w:t>
      </w:r>
      <w:r>
        <w:t xml:space="preserve"> </w:t>
      </w:r>
      <w:r w:rsidRPr="002023D6">
        <w:t>1939–2023</w:t>
      </w:r>
      <w:r>
        <w:t xml:space="preserve">’, </w:t>
      </w:r>
      <w:r w:rsidRPr="002023D6">
        <w:rPr>
          <w:i/>
          <w:iCs/>
        </w:rPr>
        <w:t>Folklore</w:t>
      </w:r>
      <w:r>
        <w:t>, 135.4 (2024), pp. 657-660</w:t>
      </w:r>
      <w:r w:rsidR="00982619">
        <w:t xml:space="preserve"> (p. 657)</w:t>
      </w:r>
      <w:r>
        <w:t>, doi:</w:t>
      </w:r>
      <w:r w:rsidRPr="002023D6">
        <w:t>10.1080/0015587X.2024.2401266</w:t>
      </w:r>
      <w:r>
        <w:t>.</w:t>
      </w:r>
    </w:p>
  </w:footnote>
  <w:footnote w:id="5">
    <w:p w14:paraId="17FE6BBD" w14:textId="1D68DA67" w:rsidR="00C97919" w:rsidRPr="00C97919" w:rsidRDefault="00C97919">
      <w:pPr>
        <w:pStyle w:val="FootnoteText"/>
      </w:pPr>
      <w:r>
        <w:rPr>
          <w:rStyle w:val="FootnoteReference"/>
        </w:rPr>
        <w:footnoteRef/>
      </w:r>
      <w:r>
        <w:t xml:space="preserve"> The Folklore Society</w:t>
      </w:r>
      <w:r w:rsidR="00C47C41">
        <w:t>, ‘</w:t>
      </w:r>
      <w:proofErr w:type="spellStart"/>
      <w:r w:rsidR="00C47C41">
        <w:t>Dr.</w:t>
      </w:r>
      <w:proofErr w:type="spellEnd"/>
      <w:r w:rsidR="00C47C41">
        <w:t xml:space="preserve"> Gillian Bennett (1939-2023)’.</w:t>
      </w:r>
    </w:p>
  </w:footnote>
  <w:footnote w:id="6">
    <w:p w14:paraId="5B9954EA" w14:textId="2B39B30D" w:rsidR="00982619" w:rsidRPr="00982619" w:rsidRDefault="00982619">
      <w:pPr>
        <w:pStyle w:val="FootnoteText"/>
      </w:pPr>
      <w:r>
        <w:rPr>
          <w:rStyle w:val="FootnoteReference"/>
        </w:rPr>
        <w:footnoteRef/>
      </w:r>
      <w:r>
        <w:t xml:space="preserve"> Marion Bowman, ‘</w:t>
      </w:r>
      <w:r w:rsidRPr="002023D6">
        <w:t>Gillian Clayton Bennett (Née Lawley)</w:t>
      </w:r>
      <w:r>
        <w:t xml:space="preserve"> </w:t>
      </w:r>
      <w:r w:rsidRPr="002023D6">
        <w:t>1939–2023</w:t>
      </w:r>
      <w:r>
        <w:t>’, p. 659.</w:t>
      </w:r>
    </w:p>
  </w:footnote>
  <w:footnote w:id="7">
    <w:p w14:paraId="7913C759" w14:textId="50E0A313" w:rsidR="00C72443" w:rsidRPr="00C72443" w:rsidRDefault="00C72443">
      <w:pPr>
        <w:pStyle w:val="FootnoteText"/>
        <w:rPr>
          <w:lang w:val="en-US"/>
        </w:rPr>
      </w:pPr>
      <w:r>
        <w:rPr>
          <w:rStyle w:val="FootnoteReference"/>
        </w:rPr>
        <w:footnoteRef/>
      </w:r>
      <w:r>
        <w:t xml:space="preserve"> </w:t>
      </w:r>
      <w:r w:rsidR="00E806F4">
        <w:t xml:space="preserve">Tony Walter and Helen Waterhouse, </w:t>
      </w:r>
      <w:r w:rsidRPr="00B1706B">
        <w:t>‘A Very Private Belief’</w:t>
      </w:r>
      <w:r>
        <w:t>, p. 189.</w:t>
      </w:r>
    </w:p>
  </w:footnote>
  <w:footnote w:id="8">
    <w:p w14:paraId="03388747" w14:textId="2A22EA9D" w:rsidR="00404AD1" w:rsidRPr="00404AD1" w:rsidRDefault="00404AD1">
      <w:pPr>
        <w:pStyle w:val="FootnoteText"/>
        <w:rPr>
          <w:lang w:val="en-US"/>
        </w:rPr>
      </w:pPr>
      <w:r>
        <w:rPr>
          <w:rStyle w:val="FootnoteReference"/>
        </w:rPr>
        <w:footnoteRef/>
      </w:r>
      <w:r>
        <w:t xml:space="preserve"> </w:t>
      </w:r>
      <w:r w:rsidR="00F821BF" w:rsidRPr="00404AD1">
        <w:rPr>
          <w:lang w:val="en-US"/>
        </w:rPr>
        <w:t>University o</w:t>
      </w:r>
      <w:r w:rsidR="00F821BF">
        <w:rPr>
          <w:lang w:val="en-US"/>
        </w:rPr>
        <w:t xml:space="preserve">f Bath, </w:t>
      </w:r>
      <w:r w:rsidRPr="00404AD1">
        <w:rPr>
          <w:lang w:val="en-US"/>
        </w:rPr>
        <w:t>‘Tony Walter Personal Profile’</w:t>
      </w:r>
      <w:r>
        <w:rPr>
          <w:lang w:val="en-US"/>
        </w:rPr>
        <w:t>, n.d.</w:t>
      </w:r>
      <w:r w:rsidR="00F821BF">
        <w:rPr>
          <w:lang w:val="en-US"/>
        </w:rPr>
        <w:t xml:space="preserve">, </w:t>
      </w:r>
      <w:r>
        <w:rPr>
          <w:lang w:val="en-US"/>
        </w:rPr>
        <w:t>&lt;</w:t>
      </w:r>
      <w:hyperlink r:id="rId4" w:history="1">
        <w:r w:rsidR="00033B92" w:rsidRPr="008221DC">
          <w:rPr>
            <w:rStyle w:val="Hyperlink"/>
            <w:lang w:val="en-US"/>
          </w:rPr>
          <w:t>https://researchportal.bath.ac.uk/en/persons/tony-walter/</w:t>
        </w:r>
      </w:hyperlink>
      <w:r>
        <w:rPr>
          <w:lang w:val="en-US"/>
        </w:rPr>
        <w:t>&gt; [accessed February 9 2026].</w:t>
      </w:r>
    </w:p>
  </w:footnote>
  <w:footnote w:id="9">
    <w:p w14:paraId="5ECA1239" w14:textId="711639C1" w:rsidR="00BF3ED7" w:rsidRPr="00BF3ED7" w:rsidRDefault="00BF3ED7" w:rsidP="00BF3ED7">
      <w:pPr>
        <w:pStyle w:val="FootnoteText"/>
        <w:rPr>
          <w:lang w:val="en-US"/>
        </w:rPr>
      </w:pPr>
      <w:r>
        <w:rPr>
          <w:rStyle w:val="FootnoteReference"/>
        </w:rPr>
        <w:footnoteRef/>
      </w:r>
      <w:r>
        <w:t xml:space="preserve"> </w:t>
      </w:r>
      <w:r w:rsidRPr="00BF3ED7">
        <w:rPr>
          <w:lang w:val="en-US"/>
        </w:rPr>
        <w:t xml:space="preserve">Helen Waterhouse, </w:t>
      </w:r>
      <w:r>
        <w:rPr>
          <w:lang w:val="en-US"/>
        </w:rPr>
        <w:t>‘</w:t>
      </w:r>
      <w:r w:rsidRPr="00BF3ED7">
        <w:rPr>
          <w:lang w:val="en-US"/>
        </w:rPr>
        <w:t>Reincarnation Belief In Britain: New Age</w:t>
      </w:r>
      <w:r>
        <w:rPr>
          <w:lang w:val="en-US"/>
        </w:rPr>
        <w:t xml:space="preserve"> </w:t>
      </w:r>
      <w:r w:rsidRPr="00BF3ED7">
        <w:rPr>
          <w:lang w:val="en-US"/>
        </w:rPr>
        <w:t>Orientation Or Mainstream Option?</w:t>
      </w:r>
      <w:r>
        <w:rPr>
          <w:lang w:val="en-US"/>
        </w:rPr>
        <w:t xml:space="preserve">’, </w:t>
      </w:r>
      <w:r w:rsidRPr="00BF3ED7">
        <w:rPr>
          <w:i/>
          <w:iCs/>
          <w:lang w:val="en-US"/>
        </w:rPr>
        <w:t>Journal Of Contemporary Religion</w:t>
      </w:r>
      <w:r>
        <w:rPr>
          <w:lang w:val="en-US"/>
        </w:rPr>
        <w:t>, 14.1 (1999), pp. 97-109 (pp. 107-108), doi:</w:t>
      </w:r>
      <w:r w:rsidRPr="00BF3ED7">
        <w:rPr>
          <w:lang w:val="en-US"/>
        </w:rPr>
        <w:t>10.1080/13537909908580854</w:t>
      </w:r>
      <w:r>
        <w:rPr>
          <w:lang w:val="en-US"/>
        </w:rPr>
        <w:t>.</w:t>
      </w:r>
    </w:p>
  </w:footnote>
  <w:footnote w:id="10">
    <w:p w14:paraId="53C51B11" w14:textId="603404DB" w:rsidR="00054847" w:rsidRPr="00054847" w:rsidRDefault="00054847">
      <w:pPr>
        <w:pStyle w:val="FootnoteText"/>
        <w:rPr>
          <w:lang w:val="en-US"/>
        </w:rPr>
      </w:pPr>
      <w:r>
        <w:rPr>
          <w:rStyle w:val="FootnoteReference"/>
        </w:rPr>
        <w:footnoteRef/>
      </w:r>
      <w:r w:rsidRPr="00054847">
        <w:rPr>
          <w:lang w:val="en-US"/>
        </w:rPr>
        <w:t xml:space="preserve"> </w:t>
      </w:r>
      <w:r w:rsidR="00F821BF" w:rsidRPr="00054847">
        <w:rPr>
          <w:lang w:val="en-US"/>
        </w:rPr>
        <w:t>The Open University</w:t>
      </w:r>
      <w:r w:rsidR="00F821BF">
        <w:rPr>
          <w:lang w:val="en-US"/>
        </w:rPr>
        <w:t xml:space="preserve">, </w:t>
      </w:r>
      <w:r w:rsidRPr="00054847">
        <w:rPr>
          <w:lang w:val="en-US"/>
        </w:rPr>
        <w:t>‘Helen Waterhouse’,</w:t>
      </w:r>
      <w:r w:rsidR="00F821BF">
        <w:rPr>
          <w:lang w:val="en-US"/>
        </w:rPr>
        <w:t xml:space="preserve"> </w:t>
      </w:r>
      <w:r w:rsidRPr="00054847">
        <w:rPr>
          <w:lang w:val="en-US"/>
        </w:rPr>
        <w:t>n.d.</w:t>
      </w:r>
      <w:r w:rsidR="00F821BF">
        <w:rPr>
          <w:lang w:val="en-US"/>
        </w:rPr>
        <w:t>,</w:t>
      </w:r>
      <w:r w:rsidRPr="00054847">
        <w:rPr>
          <w:lang w:val="en-US"/>
        </w:rPr>
        <w:t xml:space="preserve"> &lt;</w:t>
      </w:r>
      <w:hyperlink r:id="rId5" w:history="1">
        <w:r w:rsidRPr="008221DC">
          <w:rPr>
            <w:rStyle w:val="Hyperlink"/>
            <w:lang w:val="en-US"/>
          </w:rPr>
          <w:t>https://oro.open.ac.uk/view/person/hjw26.html</w:t>
        </w:r>
      </w:hyperlink>
      <w:r>
        <w:rPr>
          <w:lang w:val="en-US"/>
        </w:rPr>
        <w:t>&gt;</w:t>
      </w:r>
      <w:r w:rsidRPr="00054847">
        <w:rPr>
          <w:lang w:val="en-US"/>
        </w:rPr>
        <w:t xml:space="preserve"> [accessed F</w:t>
      </w:r>
      <w:r>
        <w:rPr>
          <w:lang w:val="en-US"/>
        </w:rPr>
        <w:t>ebruary 9 2026].</w:t>
      </w:r>
    </w:p>
  </w:footnote>
  <w:footnote w:id="11">
    <w:p w14:paraId="711FB79F" w14:textId="724EF823" w:rsidR="00AE0F69" w:rsidRPr="00FA0525" w:rsidRDefault="00AE0F69" w:rsidP="00AE0F69">
      <w:pPr>
        <w:pStyle w:val="FootnoteText"/>
        <w:rPr>
          <w:lang w:val="en-US"/>
        </w:rPr>
      </w:pPr>
      <w:r>
        <w:rPr>
          <w:rStyle w:val="FootnoteReference"/>
        </w:rPr>
        <w:footnoteRef/>
      </w:r>
      <w:r>
        <w:t xml:space="preserve"> Edward B. Davies and others, ‘</w:t>
      </w:r>
      <w:r w:rsidRPr="00FA0525">
        <w:t>Using Qualitative And Mixed Methods To Study Relational Spirituality</w:t>
      </w:r>
      <w:r>
        <w:t xml:space="preserve">’, </w:t>
      </w:r>
      <w:r w:rsidRPr="00E578FD">
        <w:rPr>
          <w:i/>
          <w:iCs/>
        </w:rPr>
        <w:t xml:space="preserve">Psychology </w:t>
      </w:r>
      <w:r w:rsidR="00275819" w:rsidRPr="00E578FD">
        <w:rPr>
          <w:i/>
          <w:iCs/>
        </w:rPr>
        <w:t xml:space="preserve">Of </w:t>
      </w:r>
      <w:r w:rsidRPr="00E578FD">
        <w:rPr>
          <w:i/>
          <w:iCs/>
        </w:rPr>
        <w:t xml:space="preserve">Religion </w:t>
      </w:r>
      <w:r w:rsidR="00275819" w:rsidRPr="00E578FD">
        <w:rPr>
          <w:i/>
          <w:iCs/>
        </w:rPr>
        <w:t xml:space="preserve">And </w:t>
      </w:r>
      <w:r w:rsidRPr="00E578FD">
        <w:rPr>
          <w:i/>
          <w:iCs/>
        </w:rPr>
        <w:t>Spirituality</w:t>
      </w:r>
      <w:r>
        <w:t>, 8.2 (2016), pp. 92-98 (p. 92), doi:</w:t>
      </w:r>
      <w:r w:rsidRPr="00E578FD">
        <w:t>10.1037/rel0000046</w:t>
      </w:r>
      <w:r>
        <w:t>.</w:t>
      </w:r>
    </w:p>
  </w:footnote>
  <w:footnote w:id="12">
    <w:p w14:paraId="072556E5" w14:textId="1B6BA030" w:rsidR="00AE0F69" w:rsidRPr="00126F22" w:rsidRDefault="00AE0F69" w:rsidP="00AE0F69">
      <w:pPr>
        <w:pStyle w:val="FootnoteText"/>
        <w:rPr>
          <w:lang w:val="en-US"/>
        </w:rPr>
      </w:pPr>
      <w:r>
        <w:rPr>
          <w:rStyle w:val="FootnoteReference"/>
        </w:rPr>
        <w:footnoteRef/>
      </w:r>
      <w:r>
        <w:t xml:space="preserve"> </w:t>
      </w:r>
      <w:r w:rsidRPr="00C14E83">
        <w:rPr>
          <w:lang w:val="en-US"/>
        </w:rPr>
        <w:t xml:space="preserve">Norman K. Denzin, ‘Evolution Of </w:t>
      </w:r>
      <w:r w:rsidRPr="00126F22">
        <w:rPr>
          <w:lang w:val="en-US"/>
        </w:rPr>
        <w:t xml:space="preserve">Qualitative Research’ in </w:t>
      </w:r>
      <w:bookmarkStart w:id="6" w:name="_Hlk222332721"/>
      <w:r w:rsidRPr="00126F22">
        <w:rPr>
          <w:i/>
          <w:iCs/>
          <w:lang w:val="en-US"/>
        </w:rPr>
        <w:t>The SAGE Encyclopedia Of Qualitative Research Methods</w:t>
      </w:r>
      <w:r w:rsidRPr="00126F22">
        <w:rPr>
          <w:lang w:val="en-US"/>
        </w:rPr>
        <w:t>, ed. by Lisa M. Given (</w:t>
      </w:r>
      <w:r w:rsidR="00292C00" w:rsidRPr="00126F22">
        <w:rPr>
          <w:lang w:val="en-US"/>
        </w:rPr>
        <w:t xml:space="preserve">Thousand Oaks: </w:t>
      </w:r>
      <w:r w:rsidRPr="00126F22">
        <w:rPr>
          <w:lang w:val="en-US"/>
        </w:rPr>
        <w:t xml:space="preserve">SAGE Publications, 2008), </w:t>
      </w:r>
      <w:r w:rsidR="00BB3B7D" w:rsidRPr="00126F22">
        <w:rPr>
          <w:lang w:val="en-US"/>
        </w:rPr>
        <w:t xml:space="preserve">pp. 311-318 (p. 311), </w:t>
      </w:r>
      <w:r w:rsidRPr="00126F22">
        <w:rPr>
          <w:lang w:val="en-US"/>
        </w:rPr>
        <w:t>doi:10</w:t>
      </w:r>
      <w:r w:rsidRPr="00126F22">
        <w:t>.4135/9781412963909.n160.</w:t>
      </w:r>
      <w:bookmarkEnd w:id="6"/>
    </w:p>
  </w:footnote>
  <w:footnote w:id="13">
    <w:p w14:paraId="27D24355" w14:textId="04794F65" w:rsidR="002971FB" w:rsidRPr="00126F22" w:rsidRDefault="002971FB" w:rsidP="002971FB">
      <w:pPr>
        <w:pStyle w:val="FootnoteText"/>
      </w:pPr>
      <w:r w:rsidRPr="00126F22">
        <w:rPr>
          <w:rStyle w:val="FootnoteReference"/>
        </w:rPr>
        <w:footnoteRef/>
      </w:r>
      <w:r w:rsidRPr="00126F22">
        <w:t xml:space="preserve"> </w:t>
      </w:r>
      <w:bookmarkStart w:id="7" w:name="_Hlk223091617"/>
      <w:r w:rsidRPr="00126F22">
        <w:t xml:space="preserve">Katie Moon and Deborah Blackman, </w:t>
      </w:r>
      <w:r w:rsidR="00B87EFE" w:rsidRPr="00126F22">
        <w:t>‘A Guide To Understanding Social Science Research</w:t>
      </w:r>
      <w:bookmarkEnd w:id="7"/>
      <w:r w:rsidR="00B87EFE" w:rsidRPr="00126F22">
        <w:t xml:space="preserve"> For Natural Scientists’</w:t>
      </w:r>
      <w:r w:rsidRPr="00126F22">
        <w:t xml:space="preserve">, </w:t>
      </w:r>
      <w:r w:rsidR="00B87EFE" w:rsidRPr="00126F22">
        <w:rPr>
          <w:i/>
          <w:iCs/>
        </w:rPr>
        <w:t>Conservation Biology</w:t>
      </w:r>
      <w:r w:rsidR="00B87EFE" w:rsidRPr="00126F22">
        <w:t>, 28.5 (2014), pp. 1167-1177 (p. 1170), doi:10.1111/cobi.12326.</w:t>
      </w:r>
    </w:p>
  </w:footnote>
  <w:footnote w:id="14">
    <w:p w14:paraId="3C06405C" w14:textId="6585A864" w:rsidR="002971FB" w:rsidRPr="00126F22" w:rsidRDefault="002971FB" w:rsidP="002971FB">
      <w:pPr>
        <w:pStyle w:val="FootnoteText"/>
      </w:pPr>
      <w:r w:rsidRPr="00126F22">
        <w:rPr>
          <w:rStyle w:val="FootnoteReference"/>
        </w:rPr>
        <w:footnoteRef/>
      </w:r>
      <w:r w:rsidRPr="00126F22">
        <w:t xml:space="preserve"> </w:t>
      </w:r>
      <w:r w:rsidR="00B87EFE" w:rsidRPr="00126F22">
        <w:t>Katie Moon and Deborah Blackman, ‘A Guide To Understanding Social Science Research’</w:t>
      </w:r>
      <w:r w:rsidRPr="00126F22">
        <w:t>, p. 1172.</w:t>
      </w:r>
    </w:p>
  </w:footnote>
  <w:footnote w:id="15">
    <w:p w14:paraId="3DC4D85E" w14:textId="42D8E36B" w:rsidR="00B809D6" w:rsidRPr="00126F22" w:rsidRDefault="00B809D6" w:rsidP="00B809D6">
      <w:pPr>
        <w:pStyle w:val="FootnoteText"/>
        <w:rPr>
          <w:lang w:val="en-US"/>
        </w:rPr>
      </w:pPr>
      <w:r w:rsidRPr="00126F22">
        <w:rPr>
          <w:rStyle w:val="FootnoteReference"/>
        </w:rPr>
        <w:footnoteRef/>
      </w:r>
      <w:r w:rsidRPr="00126F22">
        <w:t xml:space="preserve"> </w:t>
      </w:r>
      <w:r w:rsidR="00E016B6" w:rsidRPr="00126F22">
        <w:t>J</w:t>
      </w:r>
      <w:r w:rsidR="001C5A14" w:rsidRPr="00126F22">
        <w:t xml:space="preserve">ohn </w:t>
      </w:r>
      <w:r w:rsidR="00E016B6" w:rsidRPr="00126F22">
        <w:t xml:space="preserve">D. </w:t>
      </w:r>
      <w:r w:rsidR="001C5A14" w:rsidRPr="00126F22">
        <w:t xml:space="preserve">Brewer, </w:t>
      </w:r>
      <w:r w:rsidR="00E016B6" w:rsidRPr="00126F22">
        <w:rPr>
          <w:i/>
          <w:iCs/>
        </w:rPr>
        <w:t>Ethnography</w:t>
      </w:r>
      <w:r w:rsidR="00E016B6" w:rsidRPr="00126F22">
        <w:t xml:space="preserve"> (</w:t>
      </w:r>
      <w:r w:rsidR="00292C00" w:rsidRPr="00126F22">
        <w:t xml:space="preserve">Berkshire: </w:t>
      </w:r>
      <w:r w:rsidR="00E016B6" w:rsidRPr="00126F22">
        <w:t xml:space="preserve">Open University Press, 2000), </w:t>
      </w:r>
      <w:r w:rsidR="00FA655D" w:rsidRPr="00126F22">
        <w:t>p.10</w:t>
      </w:r>
      <w:r w:rsidR="001C5A14" w:rsidRPr="00126F22">
        <w:t xml:space="preserve">, </w:t>
      </w:r>
      <w:bookmarkStart w:id="8" w:name="_Hlk223097931"/>
      <w:r w:rsidR="00E016B6" w:rsidRPr="00126F22">
        <w:t xml:space="preserve">cited in </w:t>
      </w:r>
      <w:r w:rsidRPr="00126F22">
        <w:rPr>
          <w:lang w:val="en-US"/>
        </w:rPr>
        <w:t xml:space="preserve">Judith Bell and Stephen Waters, with Helen Johnson, </w:t>
      </w:r>
      <w:r w:rsidRPr="00126F22">
        <w:rPr>
          <w:i/>
          <w:iCs/>
          <w:lang w:val="en-US"/>
        </w:rPr>
        <w:t>Doing Your Research Project: A Guide For First-Time Researchers</w:t>
      </w:r>
      <w:r w:rsidRPr="00126F22">
        <w:rPr>
          <w:lang w:val="en-US"/>
        </w:rPr>
        <w:t xml:space="preserve">, 8th </w:t>
      </w:r>
      <w:proofErr w:type="spellStart"/>
      <w:r w:rsidRPr="00126F22">
        <w:rPr>
          <w:lang w:val="en-US"/>
        </w:rPr>
        <w:t>edn</w:t>
      </w:r>
      <w:proofErr w:type="spellEnd"/>
      <w:r w:rsidRPr="00126F22">
        <w:rPr>
          <w:lang w:val="en-US"/>
        </w:rPr>
        <w:t xml:space="preserve"> e-book (</w:t>
      </w:r>
      <w:r w:rsidR="00292C00" w:rsidRPr="00126F22">
        <w:rPr>
          <w:lang w:val="en-US"/>
        </w:rPr>
        <w:t xml:space="preserve">Maidenhead: </w:t>
      </w:r>
      <w:r w:rsidRPr="00126F22">
        <w:rPr>
          <w:lang w:val="en-US"/>
        </w:rPr>
        <w:t>Open International Publishing Limited, 2024), p.</w:t>
      </w:r>
      <w:r w:rsidR="0026605B" w:rsidRPr="00126F22">
        <w:rPr>
          <w:lang w:val="en-US"/>
        </w:rPr>
        <w:t xml:space="preserve"> 340</w:t>
      </w:r>
      <w:r w:rsidRPr="00126F22">
        <w:rPr>
          <w:lang w:val="en-US"/>
        </w:rPr>
        <w:t xml:space="preserve"> &lt;</w:t>
      </w:r>
      <w:hyperlink r:id="rId6" w:history="1">
        <w:r w:rsidRPr="00126F22">
          <w:rPr>
            <w:rStyle w:val="Hyperlink"/>
            <w:lang w:val="en-US"/>
          </w:rPr>
          <w:t>https://www-vlebooks-com.uwtsd.idm.oclc.org/Product/Index/3630179?page=0&amp;startBookmarkId=-1</w:t>
        </w:r>
      </w:hyperlink>
      <w:r w:rsidRPr="00126F22">
        <w:rPr>
          <w:lang w:val="en-US"/>
        </w:rPr>
        <w:t>&gt; [accessed 18 February 2026].</w:t>
      </w:r>
    </w:p>
    <w:bookmarkEnd w:id="8"/>
  </w:footnote>
  <w:footnote w:id="16">
    <w:p w14:paraId="281F7EA2" w14:textId="40D9D6A6" w:rsidR="005330EA" w:rsidRPr="00406A48" w:rsidRDefault="005330EA" w:rsidP="005330EA">
      <w:pPr>
        <w:pStyle w:val="FootnoteText"/>
      </w:pPr>
      <w:r w:rsidRPr="00126F22">
        <w:rPr>
          <w:rStyle w:val="FootnoteReference"/>
        </w:rPr>
        <w:footnoteRef/>
      </w:r>
      <w:r w:rsidRPr="00126F22">
        <w:t xml:space="preserve"> D. Jean </w:t>
      </w:r>
      <w:proofErr w:type="spellStart"/>
      <w:r w:rsidRPr="00126F22">
        <w:t>Clandinin</w:t>
      </w:r>
      <w:proofErr w:type="spellEnd"/>
      <w:r w:rsidRPr="00126F22">
        <w:t xml:space="preserve"> and Vera Caine, ‘Narrative Inquiry’, in </w:t>
      </w:r>
      <w:r w:rsidRPr="00126F22">
        <w:rPr>
          <w:i/>
          <w:iCs/>
        </w:rPr>
        <w:t xml:space="preserve">The SAGE </w:t>
      </w:r>
      <w:proofErr w:type="spellStart"/>
      <w:r w:rsidRPr="00126F22">
        <w:rPr>
          <w:i/>
          <w:iCs/>
        </w:rPr>
        <w:t>Encyclopedia</w:t>
      </w:r>
      <w:proofErr w:type="spellEnd"/>
      <w:r w:rsidRPr="00126F22">
        <w:rPr>
          <w:i/>
          <w:iCs/>
        </w:rPr>
        <w:t xml:space="preserve"> Of Qualitative Research Methods</w:t>
      </w:r>
      <w:r w:rsidRPr="00126F22">
        <w:t>, ed. by Lisa M. Given (</w:t>
      </w:r>
      <w:r w:rsidR="00292C00" w:rsidRPr="00126F22">
        <w:t xml:space="preserve">Thousand Oaks: </w:t>
      </w:r>
      <w:r w:rsidRPr="00126F22">
        <w:t>SAGE</w:t>
      </w:r>
      <w:r w:rsidRPr="00406A48">
        <w:t xml:space="preserve"> Publications, 2008), </w:t>
      </w:r>
      <w:r w:rsidR="004A297B" w:rsidRPr="004A297B">
        <w:t>pp. 54</w:t>
      </w:r>
      <w:r w:rsidR="006C2FA7">
        <w:t>2</w:t>
      </w:r>
      <w:r w:rsidR="004A297B" w:rsidRPr="004A297B">
        <w:t>-544</w:t>
      </w:r>
      <w:r w:rsidR="004A297B">
        <w:t xml:space="preserve"> (p. 542), </w:t>
      </w:r>
      <w:r w:rsidRPr="00406A48">
        <w:t>doi:10.4135/9781412963909.n275</w:t>
      </w:r>
      <w:r>
        <w:t>.</w:t>
      </w:r>
    </w:p>
  </w:footnote>
  <w:footnote w:id="17">
    <w:p w14:paraId="16C59D82" w14:textId="77777777" w:rsidR="005330EA" w:rsidRPr="003738BE" w:rsidRDefault="005330EA" w:rsidP="005330EA">
      <w:pPr>
        <w:pStyle w:val="FootnoteText"/>
      </w:pPr>
      <w:r>
        <w:rPr>
          <w:rStyle w:val="FootnoteReference"/>
        </w:rPr>
        <w:footnoteRef/>
      </w:r>
      <w:r>
        <w:t xml:space="preserve"> Gillian Bennett, </w:t>
      </w:r>
      <w:r w:rsidRPr="003738BE">
        <w:t>‘If I Knew You Were Coming, I’d Have Baked A Cake</w:t>
      </w:r>
      <w:r>
        <w:t>’, p.125.</w:t>
      </w:r>
    </w:p>
  </w:footnote>
  <w:footnote w:id="18">
    <w:p w14:paraId="28E91BF9" w14:textId="77777777" w:rsidR="005330EA" w:rsidRPr="00033110" w:rsidRDefault="005330EA" w:rsidP="005330EA">
      <w:pPr>
        <w:pStyle w:val="FootnoteText"/>
        <w:rPr>
          <w:lang w:val="en-US"/>
        </w:rPr>
      </w:pPr>
      <w:r>
        <w:rPr>
          <w:rStyle w:val="FootnoteReference"/>
        </w:rPr>
        <w:footnoteRef/>
      </w:r>
      <w:r>
        <w:t xml:space="preserve"> </w:t>
      </w:r>
      <w:r w:rsidRPr="00033110">
        <w:rPr>
          <w:lang w:val="en-US"/>
        </w:rPr>
        <w:t>Tony Walter and Helen Waterhouse, ‘A</w:t>
      </w:r>
      <w:r>
        <w:rPr>
          <w:lang w:val="en-US"/>
        </w:rPr>
        <w:t xml:space="preserve"> Very Private Belief’, p. 189.</w:t>
      </w:r>
    </w:p>
  </w:footnote>
  <w:footnote w:id="19">
    <w:p w14:paraId="50DDF581" w14:textId="77777777" w:rsidR="00AE6376" w:rsidRPr="00AE6376" w:rsidRDefault="00AE6376" w:rsidP="00AE6376">
      <w:pPr>
        <w:pStyle w:val="FootnoteText"/>
        <w:rPr>
          <w:lang w:val="en-US"/>
        </w:rPr>
      </w:pPr>
      <w:r>
        <w:rPr>
          <w:rStyle w:val="FootnoteReference"/>
        </w:rPr>
        <w:footnoteRef/>
      </w:r>
      <w:r>
        <w:t xml:space="preserve"> </w:t>
      </w:r>
      <w:r w:rsidRPr="00AE6376">
        <w:rPr>
          <w:lang w:val="en-US"/>
        </w:rPr>
        <w:t>Ibid, p. 189.</w:t>
      </w:r>
    </w:p>
  </w:footnote>
  <w:footnote w:id="20">
    <w:p w14:paraId="2BD0B87A" w14:textId="3AF5BB60" w:rsidR="001D6805" w:rsidRPr="00126F22" w:rsidRDefault="001D6805">
      <w:pPr>
        <w:pStyle w:val="FootnoteText"/>
        <w:rPr>
          <w:lang w:val="en-US"/>
        </w:rPr>
      </w:pPr>
      <w:r>
        <w:rPr>
          <w:rStyle w:val="FootnoteReference"/>
        </w:rPr>
        <w:footnoteRef/>
      </w:r>
      <w:r>
        <w:t xml:space="preserve"> </w:t>
      </w:r>
      <w:r w:rsidRPr="0089202D">
        <w:rPr>
          <w:lang w:val="en-US"/>
        </w:rPr>
        <w:t xml:space="preserve">Monique </w:t>
      </w:r>
      <w:proofErr w:type="spellStart"/>
      <w:r w:rsidRPr="0089202D">
        <w:rPr>
          <w:lang w:val="en-US"/>
        </w:rPr>
        <w:t>Hennink</w:t>
      </w:r>
      <w:proofErr w:type="spellEnd"/>
      <w:r w:rsidRPr="0089202D">
        <w:rPr>
          <w:lang w:val="en-US"/>
        </w:rPr>
        <w:t xml:space="preserve">, Inge </w:t>
      </w:r>
      <w:proofErr w:type="spellStart"/>
      <w:r w:rsidRPr="0089202D">
        <w:rPr>
          <w:lang w:val="en-US"/>
        </w:rPr>
        <w:t>Hutter</w:t>
      </w:r>
      <w:proofErr w:type="spellEnd"/>
      <w:r w:rsidRPr="0089202D">
        <w:rPr>
          <w:lang w:val="en-US"/>
        </w:rPr>
        <w:t xml:space="preserve"> and </w:t>
      </w:r>
      <w:r>
        <w:rPr>
          <w:lang w:val="en-US"/>
        </w:rPr>
        <w:t xml:space="preserve">Ajay Bailey, </w:t>
      </w:r>
      <w:r>
        <w:rPr>
          <w:i/>
          <w:iCs/>
          <w:lang w:val="en-US"/>
        </w:rPr>
        <w:t>Qualitative Research Methods</w:t>
      </w:r>
      <w:r>
        <w:rPr>
          <w:lang w:val="en-US"/>
        </w:rPr>
        <w:t xml:space="preserve">, </w:t>
      </w:r>
      <w:r w:rsidR="0065479C">
        <w:rPr>
          <w:lang w:val="en-US"/>
        </w:rPr>
        <w:t xml:space="preserve">2nd </w:t>
      </w:r>
      <w:proofErr w:type="spellStart"/>
      <w:r w:rsidR="0065479C" w:rsidRPr="00126F22">
        <w:rPr>
          <w:lang w:val="en-US"/>
        </w:rPr>
        <w:t>edn</w:t>
      </w:r>
      <w:proofErr w:type="spellEnd"/>
      <w:r w:rsidR="0065479C" w:rsidRPr="00126F22">
        <w:rPr>
          <w:lang w:val="en-US"/>
        </w:rPr>
        <w:t xml:space="preserve"> (</w:t>
      </w:r>
      <w:r w:rsidR="00E65807" w:rsidRPr="00126F22">
        <w:rPr>
          <w:lang w:val="en-US"/>
        </w:rPr>
        <w:t xml:space="preserve">Los Angeles: </w:t>
      </w:r>
      <w:r w:rsidR="0065479C" w:rsidRPr="00126F22">
        <w:rPr>
          <w:lang w:val="en-US"/>
        </w:rPr>
        <w:t xml:space="preserve">SAGE Publications, 2020), </w:t>
      </w:r>
      <w:r w:rsidRPr="00126F22">
        <w:rPr>
          <w:lang w:val="en-US"/>
        </w:rPr>
        <w:t>pp. 37-40.</w:t>
      </w:r>
    </w:p>
  </w:footnote>
  <w:footnote w:id="21">
    <w:p w14:paraId="089221BD" w14:textId="544F3BAC" w:rsidR="00AE6376" w:rsidRPr="00126F22" w:rsidRDefault="00AE6376" w:rsidP="00AE6376">
      <w:pPr>
        <w:pStyle w:val="FootnoteText"/>
        <w:rPr>
          <w:lang w:val="en-US"/>
        </w:rPr>
      </w:pPr>
      <w:r w:rsidRPr="00126F22">
        <w:rPr>
          <w:rStyle w:val="FootnoteReference"/>
        </w:rPr>
        <w:footnoteRef/>
      </w:r>
      <w:r w:rsidRPr="00126F22">
        <w:t xml:space="preserve"> </w:t>
      </w:r>
      <w:r w:rsidRPr="00126F22">
        <w:rPr>
          <w:lang w:val="en-US"/>
        </w:rPr>
        <w:t>Judith Bell and Stephen Waters, with Helen Johnson,</w:t>
      </w:r>
      <w:r w:rsidR="00E016B6" w:rsidRPr="00126F22">
        <w:rPr>
          <w:lang w:val="en-US"/>
        </w:rPr>
        <w:t xml:space="preserve"> </w:t>
      </w:r>
      <w:r w:rsidR="00E016B6" w:rsidRPr="00126F22">
        <w:rPr>
          <w:i/>
          <w:iCs/>
          <w:lang w:val="en-US"/>
        </w:rPr>
        <w:t>Doing Your Research Project: A Guide For First-Time Researchers</w:t>
      </w:r>
      <w:r w:rsidR="00E016B6" w:rsidRPr="00126F22">
        <w:rPr>
          <w:lang w:val="en-US"/>
        </w:rPr>
        <w:t xml:space="preserve">, 8th </w:t>
      </w:r>
      <w:proofErr w:type="spellStart"/>
      <w:r w:rsidR="00E016B6" w:rsidRPr="00126F22">
        <w:rPr>
          <w:lang w:val="en-US"/>
        </w:rPr>
        <w:t>edn</w:t>
      </w:r>
      <w:proofErr w:type="spellEnd"/>
      <w:r w:rsidR="00E016B6" w:rsidRPr="00126F22">
        <w:rPr>
          <w:lang w:val="en-US"/>
        </w:rPr>
        <w:t xml:space="preserve"> e-book (</w:t>
      </w:r>
      <w:r w:rsidR="00292C00" w:rsidRPr="00126F22">
        <w:rPr>
          <w:lang w:val="en-US"/>
        </w:rPr>
        <w:t xml:space="preserve">Maidenhead: </w:t>
      </w:r>
      <w:r w:rsidR="00E016B6" w:rsidRPr="00126F22">
        <w:rPr>
          <w:lang w:val="en-US"/>
        </w:rPr>
        <w:t>Open International Publishing Limited, 2024),</w:t>
      </w:r>
      <w:r w:rsidRPr="00126F22">
        <w:rPr>
          <w:lang w:val="en-US"/>
        </w:rPr>
        <w:t xml:space="preserve"> p. 350</w:t>
      </w:r>
      <w:r w:rsidR="00E016B6" w:rsidRPr="00126F22">
        <w:rPr>
          <w:lang w:val="en-US"/>
        </w:rPr>
        <w:t>, &lt;</w:t>
      </w:r>
      <w:hyperlink r:id="rId7" w:history="1">
        <w:r w:rsidR="00E016B6" w:rsidRPr="00126F22">
          <w:rPr>
            <w:rStyle w:val="Hyperlink"/>
            <w:lang w:val="en-US"/>
          </w:rPr>
          <w:t>https://www-vlebooks-com.uwtsd.idm.oclc.org/Product/Index/3630179?page=0&amp;startBookmarkId=-1</w:t>
        </w:r>
      </w:hyperlink>
      <w:r w:rsidR="00E016B6" w:rsidRPr="00126F22">
        <w:rPr>
          <w:lang w:val="en-US"/>
        </w:rPr>
        <w:t>&gt; [accessed 18 February 2026].</w:t>
      </w:r>
    </w:p>
  </w:footnote>
  <w:footnote w:id="22">
    <w:p w14:paraId="0216BFDB" w14:textId="5479D1D8" w:rsidR="00865A38" w:rsidRPr="00126F22" w:rsidRDefault="00865A38">
      <w:pPr>
        <w:pStyle w:val="FootnoteText"/>
      </w:pPr>
      <w:r w:rsidRPr="00126F22">
        <w:rPr>
          <w:rStyle w:val="FootnoteReference"/>
        </w:rPr>
        <w:footnoteRef/>
      </w:r>
      <w:r w:rsidRPr="00126F22">
        <w:t xml:space="preserve"> </w:t>
      </w:r>
      <w:r w:rsidRPr="00126F22">
        <w:rPr>
          <w:lang w:val="en-US"/>
        </w:rPr>
        <w:t>Tony Walter and Helen Waterhouse, ‘A Very Private Belief’, p. 188.</w:t>
      </w:r>
    </w:p>
  </w:footnote>
  <w:footnote w:id="23">
    <w:p w14:paraId="37C2CD4C" w14:textId="3A8AE61B" w:rsidR="00AE6376" w:rsidRPr="00126F22" w:rsidRDefault="00AE6376" w:rsidP="00AE6376">
      <w:pPr>
        <w:pStyle w:val="FootnoteText"/>
        <w:rPr>
          <w:lang w:val="en-US"/>
        </w:rPr>
      </w:pPr>
      <w:r w:rsidRPr="00126F22">
        <w:rPr>
          <w:rStyle w:val="FootnoteReference"/>
        </w:rPr>
        <w:footnoteRef/>
      </w:r>
      <w:r w:rsidRPr="00126F22">
        <w:t xml:space="preserve"> </w:t>
      </w:r>
      <w:r w:rsidR="00865A38" w:rsidRPr="00126F22">
        <w:rPr>
          <w:lang w:val="en-US"/>
        </w:rPr>
        <w:t>Ibid,</w:t>
      </w:r>
      <w:r w:rsidRPr="00126F22">
        <w:rPr>
          <w:lang w:val="en-US"/>
        </w:rPr>
        <w:t xml:space="preserve"> p</w:t>
      </w:r>
      <w:r w:rsidR="00034492">
        <w:rPr>
          <w:lang w:val="en-US"/>
        </w:rPr>
        <w:t>p</w:t>
      </w:r>
      <w:r w:rsidRPr="00126F22">
        <w:rPr>
          <w:lang w:val="en-US"/>
        </w:rPr>
        <w:t>. 187, 196.</w:t>
      </w:r>
    </w:p>
  </w:footnote>
  <w:footnote w:id="24">
    <w:p w14:paraId="13CA9590" w14:textId="6DDC613A" w:rsidR="008731B0" w:rsidRPr="00126F22" w:rsidRDefault="008731B0">
      <w:pPr>
        <w:pStyle w:val="FootnoteText"/>
        <w:rPr>
          <w:lang w:val="en-US"/>
        </w:rPr>
      </w:pPr>
      <w:r w:rsidRPr="00126F22">
        <w:rPr>
          <w:rStyle w:val="FootnoteReference"/>
        </w:rPr>
        <w:footnoteRef/>
      </w:r>
      <w:r w:rsidRPr="00126F22">
        <w:t xml:space="preserve"> Gillian Bennett, ‘If I Knew You Were Coming, I’d Have Baked A Cake’, </w:t>
      </w:r>
      <w:r w:rsidR="00034492">
        <w:t>p</w:t>
      </w:r>
      <w:r w:rsidRPr="00126F22">
        <w:t>p. 122-126.</w:t>
      </w:r>
    </w:p>
  </w:footnote>
  <w:footnote w:id="25">
    <w:p w14:paraId="1261AF9A" w14:textId="5361E6B4" w:rsidR="004251BC" w:rsidRPr="00126F22" w:rsidRDefault="004251BC" w:rsidP="004251BC">
      <w:pPr>
        <w:pStyle w:val="FootnoteText"/>
      </w:pPr>
      <w:r w:rsidRPr="00126F22">
        <w:rPr>
          <w:rStyle w:val="FootnoteReference"/>
        </w:rPr>
        <w:footnoteRef/>
      </w:r>
      <w:r w:rsidRPr="00126F22">
        <w:t xml:space="preserve"> </w:t>
      </w:r>
      <w:r w:rsidR="005D19AF" w:rsidRPr="00126F22">
        <w:rPr>
          <w:lang w:val="en-US"/>
        </w:rPr>
        <w:t>Ibid, p</w:t>
      </w:r>
      <w:r w:rsidR="00034492">
        <w:rPr>
          <w:lang w:val="en-US"/>
        </w:rPr>
        <w:t>p</w:t>
      </w:r>
      <w:r w:rsidR="005D19AF" w:rsidRPr="00126F22">
        <w:rPr>
          <w:lang w:val="en-US"/>
        </w:rPr>
        <w:t>. 124, 126</w:t>
      </w:r>
      <w:r w:rsidRPr="00126F22">
        <w:t>.</w:t>
      </w:r>
    </w:p>
  </w:footnote>
  <w:footnote w:id="26">
    <w:p w14:paraId="647553A8" w14:textId="3FE872B6" w:rsidR="001D5DEC" w:rsidRPr="00126F22" w:rsidRDefault="001D5DEC">
      <w:pPr>
        <w:pStyle w:val="FootnoteText"/>
      </w:pPr>
      <w:r w:rsidRPr="00126F22">
        <w:rPr>
          <w:rStyle w:val="FootnoteReference"/>
        </w:rPr>
        <w:footnoteRef/>
      </w:r>
      <w:r w:rsidRPr="00126F22">
        <w:t xml:space="preserve"> </w:t>
      </w:r>
      <w:r w:rsidR="00F10C16" w:rsidRPr="00126F22">
        <w:t xml:space="preserve">Andrea Doucet and Natasha </w:t>
      </w:r>
      <w:proofErr w:type="spellStart"/>
      <w:r w:rsidR="00F10C16" w:rsidRPr="00126F22">
        <w:t>Mauthner</w:t>
      </w:r>
      <w:proofErr w:type="spellEnd"/>
      <w:r w:rsidRPr="00126F22">
        <w:t>, ‘</w:t>
      </w:r>
      <w:r w:rsidR="00F10C16" w:rsidRPr="00126F22">
        <w:t>Knowing Responsibly: Linking Ethics, Research Practice And Epistemology’</w:t>
      </w:r>
      <w:r w:rsidRPr="00126F22">
        <w:t xml:space="preserve">, in </w:t>
      </w:r>
      <w:r w:rsidRPr="00126F22">
        <w:rPr>
          <w:i/>
          <w:iCs/>
        </w:rPr>
        <w:t>Ethics In Qualitative Research</w:t>
      </w:r>
      <w:r w:rsidRPr="00126F22">
        <w:t xml:space="preserve">, ed. by Melanie </w:t>
      </w:r>
      <w:proofErr w:type="spellStart"/>
      <w:r w:rsidRPr="00126F22">
        <w:t>Mauthner</w:t>
      </w:r>
      <w:proofErr w:type="spellEnd"/>
      <w:r w:rsidRPr="00126F22">
        <w:t xml:space="preserve"> and others (</w:t>
      </w:r>
      <w:r w:rsidR="00281312" w:rsidRPr="00126F22">
        <w:t xml:space="preserve">London: </w:t>
      </w:r>
      <w:r w:rsidRPr="00126F22">
        <w:t xml:space="preserve">SAGE Publications, 2002), pp. </w:t>
      </w:r>
      <w:r w:rsidR="00F10C16" w:rsidRPr="00126F22">
        <w:t>123</w:t>
      </w:r>
      <w:r w:rsidRPr="00126F22">
        <w:t>-</w:t>
      </w:r>
      <w:r w:rsidR="00F10C16" w:rsidRPr="00126F22">
        <w:t>145</w:t>
      </w:r>
      <w:r w:rsidRPr="00126F22">
        <w:t xml:space="preserve"> (p. </w:t>
      </w:r>
      <w:r w:rsidR="00F10C16" w:rsidRPr="00126F22">
        <w:t>125</w:t>
      </w:r>
      <w:r w:rsidRPr="00126F22">
        <w:t>).</w:t>
      </w:r>
    </w:p>
  </w:footnote>
  <w:footnote w:id="27">
    <w:p w14:paraId="4401E982" w14:textId="0DA29B8F" w:rsidR="00622B87" w:rsidRPr="0089202D" w:rsidRDefault="00622B87" w:rsidP="00622B87">
      <w:pPr>
        <w:pStyle w:val="FootnoteText"/>
        <w:rPr>
          <w:lang w:val="en-US"/>
        </w:rPr>
      </w:pPr>
      <w:r w:rsidRPr="00126F22">
        <w:rPr>
          <w:rStyle w:val="FootnoteReference"/>
        </w:rPr>
        <w:footnoteRef/>
      </w:r>
      <w:r w:rsidRPr="00126F22">
        <w:t xml:space="preserve"> </w:t>
      </w:r>
      <w:r w:rsidRPr="00126F22">
        <w:rPr>
          <w:lang w:val="en-US"/>
        </w:rPr>
        <w:t xml:space="preserve">Monique </w:t>
      </w:r>
      <w:proofErr w:type="spellStart"/>
      <w:r w:rsidRPr="00126F22">
        <w:rPr>
          <w:lang w:val="en-US"/>
        </w:rPr>
        <w:t>Hennink</w:t>
      </w:r>
      <w:proofErr w:type="spellEnd"/>
      <w:r w:rsidRPr="00126F22">
        <w:rPr>
          <w:lang w:val="en-US"/>
        </w:rPr>
        <w:t xml:space="preserve">, Inge </w:t>
      </w:r>
      <w:proofErr w:type="spellStart"/>
      <w:r w:rsidRPr="00126F22">
        <w:rPr>
          <w:lang w:val="en-US"/>
        </w:rPr>
        <w:t>Hutter</w:t>
      </w:r>
      <w:proofErr w:type="spellEnd"/>
      <w:r w:rsidRPr="00126F22">
        <w:rPr>
          <w:lang w:val="en-US"/>
        </w:rPr>
        <w:t xml:space="preserve"> and Ajay Bailey, </w:t>
      </w:r>
      <w:r w:rsidRPr="00126F22">
        <w:rPr>
          <w:i/>
          <w:iCs/>
          <w:lang w:val="en-US"/>
        </w:rPr>
        <w:t>Qualitative Research Methods</w:t>
      </w:r>
      <w:r w:rsidRPr="00126F22">
        <w:rPr>
          <w:lang w:val="en-US"/>
        </w:rPr>
        <w:t>, p. 18.</w:t>
      </w:r>
      <w:r>
        <w:rPr>
          <w:lang w:val="en-US"/>
        </w:rPr>
        <w:t xml:space="preserve"> </w:t>
      </w:r>
    </w:p>
  </w:footnote>
  <w:footnote w:id="28">
    <w:p w14:paraId="2A16A8F1" w14:textId="231D77DA" w:rsidR="00C535D2" w:rsidRPr="00C535D2" w:rsidRDefault="00C535D2">
      <w:pPr>
        <w:pStyle w:val="FootnoteText"/>
      </w:pPr>
      <w:r>
        <w:rPr>
          <w:rStyle w:val="FootnoteReference"/>
        </w:rPr>
        <w:footnoteRef/>
      </w:r>
      <w:r>
        <w:t xml:space="preserve"> Gillian Bennett, </w:t>
      </w:r>
      <w:r w:rsidRPr="003738BE">
        <w:t>‘If I Knew You Were Coming, I’d Have Baked A Cake</w:t>
      </w:r>
      <w:r>
        <w:t>’, p.131.</w:t>
      </w:r>
    </w:p>
  </w:footnote>
  <w:footnote w:id="29">
    <w:p w14:paraId="03255CA0" w14:textId="4398AE42" w:rsidR="00B063F4" w:rsidRPr="00B063F4" w:rsidRDefault="00B063F4">
      <w:pPr>
        <w:pStyle w:val="FootnoteText"/>
        <w:rPr>
          <w:lang w:val="en-US"/>
        </w:rPr>
      </w:pPr>
      <w:r>
        <w:rPr>
          <w:rStyle w:val="FootnoteReference"/>
        </w:rPr>
        <w:footnoteRef/>
      </w:r>
      <w:r>
        <w:t xml:space="preserve"> </w:t>
      </w:r>
      <w:r w:rsidRPr="0006044C">
        <w:rPr>
          <w:lang w:val="en-US"/>
        </w:rPr>
        <w:t xml:space="preserve">Tony Walter and Helen Waterhouse, </w:t>
      </w:r>
      <w:r w:rsidRPr="00033110">
        <w:rPr>
          <w:lang w:val="en-US"/>
        </w:rPr>
        <w:t>‘A</w:t>
      </w:r>
      <w:r>
        <w:rPr>
          <w:lang w:val="en-US"/>
        </w:rPr>
        <w:t xml:space="preserve"> Very Private Belief’, p</w:t>
      </w:r>
      <w:r w:rsidR="00034492">
        <w:rPr>
          <w:lang w:val="en-US"/>
        </w:rPr>
        <w:t>p</w:t>
      </w:r>
      <w:r>
        <w:rPr>
          <w:lang w:val="en-US"/>
        </w:rPr>
        <w:t xml:space="preserve">. 191, 193-195. </w:t>
      </w:r>
    </w:p>
  </w:footnote>
  <w:footnote w:id="30">
    <w:p w14:paraId="6A83AD49" w14:textId="2FBEE426" w:rsidR="008B1073" w:rsidRPr="00126F22" w:rsidRDefault="008B1073">
      <w:pPr>
        <w:pStyle w:val="FootnoteText"/>
      </w:pPr>
      <w:r>
        <w:rPr>
          <w:rStyle w:val="FootnoteReference"/>
        </w:rPr>
        <w:footnoteRef/>
      </w:r>
      <w:r>
        <w:t xml:space="preserve"> Rosalind Edwards and Melanie </w:t>
      </w:r>
      <w:proofErr w:type="spellStart"/>
      <w:r>
        <w:t>Mauthner</w:t>
      </w:r>
      <w:proofErr w:type="spellEnd"/>
      <w:r>
        <w:t xml:space="preserve">, ‘Ethics And </w:t>
      </w:r>
      <w:r w:rsidRPr="00126F22">
        <w:t xml:space="preserve">Feminist Research: Theory And Practice’, in </w:t>
      </w:r>
      <w:r w:rsidRPr="00126F22">
        <w:rPr>
          <w:i/>
          <w:iCs/>
        </w:rPr>
        <w:t>Ethics In Qualitative Research</w:t>
      </w:r>
      <w:r w:rsidRPr="00126F22">
        <w:t xml:space="preserve">, ed. by Melanie </w:t>
      </w:r>
      <w:proofErr w:type="spellStart"/>
      <w:r w:rsidRPr="00126F22">
        <w:t>Mauthner</w:t>
      </w:r>
      <w:proofErr w:type="spellEnd"/>
      <w:r w:rsidRPr="00126F22">
        <w:t xml:space="preserve"> and others (</w:t>
      </w:r>
      <w:r w:rsidR="00281312" w:rsidRPr="00126F22">
        <w:t xml:space="preserve">London: London: </w:t>
      </w:r>
      <w:r w:rsidRPr="00126F22">
        <w:t>SAGE Publications, 2002), pp. 14-31 (p. 14).</w:t>
      </w:r>
    </w:p>
  </w:footnote>
  <w:footnote w:id="31">
    <w:p w14:paraId="6FCDCDE0" w14:textId="729D0A14" w:rsidR="00394E60" w:rsidRPr="00126F22" w:rsidRDefault="00394E60">
      <w:pPr>
        <w:pStyle w:val="FootnoteText"/>
      </w:pPr>
      <w:r w:rsidRPr="00126F22">
        <w:rPr>
          <w:rStyle w:val="FootnoteReference"/>
        </w:rPr>
        <w:footnoteRef/>
      </w:r>
      <w:r w:rsidRPr="00126F22">
        <w:t xml:space="preserve"> Gillian Bennett, ‘If I Knew You Were Coming, I’d Have Baked A Cake’, p.127.</w:t>
      </w:r>
    </w:p>
  </w:footnote>
  <w:footnote w:id="32">
    <w:p w14:paraId="13619EB2" w14:textId="068AF6A9" w:rsidR="00455DF7" w:rsidRPr="00126F22" w:rsidRDefault="00455DF7">
      <w:pPr>
        <w:pStyle w:val="FootnoteText"/>
        <w:rPr>
          <w:lang w:val="en-US"/>
        </w:rPr>
      </w:pPr>
      <w:r w:rsidRPr="00126F22">
        <w:rPr>
          <w:rStyle w:val="FootnoteReference"/>
        </w:rPr>
        <w:footnoteRef/>
      </w:r>
      <w:r w:rsidR="0018512C" w:rsidRPr="00126F22">
        <w:rPr>
          <w:lang w:val="en-US"/>
        </w:rPr>
        <w:t xml:space="preserve"> </w:t>
      </w:r>
      <w:r w:rsidR="0018512C" w:rsidRPr="00126F22">
        <w:t xml:space="preserve">William </w:t>
      </w:r>
      <w:proofErr w:type="spellStart"/>
      <w:r w:rsidR="0018512C" w:rsidRPr="00126F22">
        <w:t>Labov</w:t>
      </w:r>
      <w:proofErr w:type="spellEnd"/>
      <w:r w:rsidR="0018512C" w:rsidRPr="00126F22">
        <w:t xml:space="preserve">, ‘Some Principles </w:t>
      </w:r>
      <w:r w:rsidR="007215CF" w:rsidRPr="00126F22">
        <w:t xml:space="preserve">Of </w:t>
      </w:r>
      <w:r w:rsidR="0018512C" w:rsidRPr="00126F22">
        <w:t xml:space="preserve">Linguistic Methodology’, </w:t>
      </w:r>
      <w:r w:rsidR="0018512C" w:rsidRPr="00126F22">
        <w:rPr>
          <w:i/>
          <w:iCs/>
        </w:rPr>
        <w:t xml:space="preserve">Language </w:t>
      </w:r>
      <w:r w:rsidR="007215CF" w:rsidRPr="00126F22">
        <w:rPr>
          <w:i/>
          <w:iCs/>
        </w:rPr>
        <w:t xml:space="preserve">In </w:t>
      </w:r>
      <w:r w:rsidR="0018512C" w:rsidRPr="00126F22">
        <w:rPr>
          <w:i/>
          <w:iCs/>
        </w:rPr>
        <w:t>Society</w:t>
      </w:r>
      <w:r w:rsidR="0018512C" w:rsidRPr="00126F22">
        <w:t xml:space="preserve">, 1.1 (1972), pp. 97-120 (p. 115), cited in Henk de </w:t>
      </w:r>
      <w:proofErr w:type="spellStart"/>
      <w:r w:rsidR="0018512C" w:rsidRPr="00126F22">
        <w:t>Roest</w:t>
      </w:r>
      <w:proofErr w:type="spellEnd"/>
      <w:r w:rsidR="0018512C" w:rsidRPr="00126F22">
        <w:t>, ‘Doing Research In Community</w:t>
      </w:r>
      <w:r w:rsidR="00973AFB" w:rsidRPr="00126F22">
        <w:t>:</w:t>
      </w:r>
      <w:r w:rsidR="0018512C" w:rsidRPr="00126F22">
        <w:t xml:space="preserve"> A Multiplicity Of Collaborative Research Practices’ in </w:t>
      </w:r>
      <w:r w:rsidR="0018512C" w:rsidRPr="00126F22">
        <w:rPr>
          <w:i/>
          <w:iCs/>
        </w:rPr>
        <w:t>Collaborative Practical Theology: Engaging Practitioners In Research On Christian Practices</w:t>
      </w:r>
      <w:r w:rsidR="0018512C" w:rsidRPr="00126F22">
        <w:t xml:space="preserve"> (</w:t>
      </w:r>
      <w:r w:rsidR="00281312" w:rsidRPr="00126F22">
        <w:t xml:space="preserve">Leiden: </w:t>
      </w:r>
      <w:r w:rsidR="0018512C" w:rsidRPr="00126F22">
        <w:t>Brill, 2020), pp. 185-251 (p. 219) &lt;</w:t>
      </w:r>
      <w:hyperlink r:id="rId8" w:history="1">
        <w:r w:rsidR="0018512C" w:rsidRPr="00126F22">
          <w:rPr>
            <w:rStyle w:val="Hyperlink"/>
          </w:rPr>
          <w:t>https://www.jstor.org/stable/10.1163/j.ctv1sr6h8g.10</w:t>
        </w:r>
      </w:hyperlink>
      <w:r w:rsidR="0018512C" w:rsidRPr="00126F22">
        <w:t>&gt; [accessed 11 February 2026].</w:t>
      </w:r>
    </w:p>
  </w:footnote>
  <w:footnote w:id="33">
    <w:p w14:paraId="49CC9BF2" w14:textId="05440C60" w:rsidR="00455DF7" w:rsidRPr="00126F22" w:rsidRDefault="00455DF7" w:rsidP="00455DF7">
      <w:pPr>
        <w:pStyle w:val="FootnoteText"/>
      </w:pPr>
      <w:r w:rsidRPr="00126F22">
        <w:rPr>
          <w:rStyle w:val="FootnoteReference"/>
        </w:rPr>
        <w:footnoteRef/>
      </w:r>
      <w:r w:rsidRPr="00126F22">
        <w:t xml:space="preserve"> Henk de </w:t>
      </w:r>
      <w:proofErr w:type="spellStart"/>
      <w:r w:rsidRPr="00126F22">
        <w:t>Roest</w:t>
      </w:r>
      <w:proofErr w:type="spellEnd"/>
      <w:r w:rsidRPr="00126F22">
        <w:t xml:space="preserve">, ‘Doing Research </w:t>
      </w:r>
      <w:r w:rsidR="00216713" w:rsidRPr="00126F22">
        <w:t xml:space="preserve">In </w:t>
      </w:r>
      <w:r w:rsidRPr="00126F22">
        <w:t xml:space="preserve">Community A Multiplicity </w:t>
      </w:r>
      <w:r w:rsidR="00216713" w:rsidRPr="00126F22">
        <w:t xml:space="preserve">Of </w:t>
      </w:r>
      <w:r w:rsidRPr="00126F22">
        <w:t xml:space="preserve">Collaborative Research Practices’ in </w:t>
      </w:r>
      <w:r w:rsidRPr="00126F22">
        <w:rPr>
          <w:i/>
          <w:iCs/>
        </w:rPr>
        <w:t>Collaborative Practical Theology</w:t>
      </w:r>
      <w:r w:rsidR="00216713" w:rsidRPr="00126F22">
        <w:rPr>
          <w:i/>
          <w:iCs/>
        </w:rPr>
        <w:t xml:space="preserve">: </w:t>
      </w:r>
      <w:r w:rsidRPr="00126F22">
        <w:rPr>
          <w:i/>
          <w:iCs/>
        </w:rPr>
        <w:t xml:space="preserve">Engaging Practitioners </w:t>
      </w:r>
      <w:r w:rsidR="00216713" w:rsidRPr="00126F22">
        <w:rPr>
          <w:i/>
          <w:iCs/>
        </w:rPr>
        <w:t xml:space="preserve">In </w:t>
      </w:r>
      <w:r w:rsidRPr="00126F22">
        <w:rPr>
          <w:i/>
          <w:iCs/>
        </w:rPr>
        <w:t xml:space="preserve">Research </w:t>
      </w:r>
      <w:r w:rsidR="00216713" w:rsidRPr="00126F22">
        <w:rPr>
          <w:i/>
          <w:iCs/>
        </w:rPr>
        <w:t xml:space="preserve">On </w:t>
      </w:r>
      <w:r w:rsidRPr="00126F22">
        <w:rPr>
          <w:i/>
          <w:iCs/>
        </w:rPr>
        <w:t>Christian Practices</w:t>
      </w:r>
      <w:r w:rsidR="00216713" w:rsidRPr="00126F22">
        <w:t xml:space="preserve"> (</w:t>
      </w:r>
      <w:r w:rsidR="008F15FA" w:rsidRPr="00126F22">
        <w:t xml:space="preserve">Leiden: </w:t>
      </w:r>
      <w:r w:rsidR="00216713" w:rsidRPr="00126F22">
        <w:t>Brill, 2020), pp. 185-251 (p. 219) &lt;</w:t>
      </w:r>
      <w:hyperlink r:id="rId9" w:history="1">
        <w:r w:rsidR="00216713" w:rsidRPr="00126F22">
          <w:rPr>
            <w:rStyle w:val="Hyperlink"/>
          </w:rPr>
          <w:t>https://www.jstor.org/stable/10.1163/j.ctv1sr6h8g.10</w:t>
        </w:r>
      </w:hyperlink>
      <w:r w:rsidR="00216713" w:rsidRPr="00126F22">
        <w:t>&gt; [accessed 11 February 2026].</w:t>
      </w:r>
    </w:p>
  </w:footnote>
  <w:footnote w:id="34">
    <w:p w14:paraId="6F892A54" w14:textId="4B9C6ADF" w:rsidR="00D63CD7" w:rsidRPr="00126F22" w:rsidRDefault="00D63CD7">
      <w:pPr>
        <w:pStyle w:val="FootnoteText"/>
      </w:pPr>
      <w:r w:rsidRPr="00126F22">
        <w:rPr>
          <w:rStyle w:val="FootnoteReference"/>
        </w:rPr>
        <w:footnoteRef/>
      </w:r>
      <w:r w:rsidRPr="00126F22">
        <w:t xml:space="preserve"> Rose Wiles, ‘Informed Consent’, in </w:t>
      </w:r>
      <w:r w:rsidRPr="00126F22">
        <w:rPr>
          <w:i/>
          <w:iCs/>
        </w:rPr>
        <w:t>What Are Qualitative Research Ethics?</w:t>
      </w:r>
      <w:r w:rsidRPr="00126F22">
        <w:t xml:space="preserve"> (</w:t>
      </w:r>
      <w:r w:rsidR="00471D76" w:rsidRPr="00126F22">
        <w:t xml:space="preserve">London: </w:t>
      </w:r>
      <w:r w:rsidRPr="00126F22">
        <w:t>Bloomsbury, 2012), pp. 25-40 (p. 25)</w:t>
      </w:r>
      <w:r w:rsidR="009E6558" w:rsidRPr="00126F22">
        <w:t>, doi:10.5040/9781849666558.ch-003.</w:t>
      </w:r>
    </w:p>
  </w:footnote>
  <w:footnote w:id="35">
    <w:p w14:paraId="101D698D" w14:textId="566D8BCA" w:rsidR="00C91157" w:rsidRPr="00022EE1" w:rsidRDefault="00C91157" w:rsidP="00C91157">
      <w:pPr>
        <w:pStyle w:val="FootnoteText"/>
      </w:pPr>
      <w:r w:rsidRPr="00126F22">
        <w:rPr>
          <w:rStyle w:val="FootnoteReference"/>
        </w:rPr>
        <w:footnoteRef/>
      </w:r>
      <w:r w:rsidRPr="00126F22">
        <w:t xml:space="preserve"> Margit </w:t>
      </w:r>
      <w:proofErr w:type="spellStart"/>
      <w:r w:rsidRPr="00126F22">
        <w:t>Sutrop</w:t>
      </w:r>
      <w:proofErr w:type="spellEnd"/>
      <w:r w:rsidRPr="00126F22">
        <w:t xml:space="preserve"> and Kristi </w:t>
      </w:r>
      <w:proofErr w:type="spellStart"/>
      <w:r w:rsidRPr="00126F22">
        <w:t>Lõuk</w:t>
      </w:r>
      <w:proofErr w:type="spellEnd"/>
      <w:r w:rsidRPr="00126F22">
        <w:t xml:space="preserve">, ‘Ethical Research In A Global Context: A Dynamic Tension Between  Universal Values, Principles And Contextual Applications’, in </w:t>
      </w:r>
      <w:r w:rsidRPr="00126F22">
        <w:rPr>
          <w:i/>
          <w:iCs/>
        </w:rPr>
        <w:t>Ethical Evidence And Policymaking</w:t>
      </w:r>
      <w:r w:rsidR="00E523C1" w:rsidRPr="00126F22">
        <w:rPr>
          <w:i/>
          <w:iCs/>
        </w:rPr>
        <w:t>:</w:t>
      </w:r>
      <w:r w:rsidR="00E523C1" w:rsidRPr="00126F22">
        <w:t xml:space="preserve"> </w:t>
      </w:r>
      <w:r w:rsidR="00E523C1" w:rsidRPr="00126F22">
        <w:rPr>
          <w:i/>
          <w:iCs/>
        </w:rPr>
        <w:t>Interdisciplinary And International Research</w:t>
      </w:r>
      <w:r w:rsidRPr="00126F22">
        <w:t xml:space="preserve">, ed. by Ron </w:t>
      </w:r>
      <w:proofErr w:type="spellStart"/>
      <w:r w:rsidRPr="00126F22">
        <w:t>Iphofen</w:t>
      </w:r>
      <w:proofErr w:type="spellEnd"/>
      <w:r w:rsidRPr="00126F22">
        <w:t xml:space="preserve"> and Dónal </w:t>
      </w:r>
      <w:proofErr w:type="spellStart"/>
      <w:r w:rsidRPr="00126F22">
        <w:t>O’Mathúna</w:t>
      </w:r>
      <w:proofErr w:type="spellEnd"/>
      <w:r w:rsidRPr="00126F22">
        <w:t xml:space="preserve"> (</w:t>
      </w:r>
      <w:r w:rsidR="005633F0" w:rsidRPr="00126F22">
        <w:t xml:space="preserve">Bristol: </w:t>
      </w:r>
      <w:r w:rsidRPr="00126F22">
        <w:t>Bristol University Press, Policy Press, 2022), pp. 15-39 (p.</w:t>
      </w:r>
      <w:r w:rsidR="00034492">
        <w:t xml:space="preserve"> </w:t>
      </w:r>
      <w:r w:rsidRPr="00126F22">
        <w:t>18)</w:t>
      </w:r>
      <w:r w:rsidR="00D40D12" w:rsidRPr="00126F22">
        <w:t>,</w:t>
      </w:r>
      <w:r w:rsidR="003C64BC" w:rsidRPr="00126F22">
        <w:t xml:space="preserve"> </w:t>
      </w:r>
      <w:r w:rsidR="00D40D12" w:rsidRPr="00126F22">
        <w:t>&lt;</w:t>
      </w:r>
      <w:hyperlink r:id="rId10" w:history="1">
        <w:r w:rsidR="00171827" w:rsidRPr="00126F22">
          <w:rPr>
            <w:rStyle w:val="Hyperlink"/>
          </w:rPr>
          <w:t>https://www.jstor.org/stable/j.ctv2tbwqd5.6</w:t>
        </w:r>
      </w:hyperlink>
      <w:r w:rsidR="00EB1817">
        <w:t>&gt;</w:t>
      </w:r>
      <w:r w:rsidR="00D40D12" w:rsidRPr="00D40D12">
        <w:t xml:space="preserve"> [accessed 11 February 2026].</w:t>
      </w:r>
    </w:p>
  </w:footnote>
  <w:footnote w:id="36">
    <w:p w14:paraId="0FB9B3E1" w14:textId="120A9167" w:rsidR="00F176F0" w:rsidRPr="00F176F0" w:rsidRDefault="00F176F0">
      <w:pPr>
        <w:pStyle w:val="FootnoteText"/>
      </w:pPr>
      <w:r>
        <w:rPr>
          <w:rStyle w:val="FootnoteReference"/>
        </w:rPr>
        <w:footnoteRef/>
      </w:r>
      <w:r>
        <w:t xml:space="preserve"> </w:t>
      </w:r>
      <w:r w:rsidRPr="00022EE1">
        <w:t xml:space="preserve">Margit </w:t>
      </w:r>
      <w:proofErr w:type="spellStart"/>
      <w:r w:rsidRPr="00022EE1">
        <w:t>Sutrop</w:t>
      </w:r>
      <w:proofErr w:type="spellEnd"/>
      <w:r w:rsidRPr="00022EE1">
        <w:t xml:space="preserve"> and Kristi </w:t>
      </w:r>
      <w:proofErr w:type="spellStart"/>
      <w:r w:rsidRPr="00022EE1">
        <w:t>Lõuk</w:t>
      </w:r>
      <w:proofErr w:type="spellEnd"/>
      <w:r>
        <w:t>, ‘Ethical Research In A Global Context’, p. 25.</w:t>
      </w:r>
    </w:p>
  </w:footnote>
  <w:footnote w:id="37">
    <w:p w14:paraId="0177369C" w14:textId="40BEFBAE" w:rsidR="00CA3C69" w:rsidRPr="00CA3C69" w:rsidRDefault="00CA3C69">
      <w:pPr>
        <w:pStyle w:val="FootnoteText"/>
      </w:pPr>
      <w:r>
        <w:rPr>
          <w:rStyle w:val="FootnoteReference"/>
        </w:rPr>
        <w:footnoteRef/>
      </w:r>
      <w:r>
        <w:t xml:space="preserve"> Rosalind Edwards and Melanie </w:t>
      </w:r>
      <w:proofErr w:type="spellStart"/>
      <w:r>
        <w:t>Mauthner</w:t>
      </w:r>
      <w:proofErr w:type="spellEnd"/>
      <w:r>
        <w:t>, ‘Ethics And Feminist Research: Theory And Practice’, p. 14.</w:t>
      </w:r>
    </w:p>
  </w:footnote>
  <w:footnote w:id="38">
    <w:p w14:paraId="5D2252AE" w14:textId="5AA71215" w:rsidR="00584B5B" w:rsidRPr="00584B5B" w:rsidRDefault="00584B5B">
      <w:pPr>
        <w:pStyle w:val="FootnoteText"/>
      </w:pPr>
      <w:r>
        <w:rPr>
          <w:rStyle w:val="FootnoteReference"/>
        </w:rPr>
        <w:footnoteRef/>
      </w:r>
      <w:r>
        <w:t xml:space="preserve"> </w:t>
      </w:r>
      <w:r w:rsidRPr="0006044C">
        <w:rPr>
          <w:lang w:val="en-US"/>
        </w:rPr>
        <w:t xml:space="preserve">Tony Walter and Helen Waterhouse, </w:t>
      </w:r>
      <w:r w:rsidRPr="00033110">
        <w:rPr>
          <w:lang w:val="en-US"/>
        </w:rPr>
        <w:t>‘A</w:t>
      </w:r>
      <w:r>
        <w:rPr>
          <w:lang w:val="en-US"/>
        </w:rPr>
        <w:t xml:space="preserve"> Very Private Belief’, </w:t>
      </w:r>
      <w:r w:rsidR="00034492">
        <w:rPr>
          <w:lang w:val="en-US"/>
        </w:rPr>
        <w:t>p</w:t>
      </w:r>
      <w:r>
        <w:rPr>
          <w:lang w:val="en-US"/>
        </w:rPr>
        <w:t>p. 188-189.</w:t>
      </w:r>
    </w:p>
  </w:footnote>
  <w:footnote w:id="39">
    <w:p w14:paraId="55E0F8D5" w14:textId="0C66BB7A" w:rsidR="00A61681" w:rsidRPr="00126F22" w:rsidRDefault="00A61681" w:rsidP="00A61681">
      <w:pPr>
        <w:pStyle w:val="FootnoteText"/>
      </w:pPr>
      <w:r>
        <w:rPr>
          <w:rStyle w:val="FootnoteReference"/>
        </w:rPr>
        <w:footnoteRef/>
      </w:r>
      <w:r>
        <w:t xml:space="preserve"> William B</w:t>
      </w:r>
      <w:r w:rsidR="001E68E3">
        <w:t>ü</w:t>
      </w:r>
      <w:r>
        <w:t>low and others, ‘</w:t>
      </w:r>
      <w:r w:rsidRPr="00126F22">
        <w:t xml:space="preserve">Experiences </w:t>
      </w:r>
      <w:r w:rsidR="009712A5" w:rsidRPr="00126F22">
        <w:t xml:space="preserve">Of </w:t>
      </w:r>
      <w:r w:rsidRPr="00126F22">
        <w:t>Ethical Review</w:t>
      </w:r>
      <w:r w:rsidR="009712A5" w:rsidRPr="00126F22">
        <w:t xml:space="preserve">: </w:t>
      </w:r>
      <w:r w:rsidRPr="00126F22">
        <w:t xml:space="preserve">Perspectives </w:t>
      </w:r>
      <w:r w:rsidR="009712A5" w:rsidRPr="00126F22">
        <w:t xml:space="preserve">Of </w:t>
      </w:r>
      <w:r w:rsidRPr="00126F22">
        <w:t xml:space="preserve">Swedish Researchers </w:t>
      </w:r>
      <w:r w:rsidR="009712A5" w:rsidRPr="00126F22">
        <w:t xml:space="preserve">In </w:t>
      </w:r>
      <w:r w:rsidRPr="00126F22">
        <w:t xml:space="preserve">Social Science </w:t>
      </w:r>
      <w:r w:rsidR="009712A5" w:rsidRPr="00126F22">
        <w:t xml:space="preserve">And </w:t>
      </w:r>
      <w:r w:rsidRPr="00126F22">
        <w:t xml:space="preserve">Humanities’, </w:t>
      </w:r>
      <w:r w:rsidRPr="00126F22">
        <w:rPr>
          <w:i/>
          <w:iCs/>
        </w:rPr>
        <w:t xml:space="preserve">Journal </w:t>
      </w:r>
      <w:r w:rsidR="009712A5" w:rsidRPr="00126F22">
        <w:rPr>
          <w:i/>
          <w:iCs/>
        </w:rPr>
        <w:t xml:space="preserve">Of </w:t>
      </w:r>
      <w:r w:rsidRPr="00126F22">
        <w:rPr>
          <w:i/>
          <w:iCs/>
        </w:rPr>
        <w:t>Academic Ethics</w:t>
      </w:r>
      <w:r w:rsidRPr="00126F22">
        <w:t>, 24.35 (2026), pp. 1-20 (p. 14)</w:t>
      </w:r>
      <w:r w:rsidR="001E68E3" w:rsidRPr="00126F22">
        <w:t>, doi:10.1007/s10805-025-09702-3.</w:t>
      </w:r>
    </w:p>
  </w:footnote>
  <w:footnote w:id="40">
    <w:p w14:paraId="05AA1041" w14:textId="4892653D" w:rsidR="005C0CA2" w:rsidRPr="00126F22" w:rsidRDefault="005C0CA2">
      <w:pPr>
        <w:pStyle w:val="FootnoteText"/>
      </w:pPr>
      <w:r w:rsidRPr="00126F22">
        <w:rPr>
          <w:rStyle w:val="FootnoteReference"/>
        </w:rPr>
        <w:footnoteRef/>
      </w:r>
      <w:r w:rsidRPr="00126F22">
        <w:t xml:space="preserve"> Trevor Day, </w:t>
      </w:r>
      <w:r w:rsidRPr="00126F22">
        <w:rPr>
          <w:i/>
          <w:iCs/>
        </w:rPr>
        <w:t>Success In Academic Writing</w:t>
      </w:r>
      <w:r w:rsidRPr="00126F22">
        <w:t xml:space="preserve"> (</w:t>
      </w:r>
      <w:r w:rsidR="00E6119C" w:rsidRPr="00126F22">
        <w:t xml:space="preserve">London: </w:t>
      </w:r>
      <w:r w:rsidRPr="00126F22">
        <w:t>Bloomsbury Publishing, 2023), p. 41.</w:t>
      </w:r>
    </w:p>
  </w:footnote>
  <w:footnote w:id="41">
    <w:p w14:paraId="2CF4784A" w14:textId="3D319A1E" w:rsidR="00D9647B" w:rsidRPr="00126F22" w:rsidRDefault="00D9647B">
      <w:pPr>
        <w:pStyle w:val="FootnoteText"/>
      </w:pPr>
      <w:r w:rsidRPr="00126F22">
        <w:rPr>
          <w:rStyle w:val="FootnoteReference"/>
        </w:rPr>
        <w:footnoteRef/>
      </w:r>
      <w:r w:rsidRPr="00126F22">
        <w:t xml:space="preserve"> Gillian Bennett, ‘If I Knew You Were Coming, I’d Have Baked A Cake’, p. 122.</w:t>
      </w:r>
    </w:p>
  </w:footnote>
  <w:footnote w:id="42">
    <w:p w14:paraId="03CE73D1" w14:textId="5BC6B9F9" w:rsidR="005C0CA2" w:rsidRPr="005C0CA2" w:rsidRDefault="005C0CA2">
      <w:pPr>
        <w:pStyle w:val="FootnoteText"/>
      </w:pPr>
      <w:r w:rsidRPr="00126F22">
        <w:rPr>
          <w:rStyle w:val="FootnoteReference"/>
        </w:rPr>
        <w:footnoteRef/>
      </w:r>
      <w:r w:rsidRPr="00126F22">
        <w:t xml:space="preserve"> Trevor Day, </w:t>
      </w:r>
      <w:r w:rsidRPr="00126F22">
        <w:rPr>
          <w:i/>
          <w:iCs/>
        </w:rPr>
        <w:t>Success In Academic Writing</w:t>
      </w:r>
      <w:r w:rsidRPr="00126F22">
        <w:t>, p. 42.</w:t>
      </w:r>
    </w:p>
  </w:footnote>
  <w:footnote w:id="43">
    <w:p w14:paraId="50C090B0" w14:textId="4B692292" w:rsidR="00F76276" w:rsidRPr="00F76276" w:rsidRDefault="00F76276">
      <w:pPr>
        <w:pStyle w:val="FootnoteText"/>
        <w:rPr>
          <w:lang w:val="en-US"/>
        </w:rPr>
      </w:pPr>
      <w:r>
        <w:rPr>
          <w:rStyle w:val="FootnoteReference"/>
        </w:rPr>
        <w:footnoteRef/>
      </w:r>
      <w:r>
        <w:t xml:space="preserve"> </w:t>
      </w:r>
      <w:r w:rsidRPr="0006044C">
        <w:rPr>
          <w:lang w:val="en-US"/>
        </w:rPr>
        <w:t xml:space="preserve">Tony Walter and Helen Waterhouse, </w:t>
      </w:r>
      <w:r w:rsidRPr="00033110">
        <w:rPr>
          <w:lang w:val="en-US"/>
        </w:rPr>
        <w:t>‘A</w:t>
      </w:r>
      <w:r>
        <w:rPr>
          <w:lang w:val="en-US"/>
        </w:rPr>
        <w:t xml:space="preserve"> Very Private Belief’, p. 187.</w:t>
      </w:r>
    </w:p>
  </w:footnote>
  <w:footnote w:id="44">
    <w:p w14:paraId="20C783BB" w14:textId="1C3B0894" w:rsidR="005C0CA2" w:rsidRPr="005C0CA2" w:rsidRDefault="005C0CA2">
      <w:pPr>
        <w:pStyle w:val="FootnoteText"/>
      </w:pPr>
      <w:r>
        <w:rPr>
          <w:rStyle w:val="FootnoteReference"/>
        </w:rPr>
        <w:footnoteRef/>
      </w:r>
      <w:r>
        <w:t xml:space="preserve"> </w:t>
      </w:r>
      <w:r w:rsidR="005C59AC">
        <w:t>Ibid,</w:t>
      </w:r>
      <w:r>
        <w:t xml:space="preserve"> p. 41.</w:t>
      </w:r>
    </w:p>
  </w:footnote>
  <w:footnote w:id="45">
    <w:p w14:paraId="14CAC26C" w14:textId="34471B95" w:rsidR="00383FB5" w:rsidRPr="00383FB5" w:rsidRDefault="00383FB5">
      <w:pPr>
        <w:pStyle w:val="FootnoteText"/>
        <w:rPr>
          <w:lang w:val="en-US"/>
        </w:rPr>
      </w:pPr>
      <w:r>
        <w:rPr>
          <w:rStyle w:val="FootnoteReference"/>
        </w:rPr>
        <w:footnoteRef/>
      </w:r>
      <w:r>
        <w:t xml:space="preserve"> </w:t>
      </w:r>
      <w:r w:rsidRPr="0089202D">
        <w:rPr>
          <w:lang w:val="en-US"/>
        </w:rPr>
        <w:t xml:space="preserve">Monique </w:t>
      </w:r>
      <w:proofErr w:type="spellStart"/>
      <w:r w:rsidRPr="0089202D">
        <w:rPr>
          <w:lang w:val="en-US"/>
        </w:rPr>
        <w:t>Hennink</w:t>
      </w:r>
      <w:proofErr w:type="spellEnd"/>
      <w:r w:rsidRPr="0089202D">
        <w:rPr>
          <w:lang w:val="en-US"/>
        </w:rPr>
        <w:t xml:space="preserve">, Inge </w:t>
      </w:r>
      <w:proofErr w:type="spellStart"/>
      <w:r w:rsidRPr="0089202D">
        <w:rPr>
          <w:lang w:val="en-US"/>
        </w:rPr>
        <w:t>Hutter</w:t>
      </w:r>
      <w:proofErr w:type="spellEnd"/>
      <w:r w:rsidRPr="0089202D">
        <w:rPr>
          <w:lang w:val="en-US"/>
        </w:rPr>
        <w:t xml:space="preserve"> and </w:t>
      </w:r>
      <w:r>
        <w:rPr>
          <w:lang w:val="en-US"/>
        </w:rPr>
        <w:t xml:space="preserve">Ajay Bailey, </w:t>
      </w:r>
      <w:r>
        <w:rPr>
          <w:i/>
          <w:iCs/>
          <w:lang w:val="en-US"/>
        </w:rPr>
        <w:t>Qualitative Research Methods</w:t>
      </w:r>
      <w:r>
        <w:rPr>
          <w:lang w:val="en-US"/>
        </w:rPr>
        <w:t>, p. 39.</w:t>
      </w:r>
    </w:p>
  </w:footnote>
  <w:footnote w:id="46">
    <w:p w14:paraId="7FA98A55" w14:textId="0F5468DA" w:rsidR="003F6B46" w:rsidRPr="003F6B46" w:rsidRDefault="003F6B46">
      <w:pPr>
        <w:pStyle w:val="FootnoteText"/>
      </w:pPr>
      <w:r>
        <w:rPr>
          <w:rStyle w:val="FootnoteReference"/>
        </w:rPr>
        <w:footnoteRef/>
      </w:r>
      <w:r>
        <w:t xml:space="preserve"> Gillian Bennett, </w:t>
      </w:r>
      <w:r w:rsidRPr="003738BE">
        <w:t>‘If I Knew You Were Coming, I’d Have Baked A Cake</w:t>
      </w:r>
      <w:r>
        <w:t>’, p</w:t>
      </w:r>
      <w:r w:rsidR="00C472CF">
        <w:t>p</w:t>
      </w:r>
      <w:r>
        <w:t>.140-141.</w:t>
      </w:r>
    </w:p>
  </w:footnote>
  <w:footnote w:id="47">
    <w:p w14:paraId="1CD2C94B" w14:textId="77777777" w:rsidR="00774772" w:rsidRPr="003A51F0" w:rsidRDefault="00774772" w:rsidP="00774772">
      <w:pPr>
        <w:pStyle w:val="FootnoteText"/>
      </w:pPr>
      <w:r>
        <w:rPr>
          <w:rStyle w:val="FootnoteReference"/>
        </w:rPr>
        <w:footnoteRef/>
      </w:r>
      <w:r>
        <w:t xml:space="preserve"> Trevor Day, </w:t>
      </w:r>
      <w:r>
        <w:rPr>
          <w:i/>
          <w:iCs/>
        </w:rPr>
        <w:t>Success In Academic Writing</w:t>
      </w:r>
      <w:r>
        <w:t>, p. 43.</w:t>
      </w:r>
    </w:p>
  </w:footnote>
  <w:footnote w:id="48">
    <w:p w14:paraId="55953AEE" w14:textId="38E1F123" w:rsidR="00DF192B" w:rsidRPr="00DF192B" w:rsidRDefault="00DF192B">
      <w:pPr>
        <w:pStyle w:val="FootnoteText"/>
      </w:pPr>
      <w:r>
        <w:rPr>
          <w:rStyle w:val="FootnoteReference"/>
        </w:rPr>
        <w:footnoteRef/>
      </w:r>
      <w:r>
        <w:t xml:space="preserve"> </w:t>
      </w:r>
      <w:r w:rsidRPr="0006044C">
        <w:rPr>
          <w:lang w:val="en-US"/>
        </w:rPr>
        <w:t xml:space="preserve">Tony Walter and Helen Waterhouse, </w:t>
      </w:r>
      <w:r w:rsidRPr="00033110">
        <w:rPr>
          <w:lang w:val="en-US"/>
        </w:rPr>
        <w:t>‘A</w:t>
      </w:r>
      <w:r>
        <w:rPr>
          <w:lang w:val="en-US"/>
        </w:rPr>
        <w:t xml:space="preserve"> Very Private Belief’, p. 196.</w:t>
      </w:r>
    </w:p>
  </w:footnote>
  <w:footnote w:id="49">
    <w:p w14:paraId="4253E0A5" w14:textId="26F9F94C" w:rsidR="00577125" w:rsidRPr="00577125" w:rsidRDefault="00577125">
      <w:pPr>
        <w:pStyle w:val="FootnoteText"/>
      </w:pPr>
      <w:r>
        <w:rPr>
          <w:rStyle w:val="FootnoteReference"/>
        </w:rPr>
        <w:footnoteRef/>
      </w:r>
      <w:r>
        <w:t xml:space="preserve"> Gillian Bennett, </w:t>
      </w:r>
      <w:r w:rsidRPr="003738BE">
        <w:t>‘If I Knew You Were Coming, I’d Have Baked A Cake</w:t>
      </w:r>
      <w:r>
        <w:t>’, p</w:t>
      </w:r>
      <w:r w:rsidR="00C472CF">
        <w:t>p</w:t>
      </w:r>
      <w:r>
        <w:t>. 12</w:t>
      </w:r>
      <w:r w:rsidR="00A21403">
        <w:t>2</w:t>
      </w:r>
      <w:r>
        <w:t>-126</w:t>
      </w:r>
    </w:p>
  </w:footnote>
  <w:footnote w:id="50">
    <w:p w14:paraId="74B87FC2" w14:textId="1DA16E17" w:rsidR="001343D1" w:rsidRPr="001343D1" w:rsidRDefault="001343D1">
      <w:pPr>
        <w:pStyle w:val="FootnoteText"/>
      </w:pPr>
      <w:r>
        <w:rPr>
          <w:rStyle w:val="FootnoteReference"/>
        </w:rPr>
        <w:footnoteRef/>
      </w:r>
      <w:r>
        <w:t xml:space="preserve"> </w:t>
      </w:r>
      <w:r w:rsidR="00577125">
        <w:t>Ibid</w:t>
      </w:r>
      <w:r>
        <w:t>, p</w:t>
      </w:r>
      <w:r w:rsidR="007C1894">
        <w:t>p</w:t>
      </w:r>
      <w:r>
        <w:t>. 136-139.</w:t>
      </w:r>
    </w:p>
  </w:footnote>
  <w:footnote w:id="51">
    <w:p w14:paraId="2DAEB33E" w14:textId="46515F53" w:rsidR="00C45278" w:rsidRPr="00C45278" w:rsidRDefault="00C45278">
      <w:pPr>
        <w:pStyle w:val="FootnoteText"/>
        <w:rPr>
          <w:lang w:val="en-US"/>
        </w:rPr>
      </w:pPr>
      <w:r>
        <w:rPr>
          <w:rStyle w:val="FootnoteReference"/>
        </w:rPr>
        <w:footnoteRef/>
      </w:r>
      <w:r>
        <w:t xml:space="preserve"> </w:t>
      </w:r>
      <w:r w:rsidRPr="0006044C">
        <w:rPr>
          <w:lang w:val="en-US"/>
        </w:rPr>
        <w:t xml:space="preserve">Tony Walter and Helen Waterhouse, </w:t>
      </w:r>
      <w:r w:rsidRPr="00033110">
        <w:rPr>
          <w:lang w:val="en-US"/>
        </w:rPr>
        <w:t>‘A</w:t>
      </w:r>
      <w:r>
        <w:rPr>
          <w:lang w:val="en-US"/>
        </w:rPr>
        <w:t xml:space="preserve"> Very Private Belief’, p. 188.</w:t>
      </w:r>
    </w:p>
  </w:footnote>
  <w:footnote w:id="52">
    <w:p w14:paraId="5DFCE0EB" w14:textId="0A4EE283" w:rsidR="00C45278" w:rsidRPr="00C472CF" w:rsidRDefault="00C45278">
      <w:pPr>
        <w:pStyle w:val="FootnoteText"/>
        <w:rPr>
          <w:lang w:val="en-US"/>
        </w:rPr>
      </w:pPr>
      <w:r>
        <w:rPr>
          <w:rStyle w:val="FootnoteReference"/>
        </w:rPr>
        <w:footnoteRef/>
      </w:r>
      <w:r>
        <w:t xml:space="preserve"> </w:t>
      </w:r>
      <w:r w:rsidRPr="00C472CF">
        <w:rPr>
          <w:lang w:val="en-US"/>
        </w:rPr>
        <w:t>Ibid, p</w:t>
      </w:r>
      <w:r w:rsidR="00C472CF" w:rsidRPr="00C472CF">
        <w:rPr>
          <w:lang w:val="en-US"/>
        </w:rPr>
        <w:t>p</w:t>
      </w:r>
      <w:r w:rsidRPr="00C472CF">
        <w:rPr>
          <w:lang w:val="en-US"/>
        </w:rPr>
        <w:t>.</w:t>
      </w:r>
      <w:r w:rsidR="00C078B0" w:rsidRPr="00C472CF">
        <w:rPr>
          <w:lang w:val="en-US"/>
        </w:rPr>
        <w:t xml:space="preserve"> </w:t>
      </w:r>
      <w:r w:rsidR="007C1894" w:rsidRPr="00C472CF">
        <w:rPr>
          <w:lang w:val="en-US"/>
        </w:rPr>
        <w:t xml:space="preserve">188, </w:t>
      </w:r>
      <w:r w:rsidR="00C078B0" w:rsidRPr="00C472CF">
        <w:rPr>
          <w:lang w:val="en-US"/>
        </w:rPr>
        <w:t>196.</w:t>
      </w:r>
    </w:p>
  </w:footnote>
  <w:footnote w:id="53">
    <w:p w14:paraId="0939C6AC" w14:textId="67D7EDFC" w:rsidR="00C078B0" w:rsidRPr="00C472CF" w:rsidRDefault="00C078B0">
      <w:pPr>
        <w:pStyle w:val="FootnoteText"/>
        <w:rPr>
          <w:lang w:val="en-US"/>
        </w:rPr>
      </w:pPr>
      <w:r>
        <w:rPr>
          <w:rStyle w:val="FootnoteReference"/>
        </w:rPr>
        <w:footnoteRef/>
      </w:r>
      <w:r>
        <w:t xml:space="preserve"> </w:t>
      </w:r>
      <w:r w:rsidRPr="00C472CF">
        <w:rPr>
          <w:lang w:val="en-US"/>
        </w:rPr>
        <w:t>Ibid, p. 189.</w:t>
      </w:r>
    </w:p>
  </w:footnote>
  <w:footnote w:id="54">
    <w:p w14:paraId="756C8F4A" w14:textId="06EAD46D" w:rsidR="00745DAB" w:rsidRPr="00C472CF" w:rsidRDefault="00745DAB">
      <w:pPr>
        <w:pStyle w:val="FootnoteText"/>
        <w:rPr>
          <w:lang w:val="en-US"/>
        </w:rPr>
      </w:pPr>
      <w:r>
        <w:rPr>
          <w:rStyle w:val="FootnoteReference"/>
        </w:rPr>
        <w:footnoteRef/>
      </w:r>
      <w:r>
        <w:t xml:space="preserve"> </w:t>
      </w:r>
      <w:r w:rsidRPr="00C472CF">
        <w:rPr>
          <w:lang w:val="en-US"/>
        </w:rPr>
        <w:t>Ibid, p. 194.</w:t>
      </w:r>
    </w:p>
  </w:footnote>
  <w:footnote w:id="55">
    <w:p w14:paraId="41C7BA82" w14:textId="23EA9255" w:rsidR="00BA579F" w:rsidRPr="00C472CF" w:rsidRDefault="00BA579F">
      <w:pPr>
        <w:pStyle w:val="FootnoteText"/>
        <w:rPr>
          <w:lang w:val="en-US"/>
        </w:rPr>
      </w:pPr>
      <w:r>
        <w:rPr>
          <w:rStyle w:val="FootnoteReference"/>
        </w:rPr>
        <w:footnoteRef/>
      </w:r>
      <w:r>
        <w:t xml:space="preserve"> </w:t>
      </w:r>
      <w:r w:rsidRPr="00C472CF">
        <w:rPr>
          <w:lang w:val="en-US"/>
        </w:rPr>
        <w:t>Ibid, p. 193.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6B6A6E64" w14:textId="1C3E9336" w:rsidR="00B215DD" w:rsidRPr="00B215DD" w:rsidRDefault="00B215DD" w:rsidP="00B215DD">
        <w:pPr>
          <w:pStyle w:val="Header"/>
          <w:rPr>
            <w:sz w:val="20"/>
            <w:szCs w:val="20"/>
            <w:lang w:val="es-PA"/>
          </w:rPr>
        </w:pPr>
        <w:r w:rsidRPr="007C23CC">
          <w:rPr>
            <w:sz w:val="20"/>
            <w:szCs w:val="20"/>
            <w:lang w:val="es-PA"/>
          </w:rPr>
          <w:t>Maria Raquel De Diego Samaniego 2500924</w:t>
        </w:r>
      </w:p>
      <w:p w14:paraId="4D5DB051" w14:textId="11685AA7" w:rsidR="00B215DD" w:rsidRDefault="00B215DD">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A0BA96C" w14:textId="77777777" w:rsidR="00B215DD" w:rsidRDefault="00B21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24778"/>
    <w:multiLevelType w:val="hybridMultilevel"/>
    <w:tmpl w:val="F6BC363C"/>
    <w:lvl w:ilvl="0" w:tplc="FFFFFFFF">
      <w:start w:val="1"/>
      <w:numFmt w:val="decimal"/>
      <w:lvlText w:val="%1."/>
      <w:lvlJc w:val="left"/>
      <w:pPr>
        <w:ind w:left="1440" w:hanging="360"/>
      </w:pPr>
      <w:rPr>
        <w:rFonts w:hint="default"/>
      </w:r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16F2779"/>
    <w:multiLevelType w:val="hybridMultilevel"/>
    <w:tmpl w:val="B8449B9A"/>
    <w:lvl w:ilvl="0" w:tplc="2000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417B4D77"/>
    <w:multiLevelType w:val="multilevel"/>
    <w:tmpl w:val="2000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 w15:restartNumberingAfterBreak="0">
    <w:nsid w:val="4D020FA8"/>
    <w:multiLevelType w:val="multilevel"/>
    <w:tmpl w:val="A6B4E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0757D"/>
    <w:multiLevelType w:val="multilevel"/>
    <w:tmpl w:val="216A6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6440C6"/>
    <w:multiLevelType w:val="multilevel"/>
    <w:tmpl w:val="52948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409895">
    <w:abstractNumId w:val="3"/>
  </w:num>
  <w:num w:numId="2" w16cid:durableId="8142473">
    <w:abstractNumId w:val="5"/>
  </w:num>
  <w:num w:numId="3" w16cid:durableId="1524585685">
    <w:abstractNumId w:val="4"/>
  </w:num>
  <w:num w:numId="4" w16cid:durableId="446047127">
    <w:abstractNumId w:val="0"/>
  </w:num>
  <w:num w:numId="5" w16cid:durableId="95517319">
    <w:abstractNumId w:val="1"/>
  </w:num>
  <w:num w:numId="6" w16cid:durableId="933391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B6"/>
    <w:rsid w:val="00000644"/>
    <w:rsid w:val="00002AE8"/>
    <w:rsid w:val="0000655F"/>
    <w:rsid w:val="00017C6C"/>
    <w:rsid w:val="00021048"/>
    <w:rsid w:val="00021FA5"/>
    <w:rsid w:val="00022EE1"/>
    <w:rsid w:val="000262B2"/>
    <w:rsid w:val="00033110"/>
    <w:rsid w:val="00033B92"/>
    <w:rsid w:val="00034492"/>
    <w:rsid w:val="0003626C"/>
    <w:rsid w:val="0004594E"/>
    <w:rsid w:val="00054847"/>
    <w:rsid w:val="00057B5C"/>
    <w:rsid w:val="0006044C"/>
    <w:rsid w:val="00060D63"/>
    <w:rsid w:val="00060DE4"/>
    <w:rsid w:val="00064863"/>
    <w:rsid w:val="00065C23"/>
    <w:rsid w:val="00066238"/>
    <w:rsid w:val="00071BEA"/>
    <w:rsid w:val="00080038"/>
    <w:rsid w:val="0008018C"/>
    <w:rsid w:val="00081B87"/>
    <w:rsid w:val="00091983"/>
    <w:rsid w:val="000A0947"/>
    <w:rsid w:val="000A3366"/>
    <w:rsid w:val="000A4F3F"/>
    <w:rsid w:val="000B4131"/>
    <w:rsid w:val="000C323C"/>
    <w:rsid w:val="000D6AC9"/>
    <w:rsid w:val="000F5365"/>
    <w:rsid w:val="00104EAF"/>
    <w:rsid w:val="001068C5"/>
    <w:rsid w:val="00107136"/>
    <w:rsid w:val="00111D5A"/>
    <w:rsid w:val="00116287"/>
    <w:rsid w:val="001164E9"/>
    <w:rsid w:val="00117827"/>
    <w:rsid w:val="00125FD9"/>
    <w:rsid w:val="00126F22"/>
    <w:rsid w:val="00134182"/>
    <w:rsid w:val="001343D1"/>
    <w:rsid w:val="00136288"/>
    <w:rsid w:val="00137F44"/>
    <w:rsid w:val="00142079"/>
    <w:rsid w:val="0015002E"/>
    <w:rsid w:val="00151B85"/>
    <w:rsid w:val="00154093"/>
    <w:rsid w:val="00156D23"/>
    <w:rsid w:val="00160B17"/>
    <w:rsid w:val="00171827"/>
    <w:rsid w:val="0017324F"/>
    <w:rsid w:val="001765A1"/>
    <w:rsid w:val="00183B20"/>
    <w:rsid w:val="0018512C"/>
    <w:rsid w:val="001959E5"/>
    <w:rsid w:val="00195F50"/>
    <w:rsid w:val="001A35C3"/>
    <w:rsid w:val="001A6E24"/>
    <w:rsid w:val="001B672F"/>
    <w:rsid w:val="001B762E"/>
    <w:rsid w:val="001C064D"/>
    <w:rsid w:val="001C0697"/>
    <w:rsid w:val="001C2C52"/>
    <w:rsid w:val="001C5A14"/>
    <w:rsid w:val="001D1D9E"/>
    <w:rsid w:val="001D57BD"/>
    <w:rsid w:val="001D5DEC"/>
    <w:rsid w:val="001D6805"/>
    <w:rsid w:val="001D774B"/>
    <w:rsid w:val="001E68E3"/>
    <w:rsid w:val="002004F8"/>
    <w:rsid w:val="002023D6"/>
    <w:rsid w:val="002056B7"/>
    <w:rsid w:val="002126E1"/>
    <w:rsid w:val="00216713"/>
    <w:rsid w:val="00217E1E"/>
    <w:rsid w:val="00231A0F"/>
    <w:rsid w:val="0023384D"/>
    <w:rsid w:val="0024501A"/>
    <w:rsid w:val="00245CF0"/>
    <w:rsid w:val="00246AC9"/>
    <w:rsid w:val="00250FDD"/>
    <w:rsid w:val="0025141D"/>
    <w:rsid w:val="00253EDC"/>
    <w:rsid w:val="00263133"/>
    <w:rsid w:val="0026532D"/>
    <w:rsid w:val="0026605B"/>
    <w:rsid w:val="00272CFC"/>
    <w:rsid w:val="00274487"/>
    <w:rsid w:val="00275819"/>
    <w:rsid w:val="00281312"/>
    <w:rsid w:val="002832E0"/>
    <w:rsid w:val="002850B0"/>
    <w:rsid w:val="00292C00"/>
    <w:rsid w:val="0029305C"/>
    <w:rsid w:val="002944DD"/>
    <w:rsid w:val="00294810"/>
    <w:rsid w:val="002971FB"/>
    <w:rsid w:val="002C403F"/>
    <w:rsid w:val="002D0396"/>
    <w:rsid w:val="002D4A4A"/>
    <w:rsid w:val="002D6716"/>
    <w:rsid w:val="002E2798"/>
    <w:rsid w:val="002F29B7"/>
    <w:rsid w:val="002F5A97"/>
    <w:rsid w:val="002F61D6"/>
    <w:rsid w:val="003060D2"/>
    <w:rsid w:val="0031138A"/>
    <w:rsid w:val="003247CE"/>
    <w:rsid w:val="00325ECE"/>
    <w:rsid w:val="003343A2"/>
    <w:rsid w:val="00334B2E"/>
    <w:rsid w:val="00337514"/>
    <w:rsid w:val="003459B6"/>
    <w:rsid w:val="00351458"/>
    <w:rsid w:val="00354774"/>
    <w:rsid w:val="00361DD7"/>
    <w:rsid w:val="003738BE"/>
    <w:rsid w:val="003744A2"/>
    <w:rsid w:val="00383FB5"/>
    <w:rsid w:val="003850CB"/>
    <w:rsid w:val="00386F36"/>
    <w:rsid w:val="00390B0E"/>
    <w:rsid w:val="00394E60"/>
    <w:rsid w:val="003A0198"/>
    <w:rsid w:val="003A2C9D"/>
    <w:rsid w:val="003A51F0"/>
    <w:rsid w:val="003B544E"/>
    <w:rsid w:val="003C010E"/>
    <w:rsid w:val="003C041D"/>
    <w:rsid w:val="003C04C0"/>
    <w:rsid w:val="003C64BC"/>
    <w:rsid w:val="003C6DC9"/>
    <w:rsid w:val="003E20A9"/>
    <w:rsid w:val="003F5B50"/>
    <w:rsid w:val="003F6B46"/>
    <w:rsid w:val="003F77B2"/>
    <w:rsid w:val="00401E42"/>
    <w:rsid w:val="00403920"/>
    <w:rsid w:val="00404676"/>
    <w:rsid w:val="00404AD1"/>
    <w:rsid w:val="00405356"/>
    <w:rsid w:val="00406A48"/>
    <w:rsid w:val="00410639"/>
    <w:rsid w:val="00413B62"/>
    <w:rsid w:val="00421987"/>
    <w:rsid w:val="0042268B"/>
    <w:rsid w:val="004251BC"/>
    <w:rsid w:val="0042657D"/>
    <w:rsid w:val="004310C3"/>
    <w:rsid w:val="00441E0F"/>
    <w:rsid w:val="00444EA0"/>
    <w:rsid w:val="00455DF7"/>
    <w:rsid w:val="00457020"/>
    <w:rsid w:val="0046103E"/>
    <w:rsid w:val="004632FB"/>
    <w:rsid w:val="00463B5F"/>
    <w:rsid w:val="00466CDF"/>
    <w:rsid w:val="00471D76"/>
    <w:rsid w:val="00483E2A"/>
    <w:rsid w:val="004860DD"/>
    <w:rsid w:val="004903FA"/>
    <w:rsid w:val="004937DC"/>
    <w:rsid w:val="00494237"/>
    <w:rsid w:val="004A147F"/>
    <w:rsid w:val="004A1691"/>
    <w:rsid w:val="004A297B"/>
    <w:rsid w:val="004A778B"/>
    <w:rsid w:val="004B20C4"/>
    <w:rsid w:val="004C0787"/>
    <w:rsid w:val="004C0F56"/>
    <w:rsid w:val="004C2163"/>
    <w:rsid w:val="004C3FF5"/>
    <w:rsid w:val="004E0348"/>
    <w:rsid w:val="004E7470"/>
    <w:rsid w:val="004E794E"/>
    <w:rsid w:val="004F67FF"/>
    <w:rsid w:val="005330EA"/>
    <w:rsid w:val="0053433D"/>
    <w:rsid w:val="00544491"/>
    <w:rsid w:val="005447D3"/>
    <w:rsid w:val="00562ADE"/>
    <w:rsid w:val="005633F0"/>
    <w:rsid w:val="0056698E"/>
    <w:rsid w:val="005723CF"/>
    <w:rsid w:val="00577125"/>
    <w:rsid w:val="00581273"/>
    <w:rsid w:val="005830FB"/>
    <w:rsid w:val="00584B5B"/>
    <w:rsid w:val="00597112"/>
    <w:rsid w:val="005A55E3"/>
    <w:rsid w:val="005B662F"/>
    <w:rsid w:val="005B6A0E"/>
    <w:rsid w:val="005C0CA2"/>
    <w:rsid w:val="005C59AC"/>
    <w:rsid w:val="005C6474"/>
    <w:rsid w:val="005D19AF"/>
    <w:rsid w:val="005D3395"/>
    <w:rsid w:val="005D33EB"/>
    <w:rsid w:val="005E0CA2"/>
    <w:rsid w:val="005E1DD6"/>
    <w:rsid w:val="005E2BE3"/>
    <w:rsid w:val="005E413F"/>
    <w:rsid w:val="005E5D7E"/>
    <w:rsid w:val="005F6BA5"/>
    <w:rsid w:val="00604D45"/>
    <w:rsid w:val="00610639"/>
    <w:rsid w:val="00611EF5"/>
    <w:rsid w:val="00622B87"/>
    <w:rsid w:val="00625074"/>
    <w:rsid w:val="00636384"/>
    <w:rsid w:val="0063680F"/>
    <w:rsid w:val="00636971"/>
    <w:rsid w:val="00636A88"/>
    <w:rsid w:val="0064277E"/>
    <w:rsid w:val="0065479C"/>
    <w:rsid w:val="00665E48"/>
    <w:rsid w:val="00665FA3"/>
    <w:rsid w:val="006906AE"/>
    <w:rsid w:val="00693DCB"/>
    <w:rsid w:val="006A350D"/>
    <w:rsid w:val="006A618D"/>
    <w:rsid w:val="006B63AA"/>
    <w:rsid w:val="006C2FA7"/>
    <w:rsid w:val="006C3008"/>
    <w:rsid w:val="006D0722"/>
    <w:rsid w:val="006D09CA"/>
    <w:rsid w:val="006E36DD"/>
    <w:rsid w:val="006E590C"/>
    <w:rsid w:val="006F2E1B"/>
    <w:rsid w:val="0070779D"/>
    <w:rsid w:val="00710555"/>
    <w:rsid w:val="007215CF"/>
    <w:rsid w:val="007265A6"/>
    <w:rsid w:val="00726827"/>
    <w:rsid w:val="00743E5C"/>
    <w:rsid w:val="00744941"/>
    <w:rsid w:val="0074560E"/>
    <w:rsid w:val="00745DAB"/>
    <w:rsid w:val="00753B85"/>
    <w:rsid w:val="00761CFC"/>
    <w:rsid w:val="00762D4E"/>
    <w:rsid w:val="00774772"/>
    <w:rsid w:val="00775284"/>
    <w:rsid w:val="00781046"/>
    <w:rsid w:val="00782B73"/>
    <w:rsid w:val="007A649F"/>
    <w:rsid w:val="007C1894"/>
    <w:rsid w:val="007C1F20"/>
    <w:rsid w:val="007D4A00"/>
    <w:rsid w:val="007D5013"/>
    <w:rsid w:val="007E28C8"/>
    <w:rsid w:val="007E6805"/>
    <w:rsid w:val="007F33FE"/>
    <w:rsid w:val="0080450C"/>
    <w:rsid w:val="00812425"/>
    <w:rsid w:val="00814C10"/>
    <w:rsid w:val="00820DCF"/>
    <w:rsid w:val="0082384B"/>
    <w:rsid w:val="008337C0"/>
    <w:rsid w:val="00834B6C"/>
    <w:rsid w:val="0083609E"/>
    <w:rsid w:val="00841576"/>
    <w:rsid w:val="0085700C"/>
    <w:rsid w:val="008617FF"/>
    <w:rsid w:val="00861859"/>
    <w:rsid w:val="00863401"/>
    <w:rsid w:val="00865A38"/>
    <w:rsid w:val="00866557"/>
    <w:rsid w:val="008665CE"/>
    <w:rsid w:val="00867A3B"/>
    <w:rsid w:val="00872EE8"/>
    <w:rsid w:val="008731B0"/>
    <w:rsid w:val="008746C4"/>
    <w:rsid w:val="00884E9F"/>
    <w:rsid w:val="0089202D"/>
    <w:rsid w:val="00893725"/>
    <w:rsid w:val="00893A83"/>
    <w:rsid w:val="008A4EE7"/>
    <w:rsid w:val="008A5A14"/>
    <w:rsid w:val="008B1073"/>
    <w:rsid w:val="008B2CD8"/>
    <w:rsid w:val="008B4933"/>
    <w:rsid w:val="008C4DC5"/>
    <w:rsid w:val="008C5F6E"/>
    <w:rsid w:val="008D06BD"/>
    <w:rsid w:val="008D09CE"/>
    <w:rsid w:val="008D0E24"/>
    <w:rsid w:val="008D7F8C"/>
    <w:rsid w:val="008E5063"/>
    <w:rsid w:val="008F15FA"/>
    <w:rsid w:val="009079FF"/>
    <w:rsid w:val="00911D63"/>
    <w:rsid w:val="009241DC"/>
    <w:rsid w:val="009325E5"/>
    <w:rsid w:val="009346DB"/>
    <w:rsid w:val="00935A96"/>
    <w:rsid w:val="0094156A"/>
    <w:rsid w:val="009428BF"/>
    <w:rsid w:val="00945B8F"/>
    <w:rsid w:val="00946461"/>
    <w:rsid w:val="00953DC3"/>
    <w:rsid w:val="0096604E"/>
    <w:rsid w:val="009712A5"/>
    <w:rsid w:val="0097202F"/>
    <w:rsid w:val="00973AFB"/>
    <w:rsid w:val="00980085"/>
    <w:rsid w:val="00980EB7"/>
    <w:rsid w:val="00982619"/>
    <w:rsid w:val="0098454D"/>
    <w:rsid w:val="009877FD"/>
    <w:rsid w:val="00995A7E"/>
    <w:rsid w:val="0099737B"/>
    <w:rsid w:val="009A16AE"/>
    <w:rsid w:val="009A4B97"/>
    <w:rsid w:val="009B102A"/>
    <w:rsid w:val="009B18A7"/>
    <w:rsid w:val="009B66DB"/>
    <w:rsid w:val="009C11AC"/>
    <w:rsid w:val="009C3FAD"/>
    <w:rsid w:val="009C5C9D"/>
    <w:rsid w:val="009C6305"/>
    <w:rsid w:val="009E0687"/>
    <w:rsid w:val="009E13A5"/>
    <w:rsid w:val="009E641F"/>
    <w:rsid w:val="009E6558"/>
    <w:rsid w:val="009E6C0D"/>
    <w:rsid w:val="009F5047"/>
    <w:rsid w:val="009F6E0C"/>
    <w:rsid w:val="00A03091"/>
    <w:rsid w:val="00A06155"/>
    <w:rsid w:val="00A12BA5"/>
    <w:rsid w:val="00A13C1F"/>
    <w:rsid w:val="00A21403"/>
    <w:rsid w:val="00A308E9"/>
    <w:rsid w:val="00A31D39"/>
    <w:rsid w:val="00A3489D"/>
    <w:rsid w:val="00A35596"/>
    <w:rsid w:val="00A3678C"/>
    <w:rsid w:val="00A4213C"/>
    <w:rsid w:val="00A46A73"/>
    <w:rsid w:val="00A55C63"/>
    <w:rsid w:val="00A566D5"/>
    <w:rsid w:val="00A61681"/>
    <w:rsid w:val="00A66BD1"/>
    <w:rsid w:val="00A700C4"/>
    <w:rsid w:val="00A70104"/>
    <w:rsid w:val="00A74F4D"/>
    <w:rsid w:val="00A8201A"/>
    <w:rsid w:val="00A82044"/>
    <w:rsid w:val="00A86C66"/>
    <w:rsid w:val="00A87CB7"/>
    <w:rsid w:val="00A90542"/>
    <w:rsid w:val="00A93C7C"/>
    <w:rsid w:val="00A950D6"/>
    <w:rsid w:val="00AA174E"/>
    <w:rsid w:val="00AA295A"/>
    <w:rsid w:val="00AA45EE"/>
    <w:rsid w:val="00AB4F42"/>
    <w:rsid w:val="00AC72BC"/>
    <w:rsid w:val="00AD087C"/>
    <w:rsid w:val="00AD4171"/>
    <w:rsid w:val="00AD454A"/>
    <w:rsid w:val="00AD469E"/>
    <w:rsid w:val="00AE0094"/>
    <w:rsid w:val="00AE0F69"/>
    <w:rsid w:val="00AE35CD"/>
    <w:rsid w:val="00AE6376"/>
    <w:rsid w:val="00AE6843"/>
    <w:rsid w:val="00B0084D"/>
    <w:rsid w:val="00B01A7A"/>
    <w:rsid w:val="00B063F4"/>
    <w:rsid w:val="00B1706B"/>
    <w:rsid w:val="00B215DD"/>
    <w:rsid w:val="00B31E12"/>
    <w:rsid w:val="00B41CC6"/>
    <w:rsid w:val="00B56220"/>
    <w:rsid w:val="00B57845"/>
    <w:rsid w:val="00B610AF"/>
    <w:rsid w:val="00B719A4"/>
    <w:rsid w:val="00B809D6"/>
    <w:rsid w:val="00B836BC"/>
    <w:rsid w:val="00B85643"/>
    <w:rsid w:val="00B87B52"/>
    <w:rsid w:val="00B87EFE"/>
    <w:rsid w:val="00BA579F"/>
    <w:rsid w:val="00BB3B7D"/>
    <w:rsid w:val="00BB7E48"/>
    <w:rsid w:val="00BC2A47"/>
    <w:rsid w:val="00BE29F9"/>
    <w:rsid w:val="00BE2E07"/>
    <w:rsid w:val="00BF3ED7"/>
    <w:rsid w:val="00C021BB"/>
    <w:rsid w:val="00C04EFC"/>
    <w:rsid w:val="00C078B0"/>
    <w:rsid w:val="00C14E83"/>
    <w:rsid w:val="00C3223D"/>
    <w:rsid w:val="00C3275B"/>
    <w:rsid w:val="00C34058"/>
    <w:rsid w:val="00C421F4"/>
    <w:rsid w:val="00C45278"/>
    <w:rsid w:val="00C472CF"/>
    <w:rsid w:val="00C47C41"/>
    <w:rsid w:val="00C53354"/>
    <w:rsid w:val="00C535D2"/>
    <w:rsid w:val="00C57C5F"/>
    <w:rsid w:val="00C63CA9"/>
    <w:rsid w:val="00C643C6"/>
    <w:rsid w:val="00C72443"/>
    <w:rsid w:val="00C73D45"/>
    <w:rsid w:val="00C861F8"/>
    <w:rsid w:val="00C87792"/>
    <w:rsid w:val="00C91157"/>
    <w:rsid w:val="00C91573"/>
    <w:rsid w:val="00C954DA"/>
    <w:rsid w:val="00C97919"/>
    <w:rsid w:val="00CA3C69"/>
    <w:rsid w:val="00CB0ABA"/>
    <w:rsid w:val="00CB21CB"/>
    <w:rsid w:val="00CB2F07"/>
    <w:rsid w:val="00CC245E"/>
    <w:rsid w:val="00CC45D7"/>
    <w:rsid w:val="00CD353D"/>
    <w:rsid w:val="00CE74FC"/>
    <w:rsid w:val="00D0404A"/>
    <w:rsid w:val="00D1487E"/>
    <w:rsid w:val="00D14E1F"/>
    <w:rsid w:val="00D24604"/>
    <w:rsid w:val="00D31AF4"/>
    <w:rsid w:val="00D3575E"/>
    <w:rsid w:val="00D40D12"/>
    <w:rsid w:val="00D421D5"/>
    <w:rsid w:val="00D43D4B"/>
    <w:rsid w:val="00D459B4"/>
    <w:rsid w:val="00D62432"/>
    <w:rsid w:val="00D63CD7"/>
    <w:rsid w:val="00D71F7A"/>
    <w:rsid w:val="00D720CA"/>
    <w:rsid w:val="00D7437E"/>
    <w:rsid w:val="00D8086B"/>
    <w:rsid w:val="00D86D60"/>
    <w:rsid w:val="00D92914"/>
    <w:rsid w:val="00D95416"/>
    <w:rsid w:val="00D9647B"/>
    <w:rsid w:val="00DA0541"/>
    <w:rsid w:val="00DB7BCC"/>
    <w:rsid w:val="00DC366D"/>
    <w:rsid w:val="00DD7556"/>
    <w:rsid w:val="00DE3C07"/>
    <w:rsid w:val="00DF192B"/>
    <w:rsid w:val="00DF3FF9"/>
    <w:rsid w:val="00DF79F3"/>
    <w:rsid w:val="00E016B6"/>
    <w:rsid w:val="00E035E6"/>
    <w:rsid w:val="00E03C8E"/>
    <w:rsid w:val="00E06581"/>
    <w:rsid w:val="00E11C4A"/>
    <w:rsid w:val="00E14F30"/>
    <w:rsid w:val="00E1701C"/>
    <w:rsid w:val="00E35A86"/>
    <w:rsid w:val="00E44977"/>
    <w:rsid w:val="00E523C1"/>
    <w:rsid w:val="00E578FD"/>
    <w:rsid w:val="00E602E1"/>
    <w:rsid w:val="00E6119C"/>
    <w:rsid w:val="00E61406"/>
    <w:rsid w:val="00E618E6"/>
    <w:rsid w:val="00E65807"/>
    <w:rsid w:val="00E74BC6"/>
    <w:rsid w:val="00E766E0"/>
    <w:rsid w:val="00E806F4"/>
    <w:rsid w:val="00E80C60"/>
    <w:rsid w:val="00EA1500"/>
    <w:rsid w:val="00EA47D4"/>
    <w:rsid w:val="00EA6348"/>
    <w:rsid w:val="00EA7231"/>
    <w:rsid w:val="00EA7456"/>
    <w:rsid w:val="00EB1817"/>
    <w:rsid w:val="00ED642B"/>
    <w:rsid w:val="00ED6CBB"/>
    <w:rsid w:val="00EE15CF"/>
    <w:rsid w:val="00EF3238"/>
    <w:rsid w:val="00F105D5"/>
    <w:rsid w:val="00F10C16"/>
    <w:rsid w:val="00F1173C"/>
    <w:rsid w:val="00F176F0"/>
    <w:rsid w:val="00F22172"/>
    <w:rsid w:val="00F36330"/>
    <w:rsid w:val="00F3763A"/>
    <w:rsid w:val="00F37E7E"/>
    <w:rsid w:val="00F504B0"/>
    <w:rsid w:val="00F60163"/>
    <w:rsid w:val="00F653DE"/>
    <w:rsid w:val="00F7090E"/>
    <w:rsid w:val="00F728AB"/>
    <w:rsid w:val="00F76276"/>
    <w:rsid w:val="00F81AB6"/>
    <w:rsid w:val="00F821BF"/>
    <w:rsid w:val="00F8589C"/>
    <w:rsid w:val="00F90120"/>
    <w:rsid w:val="00F955D3"/>
    <w:rsid w:val="00F97F68"/>
    <w:rsid w:val="00FA0525"/>
    <w:rsid w:val="00FA655D"/>
    <w:rsid w:val="00FA7A80"/>
    <w:rsid w:val="00FB14FF"/>
    <w:rsid w:val="00FB636E"/>
    <w:rsid w:val="00FB78AC"/>
    <w:rsid w:val="00FC026E"/>
    <w:rsid w:val="00FC4280"/>
    <w:rsid w:val="00FC76BD"/>
    <w:rsid w:val="00FD1340"/>
    <w:rsid w:val="00FD2419"/>
    <w:rsid w:val="00FF38EF"/>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72B23C"/>
  <w15:chartTrackingRefBased/>
  <w15:docId w15:val="{34C7CECF-FC0B-4264-A44E-1D42670E7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5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5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9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5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5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9B6"/>
    <w:rPr>
      <w:rFonts w:eastAsiaTheme="majorEastAsia" w:cstheme="majorBidi"/>
      <w:color w:val="272727" w:themeColor="text1" w:themeTint="D8"/>
    </w:rPr>
  </w:style>
  <w:style w:type="paragraph" w:styleId="Title">
    <w:name w:val="Title"/>
    <w:basedOn w:val="Normal"/>
    <w:next w:val="Normal"/>
    <w:link w:val="TitleChar"/>
    <w:uiPriority w:val="10"/>
    <w:qFormat/>
    <w:rsid w:val="003459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9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9B6"/>
    <w:pPr>
      <w:spacing w:before="160"/>
      <w:jc w:val="center"/>
    </w:pPr>
    <w:rPr>
      <w:i/>
      <w:iCs/>
      <w:color w:val="404040" w:themeColor="text1" w:themeTint="BF"/>
    </w:rPr>
  </w:style>
  <w:style w:type="character" w:customStyle="1" w:styleId="QuoteChar">
    <w:name w:val="Quote Char"/>
    <w:basedOn w:val="DefaultParagraphFont"/>
    <w:link w:val="Quote"/>
    <w:uiPriority w:val="29"/>
    <w:rsid w:val="003459B6"/>
    <w:rPr>
      <w:i/>
      <w:iCs/>
      <w:color w:val="404040" w:themeColor="text1" w:themeTint="BF"/>
    </w:rPr>
  </w:style>
  <w:style w:type="paragraph" w:styleId="ListParagraph">
    <w:name w:val="List Paragraph"/>
    <w:basedOn w:val="Normal"/>
    <w:uiPriority w:val="34"/>
    <w:qFormat/>
    <w:rsid w:val="003459B6"/>
    <w:pPr>
      <w:ind w:left="720"/>
      <w:contextualSpacing/>
    </w:pPr>
  </w:style>
  <w:style w:type="character" w:styleId="IntenseEmphasis">
    <w:name w:val="Intense Emphasis"/>
    <w:basedOn w:val="DefaultParagraphFont"/>
    <w:uiPriority w:val="21"/>
    <w:qFormat/>
    <w:rsid w:val="003459B6"/>
    <w:rPr>
      <w:i/>
      <w:iCs/>
      <w:color w:val="0F4761" w:themeColor="accent1" w:themeShade="BF"/>
    </w:rPr>
  </w:style>
  <w:style w:type="paragraph" w:styleId="IntenseQuote">
    <w:name w:val="Intense Quote"/>
    <w:basedOn w:val="Normal"/>
    <w:next w:val="Normal"/>
    <w:link w:val="IntenseQuoteChar"/>
    <w:uiPriority w:val="30"/>
    <w:qFormat/>
    <w:rsid w:val="00345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9B6"/>
    <w:rPr>
      <w:i/>
      <w:iCs/>
      <w:color w:val="0F4761" w:themeColor="accent1" w:themeShade="BF"/>
    </w:rPr>
  </w:style>
  <w:style w:type="character" w:styleId="IntenseReference">
    <w:name w:val="Intense Reference"/>
    <w:basedOn w:val="DefaultParagraphFont"/>
    <w:uiPriority w:val="32"/>
    <w:qFormat/>
    <w:rsid w:val="003459B6"/>
    <w:rPr>
      <w:b/>
      <w:bCs/>
      <w:smallCaps/>
      <w:color w:val="0F4761" w:themeColor="accent1" w:themeShade="BF"/>
      <w:spacing w:val="5"/>
    </w:rPr>
  </w:style>
  <w:style w:type="paragraph" w:styleId="FootnoteText">
    <w:name w:val="footnote text"/>
    <w:basedOn w:val="Normal"/>
    <w:link w:val="FootnoteTextChar"/>
    <w:uiPriority w:val="99"/>
    <w:unhideWhenUsed/>
    <w:rsid w:val="009B18A7"/>
    <w:pPr>
      <w:spacing w:after="0" w:line="240" w:lineRule="auto"/>
    </w:pPr>
    <w:rPr>
      <w:sz w:val="20"/>
      <w:szCs w:val="20"/>
    </w:rPr>
  </w:style>
  <w:style w:type="character" w:customStyle="1" w:styleId="FootnoteTextChar">
    <w:name w:val="Footnote Text Char"/>
    <w:basedOn w:val="DefaultParagraphFont"/>
    <w:link w:val="FootnoteText"/>
    <w:uiPriority w:val="99"/>
    <w:rsid w:val="009B18A7"/>
    <w:rPr>
      <w:sz w:val="20"/>
      <w:szCs w:val="20"/>
    </w:rPr>
  </w:style>
  <w:style w:type="character" w:styleId="FootnoteReference">
    <w:name w:val="footnote reference"/>
    <w:basedOn w:val="DefaultParagraphFont"/>
    <w:uiPriority w:val="99"/>
    <w:semiHidden/>
    <w:unhideWhenUsed/>
    <w:rsid w:val="009B18A7"/>
    <w:rPr>
      <w:vertAlign w:val="superscript"/>
    </w:rPr>
  </w:style>
  <w:style w:type="character" w:styleId="Hyperlink">
    <w:name w:val="Hyperlink"/>
    <w:basedOn w:val="DefaultParagraphFont"/>
    <w:uiPriority w:val="99"/>
    <w:unhideWhenUsed/>
    <w:rsid w:val="00B1706B"/>
    <w:rPr>
      <w:color w:val="467886" w:themeColor="hyperlink"/>
      <w:u w:val="single"/>
    </w:rPr>
  </w:style>
  <w:style w:type="character" w:styleId="UnresolvedMention">
    <w:name w:val="Unresolved Mention"/>
    <w:basedOn w:val="DefaultParagraphFont"/>
    <w:uiPriority w:val="99"/>
    <w:semiHidden/>
    <w:unhideWhenUsed/>
    <w:rsid w:val="00B1706B"/>
    <w:rPr>
      <w:color w:val="605E5C"/>
      <w:shd w:val="clear" w:color="auto" w:fill="E1DFDD"/>
    </w:rPr>
  </w:style>
  <w:style w:type="character" w:styleId="FollowedHyperlink">
    <w:name w:val="FollowedHyperlink"/>
    <w:basedOn w:val="DefaultParagraphFont"/>
    <w:uiPriority w:val="99"/>
    <w:semiHidden/>
    <w:unhideWhenUsed/>
    <w:rsid w:val="00B1706B"/>
    <w:rPr>
      <w:color w:val="96607D" w:themeColor="followedHyperlink"/>
      <w:u w:val="single"/>
    </w:rPr>
  </w:style>
  <w:style w:type="character" w:styleId="CommentReference">
    <w:name w:val="annotation reference"/>
    <w:basedOn w:val="DefaultParagraphFont"/>
    <w:uiPriority w:val="99"/>
    <w:semiHidden/>
    <w:unhideWhenUsed/>
    <w:rsid w:val="00081B87"/>
    <w:rPr>
      <w:sz w:val="16"/>
      <w:szCs w:val="16"/>
    </w:rPr>
  </w:style>
  <w:style w:type="paragraph" w:styleId="CommentText">
    <w:name w:val="annotation text"/>
    <w:basedOn w:val="Normal"/>
    <w:link w:val="CommentTextChar"/>
    <w:uiPriority w:val="99"/>
    <w:semiHidden/>
    <w:unhideWhenUsed/>
    <w:rsid w:val="00081B87"/>
    <w:pPr>
      <w:spacing w:line="240" w:lineRule="auto"/>
    </w:pPr>
    <w:rPr>
      <w:sz w:val="20"/>
      <w:szCs w:val="20"/>
    </w:rPr>
  </w:style>
  <w:style w:type="character" w:customStyle="1" w:styleId="CommentTextChar">
    <w:name w:val="Comment Text Char"/>
    <w:basedOn w:val="DefaultParagraphFont"/>
    <w:link w:val="CommentText"/>
    <w:uiPriority w:val="99"/>
    <w:semiHidden/>
    <w:rsid w:val="00081B87"/>
    <w:rPr>
      <w:sz w:val="20"/>
      <w:szCs w:val="20"/>
    </w:rPr>
  </w:style>
  <w:style w:type="paragraph" w:styleId="CommentSubject">
    <w:name w:val="annotation subject"/>
    <w:basedOn w:val="CommentText"/>
    <w:next w:val="CommentText"/>
    <w:link w:val="CommentSubjectChar"/>
    <w:uiPriority w:val="99"/>
    <w:semiHidden/>
    <w:unhideWhenUsed/>
    <w:rsid w:val="00081B87"/>
    <w:rPr>
      <w:b/>
      <w:bCs/>
    </w:rPr>
  </w:style>
  <w:style w:type="character" w:customStyle="1" w:styleId="CommentSubjectChar">
    <w:name w:val="Comment Subject Char"/>
    <w:basedOn w:val="CommentTextChar"/>
    <w:link w:val="CommentSubject"/>
    <w:uiPriority w:val="99"/>
    <w:semiHidden/>
    <w:rsid w:val="00081B87"/>
    <w:rPr>
      <w:b/>
      <w:bCs/>
      <w:sz w:val="20"/>
      <w:szCs w:val="20"/>
    </w:rPr>
  </w:style>
  <w:style w:type="paragraph" w:styleId="Header">
    <w:name w:val="header"/>
    <w:basedOn w:val="Normal"/>
    <w:link w:val="HeaderChar"/>
    <w:uiPriority w:val="99"/>
    <w:unhideWhenUsed/>
    <w:rsid w:val="00B21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5DD"/>
  </w:style>
  <w:style w:type="paragraph" w:styleId="Footer">
    <w:name w:val="footer"/>
    <w:basedOn w:val="Normal"/>
    <w:link w:val="FooterChar"/>
    <w:uiPriority w:val="99"/>
    <w:unhideWhenUsed/>
    <w:rsid w:val="00B21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5DD"/>
  </w:style>
  <w:style w:type="paragraph" w:styleId="NormalWeb">
    <w:name w:val="Normal (Web)"/>
    <w:basedOn w:val="Normal"/>
    <w:uiPriority w:val="99"/>
    <w:unhideWhenUsed/>
    <w:rsid w:val="00F37E7E"/>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4676">
      <w:bodyDiv w:val="1"/>
      <w:marLeft w:val="0"/>
      <w:marRight w:val="0"/>
      <w:marTop w:val="0"/>
      <w:marBottom w:val="0"/>
      <w:divBdr>
        <w:top w:val="none" w:sz="0" w:space="0" w:color="auto"/>
        <w:left w:val="none" w:sz="0" w:space="0" w:color="auto"/>
        <w:bottom w:val="none" w:sz="0" w:space="0" w:color="auto"/>
        <w:right w:val="none" w:sz="0" w:space="0" w:color="auto"/>
      </w:divBdr>
    </w:div>
    <w:div w:id="116073712">
      <w:bodyDiv w:val="1"/>
      <w:marLeft w:val="0"/>
      <w:marRight w:val="0"/>
      <w:marTop w:val="0"/>
      <w:marBottom w:val="0"/>
      <w:divBdr>
        <w:top w:val="none" w:sz="0" w:space="0" w:color="auto"/>
        <w:left w:val="none" w:sz="0" w:space="0" w:color="auto"/>
        <w:bottom w:val="none" w:sz="0" w:space="0" w:color="auto"/>
        <w:right w:val="none" w:sz="0" w:space="0" w:color="auto"/>
      </w:divBdr>
    </w:div>
    <w:div w:id="156961974">
      <w:bodyDiv w:val="1"/>
      <w:marLeft w:val="0"/>
      <w:marRight w:val="0"/>
      <w:marTop w:val="0"/>
      <w:marBottom w:val="0"/>
      <w:divBdr>
        <w:top w:val="none" w:sz="0" w:space="0" w:color="auto"/>
        <w:left w:val="none" w:sz="0" w:space="0" w:color="auto"/>
        <w:bottom w:val="none" w:sz="0" w:space="0" w:color="auto"/>
        <w:right w:val="none" w:sz="0" w:space="0" w:color="auto"/>
      </w:divBdr>
    </w:div>
    <w:div w:id="170875506">
      <w:bodyDiv w:val="1"/>
      <w:marLeft w:val="0"/>
      <w:marRight w:val="0"/>
      <w:marTop w:val="0"/>
      <w:marBottom w:val="0"/>
      <w:divBdr>
        <w:top w:val="none" w:sz="0" w:space="0" w:color="auto"/>
        <w:left w:val="none" w:sz="0" w:space="0" w:color="auto"/>
        <w:bottom w:val="none" w:sz="0" w:space="0" w:color="auto"/>
        <w:right w:val="none" w:sz="0" w:space="0" w:color="auto"/>
      </w:divBdr>
    </w:div>
    <w:div w:id="242035707">
      <w:bodyDiv w:val="1"/>
      <w:marLeft w:val="0"/>
      <w:marRight w:val="0"/>
      <w:marTop w:val="0"/>
      <w:marBottom w:val="0"/>
      <w:divBdr>
        <w:top w:val="none" w:sz="0" w:space="0" w:color="auto"/>
        <w:left w:val="none" w:sz="0" w:space="0" w:color="auto"/>
        <w:bottom w:val="none" w:sz="0" w:space="0" w:color="auto"/>
        <w:right w:val="none" w:sz="0" w:space="0" w:color="auto"/>
      </w:divBdr>
      <w:divsChild>
        <w:div w:id="92825431">
          <w:marLeft w:val="0"/>
          <w:marRight w:val="0"/>
          <w:marTop w:val="0"/>
          <w:marBottom w:val="0"/>
          <w:divBdr>
            <w:top w:val="none" w:sz="0" w:space="0" w:color="auto"/>
            <w:left w:val="none" w:sz="0" w:space="0" w:color="auto"/>
            <w:bottom w:val="none" w:sz="0" w:space="0" w:color="auto"/>
            <w:right w:val="none" w:sz="0" w:space="0" w:color="auto"/>
          </w:divBdr>
          <w:divsChild>
            <w:div w:id="107802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623912">
      <w:bodyDiv w:val="1"/>
      <w:marLeft w:val="0"/>
      <w:marRight w:val="0"/>
      <w:marTop w:val="0"/>
      <w:marBottom w:val="0"/>
      <w:divBdr>
        <w:top w:val="none" w:sz="0" w:space="0" w:color="auto"/>
        <w:left w:val="none" w:sz="0" w:space="0" w:color="auto"/>
        <w:bottom w:val="none" w:sz="0" w:space="0" w:color="auto"/>
        <w:right w:val="none" w:sz="0" w:space="0" w:color="auto"/>
      </w:divBdr>
    </w:div>
    <w:div w:id="638346502">
      <w:bodyDiv w:val="1"/>
      <w:marLeft w:val="0"/>
      <w:marRight w:val="0"/>
      <w:marTop w:val="0"/>
      <w:marBottom w:val="0"/>
      <w:divBdr>
        <w:top w:val="none" w:sz="0" w:space="0" w:color="auto"/>
        <w:left w:val="none" w:sz="0" w:space="0" w:color="auto"/>
        <w:bottom w:val="none" w:sz="0" w:space="0" w:color="auto"/>
        <w:right w:val="none" w:sz="0" w:space="0" w:color="auto"/>
      </w:divBdr>
    </w:div>
    <w:div w:id="725571700">
      <w:bodyDiv w:val="1"/>
      <w:marLeft w:val="0"/>
      <w:marRight w:val="0"/>
      <w:marTop w:val="0"/>
      <w:marBottom w:val="0"/>
      <w:divBdr>
        <w:top w:val="none" w:sz="0" w:space="0" w:color="auto"/>
        <w:left w:val="none" w:sz="0" w:space="0" w:color="auto"/>
        <w:bottom w:val="none" w:sz="0" w:space="0" w:color="auto"/>
        <w:right w:val="none" w:sz="0" w:space="0" w:color="auto"/>
      </w:divBdr>
    </w:div>
    <w:div w:id="803735267">
      <w:bodyDiv w:val="1"/>
      <w:marLeft w:val="0"/>
      <w:marRight w:val="0"/>
      <w:marTop w:val="0"/>
      <w:marBottom w:val="0"/>
      <w:divBdr>
        <w:top w:val="none" w:sz="0" w:space="0" w:color="auto"/>
        <w:left w:val="none" w:sz="0" w:space="0" w:color="auto"/>
        <w:bottom w:val="none" w:sz="0" w:space="0" w:color="auto"/>
        <w:right w:val="none" w:sz="0" w:space="0" w:color="auto"/>
      </w:divBdr>
      <w:divsChild>
        <w:div w:id="1851793568">
          <w:marLeft w:val="0"/>
          <w:marRight w:val="0"/>
          <w:marTop w:val="0"/>
          <w:marBottom w:val="0"/>
          <w:divBdr>
            <w:top w:val="none" w:sz="0" w:space="0" w:color="auto"/>
            <w:left w:val="none" w:sz="0" w:space="0" w:color="auto"/>
            <w:bottom w:val="none" w:sz="0" w:space="0" w:color="auto"/>
            <w:right w:val="none" w:sz="0" w:space="0" w:color="auto"/>
          </w:divBdr>
          <w:divsChild>
            <w:div w:id="88860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848265">
      <w:bodyDiv w:val="1"/>
      <w:marLeft w:val="0"/>
      <w:marRight w:val="0"/>
      <w:marTop w:val="0"/>
      <w:marBottom w:val="0"/>
      <w:divBdr>
        <w:top w:val="none" w:sz="0" w:space="0" w:color="auto"/>
        <w:left w:val="none" w:sz="0" w:space="0" w:color="auto"/>
        <w:bottom w:val="none" w:sz="0" w:space="0" w:color="auto"/>
        <w:right w:val="none" w:sz="0" w:space="0" w:color="auto"/>
      </w:divBdr>
      <w:divsChild>
        <w:div w:id="878010479">
          <w:marLeft w:val="0"/>
          <w:marRight w:val="0"/>
          <w:marTop w:val="0"/>
          <w:marBottom w:val="0"/>
          <w:divBdr>
            <w:top w:val="none" w:sz="0" w:space="0" w:color="auto"/>
            <w:left w:val="none" w:sz="0" w:space="0" w:color="auto"/>
            <w:bottom w:val="none" w:sz="0" w:space="0" w:color="auto"/>
            <w:right w:val="none" w:sz="0" w:space="0" w:color="auto"/>
          </w:divBdr>
          <w:divsChild>
            <w:div w:id="16994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418">
      <w:bodyDiv w:val="1"/>
      <w:marLeft w:val="0"/>
      <w:marRight w:val="0"/>
      <w:marTop w:val="0"/>
      <w:marBottom w:val="0"/>
      <w:divBdr>
        <w:top w:val="none" w:sz="0" w:space="0" w:color="auto"/>
        <w:left w:val="none" w:sz="0" w:space="0" w:color="auto"/>
        <w:bottom w:val="none" w:sz="0" w:space="0" w:color="auto"/>
        <w:right w:val="none" w:sz="0" w:space="0" w:color="auto"/>
      </w:divBdr>
    </w:div>
    <w:div w:id="1031494090">
      <w:bodyDiv w:val="1"/>
      <w:marLeft w:val="0"/>
      <w:marRight w:val="0"/>
      <w:marTop w:val="0"/>
      <w:marBottom w:val="0"/>
      <w:divBdr>
        <w:top w:val="none" w:sz="0" w:space="0" w:color="auto"/>
        <w:left w:val="none" w:sz="0" w:space="0" w:color="auto"/>
        <w:bottom w:val="none" w:sz="0" w:space="0" w:color="auto"/>
        <w:right w:val="none" w:sz="0" w:space="0" w:color="auto"/>
      </w:divBdr>
    </w:div>
    <w:div w:id="1075476737">
      <w:bodyDiv w:val="1"/>
      <w:marLeft w:val="0"/>
      <w:marRight w:val="0"/>
      <w:marTop w:val="0"/>
      <w:marBottom w:val="0"/>
      <w:divBdr>
        <w:top w:val="none" w:sz="0" w:space="0" w:color="auto"/>
        <w:left w:val="none" w:sz="0" w:space="0" w:color="auto"/>
        <w:bottom w:val="none" w:sz="0" w:space="0" w:color="auto"/>
        <w:right w:val="none" w:sz="0" w:space="0" w:color="auto"/>
      </w:divBdr>
    </w:div>
    <w:div w:id="1093554583">
      <w:bodyDiv w:val="1"/>
      <w:marLeft w:val="0"/>
      <w:marRight w:val="0"/>
      <w:marTop w:val="0"/>
      <w:marBottom w:val="0"/>
      <w:divBdr>
        <w:top w:val="none" w:sz="0" w:space="0" w:color="auto"/>
        <w:left w:val="none" w:sz="0" w:space="0" w:color="auto"/>
        <w:bottom w:val="none" w:sz="0" w:space="0" w:color="auto"/>
        <w:right w:val="none" w:sz="0" w:space="0" w:color="auto"/>
      </w:divBdr>
    </w:div>
    <w:div w:id="1128621718">
      <w:bodyDiv w:val="1"/>
      <w:marLeft w:val="0"/>
      <w:marRight w:val="0"/>
      <w:marTop w:val="0"/>
      <w:marBottom w:val="0"/>
      <w:divBdr>
        <w:top w:val="none" w:sz="0" w:space="0" w:color="auto"/>
        <w:left w:val="none" w:sz="0" w:space="0" w:color="auto"/>
        <w:bottom w:val="none" w:sz="0" w:space="0" w:color="auto"/>
        <w:right w:val="none" w:sz="0" w:space="0" w:color="auto"/>
      </w:divBdr>
    </w:div>
    <w:div w:id="1194616047">
      <w:bodyDiv w:val="1"/>
      <w:marLeft w:val="0"/>
      <w:marRight w:val="0"/>
      <w:marTop w:val="0"/>
      <w:marBottom w:val="0"/>
      <w:divBdr>
        <w:top w:val="none" w:sz="0" w:space="0" w:color="auto"/>
        <w:left w:val="none" w:sz="0" w:space="0" w:color="auto"/>
        <w:bottom w:val="none" w:sz="0" w:space="0" w:color="auto"/>
        <w:right w:val="none" w:sz="0" w:space="0" w:color="auto"/>
      </w:divBdr>
    </w:div>
    <w:div w:id="1486701236">
      <w:bodyDiv w:val="1"/>
      <w:marLeft w:val="0"/>
      <w:marRight w:val="0"/>
      <w:marTop w:val="0"/>
      <w:marBottom w:val="0"/>
      <w:divBdr>
        <w:top w:val="none" w:sz="0" w:space="0" w:color="auto"/>
        <w:left w:val="none" w:sz="0" w:space="0" w:color="auto"/>
        <w:bottom w:val="none" w:sz="0" w:space="0" w:color="auto"/>
        <w:right w:val="none" w:sz="0" w:space="0" w:color="auto"/>
      </w:divBdr>
    </w:div>
    <w:div w:id="1599482822">
      <w:bodyDiv w:val="1"/>
      <w:marLeft w:val="0"/>
      <w:marRight w:val="0"/>
      <w:marTop w:val="0"/>
      <w:marBottom w:val="0"/>
      <w:divBdr>
        <w:top w:val="none" w:sz="0" w:space="0" w:color="auto"/>
        <w:left w:val="none" w:sz="0" w:space="0" w:color="auto"/>
        <w:bottom w:val="none" w:sz="0" w:space="0" w:color="auto"/>
        <w:right w:val="none" w:sz="0" w:space="0" w:color="auto"/>
      </w:divBdr>
    </w:div>
    <w:div w:id="1624922171">
      <w:bodyDiv w:val="1"/>
      <w:marLeft w:val="0"/>
      <w:marRight w:val="0"/>
      <w:marTop w:val="0"/>
      <w:marBottom w:val="0"/>
      <w:divBdr>
        <w:top w:val="none" w:sz="0" w:space="0" w:color="auto"/>
        <w:left w:val="none" w:sz="0" w:space="0" w:color="auto"/>
        <w:bottom w:val="none" w:sz="0" w:space="0" w:color="auto"/>
        <w:right w:val="none" w:sz="0" w:space="0" w:color="auto"/>
      </w:divBdr>
    </w:div>
    <w:div w:id="1739667483">
      <w:bodyDiv w:val="1"/>
      <w:marLeft w:val="0"/>
      <w:marRight w:val="0"/>
      <w:marTop w:val="0"/>
      <w:marBottom w:val="0"/>
      <w:divBdr>
        <w:top w:val="none" w:sz="0" w:space="0" w:color="auto"/>
        <w:left w:val="none" w:sz="0" w:space="0" w:color="auto"/>
        <w:bottom w:val="none" w:sz="0" w:space="0" w:color="auto"/>
        <w:right w:val="none" w:sz="0" w:space="0" w:color="auto"/>
      </w:divBdr>
    </w:div>
    <w:div w:id="1747725166">
      <w:bodyDiv w:val="1"/>
      <w:marLeft w:val="0"/>
      <w:marRight w:val="0"/>
      <w:marTop w:val="0"/>
      <w:marBottom w:val="0"/>
      <w:divBdr>
        <w:top w:val="none" w:sz="0" w:space="0" w:color="auto"/>
        <w:left w:val="none" w:sz="0" w:space="0" w:color="auto"/>
        <w:bottom w:val="none" w:sz="0" w:space="0" w:color="auto"/>
        <w:right w:val="none" w:sz="0" w:space="0" w:color="auto"/>
      </w:divBdr>
      <w:divsChild>
        <w:div w:id="2000767798">
          <w:marLeft w:val="0"/>
          <w:marRight w:val="0"/>
          <w:marTop w:val="0"/>
          <w:marBottom w:val="0"/>
          <w:divBdr>
            <w:top w:val="none" w:sz="0" w:space="0" w:color="auto"/>
            <w:left w:val="none" w:sz="0" w:space="0" w:color="auto"/>
            <w:bottom w:val="none" w:sz="0" w:space="0" w:color="auto"/>
            <w:right w:val="none" w:sz="0" w:space="0" w:color="auto"/>
          </w:divBdr>
          <w:divsChild>
            <w:div w:id="62936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461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com/stable/j.ctt46nwn8.1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lebooks-com.uwtsd.idm.oclc.org/Product/Index/3630179?page=0&amp;startBookmarkId=-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cademic.oup.com/socrel/article/60/2/187/16231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portal.bath.ac.uk/en/persons/tony-walter/" TargetMode="External"/><Relationship Id="rId5" Type="http://schemas.openxmlformats.org/officeDocument/2006/relationships/webSettings" Target="webSettings.xml"/><Relationship Id="rId15" Type="http://schemas.openxmlformats.org/officeDocument/2006/relationships/hyperlink" Target="https://www.jstor.org/stable/j.ctv2tbwqd5.6" TargetMode="External"/><Relationship Id="rId10" Type="http://schemas.openxmlformats.org/officeDocument/2006/relationships/hyperlink" Target="https://oro.open.ac.uk/view/person/hjw26.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lklore-society.com/blog/post/dr-gillian-bennett-1939-2023/" TargetMode="External"/><Relationship Id="rId14" Type="http://schemas.openxmlformats.org/officeDocument/2006/relationships/hyperlink" Target="https://www.jstor.org/stable/10.1163/j.ctv1sr6h8g.1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10.1163/j.ctv1sr6h8g.10" TargetMode="External"/><Relationship Id="rId3" Type="http://schemas.openxmlformats.org/officeDocument/2006/relationships/hyperlink" Target="https://www.folklore-society.com/blog/post/dr-gillian-bennett-1939-2023/" TargetMode="External"/><Relationship Id="rId7" Type="http://schemas.openxmlformats.org/officeDocument/2006/relationships/hyperlink" Target="https://www-vlebooks-com.uwtsd.idm.oclc.org/Product/Index/3630179?page=0&amp;startBookmarkId=-1" TargetMode="External"/><Relationship Id="rId2" Type="http://schemas.openxmlformats.org/officeDocument/2006/relationships/hyperlink" Target="https://academic.oup.com/socrel/article/60/2/187/1623131" TargetMode="External"/><Relationship Id="rId1" Type="http://schemas.openxmlformats.org/officeDocument/2006/relationships/hyperlink" Target="http://www.jstor.com/stable/j.ctt46nwn8.13" TargetMode="External"/><Relationship Id="rId6" Type="http://schemas.openxmlformats.org/officeDocument/2006/relationships/hyperlink" Target="https://www-vlebooks-com.uwtsd.idm.oclc.org/Product/Index/3630179?page=0&amp;startBookmarkId=-1" TargetMode="External"/><Relationship Id="rId5" Type="http://schemas.openxmlformats.org/officeDocument/2006/relationships/hyperlink" Target="https://oro.open.ac.uk/view/person/hjw26.html" TargetMode="External"/><Relationship Id="rId10" Type="http://schemas.openxmlformats.org/officeDocument/2006/relationships/hyperlink" Target="https://www.jstor.org/stable/j.ctv2tbwqd5.6" TargetMode="External"/><Relationship Id="rId4" Type="http://schemas.openxmlformats.org/officeDocument/2006/relationships/hyperlink" Target="https://researchportal.bath.ac.uk/en/persons/tony-walter/" TargetMode="External"/><Relationship Id="rId9" Type="http://schemas.openxmlformats.org/officeDocument/2006/relationships/hyperlink" Target="https://www.jstor.org/stable/10.1163/j.ctv1sr6h8g.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855C5-41A5-432F-8A25-00CF234E1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3719</Words>
  <Characters>21201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Raquel De Diego Samaniego (2500924)</dc:creator>
  <cp:keywords/>
  <dc:description/>
  <cp:lastModifiedBy>Maria Raquel De Diego Samaniego (2500924)</cp:lastModifiedBy>
  <cp:revision>664</cp:revision>
  <dcterms:created xsi:type="dcterms:W3CDTF">2026-02-12T09:07:00Z</dcterms:created>
  <dcterms:modified xsi:type="dcterms:W3CDTF">2026-03-14T12:56:00Z</dcterms:modified>
</cp:coreProperties>
</file>