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7C2AEF5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F360F7">
        <w:rPr>
          <w:rStyle w:val="Strong"/>
          <w:rFonts w:ascii="Arial" w:hAnsi="Arial" w:cs="Arial"/>
          <w:color w:val="1D2125"/>
          <w:sz w:val="32"/>
          <w:szCs w:val="32"/>
        </w:rPr>
        <w:t xml:space="preserve"> Marta Proca</w:t>
      </w:r>
    </w:p>
    <w:p w14:paraId="227AC82E" w14:textId="3D34D0F4"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F360F7">
        <w:rPr>
          <w:rStyle w:val="Strong"/>
          <w:rFonts w:ascii="Arial" w:hAnsi="Arial" w:cs="Arial"/>
          <w:color w:val="1D2125"/>
          <w:sz w:val="32"/>
          <w:szCs w:val="32"/>
        </w:rPr>
        <w:t xml:space="preserve"> 2234962</w:t>
      </w:r>
    </w:p>
    <w:p w14:paraId="5B5E64AD" w14:textId="5B17305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F360F7" w:rsidRPr="00F360F7">
        <w:rPr>
          <w:rFonts w:ascii="Segoe UI" w:hAnsi="Segoe UI" w:cs="Segoe UI"/>
          <w:b/>
          <w:bCs/>
          <w:color w:val="1D2125"/>
          <w:sz w:val="36"/>
          <w:szCs w:val="36"/>
          <w:shd w:val="clear" w:color="auto" w:fill="FFFFFF"/>
        </w:rPr>
        <w:t xml:space="preserve"> </w:t>
      </w:r>
      <w:r w:rsidR="00F360F7" w:rsidRPr="00F360F7">
        <w:rPr>
          <w:rFonts w:ascii="Arial" w:hAnsi="Arial" w:cs="Arial"/>
          <w:b/>
          <w:bCs/>
          <w:color w:val="1D2125"/>
          <w:sz w:val="32"/>
          <w:szCs w:val="32"/>
        </w:rPr>
        <w:t>Muhammed Khan</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28AA9D88" w14:textId="77777777" w:rsidR="00CB65C9"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r w:rsidR="00126986">
        <w:rPr>
          <w:rFonts w:ascii="Arial" w:hAnsi="Arial" w:cs="Arial"/>
          <w:b/>
          <w:bCs/>
          <w:color w:val="000000"/>
          <w:sz w:val="28"/>
          <w:szCs w:val="28"/>
        </w:rPr>
        <w:t>:</w:t>
      </w:r>
    </w:p>
    <w:sdt>
      <w:sdtPr>
        <w:id w:val="-1086452827"/>
        <w:docPartObj>
          <w:docPartGallery w:val="Table of Contents"/>
          <w:docPartUnique/>
        </w:docPartObj>
      </w:sdtPr>
      <w:sdtEndPr>
        <w:rPr>
          <w:rFonts w:ascii="Aptos" w:eastAsia="Aptos" w:hAnsi="Aptos" w:cs="Times New Roman"/>
          <w:b/>
          <w:bCs/>
          <w:noProof/>
          <w:color w:val="auto"/>
          <w:kern w:val="2"/>
          <w:sz w:val="24"/>
          <w:szCs w:val="24"/>
          <w:lang w:val="en-GB"/>
        </w:rPr>
      </w:sdtEndPr>
      <w:sdtContent>
        <w:p w14:paraId="4C22C7E7" w14:textId="2A6F2035" w:rsidR="00CB65C9" w:rsidRPr="00CB65C9" w:rsidRDefault="00CB65C9">
          <w:pPr>
            <w:pStyle w:val="TOCHeading"/>
            <w:rPr>
              <w:color w:val="auto"/>
            </w:rPr>
          </w:pPr>
        </w:p>
        <w:p w14:paraId="0DF950D6" w14:textId="4C82D45F"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25058134" w:history="1">
            <w:r w:rsidRPr="00B527F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_Toc225058134 \h </w:instrText>
            </w:r>
            <w:r>
              <w:rPr>
                <w:noProof/>
                <w:webHidden/>
              </w:rPr>
            </w:r>
            <w:r>
              <w:rPr>
                <w:noProof/>
                <w:webHidden/>
              </w:rPr>
              <w:fldChar w:fldCharType="separate"/>
            </w:r>
            <w:r>
              <w:rPr>
                <w:noProof/>
                <w:webHidden/>
              </w:rPr>
              <w:t>3</w:t>
            </w:r>
            <w:r>
              <w:rPr>
                <w:noProof/>
                <w:webHidden/>
              </w:rPr>
              <w:fldChar w:fldCharType="end"/>
            </w:r>
          </w:hyperlink>
        </w:p>
        <w:p w14:paraId="309ECEDA" w14:textId="502C6C73"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35" w:history="1">
            <w:r w:rsidRPr="00B527FB">
              <w:rPr>
                <w:rStyle w:val="Hyperlink"/>
                <w:rFonts w:ascii="Arial" w:hAnsi="Arial" w:cs="Arial"/>
                <w:b/>
                <w:bCs/>
                <w:noProof/>
              </w:rPr>
              <w:t>Impact on work force</w:t>
            </w:r>
            <w:r>
              <w:rPr>
                <w:noProof/>
                <w:webHidden/>
              </w:rPr>
              <w:tab/>
            </w:r>
            <w:r>
              <w:rPr>
                <w:noProof/>
                <w:webHidden/>
              </w:rPr>
              <w:fldChar w:fldCharType="begin"/>
            </w:r>
            <w:r>
              <w:rPr>
                <w:noProof/>
                <w:webHidden/>
              </w:rPr>
              <w:instrText xml:space="preserve"> PAGEREF _Toc225058135 \h </w:instrText>
            </w:r>
            <w:r>
              <w:rPr>
                <w:noProof/>
                <w:webHidden/>
              </w:rPr>
            </w:r>
            <w:r>
              <w:rPr>
                <w:noProof/>
                <w:webHidden/>
              </w:rPr>
              <w:fldChar w:fldCharType="separate"/>
            </w:r>
            <w:r>
              <w:rPr>
                <w:noProof/>
                <w:webHidden/>
              </w:rPr>
              <w:t>3</w:t>
            </w:r>
            <w:r>
              <w:rPr>
                <w:noProof/>
                <w:webHidden/>
              </w:rPr>
              <w:fldChar w:fldCharType="end"/>
            </w:r>
          </w:hyperlink>
        </w:p>
        <w:p w14:paraId="57724202" w14:textId="415C4E96"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36" w:history="1">
            <w:r w:rsidRPr="00B527FB">
              <w:rPr>
                <w:rStyle w:val="Hyperlink"/>
                <w:rFonts w:ascii="Arial" w:hAnsi="Arial" w:cs="Arial"/>
                <w:noProof/>
              </w:rPr>
              <w:t>Changes in job roles and responsibilities</w:t>
            </w:r>
            <w:r>
              <w:rPr>
                <w:noProof/>
                <w:webHidden/>
              </w:rPr>
              <w:tab/>
            </w:r>
            <w:r>
              <w:rPr>
                <w:noProof/>
                <w:webHidden/>
              </w:rPr>
              <w:fldChar w:fldCharType="begin"/>
            </w:r>
            <w:r>
              <w:rPr>
                <w:noProof/>
                <w:webHidden/>
              </w:rPr>
              <w:instrText xml:space="preserve"> PAGEREF _Toc225058136 \h </w:instrText>
            </w:r>
            <w:r>
              <w:rPr>
                <w:noProof/>
                <w:webHidden/>
              </w:rPr>
            </w:r>
            <w:r>
              <w:rPr>
                <w:noProof/>
                <w:webHidden/>
              </w:rPr>
              <w:fldChar w:fldCharType="separate"/>
            </w:r>
            <w:r>
              <w:rPr>
                <w:noProof/>
                <w:webHidden/>
              </w:rPr>
              <w:t>3</w:t>
            </w:r>
            <w:r>
              <w:rPr>
                <w:noProof/>
                <w:webHidden/>
              </w:rPr>
              <w:fldChar w:fldCharType="end"/>
            </w:r>
          </w:hyperlink>
        </w:p>
        <w:p w14:paraId="555B2523" w14:textId="5B90B1EA"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37" w:history="1">
            <w:r w:rsidRPr="00B527FB">
              <w:rPr>
                <w:rStyle w:val="Hyperlink"/>
                <w:rFonts w:ascii="Arial" w:hAnsi="Arial" w:cs="Arial"/>
                <w:b/>
                <w:bCs/>
                <w:noProof/>
                <w:lang w:eastAsia="en-GB"/>
              </w:rPr>
              <w:t>Critical evaluation:</w:t>
            </w:r>
            <w:r>
              <w:rPr>
                <w:noProof/>
                <w:webHidden/>
              </w:rPr>
              <w:tab/>
            </w:r>
            <w:r>
              <w:rPr>
                <w:noProof/>
                <w:webHidden/>
              </w:rPr>
              <w:fldChar w:fldCharType="begin"/>
            </w:r>
            <w:r>
              <w:rPr>
                <w:noProof/>
                <w:webHidden/>
              </w:rPr>
              <w:instrText xml:space="preserve"> PAGEREF _Toc225058137 \h </w:instrText>
            </w:r>
            <w:r>
              <w:rPr>
                <w:noProof/>
                <w:webHidden/>
              </w:rPr>
            </w:r>
            <w:r>
              <w:rPr>
                <w:noProof/>
                <w:webHidden/>
              </w:rPr>
              <w:fldChar w:fldCharType="separate"/>
            </w:r>
            <w:r>
              <w:rPr>
                <w:noProof/>
                <w:webHidden/>
              </w:rPr>
              <w:t>4</w:t>
            </w:r>
            <w:r>
              <w:rPr>
                <w:noProof/>
                <w:webHidden/>
              </w:rPr>
              <w:fldChar w:fldCharType="end"/>
            </w:r>
          </w:hyperlink>
        </w:p>
        <w:p w14:paraId="24AC8476" w14:textId="62A422F2"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38" w:history="1">
            <w:r w:rsidRPr="00B527FB">
              <w:rPr>
                <w:rStyle w:val="Hyperlink"/>
                <w:rFonts w:ascii="Arial" w:hAnsi="Arial" w:cs="Arial"/>
                <w:b/>
                <w:bCs/>
                <w:noProof/>
              </w:rPr>
              <w:t>Impact on service delivery</w:t>
            </w:r>
            <w:r>
              <w:rPr>
                <w:noProof/>
                <w:webHidden/>
              </w:rPr>
              <w:tab/>
            </w:r>
            <w:r>
              <w:rPr>
                <w:noProof/>
                <w:webHidden/>
              </w:rPr>
              <w:fldChar w:fldCharType="begin"/>
            </w:r>
            <w:r>
              <w:rPr>
                <w:noProof/>
                <w:webHidden/>
              </w:rPr>
              <w:instrText xml:space="preserve"> PAGEREF _Toc225058138 \h </w:instrText>
            </w:r>
            <w:r>
              <w:rPr>
                <w:noProof/>
                <w:webHidden/>
              </w:rPr>
            </w:r>
            <w:r>
              <w:rPr>
                <w:noProof/>
                <w:webHidden/>
              </w:rPr>
              <w:fldChar w:fldCharType="separate"/>
            </w:r>
            <w:r>
              <w:rPr>
                <w:noProof/>
                <w:webHidden/>
              </w:rPr>
              <w:t>5</w:t>
            </w:r>
            <w:r>
              <w:rPr>
                <w:noProof/>
                <w:webHidden/>
              </w:rPr>
              <w:fldChar w:fldCharType="end"/>
            </w:r>
          </w:hyperlink>
        </w:p>
        <w:p w14:paraId="0962670E" w14:textId="4619A3D6"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39" w:history="1">
            <w:r w:rsidRPr="00B527FB">
              <w:rPr>
                <w:rStyle w:val="Hyperlink"/>
                <w:rFonts w:ascii="Arial" w:hAnsi="Arial" w:cs="Arial"/>
                <w:b/>
                <w:bCs/>
                <w:noProof/>
                <w:lang w:eastAsia="en-GB"/>
              </w:rPr>
              <w:t>Integration and interoperability:</w:t>
            </w:r>
            <w:r>
              <w:rPr>
                <w:noProof/>
                <w:webHidden/>
              </w:rPr>
              <w:tab/>
            </w:r>
            <w:r>
              <w:rPr>
                <w:noProof/>
                <w:webHidden/>
              </w:rPr>
              <w:fldChar w:fldCharType="begin"/>
            </w:r>
            <w:r>
              <w:rPr>
                <w:noProof/>
                <w:webHidden/>
              </w:rPr>
              <w:instrText xml:space="preserve"> PAGEREF _Toc225058139 \h </w:instrText>
            </w:r>
            <w:r>
              <w:rPr>
                <w:noProof/>
                <w:webHidden/>
              </w:rPr>
            </w:r>
            <w:r>
              <w:rPr>
                <w:noProof/>
                <w:webHidden/>
              </w:rPr>
              <w:fldChar w:fldCharType="separate"/>
            </w:r>
            <w:r>
              <w:rPr>
                <w:noProof/>
                <w:webHidden/>
              </w:rPr>
              <w:t>6</w:t>
            </w:r>
            <w:r>
              <w:rPr>
                <w:noProof/>
                <w:webHidden/>
              </w:rPr>
              <w:fldChar w:fldCharType="end"/>
            </w:r>
          </w:hyperlink>
        </w:p>
        <w:p w14:paraId="1F1842CE" w14:textId="376D1B38"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40" w:history="1">
            <w:r w:rsidRPr="00B527FB">
              <w:rPr>
                <w:rStyle w:val="Hyperlink"/>
                <w:rFonts w:ascii="Arial" w:hAnsi="Arial" w:cs="Arial"/>
                <w:b/>
                <w:bCs/>
                <w:noProof/>
              </w:rPr>
              <w:t>Impact on patients</w:t>
            </w:r>
            <w:r>
              <w:rPr>
                <w:noProof/>
                <w:webHidden/>
              </w:rPr>
              <w:tab/>
            </w:r>
            <w:r>
              <w:rPr>
                <w:noProof/>
                <w:webHidden/>
              </w:rPr>
              <w:fldChar w:fldCharType="begin"/>
            </w:r>
            <w:r>
              <w:rPr>
                <w:noProof/>
                <w:webHidden/>
              </w:rPr>
              <w:instrText xml:space="preserve"> PAGEREF _Toc225058140 \h </w:instrText>
            </w:r>
            <w:r>
              <w:rPr>
                <w:noProof/>
                <w:webHidden/>
              </w:rPr>
            </w:r>
            <w:r>
              <w:rPr>
                <w:noProof/>
                <w:webHidden/>
              </w:rPr>
              <w:fldChar w:fldCharType="separate"/>
            </w:r>
            <w:r>
              <w:rPr>
                <w:noProof/>
                <w:webHidden/>
              </w:rPr>
              <w:t>6</w:t>
            </w:r>
            <w:r>
              <w:rPr>
                <w:noProof/>
                <w:webHidden/>
              </w:rPr>
              <w:fldChar w:fldCharType="end"/>
            </w:r>
          </w:hyperlink>
        </w:p>
        <w:p w14:paraId="00C78D97" w14:textId="4E39E586"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1" w:history="1">
            <w:r w:rsidRPr="00B527FB">
              <w:rPr>
                <w:rStyle w:val="Hyperlink"/>
                <w:rFonts w:ascii="Arial" w:hAnsi="Arial" w:cs="Arial"/>
                <w:noProof/>
              </w:rPr>
              <w:t>Perceptions of care and confidence.</w:t>
            </w:r>
            <w:r>
              <w:rPr>
                <w:noProof/>
                <w:webHidden/>
              </w:rPr>
              <w:tab/>
            </w:r>
            <w:r>
              <w:rPr>
                <w:noProof/>
                <w:webHidden/>
              </w:rPr>
              <w:fldChar w:fldCharType="begin"/>
            </w:r>
            <w:r>
              <w:rPr>
                <w:noProof/>
                <w:webHidden/>
              </w:rPr>
              <w:instrText xml:space="preserve"> PAGEREF _Toc225058141 \h </w:instrText>
            </w:r>
            <w:r>
              <w:rPr>
                <w:noProof/>
                <w:webHidden/>
              </w:rPr>
            </w:r>
            <w:r>
              <w:rPr>
                <w:noProof/>
                <w:webHidden/>
              </w:rPr>
              <w:fldChar w:fldCharType="separate"/>
            </w:r>
            <w:r>
              <w:rPr>
                <w:noProof/>
                <w:webHidden/>
              </w:rPr>
              <w:t>6</w:t>
            </w:r>
            <w:r>
              <w:rPr>
                <w:noProof/>
                <w:webHidden/>
              </w:rPr>
              <w:fldChar w:fldCharType="end"/>
            </w:r>
          </w:hyperlink>
        </w:p>
        <w:p w14:paraId="028F888A" w14:textId="5E7AFCC7"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2" w:history="1">
            <w:r w:rsidRPr="00B527FB">
              <w:rPr>
                <w:rStyle w:val="Hyperlink"/>
                <w:rFonts w:ascii="Arial" w:hAnsi="Arial" w:cs="Arial"/>
                <w:b/>
                <w:bCs/>
                <w:noProof/>
              </w:rPr>
              <w:t>Experience of communication and involvement.</w:t>
            </w:r>
            <w:r>
              <w:rPr>
                <w:noProof/>
                <w:webHidden/>
              </w:rPr>
              <w:tab/>
            </w:r>
            <w:r>
              <w:rPr>
                <w:noProof/>
                <w:webHidden/>
              </w:rPr>
              <w:fldChar w:fldCharType="begin"/>
            </w:r>
            <w:r>
              <w:rPr>
                <w:noProof/>
                <w:webHidden/>
              </w:rPr>
              <w:instrText xml:space="preserve"> PAGEREF _Toc225058142 \h </w:instrText>
            </w:r>
            <w:r>
              <w:rPr>
                <w:noProof/>
                <w:webHidden/>
              </w:rPr>
            </w:r>
            <w:r>
              <w:rPr>
                <w:noProof/>
                <w:webHidden/>
              </w:rPr>
              <w:fldChar w:fldCharType="separate"/>
            </w:r>
            <w:r>
              <w:rPr>
                <w:noProof/>
                <w:webHidden/>
              </w:rPr>
              <w:t>6</w:t>
            </w:r>
            <w:r>
              <w:rPr>
                <w:noProof/>
                <w:webHidden/>
              </w:rPr>
              <w:fldChar w:fldCharType="end"/>
            </w:r>
          </w:hyperlink>
        </w:p>
        <w:p w14:paraId="5775CFD4" w14:textId="527ECAEE"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3" w:history="1">
            <w:r w:rsidRPr="00B527FB">
              <w:rPr>
                <w:rStyle w:val="Hyperlink"/>
                <w:rFonts w:ascii="Arial" w:hAnsi="Arial" w:cs="Arial"/>
                <w:b/>
                <w:bCs/>
                <w:noProof/>
              </w:rPr>
              <w:t>Communication, interpersonal care, and relational dynamics.</w:t>
            </w:r>
            <w:r>
              <w:rPr>
                <w:noProof/>
                <w:webHidden/>
              </w:rPr>
              <w:tab/>
            </w:r>
            <w:r>
              <w:rPr>
                <w:noProof/>
                <w:webHidden/>
              </w:rPr>
              <w:fldChar w:fldCharType="begin"/>
            </w:r>
            <w:r>
              <w:rPr>
                <w:noProof/>
                <w:webHidden/>
              </w:rPr>
              <w:instrText xml:space="preserve"> PAGEREF _Toc225058143 \h </w:instrText>
            </w:r>
            <w:r>
              <w:rPr>
                <w:noProof/>
                <w:webHidden/>
              </w:rPr>
            </w:r>
            <w:r>
              <w:rPr>
                <w:noProof/>
                <w:webHidden/>
              </w:rPr>
              <w:fldChar w:fldCharType="separate"/>
            </w:r>
            <w:r>
              <w:rPr>
                <w:noProof/>
                <w:webHidden/>
              </w:rPr>
              <w:t>7</w:t>
            </w:r>
            <w:r>
              <w:rPr>
                <w:noProof/>
                <w:webHidden/>
              </w:rPr>
              <w:fldChar w:fldCharType="end"/>
            </w:r>
          </w:hyperlink>
        </w:p>
        <w:p w14:paraId="5DB2D81B" w14:textId="474C5AA4"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4" w:history="1">
            <w:r w:rsidRPr="00B527FB">
              <w:rPr>
                <w:rStyle w:val="Hyperlink"/>
                <w:rFonts w:ascii="Arial" w:hAnsi="Arial" w:cs="Arial"/>
                <w:noProof/>
              </w:rPr>
              <w:t>Safety, medication adherence, and health outcomes.</w:t>
            </w:r>
            <w:r>
              <w:rPr>
                <w:noProof/>
                <w:webHidden/>
              </w:rPr>
              <w:tab/>
            </w:r>
            <w:r>
              <w:rPr>
                <w:noProof/>
                <w:webHidden/>
              </w:rPr>
              <w:fldChar w:fldCharType="begin"/>
            </w:r>
            <w:r>
              <w:rPr>
                <w:noProof/>
                <w:webHidden/>
              </w:rPr>
              <w:instrText xml:space="preserve"> PAGEREF _Toc225058144 \h </w:instrText>
            </w:r>
            <w:r>
              <w:rPr>
                <w:noProof/>
                <w:webHidden/>
              </w:rPr>
            </w:r>
            <w:r>
              <w:rPr>
                <w:noProof/>
                <w:webHidden/>
              </w:rPr>
              <w:fldChar w:fldCharType="separate"/>
            </w:r>
            <w:r>
              <w:rPr>
                <w:noProof/>
                <w:webHidden/>
              </w:rPr>
              <w:t>7</w:t>
            </w:r>
            <w:r>
              <w:rPr>
                <w:noProof/>
                <w:webHidden/>
              </w:rPr>
              <w:fldChar w:fldCharType="end"/>
            </w:r>
          </w:hyperlink>
        </w:p>
        <w:p w14:paraId="31197E78" w14:textId="08503AA1"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5" w:history="1">
            <w:r w:rsidRPr="00B527FB">
              <w:rPr>
                <w:rStyle w:val="Hyperlink"/>
                <w:rFonts w:ascii="Arial" w:hAnsi="Arial" w:cs="Arial"/>
                <w:b/>
                <w:bCs/>
                <w:noProof/>
              </w:rPr>
              <w:t>Critical evaluation</w:t>
            </w:r>
            <w:r>
              <w:rPr>
                <w:noProof/>
                <w:webHidden/>
              </w:rPr>
              <w:tab/>
            </w:r>
            <w:r>
              <w:rPr>
                <w:noProof/>
                <w:webHidden/>
              </w:rPr>
              <w:fldChar w:fldCharType="begin"/>
            </w:r>
            <w:r>
              <w:rPr>
                <w:noProof/>
                <w:webHidden/>
              </w:rPr>
              <w:instrText xml:space="preserve"> PAGEREF _Toc225058145 \h </w:instrText>
            </w:r>
            <w:r>
              <w:rPr>
                <w:noProof/>
                <w:webHidden/>
              </w:rPr>
            </w:r>
            <w:r>
              <w:rPr>
                <w:noProof/>
                <w:webHidden/>
              </w:rPr>
              <w:fldChar w:fldCharType="separate"/>
            </w:r>
            <w:r>
              <w:rPr>
                <w:noProof/>
                <w:webHidden/>
              </w:rPr>
              <w:t>8</w:t>
            </w:r>
            <w:r>
              <w:rPr>
                <w:noProof/>
                <w:webHidden/>
              </w:rPr>
              <w:fldChar w:fldCharType="end"/>
            </w:r>
          </w:hyperlink>
        </w:p>
        <w:p w14:paraId="3A158255" w14:textId="769D076F"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46" w:history="1">
            <w:r w:rsidRPr="00B527FB">
              <w:rPr>
                <w:rStyle w:val="Hyperlink"/>
                <w:rFonts w:ascii="Arial" w:hAnsi="Arial" w:cs="Arial"/>
                <w:b/>
                <w:bCs/>
                <w:noProof/>
              </w:rPr>
              <w:t>Impact on community</w:t>
            </w:r>
            <w:r>
              <w:rPr>
                <w:noProof/>
                <w:webHidden/>
              </w:rPr>
              <w:tab/>
            </w:r>
            <w:r>
              <w:rPr>
                <w:noProof/>
                <w:webHidden/>
              </w:rPr>
              <w:fldChar w:fldCharType="begin"/>
            </w:r>
            <w:r>
              <w:rPr>
                <w:noProof/>
                <w:webHidden/>
              </w:rPr>
              <w:instrText xml:space="preserve"> PAGEREF _Toc225058146 \h </w:instrText>
            </w:r>
            <w:r>
              <w:rPr>
                <w:noProof/>
                <w:webHidden/>
              </w:rPr>
            </w:r>
            <w:r>
              <w:rPr>
                <w:noProof/>
                <w:webHidden/>
              </w:rPr>
              <w:fldChar w:fldCharType="separate"/>
            </w:r>
            <w:r>
              <w:rPr>
                <w:noProof/>
                <w:webHidden/>
              </w:rPr>
              <w:t>8</w:t>
            </w:r>
            <w:r>
              <w:rPr>
                <w:noProof/>
                <w:webHidden/>
              </w:rPr>
              <w:fldChar w:fldCharType="end"/>
            </w:r>
          </w:hyperlink>
        </w:p>
        <w:p w14:paraId="6635CE51" w14:textId="22862FE1"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7" w:history="1">
            <w:r w:rsidRPr="00B527FB">
              <w:rPr>
                <w:rStyle w:val="Hyperlink"/>
                <w:rFonts w:ascii="Arial" w:hAnsi="Arial" w:cs="Arial"/>
                <w:noProof/>
              </w:rPr>
              <w:t>Access to care and service location.</w:t>
            </w:r>
            <w:r>
              <w:rPr>
                <w:noProof/>
                <w:webHidden/>
              </w:rPr>
              <w:tab/>
            </w:r>
            <w:r>
              <w:rPr>
                <w:noProof/>
                <w:webHidden/>
              </w:rPr>
              <w:fldChar w:fldCharType="begin"/>
            </w:r>
            <w:r>
              <w:rPr>
                <w:noProof/>
                <w:webHidden/>
              </w:rPr>
              <w:instrText xml:space="preserve"> PAGEREF _Toc225058147 \h </w:instrText>
            </w:r>
            <w:r>
              <w:rPr>
                <w:noProof/>
                <w:webHidden/>
              </w:rPr>
            </w:r>
            <w:r>
              <w:rPr>
                <w:noProof/>
                <w:webHidden/>
              </w:rPr>
              <w:fldChar w:fldCharType="separate"/>
            </w:r>
            <w:r>
              <w:rPr>
                <w:noProof/>
                <w:webHidden/>
              </w:rPr>
              <w:t>8</w:t>
            </w:r>
            <w:r>
              <w:rPr>
                <w:noProof/>
                <w:webHidden/>
              </w:rPr>
              <w:fldChar w:fldCharType="end"/>
            </w:r>
          </w:hyperlink>
        </w:p>
        <w:p w14:paraId="3938F8A8" w14:textId="1F099CD1"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8" w:history="1">
            <w:r w:rsidRPr="00B527FB">
              <w:rPr>
                <w:rStyle w:val="Hyperlink"/>
                <w:rFonts w:ascii="Arial" w:hAnsi="Arial" w:cs="Arial"/>
                <w:noProof/>
              </w:rPr>
              <w:t>Impact on family members and carers.</w:t>
            </w:r>
            <w:r>
              <w:rPr>
                <w:noProof/>
                <w:webHidden/>
              </w:rPr>
              <w:tab/>
            </w:r>
            <w:r>
              <w:rPr>
                <w:noProof/>
                <w:webHidden/>
              </w:rPr>
              <w:fldChar w:fldCharType="begin"/>
            </w:r>
            <w:r>
              <w:rPr>
                <w:noProof/>
                <w:webHidden/>
              </w:rPr>
              <w:instrText xml:space="preserve"> PAGEREF _Toc225058148 \h </w:instrText>
            </w:r>
            <w:r>
              <w:rPr>
                <w:noProof/>
                <w:webHidden/>
              </w:rPr>
            </w:r>
            <w:r>
              <w:rPr>
                <w:noProof/>
                <w:webHidden/>
              </w:rPr>
              <w:fldChar w:fldCharType="separate"/>
            </w:r>
            <w:r>
              <w:rPr>
                <w:noProof/>
                <w:webHidden/>
              </w:rPr>
              <w:t>9</w:t>
            </w:r>
            <w:r>
              <w:rPr>
                <w:noProof/>
                <w:webHidden/>
              </w:rPr>
              <w:fldChar w:fldCharType="end"/>
            </w:r>
          </w:hyperlink>
        </w:p>
        <w:p w14:paraId="59A808D7" w14:textId="5E9F31DE"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49" w:history="1">
            <w:r w:rsidRPr="00B527FB">
              <w:rPr>
                <w:rStyle w:val="Hyperlink"/>
                <w:rFonts w:ascii="Arial" w:hAnsi="Arial" w:cs="Arial"/>
                <w:b/>
                <w:bCs/>
                <w:noProof/>
              </w:rPr>
              <w:t>Co-production and public health.</w:t>
            </w:r>
            <w:r>
              <w:rPr>
                <w:noProof/>
                <w:webHidden/>
              </w:rPr>
              <w:tab/>
            </w:r>
            <w:r>
              <w:rPr>
                <w:noProof/>
                <w:webHidden/>
              </w:rPr>
              <w:fldChar w:fldCharType="begin"/>
            </w:r>
            <w:r>
              <w:rPr>
                <w:noProof/>
                <w:webHidden/>
              </w:rPr>
              <w:instrText xml:space="preserve"> PAGEREF _Toc225058149 \h </w:instrText>
            </w:r>
            <w:r>
              <w:rPr>
                <w:noProof/>
                <w:webHidden/>
              </w:rPr>
            </w:r>
            <w:r>
              <w:rPr>
                <w:noProof/>
                <w:webHidden/>
              </w:rPr>
              <w:fldChar w:fldCharType="separate"/>
            </w:r>
            <w:r>
              <w:rPr>
                <w:noProof/>
                <w:webHidden/>
              </w:rPr>
              <w:t>9</w:t>
            </w:r>
            <w:r>
              <w:rPr>
                <w:noProof/>
                <w:webHidden/>
              </w:rPr>
              <w:fldChar w:fldCharType="end"/>
            </w:r>
          </w:hyperlink>
        </w:p>
        <w:p w14:paraId="1E6808B5" w14:textId="367035B6" w:rsidR="00CB65C9" w:rsidRDefault="00CB65C9">
          <w:pPr>
            <w:pStyle w:val="TOC3"/>
            <w:tabs>
              <w:tab w:val="right" w:leader="dot" w:pos="9016"/>
            </w:tabs>
            <w:rPr>
              <w:rFonts w:asciiTheme="minorHAnsi" w:eastAsiaTheme="minorEastAsia" w:hAnsiTheme="minorHAnsi" w:cstheme="minorBidi"/>
              <w:noProof/>
              <w:lang w:eastAsia="en-GB"/>
              <w14:ligatures w14:val="standardContextual"/>
            </w:rPr>
          </w:pPr>
          <w:hyperlink w:anchor="_Toc225058150" w:history="1">
            <w:r w:rsidRPr="00B527FB">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_Toc225058150 \h </w:instrText>
            </w:r>
            <w:r>
              <w:rPr>
                <w:noProof/>
                <w:webHidden/>
              </w:rPr>
            </w:r>
            <w:r>
              <w:rPr>
                <w:noProof/>
                <w:webHidden/>
              </w:rPr>
              <w:fldChar w:fldCharType="separate"/>
            </w:r>
            <w:r>
              <w:rPr>
                <w:noProof/>
                <w:webHidden/>
              </w:rPr>
              <w:t>9</w:t>
            </w:r>
            <w:r>
              <w:rPr>
                <w:noProof/>
                <w:webHidden/>
              </w:rPr>
              <w:fldChar w:fldCharType="end"/>
            </w:r>
          </w:hyperlink>
        </w:p>
        <w:p w14:paraId="1822D11D" w14:textId="0A2CB020" w:rsidR="00CB65C9" w:rsidRDefault="00CB65C9">
          <w:pPr>
            <w:pStyle w:val="TOC2"/>
            <w:tabs>
              <w:tab w:val="right" w:leader="dot" w:pos="9016"/>
            </w:tabs>
            <w:rPr>
              <w:rFonts w:asciiTheme="minorHAnsi" w:eastAsiaTheme="minorEastAsia" w:hAnsiTheme="minorHAnsi" w:cstheme="minorBidi"/>
              <w:noProof/>
              <w:lang w:eastAsia="en-GB"/>
              <w14:ligatures w14:val="standardContextual"/>
            </w:rPr>
          </w:pPr>
          <w:hyperlink w:anchor="_Toc225058151" w:history="1">
            <w:r w:rsidRPr="00B527FB">
              <w:rPr>
                <w:rStyle w:val="Hyperlink"/>
                <w:rFonts w:ascii="Arial" w:hAnsi="Arial" w:cs="Arial"/>
                <w:noProof/>
              </w:rPr>
              <w:t>Critical Discussion: Successes, Limitations, and Real-World Lessons.</w:t>
            </w:r>
            <w:r>
              <w:rPr>
                <w:noProof/>
                <w:webHidden/>
              </w:rPr>
              <w:tab/>
            </w:r>
            <w:r>
              <w:rPr>
                <w:noProof/>
                <w:webHidden/>
              </w:rPr>
              <w:fldChar w:fldCharType="begin"/>
            </w:r>
            <w:r>
              <w:rPr>
                <w:noProof/>
                <w:webHidden/>
              </w:rPr>
              <w:instrText xml:space="preserve"> PAGEREF _Toc225058151 \h </w:instrText>
            </w:r>
            <w:r>
              <w:rPr>
                <w:noProof/>
                <w:webHidden/>
              </w:rPr>
            </w:r>
            <w:r>
              <w:rPr>
                <w:noProof/>
                <w:webHidden/>
              </w:rPr>
              <w:fldChar w:fldCharType="separate"/>
            </w:r>
            <w:r>
              <w:rPr>
                <w:noProof/>
                <w:webHidden/>
              </w:rPr>
              <w:t>10</w:t>
            </w:r>
            <w:r>
              <w:rPr>
                <w:noProof/>
                <w:webHidden/>
              </w:rPr>
              <w:fldChar w:fldCharType="end"/>
            </w:r>
          </w:hyperlink>
        </w:p>
        <w:p w14:paraId="0ABCF259" w14:textId="52DEFA8A"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52" w:history="1">
            <w:r w:rsidRPr="00B527F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_Toc225058152 \h </w:instrText>
            </w:r>
            <w:r>
              <w:rPr>
                <w:noProof/>
                <w:webHidden/>
              </w:rPr>
            </w:r>
            <w:r>
              <w:rPr>
                <w:noProof/>
                <w:webHidden/>
              </w:rPr>
              <w:fldChar w:fldCharType="separate"/>
            </w:r>
            <w:r>
              <w:rPr>
                <w:noProof/>
                <w:webHidden/>
              </w:rPr>
              <w:t>11</w:t>
            </w:r>
            <w:r>
              <w:rPr>
                <w:noProof/>
                <w:webHidden/>
              </w:rPr>
              <w:fldChar w:fldCharType="end"/>
            </w:r>
          </w:hyperlink>
        </w:p>
        <w:p w14:paraId="0DA9E546" w14:textId="29B1CD3B" w:rsidR="00CB65C9" w:rsidRDefault="00CB65C9">
          <w:pPr>
            <w:pStyle w:val="TOC1"/>
            <w:tabs>
              <w:tab w:val="right" w:leader="dot" w:pos="9016"/>
            </w:tabs>
            <w:rPr>
              <w:rFonts w:asciiTheme="minorHAnsi" w:eastAsiaTheme="minorEastAsia" w:hAnsiTheme="minorHAnsi" w:cstheme="minorBidi"/>
              <w:noProof/>
              <w:lang w:eastAsia="en-GB"/>
              <w14:ligatures w14:val="standardContextual"/>
            </w:rPr>
          </w:pPr>
          <w:hyperlink w:anchor="_Toc225058153" w:history="1">
            <w:r w:rsidRPr="00B527F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_Toc225058153 \h </w:instrText>
            </w:r>
            <w:r>
              <w:rPr>
                <w:noProof/>
                <w:webHidden/>
              </w:rPr>
            </w:r>
            <w:r>
              <w:rPr>
                <w:noProof/>
                <w:webHidden/>
              </w:rPr>
              <w:fldChar w:fldCharType="separate"/>
            </w:r>
            <w:r>
              <w:rPr>
                <w:noProof/>
                <w:webHidden/>
              </w:rPr>
              <w:t>12</w:t>
            </w:r>
            <w:r>
              <w:rPr>
                <w:noProof/>
                <w:webHidden/>
              </w:rPr>
              <w:fldChar w:fldCharType="end"/>
            </w:r>
          </w:hyperlink>
        </w:p>
        <w:p w14:paraId="6D5BCBAC" w14:textId="251B0AF4" w:rsidR="00CB65C9" w:rsidRDefault="00CB65C9">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6D010FBC" w14:textId="77777777" w:rsidR="00A9474F" w:rsidRPr="00CB65C9" w:rsidRDefault="00A9474F" w:rsidP="00CB65C9">
      <w:pPr>
        <w:pStyle w:val="Heading1"/>
        <w:spacing w:line="360" w:lineRule="auto"/>
        <w:rPr>
          <w:rFonts w:ascii="Arial" w:hAnsi="Arial" w:cs="Arial"/>
          <w:b/>
          <w:bCs/>
          <w:color w:val="auto"/>
          <w:sz w:val="22"/>
          <w:szCs w:val="22"/>
        </w:rPr>
      </w:pPr>
      <w:bookmarkStart w:id="0" w:name="_Toc225058134"/>
      <w:r w:rsidRPr="00CB65C9">
        <w:rPr>
          <w:rFonts w:ascii="Arial" w:hAnsi="Arial" w:cs="Arial"/>
          <w:b/>
          <w:bCs/>
          <w:color w:val="auto"/>
          <w:sz w:val="22"/>
          <w:szCs w:val="22"/>
        </w:rPr>
        <w:lastRenderedPageBreak/>
        <w:t>Introduction</w:t>
      </w:r>
      <w:bookmarkEnd w:id="0"/>
      <w:r w:rsidRPr="00CB65C9">
        <w:rPr>
          <w:rFonts w:ascii="Arial" w:hAnsi="Arial" w:cs="Arial"/>
          <w:b/>
          <w:bCs/>
          <w:color w:val="auto"/>
          <w:sz w:val="22"/>
          <w:szCs w:val="22"/>
        </w:rPr>
        <w:t> </w:t>
      </w:r>
    </w:p>
    <w:p w14:paraId="55A41AB7" w14:textId="77777777" w:rsidR="0043530D" w:rsidRPr="0043530D" w:rsidRDefault="0043530D" w:rsidP="00CB65C9">
      <w:pPr>
        <w:spacing w:line="360" w:lineRule="auto"/>
        <w:rPr>
          <w:rFonts w:ascii="Arial" w:hAnsi="Arial" w:cs="Arial"/>
          <w:sz w:val="22"/>
          <w:szCs w:val="22"/>
        </w:rPr>
      </w:pPr>
      <w:r w:rsidRPr="0043530D">
        <w:rPr>
          <w:rFonts w:ascii="Arial" w:hAnsi="Arial" w:cs="Arial"/>
          <w:sz w:val="22"/>
          <w:szCs w:val="22"/>
        </w:rPr>
        <w:t>Digital transformation has emerged as a key force behind change in the UK's health and social care system throughout the past ten years. Electronic Prescribing and Medicines Administration (EPMA) systems in National Health Service (NHS) hospitals and community settings are among the most important developments to be adopted nationally. EPMA replaces manual drug administration records and handwritten prescriptions with digital systems intended to enhance medication management's accuracy, efficiency, safety, and communication (NHS England, 2020). Its deployment is in line with NHS England's broader strategic aims, which include modernising hospital infrastructure, minimising preventable damage, and cultivating a staff with digital capabilities.</w:t>
      </w:r>
    </w:p>
    <w:p w14:paraId="3DFDAE99" w14:textId="77777777" w:rsidR="0043530D" w:rsidRPr="00CB65C9" w:rsidRDefault="0043530D" w:rsidP="00CB65C9">
      <w:pPr>
        <w:spacing w:line="360" w:lineRule="auto"/>
        <w:rPr>
          <w:rFonts w:ascii="Arial" w:hAnsi="Arial" w:cs="Arial"/>
          <w:sz w:val="22"/>
          <w:szCs w:val="22"/>
        </w:rPr>
      </w:pPr>
      <w:r w:rsidRPr="0043530D">
        <w:rPr>
          <w:rFonts w:ascii="Arial" w:hAnsi="Arial" w:cs="Arial"/>
          <w:sz w:val="22"/>
          <w:szCs w:val="22"/>
        </w:rPr>
        <w:t>The implementation of EPMA in UK health and social care during the past 10 years is critically examined in this paper, which evaluates its effects on:</w:t>
      </w:r>
    </w:p>
    <w:p w14:paraId="722056A2" w14:textId="51BF692D" w:rsidR="0043530D" w:rsidRPr="00CB65C9" w:rsidRDefault="0043530D" w:rsidP="00CB65C9">
      <w:pPr>
        <w:pStyle w:val="ListParagraph"/>
        <w:numPr>
          <w:ilvl w:val="0"/>
          <w:numId w:val="9"/>
        </w:numPr>
        <w:spacing w:line="360" w:lineRule="auto"/>
        <w:rPr>
          <w:rFonts w:ascii="Arial" w:hAnsi="Arial" w:cs="Arial"/>
          <w:sz w:val="22"/>
          <w:szCs w:val="22"/>
        </w:rPr>
      </w:pPr>
      <w:r w:rsidRPr="00CB65C9">
        <w:rPr>
          <w:rFonts w:ascii="Arial" w:hAnsi="Arial" w:cs="Arial"/>
          <w:b/>
          <w:bCs/>
          <w:sz w:val="22"/>
          <w:szCs w:val="22"/>
        </w:rPr>
        <w:t>Workforce</w:t>
      </w:r>
      <w:r w:rsidRPr="00CB65C9">
        <w:rPr>
          <w:rFonts w:ascii="Arial" w:hAnsi="Arial" w:cs="Arial"/>
          <w:sz w:val="22"/>
          <w:szCs w:val="22"/>
        </w:rPr>
        <w:t xml:space="preserve"> (job roles, competencies, inter-professional working) </w:t>
      </w:r>
    </w:p>
    <w:p w14:paraId="5DA86CB3" w14:textId="60F6CFDD" w:rsidR="0043530D" w:rsidRPr="00CB65C9" w:rsidRDefault="0043530D" w:rsidP="00CB65C9">
      <w:pPr>
        <w:pStyle w:val="ListParagraph"/>
        <w:numPr>
          <w:ilvl w:val="0"/>
          <w:numId w:val="9"/>
        </w:numPr>
        <w:spacing w:line="360" w:lineRule="auto"/>
        <w:rPr>
          <w:rFonts w:ascii="Arial" w:hAnsi="Arial" w:cs="Arial"/>
          <w:sz w:val="22"/>
          <w:szCs w:val="22"/>
        </w:rPr>
      </w:pPr>
      <w:r w:rsidRPr="00CB65C9">
        <w:rPr>
          <w:rFonts w:ascii="Arial" w:hAnsi="Arial" w:cs="Arial"/>
          <w:b/>
          <w:bCs/>
          <w:sz w:val="22"/>
          <w:szCs w:val="22"/>
        </w:rPr>
        <w:t>Service delivery</w:t>
      </w:r>
      <w:r w:rsidRPr="00CB65C9">
        <w:rPr>
          <w:rFonts w:ascii="Arial" w:hAnsi="Arial" w:cs="Arial"/>
          <w:sz w:val="22"/>
          <w:szCs w:val="22"/>
        </w:rPr>
        <w:t xml:space="preserve"> (efficiency, safety, quality, system integration) </w:t>
      </w:r>
    </w:p>
    <w:p w14:paraId="215F05F1" w14:textId="0C4F6C47" w:rsidR="0043530D" w:rsidRPr="00CB65C9" w:rsidRDefault="0043530D" w:rsidP="00CB65C9">
      <w:pPr>
        <w:pStyle w:val="ListParagraph"/>
        <w:numPr>
          <w:ilvl w:val="0"/>
          <w:numId w:val="9"/>
        </w:numPr>
        <w:spacing w:line="360" w:lineRule="auto"/>
        <w:rPr>
          <w:rFonts w:ascii="Arial" w:hAnsi="Arial" w:cs="Arial"/>
          <w:sz w:val="22"/>
          <w:szCs w:val="22"/>
        </w:rPr>
      </w:pPr>
      <w:r w:rsidRPr="00CB65C9">
        <w:rPr>
          <w:rFonts w:ascii="Arial" w:hAnsi="Arial" w:cs="Arial"/>
          <w:b/>
          <w:bCs/>
          <w:sz w:val="22"/>
          <w:szCs w:val="22"/>
        </w:rPr>
        <w:t>Patients/service users</w:t>
      </w:r>
      <w:r w:rsidRPr="00CB65C9">
        <w:rPr>
          <w:rFonts w:ascii="Arial" w:hAnsi="Arial" w:cs="Arial"/>
          <w:sz w:val="22"/>
          <w:szCs w:val="22"/>
        </w:rPr>
        <w:t xml:space="preserve"> (experience, confidence, engagement, outcomes) </w:t>
      </w:r>
    </w:p>
    <w:p w14:paraId="1D39480D" w14:textId="6803B526" w:rsidR="0043530D" w:rsidRPr="00CB65C9" w:rsidRDefault="0043530D" w:rsidP="00CB65C9">
      <w:pPr>
        <w:pStyle w:val="ListParagraph"/>
        <w:numPr>
          <w:ilvl w:val="0"/>
          <w:numId w:val="9"/>
        </w:numPr>
        <w:spacing w:line="360" w:lineRule="auto"/>
        <w:rPr>
          <w:rFonts w:ascii="Arial" w:hAnsi="Arial" w:cs="Arial"/>
          <w:sz w:val="22"/>
          <w:szCs w:val="22"/>
        </w:rPr>
      </w:pPr>
      <w:r w:rsidRPr="00CB65C9">
        <w:rPr>
          <w:rFonts w:ascii="Arial" w:hAnsi="Arial" w:cs="Arial"/>
          <w:b/>
          <w:bCs/>
          <w:sz w:val="22"/>
          <w:szCs w:val="22"/>
        </w:rPr>
        <w:t>Community</w:t>
      </w:r>
      <w:r w:rsidRPr="00CB65C9">
        <w:rPr>
          <w:rFonts w:ascii="Arial" w:hAnsi="Arial" w:cs="Arial"/>
          <w:sz w:val="22"/>
          <w:szCs w:val="22"/>
        </w:rPr>
        <w:t xml:space="preserve"> (care access, public health, family involvement, co-production)</w:t>
      </w:r>
    </w:p>
    <w:p w14:paraId="232BD2C5" w14:textId="52FC4F8E" w:rsidR="00C80D0F" w:rsidRPr="00CB65C9" w:rsidRDefault="0043530D" w:rsidP="00CB65C9">
      <w:p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 xml:space="preserve">The implementation of EPMA in UK health and social care during the past 10 years is critically examined in this paper, which evaluates its effects </w:t>
      </w:r>
      <w:proofErr w:type="spellStart"/>
      <w:r w:rsidRPr="00CB65C9">
        <w:rPr>
          <w:rFonts w:ascii="Arial" w:eastAsia="Times New Roman" w:hAnsi="Arial" w:cs="Arial"/>
          <w:kern w:val="0"/>
          <w:sz w:val="22"/>
          <w:szCs w:val="22"/>
          <w:lang w:eastAsia="en-GB"/>
        </w:rPr>
        <w:t>on:Using</w:t>
      </w:r>
      <w:proofErr w:type="spellEnd"/>
      <w:r w:rsidRPr="00CB65C9">
        <w:rPr>
          <w:rFonts w:ascii="Arial" w:eastAsia="Times New Roman" w:hAnsi="Arial" w:cs="Arial"/>
          <w:kern w:val="0"/>
          <w:sz w:val="22"/>
          <w:szCs w:val="22"/>
          <w:lang w:eastAsia="en-GB"/>
        </w:rPr>
        <w:t xml:space="preserve"> a variety of scholarly, professional, and policy literature, the paper assesses both good and negative effects. Lastly, it provides a logical conclusion on the overall impact of EPMA on modern health and social care in the United Kingdom.</w:t>
      </w:r>
    </w:p>
    <w:p w14:paraId="68ECD336" w14:textId="77777777" w:rsidR="00CB65C9" w:rsidRPr="00CB65C9" w:rsidRDefault="00CB65C9" w:rsidP="00CB65C9">
      <w:pPr>
        <w:spacing w:after="0" w:line="360" w:lineRule="auto"/>
        <w:rPr>
          <w:rFonts w:ascii="Arial" w:eastAsia="Times New Roman" w:hAnsi="Arial" w:cs="Arial"/>
          <w:kern w:val="0"/>
          <w:sz w:val="22"/>
          <w:szCs w:val="22"/>
          <w:lang w:eastAsia="en-GB"/>
        </w:rPr>
      </w:pPr>
    </w:p>
    <w:p w14:paraId="763C5652" w14:textId="77777777" w:rsidR="00CB65C9" w:rsidRPr="00CB65C9" w:rsidRDefault="00CB65C9" w:rsidP="00CB65C9">
      <w:pPr>
        <w:spacing w:after="0" w:line="360" w:lineRule="auto"/>
        <w:rPr>
          <w:rFonts w:ascii="Arial" w:eastAsia="Times New Roman" w:hAnsi="Arial" w:cs="Arial"/>
          <w:kern w:val="0"/>
          <w:sz w:val="22"/>
          <w:szCs w:val="22"/>
          <w:lang w:eastAsia="en-GB"/>
        </w:rPr>
      </w:pPr>
    </w:p>
    <w:p w14:paraId="6341855D" w14:textId="77777777" w:rsidR="00C80D0F" w:rsidRPr="00CB65C9" w:rsidRDefault="00C80D0F" w:rsidP="00CB65C9">
      <w:pPr>
        <w:pStyle w:val="Heading1"/>
        <w:spacing w:line="360" w:lineRule="auto"/>
        <w:rPr>
          <w:rFonts w:ascii="Arial" w:hAnsi="Arial" w:cs="Arial"/>
          <w:b/>
          <w:bCs/>
          <w:color w:val="auto"/>
          <w:sz w:val="22"/>
          <w:szCs w:val="22"/>
        </w:rPr>
      </w:pPr>
      <w:bookmarkStart w:id="1" w:name="_Toc225058135"/>
      <w:r w:rsidRPr="00CB65C9">
        <w:rPr>
          <w:rFonts w:ascii="Arial" w:hAnsi="Arial" w:cs="Arial"/>
          <w:b/>
          <w:bCs/>
          <w:color w:val="auto"/>
          <w:sz w:val="22"/>
          <w:szCs w:val="22"/>
        </w:rPr>
        <w:t>Impact on work force</w:t>
      </w:r>
      <w:bookmarkEnd w:id="1"/>
      <w:r w:rsidRPr="00CB65C9">
        <w:rPr>
          <w:rFonts w:ascii="Arial" w:hAnsi="Arial" w:cs="Arial"/>
          <w:b/>
          <w:bCs/>
          <w:color w:val="auto"/>
          <w:sz w:val="22"/>
          <w:szCs w:val="22"/>
        </w:rPr>
        <w:t xml:space="preserve"> </w:t>
      </w:r>
    </w:p>
    <w:p w14:paraId="78BF621E" w14:textId="35E1F8E9" w:rsidR="00C80D0F" w:rsidRPr="00CB65C9" w:rsidRDefault="0043530D" w:rsidP="00CB65C9">
      <w:pPr>
        <w:pStyle w:val="Heading2"/>
        <w:spacing w:line="360" w:lineRule="auto"/>
        <w:rPr>
          <w:rFonts w:ascii="Arial" w:hAnsi="Arial" w:cs="Arial"/>
          <w:color w:val="auto"/>
          <w:sz w:val="22"/>
          <w:szCs w:val="22"/>
        </w:rPr>
      </w:pPr>
      <w:bookmarkStart w:id="2" w:name="_Toc225058136"/>
      <w:r w:rsidRPr="00CB65C9">
        <w:rPr>
          <w:rFonts w:ascii="Arial" w:hAnsi="Arial" w:cs="Arial"/>
          <w:color w:val="auto"/>
          <w:sz w:val="22"/>
          <w:szCs w:val="22"/>
        </w:rPr>
        <w:t>Changes in job roles and responsibilities</w:t>
      </w:r>
      <w:bookmarkEnd w:id="2"/>
    </w:p>
    <w:p w14:paraId="0BC9E55A" w14:textId="77777777" w:rsidR="0043530D" w:rsidRDefault="0043530D" w:rsidP="00CB65C9">
      <w:pPr>
        <w:spacing w:after="0" w:line="360" w:lineRule="auto"/>
        <w:ind w:left="360"/>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The way healthcare workers</w:t>
      </w:r>
      <w:r w:rsidRPr="00CB65C9">
        <w:rPr>
          <w:rFonts w:ascii="Arial" w:eastAsia="Times New Roman" w:hAnsi="Arial" w:cs="Arial"/>
          <w:kern w:val="0"/>
          <w:sz w:val="22"/>
          <w:szCs w:val="22"/>
          <w:lang w:eastAsia="en-GB"/>
        </w:rPr>
        <w:t xml:space="preserve"> </w:t>
      </w:r>
      <w:r w:rsidRPr="00CB65C9">
        <w:rPr>
          <w:rFonts w:ascii="Arial" w:eastAsia="Times New Roman" w:hAnsi="Arial" w:cs="Arial"/>
          <w:kern w:val="0"/>
          <w:sz w:val="22"/>
          <w:szCs w:val="22"/>
          <w:lang w:eastAsia="en-GB"/>
        </w:rPr>
        <w:t>especially nurses, physicians, and pharmacists</w:t>
      </w:r>
      <w:r w:rsidRPr="00CB65C9">
        <w:rPr>
          <w:rFonts w:ascii="Arial" w:eastAsia="Times New Roman" w:hAnsi="Arial" w:cs="Arial"/>
          <w:kern w:val="0"/>
          <w:sz w:val="22"/>
          <w:szCs w:val="22"/>
          <w:lang w:eastAsia="en-GB"/>
        </w:rPr>
        <w:t xml:space="preserve"> </w:t>
      </w:r>
      <w:r w:rsidRPr="00CB65C9">
        <w:rPr>
          <w:rFonts w:ascii="Arial" w:eastAsia="Times New Roman" w:hAnsi="Arial" w:cs="Arial"/>
          <w:kern w:val="0"/>
          <w:sz w:val="22"/>
          <w:szCs w:val="22"/>
          <w:lang w:eastAsia="en-GB"/>
        </w:rPr>
        <w:t>perform medication-related duties is drastically altered by EPMA. EPMA guarantees decision-support cues, quick formulary checks, and readability for physicians. Effective usage of systems reduces prescription mistakes, according to studies (Bates &amp; Singh, 2018; Ahmed et al., 2021).</w:t>
      </w:r>
      <w:r w:rsidRPr="00CB65C9">
        <w:rPr>
          <w:rFonts w:ascii="Arial" w:eastAsia="Times New Roman" w:hAnsi="Arial" w:cs="Arial"/>
          <w:kern w:val="0"/>
          <w:sz w:val="22"/>
          <w:szCs w:val="22"/>
          <w:lang w:eastAsia="en-GB"/>
        </w:rPr>
        <w:br/>
      </w:r>
    </w:p>
    <w:p w14:paraId="716FA53A" w14:textId="77777777" w:rsidR="00CB65C9" w:rsidRPr="00CB65C9" w:rsidRDefault="00CB65C9" w:rsidP="00CB65C9">
      <w:pPr>
        <w:spacing w:after="0" w:line="360" w:lineRule="auto"/>
        <w:ind w:left="360"/>
        <w:rPr>
          <w:rFonts w:ascii="Arial" w:eastAsia="Times New Roman" w:hAnsi="Arial" w:cs="Arial"/>
          <w:kern w:val="0"/>
          <w:sz w:val="22"/>
          <w:szCs w:val="22"/>
          <w:lang w:eastAsia="en-GB"/>
        </w:rPr>
      </w:pPr>
    </w:p>
    <w:p w14:paraId="57347240" w14:textId="7DE9C224" w:rsidR="0043530D" w:rsidRPr="00CB65C9" w:rsidRDefault="0043530D" w:rsidP="00CB65C9">
      <w:pPr>
        <w:spacing w:after="0" w:line="360" w:lineRule="auto"/>
        <w:ind w:left="360"/>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lastRenderedPageBreak/>
        <w:br/>
        <w:t>The most noticeable change has been seen in chemists. More clinician participation, including medication optimisation and antimicrobial stewardship, is now possible due to the reduction of their usual work of interpreting handwritten prescriptions (Royal Pharmaceutical Society, 2019). Pharmacists can act earlier in the patient journey because to EPMA's instant visibility of prescription history.</w:t>
      </w:r>
    </w:p>
    <w:p w14:paraId="5CFB41AE" w14:textId="77777777" w:rsidR="0043530D" w:rsidRPr="00CB65C9" w:rsidRDefault="0043530D" w:rsidP="00CB65C9">
      <w:pPr>
        <w:spacing w:after="0" w:line="360" w:lineRule="auto"/>
        <w:ind w:left="360"/>
        <w:rPr>
          <w:rFonts w:ascii="Arial" w:eastAsia="Times New Roman" w:hAnsi="Arial" w:cs="Arial"/>
          <w:kern w:val="0"/>
          <w:sz w:val="22"/>
          <w:szCs w:val="22"/>
          <w:lang w:eastAsia="en-GB"/>
        </w:rPr>
      </w:pPr>
      <w:r w:rsidRPr="0043530D">
        <w:rPr>
          <w:rFonts w:ascii="Arial" w:eastAsia="Times New Roman" w:hAnsi="Arial" w:cs="Arial"/>
          <w:kern w:val="0"/>
          <w:sz w:val="22"/>
          <w:szCs w:val="22"/>
          <w:lang w:eastAsia="en-GB"/>
        </w:rPr>
        <w:t>The duties of nurses have also changed, frequently in a good way but occasionally in a controversial way. In order to decrease paperwork time and improve accountability, EPMA implements digital signatures and barcode drug administration (Thomas &amp; Reeves, 2020). However, there has been early opposition from nurses who believe EPMA would increase their administrative workload (</w:t>
      </w:r>
      <w:proofErr w:type="spellStart"/>
      <w:r w:rsidRPr="0043530D">
        <w:rPr>
          <w:rFonts w:ascii="Arial" w:eastAsia="Times New Roman" w:hAnsi="Arial" w:cs="Arial"/>
          <w:kern w:val="0"/>
          <w:sz w:val="22"/>
          <w:szCs w:val="22"/>
          <w:lang w:eastAsia="en-GB"/>
        </w:rPr>
        <w:t>Alqenae</w:t>
      </w:r>
      <w:proofErr w:type="spellEnd"/>
      <w:r w:rsidRPr="0043530D">
        <w:rPr>
          <w:rFonts w:ascii="Arial" w:eastAsia="Times New Roman" w:hAnsi="Arial" w:cs="Arial"/>
          <w:kern w:val="0"/>
          <w:sz w:val="22"/>
          <w:szCs w:val="22"/>
          <w:lang w:eastAsia="en-GB"/>
        </w:rPr>
        <w:t xml:space="preserve"> et al., 2020).</w:t>
      </w:r>
    </w:p>
    <w:p w14:paraId="7FF582F1" w14:textId="77777777" w:rsidR="0043530D" w:rsidRPr="00CB65C9" w:rsidRDefault="0043530D" w:rsidP="00CB65C9">
      <w:pPr>
        <w:spacing w:after="0" w:line="360" w:lineRule="auto"/>
        <w:ind w:left="360"/>
        <w:rPr>
          <w:rFonts w:ascii="Arial" w:eastAsia="Times New Roman" w:hAnsi="Arial" w:cs="Arial"/>
          <w:kern w:val="0"/>
          <w:sz w:val="22"/>
          <w:szCs w:val="22"/>
          <w:lang w:eastAsia="en-GB"/>
        </w:rPr>
      </w:pPr>
    </w:p>
    <w:p w14:paraId="5279C817" w14:textId="69AE599C" w:rsidR="0043530D" w:rsidRPr="00CB65C9" w:rsidRDefault="0043530D" w:rsidP="00CB65C9">
      <w:pPr>
        <w:pStyle w:val="Heading2"/>
        <w:spacing w:line="360" w:lineRule="auto"/>
        <w:rPr>
          <w:rFonts w:ascii="Arial" w:hAnsi="Arial" w:cs="Arial"/>
          <w:b/>
          <w:bCs/>
          <w:color w:val="auto"/>
          <w:sz w:val="22"/>
          <w:szCs w:val="22"/>
          <w:lang w:eastAsia="en-GB"/>
        </w:rPr>
      </w:pPr>
      <w:bookmarkStart w:id="3" w:name="_Toc225058137"/>
      <w:r w:rsidRPr="00CB65C9">
        <w:rPr>
          <w:rFonts w:ascii="Arial" w:hAnsi="Arial" w:cs="Arial"/>
          <w:b/>
          <w:bCs/>
          <w:color w:val="auto"/>
          <w:sz w:val="22"/>
          <w:szCs w:val="22"/>
          <w:lang w:eastAsia="en-GB"/>
        </w:rPr>
        <w:t>Critical evaluation</w:t>
      </w:r>
      <w:r w:rsidRPr="00CB65C9">
        <w:rPr>
          <w:rFonts w:ascii="Arial" w:hAnsi="Arial" w:cs="Arial"/>
          <w:b/>
          <w:bCs/>
          <w:color w:val="auto"/>
          <w:sz w:val="22"/>
          <w:szCs w:val="22"/>
          <w:lang w:eastAsia="en-GB"/>
        </w:rPr>
        <w:t>:</w:t>
      </w:r>
      <w:bookmarkEnd w:id="3"/>
    </w:p>
    <w:p w14:paraId="24FE0D39" w14:textId="77777777" w:rsidR="0043530D" w:rsidRPr="00CB65C9" w:rsidRDefault="0043530D" w:rsidP="00CB65C9">
      <w:pPr>
        <w:spacing w:after="0" w:line="360" w:lineRule="auto"/>
        <w:ind w:left="360"/>
        <w:rPr>
          <w:rFonts w:ascii="Arial" w:eastAsia="Times New Roman" w:hAnsi="Arial" w:cs="Arial"/>
          <w:kern w:val="0"/>
          <w:sz w:val="22"/>
          <w:szCs w:val="22"/>
          <w:lang w:eastAsia="en-GB"/>
        </w:rPr>
      </w:pPr>
    </w:p>
    <w:p w14:paraId="7C31E2AF" w14:textId="414E08A4" w:rsidR="0043530D" w:rsidRPr="00CB65C9" w:rsidRDefault="0043530D" w:rsidP="00CB65C9">
      <w:pPr>
        <w:spacing w:after="0" w:line="360" w:lineRule="auto"/>
        <w:ind w:left="360"/>
        <w:rPr>
          <w:rFonts w:ascii="Arial" w:eastAsia="Times New Roman" w:hAnsi="Arial" w:cs="Arial"/>
          <w:kern w:val="0"/>
          <w:sz w:val="22"/>
          <w:szCs w:val="22"/>
          <w:u w:val="single"/>
          <w:lang w:eastAsia="en-GB"/>
        </w:rPr>
      </w:pPr>
      <w:r w:rsidRPr="00CB65C9">
        <w:rPr>
          <w:rFonts w:ascii="Arial" w:eastAsia="Times New Roman" w:hAnsi="Arial" w:cs="Arial"/>
          <w:kern w:val="0"/>
          <w:sz w:val="22"/>
          <w:szCs w:val="22"/>
          <w:u w:val="single"/>
          <w:lang w:eastAsia="en-GB"/>
        </w:rPr>
        <w:t>Positive impacts</w:t>
      </w:r>
    </w:p>
    <w:p w14:paraId="08150673" w14:textId="77777777" w:rsidR="0043530D" w:rsidRPr="00CB65C9" w:rsidRDefault="0043530D" w:rsidP="00CB65C9">
      <w:pPr>
        <w:pStyle w:val="ListParagraph"/>
        <w:numPr>
          <w:ilvl w:val="0"/>
          <w:numId w:val="10"/>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Increased precision and clarity improve drug safety and lessen cognitive stress.</w:t>
      </w:r>
    </w:p>
    <w:p w14:paraId="5279A2AC" w14:textId="77777777" w:rsidR="0043530D" w:rsidRPr="00CB65C9" w:rsidRDefault="0043530D" w:rsidP="00CB65C9">
      <w:pPr>
        <w:pStyle w:val="ListParagraph"/>
        <w:numPr>
          <w:ilvl w:val="0"/>
          <w:numId w:val="10"/>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Safer joint decision-making is encouraged by improved multidisciplinary communication.</w:t>
      </w:r>
    </w:p>
    <w:p w14:paraId="29CAB813" w14:textId="77777777" w:rsidR="0043530D" w:rsidRPr="00CB65C9" w:rsidRDefault="0043530D" w:rsidP="00CB65C9">
      <w:pPr>
        <w:pStyle w:val="ListParagraph"/>
        <w:numPr>
          <w:ilvl w:val="0"/>
          <w:numId w:val="10"/>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Digital audit trails enhance governance and shield physicians from lawsuits.</w:t>
      </w:r>
    </w:p>
    <w:p w14:paraId="55DA451B" w14:textId="77777777" w:rsidR="0043530D" w:rsidRPr="00CB65C9" w:rsidRDefault="0043530D" w:rsidP="00CB65C9">
      <w:pPr>
        <w:spacing w:after="0" w:line="360" w:lineRule="auto"/>
        <w:rPr>
          <w:rFonts w:ascii="Arial" w:eastAsia="Times New Roman" w:hAnsi="Arial" w:cs="Arial"/>
          <w:kern w:val="0"/>
          <w:sz w:val="22"/>
          <w:szCs w:val="22"/>
          <w:lang w:eastAsia="en-GB"/>
        </w:rPr>
      </w:pPr>
    </w:p>
    <w:p w14:paraId="6EAF5565" w14:textId="7BD0280B" w:rsidR="0043530D" w:rsidRPr="00CB65C9" w:rsidRDefault="0043530D" w:rsidP="00CB65C9">
      <w:pPr>
        <w:spacing w:after="0" w:line="360" w:lineRule="auto"/>
        <w:rPr>
          <w:rFonts w:ascii="Arial" w:eastAsia="Times New Roman" w:hAnsi="Arial" w:cs="Arial"/>
          <w:kern w:val="0"/>
          <w:sz w:val="22"/>
          <w:szCs w:val="22"/>
          <w:u w:val="single"/>
          <w:lang w:eastAsia="en-GB"/>
        </w:rPr>
      </w:pPr>
      <w:r w:rsidRPr="00CB65C9">
        <w:rPr>
          <w:rFonts w:ascii="Arial" w:eastAsia="Times New Roman" w:hAnsi="Arial" w:cs="Arial"/>
          <w:kern w:val="0"/>
          <w:sz w:val="22"/>
          <w:szCs w:val="22"/>
          <w:lang w:eastAsia="en-GB"/>
        </w:rPr>
        <w:t xml:space="preserve">      </w:t>
      </w:r>
      <w:r w:rsidRPr="00CB65C9">
        <w:rPr>
          <w:rFonts w:ascii="Arial" w:eastAsia="Times New Roman" w:hAnsi="Arial" w:cs="Arial"/>
          <w:kern w:val="0"/>
          <w:sz w:val="22"/>
          <w:szCs w:val="22"/>
          <w:u w:val="single"/>
          <w:lang w:eastAsia="en-GB"/>
        </w:rPr>
        <w:t>Negative impacts</w:t>
      </w:r>
    </w:p>
    <w:p w14:paraId="312E2C8F" w14:textId="77777777" w:rsidR="0043530D" w:rsidRPr="00CB65C9" w:rsidRDefault="0043530D" w:rsidP="00CB65C9">
      <w:pPr>
        <w:pStyle w:val="ListParagraph"/>
        <w:numPr>
          <w:ilvl w:val="0"/>
          <w:numId w:val="11"/>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In an emergency, more screen time and login requirements may cause a delay in the prompt delivery of medication.</w:t>
      </w:r>
    </w:p>
    <w:p w14:paraId="6EDE90C9" w14:textId="77777777" w:rsidR="0043530D" w:rsidRPr="00CB65C9" w:rsidRDefault="0043530D" w:rsidP="00CB65C9">
      <w:pPr>
        <w:pStyle w:val="ListParagraph"/>
        <w:numPr>
          <w:ilvl w:val="0"/>
          <w:numId w:val="11"/>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Some senior employees, particularly those who are not conversant with digital technology, feel deskilled.</w:t>
      </w:r>
    </w:p>
    <w:p w14:paraId="7D1C3C20" w14:textId="77777777" w:rsidR="0043530D" w:rsidRPr="00CB65C9" w:rsidRDefault="0043530D" w:rsidP="00CB65C9">
      <w:pPr>
        <w:pStyle w:val="ListParagraph"/>
        <w:numPr>
          <w:ilvl w:val="0"/>
          <w:numId w:val="11"/>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Transitional times necessitate a large amount of double paperwork, which adds to the effort.</w:t>
      </w:r>
    </w:p>
    <w:p w14:paraId="7A654824" w14:textId="77777777" w:rsidR="0043530D" w:rsidRPr="00CB65C9" w:rsidRDefault="0043530D" w:rsidP="00CB65C9">
      <w:pPr>
        <w:pStyle w:val="ListParagraph"/>
        <w:spacing w:after="0" w:line="360" w:lineRule="auto"/>
        <w:rPr>
          <w:rFonts w:ascii="Arial" w:eastAsia="Times New Roman" w:hAnsi="Arial" w:cs="Arial"/>
          <w:kern w:val="0"/>
          <w:sz w:val="22"/>
          <w:szCs w:val="22"/>
          <w:u w:val="single"/>
          <w:lang w:eastAsia="en-GB"/>
        </w:rPr>
      </w:pPr>
    </w:p>
    <w:p w14:paraId="7C16CD8C" w14:textId="77777777" w:rsidR="00CB65C9" w:rsidRPr="00CB65C9" w:rsidRDefault="0005362D" w:rsidP="00CB65C9">
      <w:pPr>
        <w:spacing w:after="0" w:line="360" w:lineRule="auto"/>
        <w:rPr>
          <w:rFonts w:ascii="Arial" w:eastAsia="Times New Roman" w:hAnsi="Arial" w:cs="Arial"/>
          <w:kern w:val="0"/>
          <w:sz w:val="22"/>
          <w:szCs w:val="22"/>
          <w:lang w:eastAsia="en-GB"/>
        </w:rPr>
      </w:pPr>
      <w:r w:rsidRPr="0005362D">
        <w:rPr>
          <w:rFonts w:ascii="Arial" w:eastAsia="Times New Roman" w:hAnsi="Arial" w:cs="Arial"/>
          <w:kern w:val="0"/>
          <w:sz w:val="22"/>
          <w:szCs w:val="22"/>
          <w:lang w:eastAsia="en-GB"/>
        </w:rPr>
        <w:t>Variability in digital literacy has been a persistent issue for NHS entities. Investments in mentorship, training, and continuous system support are necessary for the successful implementation of EPMA (NHS England, 2020). Transitions are often more seamless at hospitals with super-users and specialised digital nursing specialists (Lamble, 2021).</w:t>
      </w:r>
    </w:p>
    <w:p w14:paraId="39CF25A1" w14:textId="77777777" w:rsidR="00CB65C9" w:rsidRDefault="00CB65C9" w:rsidP="00CB65C9">
      <w:pPr>
        <w:spacing w:after="0" w:line="360" w:lineRule="auto"/>
        <w:rPr>
          <w:rFonts w:ascii="Arial" w:eastAsia="Times New Roman" w:hAnsi="Arial" w:cs="Arial"/>
          <w:kern w:val="0"/>
          <w:sz w:val="22"/>
          <w:szCs w:val="22"/>
          <w:lang w:eastAsia="en-GB"/>
        </w:rPr>
      </w:pPr>
    </w:p>
    <w:p w14:paraId="421B68B9" w14:textId="77777777" w:rsidR="00CB65C9" w:rsidRDefault="00CB65C9" w:rsidP="00CB65C9">
      <w:pPr>
        <w:spacing w:after="0" w:line="360" w:lineRule="auto"/>
        <w:rPr>
          <w:rFonts w:ascii="Arial" w:eastAsia="Times New Roman" w:hAnsi="Arial" w:cs="Arial"/>
          <w:kern w:val="0"/>
          <w:sz w:val="22"/>
          <w:szCs w:val="22"/>
          <w:lang w:eastAsia="en-GB"/>
        </w:rPr>
      </w:pPr>
    </w:p>
    <w:p w14:paraId="3846FFEA" w14:textId="77777777" w:rsidR="00CB65C9" w:rsidRPr="00CB65C9" w:rsidRDefault="00CB65C9" w:rsidP="00CB65C9">
      <w:pPr>
        <w:spacing w:after="0" w:line="360" w:lineRule="auto"/>
        <w:rPr>
          <w:rFonts w:ascii="Arial" w:eastAsia="Times New Roman" w:hAnsi="Arial" w:cs="Arial"/>
          <w:kern w:val="0"/>
          <w:sz w:val="22"/>
          <w:szCs w:val="22"/>
          <w:lang w:eastAsia="en-GB"/>
        </w:rPr>
      </w:pPr>
    </w:p>
    <w:p w14:paraId="353A29DE" w14:textId="11D880BA" w:rsidR="0005362D" w:rsidRPr="00CB65C9" w:rsidRDefault="0005362D" w:rsidP="00CB65C9">
      <w:pPr>
        <w:spacing w:after="0" w:line="360" w:lineRule="auto"/>
        <w:rPr>
          <w:rFonts w:ascii="Arial" w:eastAsia="Times New Roman" w:hAnsi="Arial" w:cs="Arial"/>
          <w:kern w:val="0"/>
          <w:sz w:val="22"/>
          <w:szCs w:val="22"/>
          <w:lang w:eastAsia="en-GB"/>
        </w:rPr>
      </w:pPr>
      <w:r w:rsidRPr="0005362D">
        <w:rPr>
          <w:rFonts w:ascii="Arial" w:eastAsia="Times New Roman" w:hAnsi="Arial" w:cs="Arial"/>
          <w:kern w:val="0"/>
          <w:sz w:val="22"/>
          <w:szCs w:val="22"/>
          <w:lang w:eastAsia="en-GB"/>
        </w:rPr>
        <w:lastRenderedPageBreak/>
        <w:br/>
      </w:r>
      <w:r w:rsidRPr="0005362D">
        <w:rPr>
          <w:rFonts w:ascii="Arial" w:eastAsia="Times New Roman" w:hAnsi="Arial" w:cs="Arial"/>
          <w:kern w:val="0"/>
          <w:sz w:val="22"/>
          <w:szCs w:val="22"/>
          <w:lang w:eastAsia="en-GB"/>
        </w:rPr>
        <w:br/>
        <w:t>Training needs to be adapted to the clinical setting. For instance, paediatric services need precise weight-based dosage calculators, whereas mental health trusts need intricate prescribing routes for long-acting injectables.</w:t>
      </w:r>
    </w:p>
    <w:p w14:paraId="61241919" w14:textId="39DB82EA" w:rsidR="00C80D0F" w:rsidRPr="00CB65C9" w:rsidRDefault="00C80D0F" w:rsidP="00CB65C9">
      <w:pPr>
        <w:pStyle w:val="Heading1"/>
        <w:spacing w:line="360" w:lineRule="auto"/>
        <w:rPr>
          <w:rFonts w:ascii="Arial" w:hAnsi="Arial" w:cs="Arial"/>
          <w:b/>
          <w:bCs/>
          <w:color w:val="auto"/>
          <w:kern w:val="0"/>
          <w:sz w:val="22"/>
          <w:szCs w:val="22"/>
          <w:lang w:eastAsia="en-GB"/>
        </w:rPr>
      </w:pPr>
      <w:bookmarkStart w:id="4" w:name="_Toc225058138"/>
      <w:r w:rsidRPr="00CB65C9">
        <w:rPr>
          <w:rFonts w:ascii="Arial" w:hAnsi="Arial" w:cs="Arial"/>
          <w:b/>
          <w:bCs/>
          <w:color w:val="auto"/>
          <w:sz w:val="22"/>
          <w:szCs w:val="22"/>
        </w:rPr>
        <w:t>Impact on service delivery</w:t>
      </w:r>
      <w:bookmarkEnd w:id="4"/>
      <w:r w:rsidRPr="00CB65C9">
        <w:rPr>
          <w:rFonts w:ascii="Arial" w:hAnsi="Arial" w:cs="Arial"/>
          <w:b/>
          <w:bCs/>
          <w:color w:val="auto"/>
          <w:sz w:val="22"/>
          <w:szCs w:val="22"/>
        </w:rPr>
        <w:t xml:space="preserve"> </w:t>
      </w:r>
    </w:p>
    <w:p w14:paraId="7E1D5428" w14:textId="0A923A9E" w:rsidR="00C80D0F" w:rsidRPr="00CB65C9" w:rsidRDefault="0005362D" w:rsidP="00CB65C9">
      <w:pPr>
        <w:spacing w:line="360" w:lineRule="auto"/>
        <w:rPr>
          <w:rFonts w:ascii="Arial" w:hAnsi="Arial" w:cs="Arial"/>
          <w:sz w:val="22"/>
          <w:szCs w:val="22"/>
          <w:u w:val="single"/>
        </w:rPr>
      </w:pPr>
      <w:r w:rsidRPr="00CB65C9">
        <w:rPr>
          <w:rFonts w:ascii="Arial" w:hAnsi="Arial" w:cs="Arial"/>
          <w:sz w:val="22"/>
          <w:szCs w:val="22"/>
          <w:u w:val="single"/>
        </w:rPr>
        <w:t>Day-to-day changes in service workflows</w:t>
      </w:r>
    </w:p>
    <w:p w14:paraId="79616237" w14:textId="77777777" w:rsidR="0005362D" w:rsidRPr="0005362D" w:rsidRDefault="0005362D" w:rsidP="00CB65C9">
      <w:pPr>
        <w:spacing w:line="360" w:lineRule="auto"/>
        <w:rPr>
          <w:rFonts w:ascii="Arial" w:hAnsi="Arial" w:cs="Arial"/>
          <w:sz w:val="22"/>
          <w:szCs w:val="22"/>
        </w:rPr>
      </w:pPr>
      <w:r w:rsidRPr="0005362D">
        <w:rPr>
          <w:rFonts w:ascii="Arial" w:hAnsi="Arial" w:cs="Arial"/>
          <w:sz w:val="22"/>
          <w:szCs w:val="22"/>
        </w:rPr>
        <w:t>Many aspects of routine healthcare practice are modified under EPMA. Once signed, prescriptions are instantly accessible, eliminating the delays caused by lost, revised, or transferred paper charts. Pharmacy teams get real-time digital notifications that reduce time-to-dispense (Ahmed et al., 2021).</w:t>
      </w:r>
      <w:r w:rsidRPr="0005362D">
        <w:rPr>
          <w:rFonts w:ascii="Arial" w:hAnsi="Arial" w:cs="Arial"/>
          <w:sz w:val="22"/>
          <w:szCs w:val="22"/>
        </w:rPr>
        <w:br/>
      </w:r>
      <w:r w:rsidRPr="0005362D">
        <w:rPr>
          <w:rFonts w:ascii="Arial" w:hAnsi="Arial" w:cs="Arial"/>
          <w:sz w:val="22"/>
          <w:szCs w:val="22"/>
        </w:rPr>
        <w:br/>
        <w:t>Nurses scan patient wristbands and drugs to make sure they match recommended dosages, which is another shift in administration procedures. The standardisation of missed-dose paperwork facilitates improved auditing and early risk escalation.</w:t>
      </w:r>
    </w:p>
    <w:p w14:paraId="0233F08A" w14:textId="1C01AF28" w:rsidR="0005362D" w:rsidRPr="00CB65C9" w:rsidRDefault="0005362D" w:rsidP="00CB65C9">
      <w:pPr>
        <w:spacing w:line="360" w:lineRule="auto"/>
        <w:rPr>
          <w:rFonts w:ascii="Arial" w:hAnsi="Arial" w:cs="Arial"/>
          <w:sz w:val="22"/>
          <w:szCs w:val="22"/>
          <w:u w:val="single"/>
        </w:rPr>
      </w:pPr>
      <w:r w:rsidRPr="00CB65C9">
        <w:rPr>
          <w:rFonts w:ascii="Arial" w:hAnsi="Arial" w:cs="Arial"/>
          <w:sz w:val="22"/>
          <w:szCs w:val="22"/>
          <w:u w:val="single"/>
        </w:rPr>
        <w:t>Positive impacts on service delivery</w:t>
      </w:r>
      <w:r w:rsidR="00126986" w:rsidRPr="00CB65C9">
        <w:rPr>
          <w:rFonts w:ascii="Arial" w:hAnsi="Arial" w:cs="Arial"/>
          <w:sz w:val="22"/>
          <w:szCs w:val="22"/>
          <w:u w:val="single"/>
        </w:rPr>
        <w:t>:</w:t>
      </w:r>
    </w:p>
    <w:p w14:paraId="1EEF4AB3" w14:textId="77777777" w:rsidR="0005362D" w:rsidRPr="00CB65C9" w:rsidRDefault="0005362D" w:rsidP="00CB65C9">
      <w:pPr>
        <w:pStyle w:val="ListParagraph"/>
        <w:numPr>
          <w:ilvl w:val="0"/>
          <w:numId w:val="12"/>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Efficiency and timeliness: Patient flow is improved by less delays, which shortens hospital stays (Bates &amp; Singh, 2018).</w:t>
      </w:r>
    </w:p>
    <w:p w14:paraId="57E42919" w14:textId="77777777" w:rsidR="0005362D" w:rsidRPr="00CB65C9" w:rsidRDefault="0005362D" w:rsidP="00CB65C9">
      <w:pPr>
        <w:pStyle w:val="ListParagraph"/>
        <w:numPr>
          <w:ilvl w:val="0"/>
          <w:numId w:val="12"/>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Safety: By reducing high-risk prescriptions, decision-support technologies may lessen the harm caused by medications.</w:t>
      </w:r>
    </w:p>
    <w:p w14:paraId="62B5CB27" w14:textId="77777777" w:rsidR="0005362D" w:rsidRPr="00CB65C9" w:rsidRDefault="0005362D" w:rsidP="00CB65C9">
      <w:pPr>
        <w:pStyle w:val="ListParagraph"/>
        <w:numPr>
          <w:ilvl w:val="0"/>
          <w:numId w:val="12"/>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Data quality: National reporting, auditing, and service enhancement are made easier by rich digital data.</w:t>
      </w:r>
    </w:p>
    <w:p w14:paraId="5A1AECE4" w14:textId="047BCA04" w:rsidR="0005362D" w:rsidRPr="00CB65C9" w:rsidRDefault="0005362D" w:rsidP="00CB65C9">
      <w:pPr>
        <w:spacing w:after="0" w:line="360" w:lineRule="auto"/>
        <w:rPr>
          <w:rFonts w:ascii="Arial" w:eastAsia="Times New Roman" w:hAnsi="Arial" w:cs="Arial"/>
          <w:kern w:val="0"/>
          <w:sz w:val="22"/>
          <w:szCs w:val="22"/>
          <w:u w:val="single"/>
          <w:lang w:eastAsia="en-GB"/>
        </w:rPr>
      </w:pPr>
      <w:r w:rsidRPr="00CB65C9">
        <w:rPr>
          <w:rFonts w:ascii="Arial" w:eastAsia="Times New Roman" w:hAnsi="Arial" w:cs="Arial"/>
          <w:kern w:val="0"/>
          <w:sz w:val="22"/>
          <w:szCs w:val="22"/>
          <w:u w:val="single"/>
          <w:lang w:eastAsia="en-GB"/>
        </w:rPr>
        <w:t>Negative impacts on service delivery</w:t>
      </w:r>
      <w:r w:rsidR="00126986" w:rsidRPr="00CB65C9">
        <w:rPr>
          <w:rFonts w:ascii="Arial" w:eastAsia="Times New Roman" w:hAnsi="Arial" w:cs="Arial"/>
          <w:kern w:val="0"/>
          <w:sz w:val="22"/>
          <w:szCs w:val="22"/>
          <w:u w:val="single"/>
          <w:lang w:eastAsia="en-GB"/>
        </w:rPr>
        <w:t>:</w:t>
      </w:r>
    </w:p>
    <w:p w14:paraId="7E18D156" w14:textId="77777777" w:rsidR="0005362D" w:rsidRPr="00CB65C9" w:rsidRDefault="0005362D" w:rsidP="00CB65C9">
      <w:pPr>
        <w:pStyle w:val="ListParagraph"/>
        <w:numPr>
          <w:ilvl w:val="0"/>
          <w:numId w:val="13"/>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Risks associated with downtime: When EPMA systems malfunction, services go back to paper, which increases risk and causes interruption (Thomas &amp; Reeves, 2020).</w:t>
      </w:r>
    </w:p>
    <w:p w14:paraId="3879E80F" w14:textId="77777777" w:rsidR="0005362D" w:rsidRPr="00CB65C9" w:rsidRDefault="0005362D" w:rsidP="00CB65C9">
      <w:pPr>
        <w:pStyle w:val="ListParagraph"/>
        <w:numPr>
          <w:ilvl w:val="0"/>
          <w:numId w:val="13"/>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Over-reliance on technology can cause "alert fatigue" in clinicians by making them less sensitive to notifications.</w:t>
      </w:r>
    </w:p>
    <w:p w14:paraId="35411124" w14:textId="77777777" w:rsidR="0005362D" w:rsidRPr="00CB65C9" w:rsidRDefault="0005362D" w:rsidP="00CB65C9">
      <w:pPr>
        <w:pStyle w:val="ListParagraph"/>
        <w:numPr>
          <w:ilvl w:val="0"/>
          <w:numId w:val="13"/>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Implementation costs: For NHS trusts, hardware (computers, scanners), software licenses, and training are major expenditures.</w:t>
      </w:r>
    </w:p>
    <w:p w14:paraId="2C560DD2" w14:textId="77777777" w:rsidR="0005362D" w:rsidRDefault="0005362D" w:rsidP="00CB65C9">
      <w:pPr>
        <w:pStyle w:val="ListParagraph"/>
        <w:spacing w:after="0" w:line="360" w:lineRule="auto"/>
        <w:rPr>
          <w:rFonts w:ascii="Arial" w:eastAsia="Times New Roman" w:hAnsi="Arial" w:cs="Arial"/>
          <w:kern w:val="0"/>
          <w:sz w:val="22"/>
          <w:szCs w:val="22"/>
          <w:lang w:eastAsia="en-GB"/>
        </w:rPr>
      </w:pPr>
    </w:p>
    <w:p w14:paraId="51FDA1D5" w14:textId="77777777" w:rsidR="00CB65C9" w:rsidRDefault="00CB65C9" w:rsidP="00CB65C9">
      <w:pPr>
        <w:pStyle w:val="ListParagraph"/>
        <w:spacing w:after="0" w:line="360" w:lineRule="auto"/>
        <w:rPr>
          <w:rFonts w:ascii="Arial" w:eastAsia="Times New Roman" w:hAnsi="Arial" w:cs="Arial"/>
          <w:kern w:val="0"/>
          <w:sz w:val="22"/>
          <w:szCs w:val="22"/>
          <w:lang w:eastAsia="en-GB"/>
        </w:rPr>
      </w:pPr>
    </w:p>
    <w:p w14:paraId="5EB3EEB9" w14:textId="77777777" w:rsidR="00CB65C9" w:rsidRPr="00CB65C9" w:rsidRDefault="00CB65C9" w:rsidP="00CB65C9">
      <w:pPr>
        <w:pStyle w:val="ListParagraph"/>
        <w:spacing w:after="0" w:line="360" w:lineRule="auto"/>
        <w:rPr>
          <w:rFonts w:ascii="Arial" w:eastAsia="Times New Roman" w:hAnsi="Arial" w:cs="Arial"/>
          <w:kern w:val="0"/>
          <w:sz w:val="22"/>
          <w:szCs w:val="22"/>
          <w:lang w:eastAsia="en-GB"/>
        </w:rPr>
      </w:pPr>
    </w:p>
    <w:p w14:paraId="60A4F22E" w14:textId="77777777" w:rsidR="00CB65C9" w:rsidRPr="00CB65C9" w:rsidRDefault="00CB65C9" w:rsidP="00CB65C9">
      <w:pPr>
        <w:pStyle w:val="ListParagraph"/>
        <w:spacing w:after="0" w:line="360" w:lineRule="auto"/>
        <w:rPr>
          <w:rFonts w:ascii="Arial" w:eastAsia="Times New Roman" w:hAnsi="Arial" w:cs="Arial"/>
          <w:kern w:val="0"/>
          <w:sz w:val="22"/>
          <w:szCs w:val="22"/>
          <w:lang w:eastAsia="en-GB"/>
        </w:rPr>
      </w:pPr>
    </w:p>
    <w:p w14:paraId="7E84B847" w14:textId="77777777" w:rsidR="00CB65C9" w:rsidRPr="00CB65C9" w:rsidRDefault="00CB65C9" w:rsidP="00CB65C9">
      <w:pPr>
        <w:pStyle w:val="ListParagraph"/>
        <w:spacing w:after="0" w:line="360" w:lineRule="auto"/>
        <w:rPr>
          <w:rFonts w:ascii="Arial" w:eastAsia="Times New Roman" w:hAnsi="Arial" w:cs="Arial"/>
          <w:kern w:val="0"/>
          <w:sz w:val="22"/>
          <w:szCs w:val="22"/>
          <w:lang w:eastAsia="en-GB"/>
        </w:rPr>
      </w:pPr>
    </w:p>
    <w:p w14:paraId="7BF352C8" w14:textId="7C5CF851" w:rsidR="0005362D" w:rsidRPr="00CB65C9" w:rsidRDefault="0005362D" w:rsidP="00CB65C9">
      <w:pPr>
        <w:pStyle w:val="Heading2"/>
        <w:spacing w:line="360" w:lineRule="auto"/>
        <w:rPr>
          <w:rFonts w:ascii="Arial" w:hAnsi="Arial" w:cs="Arial"/>
          <w:b/>
          <w:bCs/>
          <w:color w:val="auto"/>
          <w:sz w:val="22"/>
          <w:szCs w:val="22"/>
          <w:lang w:eastAsia="en-GB"/>
        </w:rPr>
      </w:pPr>
      <w:bookmarkStart w:id="5" w:name="_Toc225058139"/>
      <w:r w:rsidRPr="00CB65C9">
        <w:rPr>
          <w:rFonts w:ascii="Arial" w:hAnsi="Arial" w:cs="Arial"/>
          <w:b/>
          <w:bCs/>
          <w:color w:val="auto"/>
          <w:sz w:val="22"/>
          <w:szCs w:val="22"/>
          <w:lang w:eastAsia="en-GB"/>
        </w:rPr>
        <w:t>Integration and interoperability</w:t>
      </w:r>
      <w:r w:rsidRPr="00CB65C9">
        <w:rPr>
          <w:rFonts w:ascii="Arial" w:hAnsi="Arial" w:cs="Arial"/>
          <w:b/>
          <w:bCs/>
          <w:color w:val="auto"/>
          <w:sz w:val="22"/>
          <w:szCs w:val="22"/>
          <w:lang w:eastAsia="en-GB"/>
        </w:rPr>
        <w:t>:</w:t>
      </w:r>
      <w:bookmarkEnd w:id="5"/>
    </w:p>
    <w:p w14:paraId="6A55EE43" w14:textId="77777777" w:rsidR="0005362D" w:rsidRPr="0005362D" w:rsidRDefault="0005362D" w:rsidP="00CB65C9">
      <w:pPr>
        <w:spacing w:after="0" w:line="360" w:lineRule="auto"/>
        <w:rPr>
          <w:rFonts w:ascii="Arial" w:eastAsia="Times New Roman" w:hAnsi="Arial" w:cs="Arial"/>
          <w:kern w:val="0"/>
          <w:sz w:val="22"/>
          <w:szCs w:val="22"/>
          <w:lang w:eastAsia="en-GB"/>
        </w:rPr>
      </w:pPr>
      <w:r w:rsidRPr="0005362D">
        <w:rPr>
          <w:rFonts w:ascii="Arial" w:eastAsia="Times New Roman" w:hAnsi="Arial" w:cs="Arial"/>
          <w:kern w:val="0"/>
          <w:sz w:val="22"/>
          <w:szCs w:val="22"/>
          <w:lang w:eastAsia="en-GB"/>
        </w:rPr>
        <w:t>Integration with laboratory systems, community prescription systems, and electronic patient records (EPRs) is essential for the successful deployment of EPMA. Interoperability is still uneven throughout the UK, and many trusts depend on several providers.</w:t>
      </w:r>
      <w:r w:rsidRPr="0005362D">
        <w:rPr>
          <w:rFonts w:ascii="Arial" w:eastAsia="Times New Roman" w:hAnsi="Arial" w:cs="Arial"/>
          <w:kern w:val="0"/>
          <w:sz w:val="22"/>
          <w:szCs w:val="22"/>
          <w:lang w:eastAsia="en-GB"/>
        </w:rPr>
        <w:br/>
      </w:r>
      <w:r w:rsidRPr="0005362D">
        <w:rPr>
          <w:rFonts w:ascii="Arial" w:eastAsia="Times New Roman" w:hAnsi="Arial" w:cs="Arial"/>
          <w:kern w:val="0"/>
          <w:sz w:val="22"/>
          <w:szCs w:val="22"/>
          <w:lang w:eastAsia="en-GB"/>
        </w:rPr>
        <w:br/>
        <w:t>The NHS England Transformation Directorate's national standards and incentives have increased interoperability, although gaps still exist, particularly between hospital and primary-care systems.</w:t>
      </w:r>
    </w:p>
    <w:p w14:paraId="7FAED44D" w14:textId="77777777" w:rsidR="0005362D" w:rsidRPr="00CB65C9" w:rsidRDefault="0005362D" w:rsidP="00CB65C9">
      <w:pPr>
        <w:spacing w:after="0" w:line="360" w:lineRule="auto"/>
        <w:rPr>
          <w:rFonts w:ascii="Arial" w:eastAsia="Times New Roman" w:hAnsi="Arial" w:cs="Arial"/>
          <w:kern w:val="0"/>
          <w:sz w:val="22"/>
          <w:szCs w:val="22"/>
          <w:lang w:eastAsia="en-GB"/>
        </w:rPr>
      </w:pPr>
    </w:p>
    <w:p w14:paraId="5CE88346" w14:textId="322D5C82" w:rsidR="0005362D" w:rsidRPr="00CB65C9" w:rsidRDefault="0005362D" w:rsidP="00CB65C9">
      <w:pPr>
        <w:spacing w:after="0" w:line="360" w:lineRule="auto"/>
        <w:rPr>
          <w:rFonts w:ascii="Arial" w:eastAsia="Times New Roman" w:hAnsi="Arial" w:cs="Arial"/>
          <w:kern w:val="0"/>
          <w:sz w:val="22"/>
          <w:szCs w:val="22"/>
          <w:u w:val="single"/>
          <w:lang w:eastAsia="en-GB"/>
        </w:rPr>
      </w:pPr>
      <w:r w:rsidRPr="00CB65C9">
        <w:rPr>
          <w:rFonts w:ascii="Arial" w:eastAsia="Times New Roman" w:hAnsi="Arial" w:cs="Arial"/>
          <w:kern w:val="0"/>
          <w:sz w:val="22"/>
          <w:szCs w:val="22"/>
          <w:u w:val="single"/>
          <w:lang w:eastAsia="en-GB"/>
        </w:rPr>
        <w:t>Critical evaluation</w:t>
      </w:r>
      <w:r w:rsidRPr="00CB65C9">
        <w:rPr>
          <w:rFonts w:ascii="Arial" w:eastAsia="Times New Roman" w:hAnsi="Arial" w:cs="Arial"/>
          <w:kern w:val="0"/>
          <w:sz w:val="22"/>
          <w:szCs w:val="22"/>
          <w:u w:val="single"/>
          <w:lang w:eastAsia="en-GB"/>
        </w:rPr>
        <w:t>:</w:t>
      </w:r>
    </w:p>
    <w:p w14:paraId="748A3085" w14:textId="3AE04D54" w:rsidR="0005362D" w:rsidRPr="00CB65C9" w:rsidRDefault="00670F82" w:rsidP="00CB65C9">
      <w:pPr>
        <w:spacing w:after="0" w:line="360" w:lineRule="auto"/>
        <w:rPr>
          <w:rFonts w:ascii="Arial" w:eastAsia="Times New Roman" w:hAnsi="Arial" w:cs="Arial"/>
          <w:kern w:val="0"/>
          <w:sz w:val="22"/>
          <w:szCs w:val="22"/>
          <w:lang w:eastAsia="en-GB"/>
        </w:rPr>
      </w:pPr>
      <w:r w:rsidRPr="00670F82">
        <w:rPr>
          <w:rFonts w:ascii="Arial" w:eastAsia="Times New Roman" w:hAnsi="Arial" w:cs="Arial"/>
          <w:kern w:val="0"/>
          <w:sz w:val="22"/>
          <w:szCs w:val="22"/>
          <w:lang w:eastAsia="en-GB"/>
        </w:rPr>
        <w:t>While EPMA encourages safer prescription practices within particular hospitals, smooth care transfers are compromised by uneven integration across local health economies. Duplicate prescriptions, out-of-date drug lists, or confusion for community partners may result from this.</w:t>
      </w:r>
    </w:p>
    <w:p w14:paraId="00FEAD73" w14:textId="77777777" w:rsidR="00670F82" w:rsidRPr="00CB65C9" w:rsidRDefault="00670F82" w:rsidP="00CB65C9">
      <w:pPr>
        <w:spacing w:after="0" w:line="360" w:lineRule="auto"/>
        <w:rPr>
          <w:rFonts w:ascii="Arial" w:eastAsia="Times New Roman" w:hAnsi="Arial" w:cs="Arial"/>
          <w:kern w:val="0"/>
          <w:sz w:val="22"/>
          <w:szCs w:val="22"/>
          <w:lang w:eastAsia="en-GB"/>
        </w:rPr>
      </w:pPr>
    </w:p>
    <w:p w14:paraId="46327300" w14:textId="77777777" w:rsidR="00C80D0F" w:rsidRPr="00CB65C9" w:rsidRDefault="00C80D0F" w:rsidP="00CB65C9">
      <w:pPr>
        <w:pStyle w:val="Heading1"/>
        <w:spacing w:line="360" w:lineRule="auto"/>
        <w:rPr>
          <w:rFonts w:ascii="Arial" w:hAnsi="Arial" w:cs="Arial"/>
          <w:b/>
          <w:bCs/>
          <w:color w:val="auto"/>
          <w:sz w:val="22"/>
          <w:szCs w:val="22"/>
        </w:rPr>
      </w:pPr>
      <w:bookmarkStart w:id="6" w:name="_Toc225058140"/>
      <w:r w:rsidRPr="00CB65C9">
        <w:rPr>
          <w:rFonts w:ascii="Arial" w:hAnsi="Arial" w:cs="Arial"/>
          <w:b/>
          <w:bCs/>
          <w:color w:val="auto"/>
          <w:sz w:val="22"/>
          <w:szCs w:val="22"/>
        </w:rPr>
        <w:t>Impact on patients</w:t>
      </w:r>
      <w:bookmarkEnd w:id="6"/>
      <w:r w:rsidRPr="00CB65C9">
        <w:rPr>
          <w:rFonts w:ascii="Arial" w:hAnsi="Arial" w:cs="Arial"/>
          <w:b/>
          <w:bCs/>
          <w:color w:val="auto"/>
          <w:sz w:val="22"/>
          <w:szCs w:val="22"/>
        </w:rPr>
        <w:t xml:space="preserve"> </w:t>
      </w:r>
    </w:p>
    <w:p w14:paraId="7E860150" w14:textId="0F49CCEA" w:rsidR="00C80D0F" w:rsidRPr="00CB65C9" w:rsidRDefault="00670F82" w:rsidP="00CB65C9">
      <w:pPr>
        <w:pStyle w:val="Heading2"/>
        <w:spacing w:line="360" w:lineRule="auto"/>
        <w:rPr>
          <w:rFonts w:ascii="Arial" w:hAnsi="Arial" w:cs="Arial"/>
          <w:color w:val="auto"/>
          <w:sz w:val="22"/>
          <w:szCs w:val="22"/>
          <w:u w:val="single"/>
        </w:rPr>
      </w:pPr>
      <w:bookmarkStart w:id="7" w:name="_Toc225058141"/>
      <w:r w:rsidRPr="00CB65C9">
        <w:rPr>
          <w:rFonts w:ascii="Arial" w:hAnsi="Arial" w:cs="Arial"/>
          <w:color w:val="auto"/>
          <w:sz w:val="22"/>
          <w:szCs w:val="22"/>
          <w:u w:val="single"/>
        </w:rPr>
        <w:t>Perceptions of care and confidence</w:t>
      </w:r>
      <w:r w:rsidRPr="00CB65C9">
        <w:rPr>
          <w:rFonts w:ascii="Arial" w:hAnsi="Arial" w:cs="Arial"/>
          <w:color w:val="auto"/>
          <w:sz w:val="22"/>
          <w:szCs w:val="22"/>
          <w:u w:val="single"/>
        </w:rPr>
        <w:t>.</w:t>
      </w:r>
      <w:bookmarkEnd w:id="7"/>
    </w:p>
    <w:p w14:paraId="20544F09" w14:textId="77777777" w:rsidR="00670F82" w:rsidRPr="00CB65C9" w:rsidRDefault="00670F82" w:rsidP="00CB65C9">
      <w:pPr>
        <w:spacing w:line="360" w:lineRule="auto"/>
        <w:rPr>
          <w:rFonts w:ascii="Arial" w:hAnsi="Arial" w:cs="Arial"/>
          <w:sz w:val="22"/>
          <w:szCs w:val="22"/>
        </w:rPr>
      </w:pPr>
      <w:r w:rsidRPr="00670F82">
        <w:rPr>
          <w:rFonts w:ascii="Arial" w:hAnsi="Arial" w:cs="Arial"/>
          <w:sz w:val="22"/>
          <w:szCs w:val="22"/>
        </w:rPr>
        <w:t>When EPMA is visible at the patient's bedside, patients typically report feeling more confident in managing their medications. They are reassured that their medication history is accurate and easily available due to the standardised and organised character of digital charts (Holland et al., 2019).</w:t>
      </w:r>
      <w:r w:rsidRPr="00670F82">
        <w:rPr>
          <w:rFonts w:ascii="Arial" w:hAnsi="Arial" w:cs="Arial"/>
          <w:sz w:val="22"/>
          <w:szCs w:val="22"/>
        </w:rPr>
        <w:br/>
      </w:r>
      <w:r w:rsidRPr="00670F82">
        <w:rPr>
          <w:rFonts w:ascii="Arial" w:hAnsi="Arial" w:cs="Arial"/>
          <w:sz w:val="22"/>
          <w:szCs w:val="22"/>
        </w:rPr>
        <w:br/>
        <w:t>Barcode scanning is frequently seen as an indication of contemporary, secure procedures. Instead than depending just on recollection or cursory looks at handwritten records, patients value physicians verifying their identities digitally.</w:t>
      </w:r>
    </w:p>
    <w:p w14:paraId="46A66292" w14:textId="77777777" w:rsidR="00670F82" w:rsidRPr="00CB65C9" w:rsidRDefault="00670F82" w:rsidP="00CB65C9">
      <w:pPr>
        <w:spacing w:line="360" w:lineRule="auto"/>
        <w:rPr>
          <w:rFonts w:ascii="Arial" w:hAnsi="Arial" w:cs="Arial"/>
          <w:sz w:val="22"/>
          <w:szCs w:val="22"/>
        </w:rPr>
      </w:pPr>
    </w:p>
    <w:p w14:paraId="3ECF60C8" w14:textId="3496582D" w:rsidR="00670F82" w:rsidRPr="00CB65C9" w:rsidRDefault="00670F82" w:rsidP="00CB65C9">
      <w:pPr>
        <w:pStyle w:val="Heading2"/>
        <w:spacing w:line="360" w:lineRule="auto"/>
        <w:rPr>
          <w:rFonts w:ascii="Arial" w:hAnsi="Arial" w:cs="Arial"/>
          <w:b/>
          <w:bCs/>
          <w:color w:val="auto"/>
          <w:sz w:val="22"/>
          <w:szCs w:val="22"/>
        </w:rPr>
      </w:pPr>
      <w:bookmarkStart w:id="8" w:name="_Toc225058142"/>
      <w:r w:rsidRPr="00CB65C9">
        <w:rPr>
          <w:rFonts w:ascii="Arial" w:hAnsi="Arial" w:cs="Arial"/>
          <w:b/>
          <w:bCs/>
          <w:color w:val="auto"/>
          <w:sz w:val="22"/>
          <w:szCs w:val="22"/>
        </w:rPr>
        <w:t>Experience of communication and involvement</w:t>
      </w:r>
      <w:r w:rsidRPr="00CB65C9">
        <w:rPr>
          <w:rFonts w:ascii="Arial" w:hAnsi="Arial" w:cs="Arial"/>
          <w:b/>
          <w:bCs/>
          <w:color w:val="auto"/>
          <w:sz w:val="22"/>
          <w:szCs w:val="22"/>
        </w:rPr>
        <w:t>.</w:t>
      </w:r>
      <w:bookmarkEnd w:id="8"/>
    </w:p>
    <w:p w14:paraId="0E4FEE7D" w14:textId="77777777" w:rsidR="00126986" w:rsidRPr="00126986" w:rsidRDefault="00126986" w:rsidP="00CB65C9">
      <w:pPr>
        <w:spacing w:line="360" w:lineRule="auto"/>
        <w:rPr>
          <w:rFonts w:ascii="Arial" w:hAnsi="Arial" w:cs="Arial"/>
          <w:sz w:val="22"/>
          <w:szCs w:val="22"/>
        </w:rPr>
      </w:pPr>
      <w:r w:rsidRPr="00126986">
        <w:rPr>
          <w:rFonts w:ascii="Arial" w:hAnsi="Arial" w:cs="Arial"/>
          <w:sz w:val="22"/>
          <w:szCs w:val="22"/>
        </w:rPr>
        <w:t xml:space="preserve">Patients' perceptions of the dependability and safety of their care have been greatly impacted by EPMA. According to research, individuals are more confident that pharmaceutical mistakes are less likely when they identify digital systems with contemporary, high-quality healthcare (Holland et al., 2019). The "five rights" of medicine administration—the right patient, right drug, right amount, right route, and right time—are </w:t>
      </w:r>
      <w:r w:rsidRPr="00126986">
        <w:rPr>
          <w:rFonts w:ascii="Arial" w:hAnsi="Arial" w:cs="Arial"/>
          <w:sz w:val="22"/>
          <w:szCs w:val="22"/>
        </w:rPr>
        <w:lastRenderedPageBreak/>
        <w:t>ensured via electronic medication checks, such as barcode scanning at the patient's bedside.</w:t>
      </w:r>
    </w:p>
    <w:p w14:paraId="6012FA24" w14:textId="77777777" w:rsidR="00126986" w:rsidRPr="00CB65C9" w:rsidRDefault="00126986" w:rsidP="00CB65C9">
      <w:pPr>
        <w:spacing w:line="360" w:lineRule="auto"/>
        <w:rPr>
          <w:rFonts w:ascii="Arial" w:hAnsi="Arial" w:cs="Arial"/>
          <w:sz w:val="22"/>
          <w:szCs w:val="22"/>
        </w:rPr>
      </w:pPr>
      <w:r w:rsidRPr="00126986">
        <w:rPr>
          <w:rFonts w:ascii="Arial" w:hAnsi="Arial" w:cs="Arial"/>
          <w:sz w:val="22"/>
          <w:szCs w:val="22"/>
        </w:rPr>
        <w:t>Patients who may have encountered irregularities in handwritten charts due to long-term or complicated diseases frequently express satisfaction with the improved clarity that EPMA provides. Throughout care episodes, medication histories are readily available, which lessens the distress brought on by recurrent enquiries or worries about omissions. In mental health settings, where treatment adherence depends on therapeutic trust, this might be particularly crucial.</w:t>
      </w:r>
    </w:p>
    <w:p w14:paraId="68E9323E" w14:textId="77777777" w:rsidR="00126986" w:rsidRPr="00126986" w:rsidRDefault="00126986" w:rsidP="00CB65C9">
      <w:pPr>
        <w:spacing w:line="360" w:lineRule="auto"/>
        <w:rPr>
          <w:rFonts w:ascii="Arial" w:hAnsi="Arial" w:cs="Arial"/>
          <w:sz w:val="22"/>
          <w:szCs w:val="22"/>
        </w:rPr>
      </w:pPr>
    </w:p>
    <w:p w14:paraId="69A400EE" w14:textId="77777777" w:rsidR="00126986" w:rsidRPr="00CB65C9" w:rsidRDefault="00126986" w:rsidP="00CB65C9">
      <w:pPr>
        <w:spacing w:line="360" w:lineRule="auto"/>
        <w:rPr>
          <w:rFonts w:ascii="Arial" w:hAnsi="Arial" w:cs="Arial"/>
          <w:sz w:val="22"/>
          <w:szCs w:val="22"/>
        </w:rPr>
      </w:pPr>
      <w:r w:rsidRPr="00126986">
        <w:rPr>
          <w:rFonts w:ascii="Arial" w:hAnsi="Arial" w:cs="Arial"/>
          <w:sz w:val="22"/>
          <w:szCs w:val="22"/>
        </w:rPr>
        <w:t>Digital tool visibility, however, might have conflicting outcomes. Clinicians using computers for extended periods of time may make some patients uncomfortable, even though many patients value the transparency. This may provide the appearance that there is less personal involvement, which might result in feelings of depersonalisation or less emotional connection (Thomas &amp; Reeves, 2020). Additionally, some elderly persons may show unease or scepticism about technology, linking it to impersonality or mistrust of automated processes.</w:t>
      </w:r>
    </w:p>
    <w:p w14:paraId="172BE1A9" w14:textId="5C9BE137" w:rsidR="00126986" w:rsidRPr="00CB65C9" w:rsidRDefault="00126986" w:rsidP="00CB65C9">
      <w:pPr>
        <w:pStyle w:val="Heading2"/>
        <w:spacing w:line="360" w:lineRule="auto"/>
        <w:rPr>
          <w:rFonts w:ascii="Arial" w:hAnsi="Arial" w:cs="Arial"/>
          <w:b/>
          <w:bCs/>
          <w:color w:val="auto"/>
          <w:sz w:val="22"/>
          <w:szCs w:val="22"/>
        </w:rPr>
      </w:pPr>
      <w:bookmarkStart w:id="9" w:name="_Toc225058143"/>
      <w:r w:rsidRPr="00CB65C9">
        <w:rPr>
          <w:rFonts w:ascii="Arial" w:hAnsi="Arial" w:cs="Arial"/>
          <w:b/>
          <w:bCs/>
          <w:color w:val="auto"/>
          <w:sz w:val="22"/>
          <w:szCs w:val="22"/>
        </w:rPr>
        <w:t>Communication, interpersonal care, and relational dynamics</w:t>
      </w:r>
      <w:r w:rsidRPr="00CB65C9">
        <w:rPr>
          <w:rFonts w:ascii="Arial" w:hAnsi="Arial" w:cs="Arial"/>
          <w:b/>
          <w:bCs/>
          <w:color w:val="auto"/>
          <w:sz w:val="22"/>
          <w:szCs w:val="22"/>
        </w:rPr>
        <w:t>.</w:t>
      </w:r>
      <w:bookmarkEnd w:id="9"/>
    </w:p>
    <w:p w14:paraId="76DF34DF" w14:textId="77777777" w:rsidR="00126986" w:rsidRPr="00126986" w:rsidRDefault="00126986" w:rsidP="00CB65C9">
      <w:pPr>
        <w:spacing w:line="360" w:lineRule="auto"/>
        <w:rPr>
          <w:rFonts w:ascii="Arial" w:hAnsi="Arial" w:cs="Arial"/>
          <w:sz w:val="22"/>
          <w:szCs w:val="22"/>
        </w:rPr>
      </w:pPr>
      <w:r w:rsidRPr="00126986">
        <w:rPr>
          <w:rFonts w:ascii="Arial" w:hAnsi="Arial" w:cs="Arial"/>
          <w:sz w:val="22"/>
          <w:szCs w:val="22"/>
        </w:rPr>
        <w:t>The use of EPMA has changed how patients and providers communicate. Clinicians can rapidly access pharmaceutical information during consultations thanks to digital prescribing, which facilitates more informed conversations about side effects, interactions, and alternative therapy. This can improve patients' comprehension of their treatment plan and reinforce collaborative decision-making.</w:t>
      </w:r>
    </w:p>
    <w:p w14:paraId="23EFA33F" w14:textId="77777777" w:rsidR="00126986" w:rsidRPr="00126986" w:rsidRDefault="00126986" w:rsidP="00CB65C9">
      <w:pPr>
        <w:spacing w:line="360" w:lineRule="auto"/>
        <w:rPr>
          <w:rFonts w:ascii="Arial" w:hAnsi="Arial" w:cs="Arial"/>
          <w:sz w:val="22"/>
          <w:szCs w:val="22"/>
        </w:rPr>
      </w:pPr>
      <w:r w:rsidRPr="00126986">
        <w:rPr>
          <w:rFonts w:ascii="Arial" w:hAnsi="Arial" w:cs="Arial"/>
          <w:sz w:val="22"/>
          <w:szCs w:val="22"/>
        </w:rPr>
        <w:t>However, the effect of technological technology on interpersonal care has been questioned. Research has shown that when a clinician's focus moves from the patient to the computer screen, eye contact and the perceived quality of communication are diminished (Lamble, 2021). Patients' perception of being heard may be impacted by this "computer-mediated" engagement, particularly those undergoing mental health treatments or those with cognitive impairments. It is still crucial for professionals to receive training that ensures they strike a balance between digital recording and empathetic communication.</w:t>
      </w:r>
    </w:p>
    <w:p w14:paraId="3FF6947C" w14:textId="41DBA6D1" w:rsidR="00126986" w:rsidRPr="00CB65C9" w:rsidRDefault="00126986" w:rsidP="00CB65C9">
      <w:pPr>
        <w:pStyle w:val="Heading2"/>
        <w:spacing w:line="360" w:lineRule="auto"/>
        <w:rPr>
          <w:rFonts w:ascii="Arial" w:hAnsi="Arial" w:cs="Arial"/>
          <w:color w:val="auto"/>
          <w:sz w:val="22"/>
          <w:szCs w:val="22"/>
        </w:rPr>
      </w:pPr>
      <w:bookmarkStart w:id="10" w:name="_Toc225058144"/>
      <w:r w:rsidRPr="00CB65C9">
        <w:rPr>
          <w:rFonts w:ascii="Arial" w:hAnsi="Arial" w:cs="Arial"/>
          <w:color w:val="auto"/>
          <w:sz w:val="22"/>
          <w:szCs w:val="22"/>
        </w:rPr>
        <w:t>Safety, medication adherence, and health outcomes</w:t>
      </w:r>
      <w:r w:rsidRPr="00CB65C9">
        <w:rPr>
          <w:rFonts w:ascii="Arial" w:hAnsi="Arial" w:cs="Arial"/>
          <w:color w:val="auto"/>
          <w:sz w:val="22"/>
          <w:szCs w:val="22"/>
        </w:rPr>
        <w:t>.</w:t>
      </w:r>
      <w:bookmarkEnd w:id="10"/>
    </w:p>
    <w:p w14:paraId="6219C950" w14:textId="77777777" w:rsidR="00126986" w:rsidRPr="00126986" w:rsidRDefault="00126986" w:rsidP="00CB65C9">
      <w:pPr>
        <w:spacing w:line="360" w:lineRule="auto"/>
        <w:rPr>
          <w:rFonts w:ascii="Arial" w:hAnsi="Arial" w:cs="Arial"/>
          <w:sz w:val="22"/>
          <w:szCs w:val="22"/>
        </w:rPr>
      </w:pPr>
      <w:r w:rsidRPr="00126986">
        <w:rPr>
          <w:rFonts w:ascii="Arial" w:hAnsi="Arial" w:cs="Arial"/>
          <w:sz w:val="22"/>
          <w:szCs w:val="22"/>
        </w:rPr>
        <w:t xml:space="preserve">By offering automatic allergy tests, dosage calculators, and interaction alerts, EPMA lowers prescription and administration mistakes from a safety standpoint. This decreased risk of injury enhances treatment outcomes and raises patient satisfaction levels. According to studies, EPMA adoption can improve drug adherence since discharge prescriptions are </w:t>
      </w:r>
      <w:r w:rsidRPr="00126986">
        <w:rPr>
          <w:rFonts w:ascii="Arial" w:hAnsi="Arial" w:cs="Arial"/>
          <w:sz w:val="22"/>
          <w:szCs w:val="22"/>
        </w:rPr>
        <w:lastRenderedPageBreak/>
        <w:t>more regular and straightforward, especially for patients moving from the hospital to their homes (Ahmed et al., 2021).</w:t>
      </w:r>
    </w:p>
    <w:p w14:paraId="43B7C5B4" w14:textId="77777777" w:rsidR="00126986" w:rsidRPr="00126986" w:rsidRDefault="00126986" w:rsidP="00CB65C9">
      <w:pPr>
        <w:spacing w:line="360" w:lineRule="auto"/>
        <w:rPr>
          <w:rFonts w:ascii="Arial" w:hAnsi="Arial" w:cs="Arial"/>
          <w:sz w:val="22"/>
          <w:szCs w:val="22"/>
        </w:rPr>
      </w:pPr>
      <w:r w:rsidRPr="00126986">
        <w:rPr>
          <w:rFonts w:ascii="Arial" w:hAnsi="Arial" w:cs="Arial"/>
          <w:sz w:val="22"/>
          <w:szCs w:val="22"/>
        </w:rPr>
        <w:t>Notwithstanding these advantages, EPMA also creates new risks. Workarounds or missing information might result from system design errors, excessive notifications, or quick rollouts without sufficient staff training. Patients may not be aware of these concerns, but they might suffer if staff members become overly dependent on prompts rather than clinical judgement or if mistakes happen during system outages.</w:t>
      </w:r>
    </w:p>
    <w:p w14:paraId="3209EDD8" w14:textId="77777777" w:rsidR="00126986" w:rsidRPr="00CB65C9" w:rsidRDefault="00126986" w:rsidP="00CB65C9">
      <w:pPr>
        <w:pStyle w:val="Heading2"/>
        <w:spacing w:line="360" w:lineRule="auto"/>
        <w:rPr>
          <w:rFonts w:ascii="Arial" w:hAnsi="Arial" w:cs="Arial"/>
          <w:color w:val="auto"/>
          <w:sz w:val="22"/>
          <w:szCs w:val="22"/>
        </w:rPr>
      </w:pPr>
    </w:p>
    <w:p w14:paraId="739A50D3" w14:textId="77777777" w:rsidR="00670F82" w:rsidRPr="00CB65C9" w:rsidRDefault="00670F82" w:rsidP="00CB65C9">
      <w:pPr>
        <w:pStyle w:val="Heading2"/>
        <w:spacing w:line="360" w:lineRule="auto"/>
        <w:rPr>
          <w:rFonts w:ascii="Arial" w:hAnsi="Arial" w:cs="Arial"/>
          <w:b/>
          <w:bCs/>
          <w:color w:val="auto"/>
          <w:sz w:val="22"/>
          <w:szCs w:val="22"/>
        </w:rPr>
      </w:pPr>
      <w:bookmarkStart w:id="11" w:name="_Toc225058145"/>
      <w:r w:rsidRPr="00CB65C9">
        <w:rPr>
          <w:rFonts w:ascii="Arial" w:hAnsi="Arial" w:cs="Arial"/>
          <w:b/>
          <w:bCs/>
          <w:color w:val="auto"/>
          <w:sz w:val="22"/>
          <w:szCs w:val="22"/>
        </w:rPr>
        <w:t>Critical evaluation</w:t>
      </w:r>
      <w:bookmarkEnd w:id="11"/>
    </w:p>
    <w:p w14:paraId="021BAE7C" w14:textId="49807B89" w:rsidR="00670F82" w:rsidRPr="00CB65C9" w:rsidRDefault="00670F82" w:rsidP="00CB65C9">
      <w:pPr>
        <w:spacing w:line="360" w:lineRule="auto"/>
        <w:rPr>
          <w:rFonts w:ascii="Arial" w:hAnsi="Arial" w:cs="Arial"/>
          <w:sz w:val="22"/>
          <w:szCs w:val="22"/>
          <w:u w:val="single"/>
        </w:rPr>
      </w:pPr>
      <w:r w:rsidRPr="00670F82">
        <w:rPr>
          <w:rFonts w:ascii="Arial" w:hAnsi="Arial" w:cs="Arial"/>
          <w:sz w:val="22"/>
          <w:szCs w:val="22"/>
          <w:u w:val="single"/>
        </w:rPr>
        <w:t>Positive outcomes</w:t>
      </w:r>
      <w:r w:rsidRPr="00CB65C9">
        <w:rPr>
          <w:rFonts w:ascii="Arial" w:hAnsi="Arial" w:cs="Arial"/>
          <w:sz w:val="22"/>
          <w:szCs w:val="22"/>
          <w:u w:val="single"/>
        </w:rPr>
        <w:t>:</w:t>
      </w:r>
    </w:p>
    <w:p w14:paraId="3F1810D4" w14:textId="7C578477" w:rsidR="00670F82" w:rsidRPr="00CB65C9" w:rsidRDefault="00670F82" w:rsidP="00CB65C9">
      <w:pPr>
        <w:pStyle w:val="ListParagraph"/>
        <w:numPr>
          <w:ilvl w:val="0"/>
          <w:numId w:val="14"/>
        </w:numPr>
        <w:spacing w:line="360" w:lineRule="auto"/>
        <w:rPr>
          <w:rFonts w:ascii="Arial" w:hAnsi="Arial" w:cs="Arial"/>
          <w:sz w:val="22"/>
          <w:szCs w:val="22"/>
        </w:rPr>
      </w:pPr>
      <w:r w:rsidRPr="00CB65C9">
        <w:rPr>
          <w:rFonts w:ascii="Arial" w:hAnsi="Arial" w:cs="Arial"/>
          <w:sz w:val="22"/>
          <w:szCs w:val="22"/>
        </w:rPr>
        <w:t>Higher levels of perceived safety.</w:t>
      </w:r>
    </w:p>
    <w:p w14:paraId="255B910A" w14:textId="0E007539" w:rsidR="00670F82" w:rsidRPr="00CB65C9" w:rsidRDefault="00670F82" w:rsidP="00CB65C9">
      <w:pPr>
        <w:pStyle w:val="ListParagraph"/>
        <w:numPr>
          <w:ilvl w:val="0"/>
          <w:numId w:val="14"/>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I</w:t>
      </w:r>
      <w:r w:rsidRPr="00CB65C9">
        <w:rPr>
          <w:rFonts w:ascii="Arial" w:eastAsia="Times New Roman" w:hAnsi="Arial" w:cs="Arial"/>
          <w:kern w:val="0"/>
          <w:sz w:val="22"/>
          <w:szCs w:val="22"/>
          <w:lang w:eastAsia="en-GB"/>
        </w:rPr>
        <w:t>ncreased openness and patient participation opportunities.</w:t>
      </w:r>
    </w:p>
    <w:p w14:paraId="34D612EA" w14:textId="58D08C22" w:rsidR="00670F82" w:rsidRPr="00CB65C9" w:rsidRDefault="00670F82" w:rsidP="00CB65C9">
      <w:pPr>
        <w:pStyle w:val="ListParagraph"/>
        <w:numPr>
          <w:ilvl w:val="0"/>
          <w:numId w:val="14"/>
        </w:numPr>
        <w:spacing w:line="360" w:lineRule="auto"/>
        <w:rPr>
          <w:rFonts w:ascii="Arial" w:hAnsi="Arial" w:cs="Arial"/>
          <w:sz w:val="22"/>
          <w:szCs w:val="22"/>
        </w:rPr>
      </w:pPr>
      <w:r w:rsidRPr="00CB65C9">
        <w:rPr>
          <w:rFonts w:ascii="Arial" w:hAnsi="Arial" w:cs="Arial"/>
          <w:sz w:val="22"/>
          <w:szCs w:val="22"/>
        </w:rPr>
        <w:t>Reduction in medication errors improves patient outcomes.</w:t>
      </w:r>
    </w:p>
    <w:p w14:paraId="5A0B8342" w14:textId="00A1F7C3" w:rsidR="00670F82" w:rsidRPr="00CB65C9" w:rsidRDefault="00670F82" w:rsidP="00CB65C9">
      <w:pPr>
        <w:spacing w:line="360" w:lineRule="auto"/>
        <w:rPr>
          <w:rFonts w:ascii="Arial" w:hAnsi="Arial" w:cs="Arial"/>
          <w:sz w:val="22"/>
          <w:szCs w:val="22"/>
          <w:u w:val="single"/>
        </w:rPr>
      </w:pPr>
      <w:r w:rsidRPr="00CB65C9">
        <w:rPr>
          <w:rFonts w:ascii="Arial" w:hAnsi="Arial" w:cs="Arial"/>
          <w:sz w:val="22"/>
          <w:szCs w:val="22"/>
          <w:u w:val="single"/>
        </w:rPr>
        <w:t>Negative outcomes</w:t>
      </w:r>
      <w:r w:rsidRPr="00CB65C9">
        <w:rPr>
          <w:rFonts w:ascii="Arial" w:hAnsi="Arial" w:cs="Arial"/>
          <w:sz w:val="22"/>
          <w:szCs w:val="22"/>
          <w:u w:val="single"/>
        </w:rPr>
        <w:t>:</w:t>
      </w:r>
    </w:p>
    <w:p w14:paraId="29294F32" w14:textId="77777777" w:rsidR="00670F82" w:rsidRPr="00CB65C9" w:rsidRDefault="00670F82" w:rsidP="00CB65C9">
      <w:pPr>
        <w:pStyle w:val="ListParagraph"/>
        <w:numPr>
          <w:ilvl w:val="0"/>
          <w:numId w:val="15"/>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Patients can think that doctors are preoccupied with screens.</w:t>
      </w:r>
    </w:p>
    <w:p w14:paraId="3DBC58C5" w14:textId="77777777" w:rsidR="00670F82" w:rsidRPr="00CB65C9" w:rsidRDefault="00670F82" w:rsidP="00CB65C9">
      <w:pPr>
        <w:pStyle w:val="ListParagraph"/>
        <w:numPr>
          <w:ilvl w:val="0"/>
          <w:numId w:val="15"/>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Informal communication may decrease as a result of digital recordkeeping.</w:t>
      </w:r>
    </w:p>
    <w:p w14:paraId="41020E90" w14:textId="77777777" w:rsidR="00670F82" w:rsidRPr="00CB65C9" w:rsidRDefault="00670F82" w:rsidP="00CB65C9">
      <w:pPr>
        <w:pStyle w:val="ListParagraph"/>
        <w:numPr>
          <w:ilvl w:val="0"/>
          <w:numId w:val="15"/>
        </w:numPr>
        <w:spacing w:after="0" w:line="360" w:lineRule="auto"/>
        <w:rPr>
          <w:rFonts w:ascii="Arial" w:eastAsia="Times New Roman" w:hAnsi="Arial" w:cs="Arial"/>
          <w:kern w:val="0"/>
          <w:sz w:val="22"/>
          <w:szCs w:val="22"/>
          <w:lang w:eastAsia="en-GB"/>
        </w:rPr>
      </w:pPr>
      <w:r w:rsidRPr="00CB65C9">
        <w:rPr>
          <w:rFonts w:ascii="Arial" w:eastAsia="Times New Roman" w:hAnsi="Arial" w:cs="Arial"/>
          <w:kern w:val="0"/>
          <w:sz w:val="22"/>
          <w:szCs w:val="22"/>
          <w:lang w:eastAsia="en-GB"/>
        </w:rPr>
        <w:t>Patient confidence is adversely affected by system malfunctions or outages.</w:t>
      </w:r>
    </w:p>
    <w:p w14:paraId="220D9CAB" w14:textId="77777777" w:rsidR="00670F82" w:rsidRPr="00CB65C9" w:rsidRDefault="00670F82" w:rsidP="00CB65C9">
      <w:pPr>
        <w:spacing w:line="360" w:lineRule="auto"/>
        <w:rPr>
          <w:rFonts w:ascii="Arial" w:hAnsi="Arial" w:cs="Arial"/>
          <w:sz w:val="22"/>
          <w:szCs w:val="22"/>
          <w:u w:val="single"/>
        </w:rPr>
      </w:pPr>
    </w:p>
    <w:p w14:paraId="75ED4894" w14:textId="77777777" w:rsidR="00C80D0F" w:rsidRPr="00CB65C9" w:rsidRDefault="00C80D0F" w:rsidP="00CB65C9">
      <w:pPr>
        <w:pStyle w:val="Heading1"/>
        <w:spacing w:line="360" w:lineRule="auto"/>
        <w:rPr>
          <w:rFonts w:ascii="Arial" w:hAnsi="Arial" w:cs="Arial"/>
          <w:b/>
          <w:bCs/>
          <w:color w:val="auto"/>
          <w:sz w:val="22"/>
          <w:szCs w:val="22"/>
        </w:rPr>
      </w:pPr>
      <w:bookmarkStart w:id="12" w:name="_Toc225058146"/>
      <w:r w:rsidRPr="00CB65C9">
        <w:rPr>
          <w:rFonts w:ascii="Arial" w:hAnsi="Arial" w:cs="Arial"/>
          <w:b/>
          <w:bCs/>
          <w:color w:val="auto"/>
          <w:sz w:val="22"/>
          <w:szCs w:val="22"/>
        </w:rPr>
        <w:t>Impact on community</w:t>
      </w:r>
      <w:bookmarkEnd w:id="12"/>
      <w:r w:rsidRPr="00CB65C9">
        <w:rPr>
          <w:rFonts w:ascii="Arial" w:hAnsi="Arial" w:cs="Arial"/>
          <w:b/>
          <w:bCs/>
          <w:color w:val="auto"/>
          <w:sz w:val="22"/>
          <w:szCs w:val="22"/>
        </w:rPr>
        <w:t xml:space="preserve"> </w:t>
      </w:r>
    </w:p>
    <w:p w14:paraId="2CA9E204" w14:textId="3AA5D17B" w:rsidR="00C80D0F" w:rsidRPr="00CB65C9" w:rsidRDefault="00670F82" w:rsidP="00CB65C9">
      <w:pPr>
        <w:pStyle w:val="Heading2"/>
        <w:spacing w:line="360" w:lineRule="auto"/>
        <w:rPr>
          <w:rFonts w:ascii="Arial" w:hAnsi="Arial" w:cs="Arial"/>
          <w:color w:val="auto"/>
          <w:sz w:val="22"/>
          <w:szCs w:val="22"/>
        </w:rPr>
      </w:pPr>
      <w:bookmarkStart w:id="13" w:name="_Toc225058147"/>
      <w:r w:rsidRPr="00CB65C9">
        <w:rPr>
          <w:rFonts w:ascii="Arial" w:hAnsi="Arial" w:cs="Arial"/>
          <w:color w:val="auto"/>
          <w:sz w:val="22"/>
          <w:szCs w:val="22"/>
        </w:rPr>
        <w:t>Access to care and service location</w:t>
      </w:r>
      <w:r w:rsidRPr="00CB65C9">
        <w:rPr>
          <w:rFonts w:ascii="Arial" w:hAnsi="Arial" w:cs="Arial"/>
          <w:color w:val="auto"/>
          <w:sz w:val="22"/>
          <w:szCs w:val="22"/>
        </w:rPr>
        <w:t>.</w:t>
      </w:r>
      <w:bookmarkEnd w:id="13"/>
    </w:p>
    <w:p w14:paraId="1200E859" w14:textId="6BC81C69" w:rsidR="00670F82" w:rsidRPr="00CB65C9" w:rsidRDefault="00670F82" w:rsidP="00CB65C9">
      <w:pPr>
        <w:spacing w:line="360" w:lineRule="auto"/>
        <w:rPr>
          <w:rFonts w:ascii="Arial" w:hAnsi="Arial" w:cs="Arial"/>
          <w:sz w:val="22"/>
          <w:szCs w:val="22"/>
        </w:rPr>
      </w:pPr>
      <w:r w:rsidRPr="00CB65C9">
        <w:rPr>
          <w:rFonts w:ascii="Arial" w:hAnsi="Arial" w:cs="Arial"/>
          <w:sz w:val="22"/>
          <w:szCs w:val="22"/>
        </w:rPr>
        <w:t>E</w:t>
      </w:r>
      <w:r w:rsidRPr="00670F82">
        <w:rPr>
          <w:rFonts w:ascii="Arial" w:hAnsi="Arial" w:cs="Arial"/>
          <w:sz w:val="22"/>
          <w:szCs w:val="22"/>
        </w:rPr>
        <w:t>PMA improves coordination across care pathways, which has an impact on community-level care. Transitions between treatment sites are made safer when hospitals exchange digital prescription information with social workers, general practitioners, and community chemists. Many areas have reported lower readmission rates as a result of better medication reconciliation, even if integration is not yet widespread (Royal Pharmaceutical Society, 2019).</w:t>
      </w:r>
      <w:r w:rsidRPr="00670F82">
        <w:rPr>
          <w:rFonts w:ascii="Arial" w:hAnsi="Arial" w:cs="Arial"/>
          <w:sz w:val="22"/>
          <w:szCs w:val="22"/>
        </w:rPr>
        <w:br/>
      </w:r>
      <w:r w:rsidRPr="00670F82">
        <w:rPr>
          <w:rFonts w:ascii="Arial" w:hAnsi="Arial" w:cs="Arial"/>
          <w:sz w:val="22"/>
          <w:szCs w:val="22"/>
        </w:rPr>
        <w:br/>
        <w:t>By enabling chemists to evaluate digital charts without physically being on wards, EPMA promotes remote working in rural locations, including portions of Wales, Scotland and Cumbria. This improves equality of care in geographically scattered communities.</w:t>
      </w:r>
    </w:p>
    <w:p w14:paraId="76B5AD40" w14:textId="653EA86A" w:rsidR="00670F82" w:rsidRPr="00CB65C9" w:rsidRDefault="00670F82" w:rsidP="00CB65C9">
      <w:pPr>
        <w:pStyle w:val="Heading2"/>
        <w:spacing w:line="360" w:lineRule="auto"/>
        <w:rPr>
          <w:rFonts w:ascii="Arial" w:hAnsi="Arial" w:cs="Arial"/>
          <w:color w:val="auto"/>
          <w:sz w:val="22"/>
          <w:szCs w:val="22"/>
        </w:rPr>
      </w:pPr>
      <w:bookmarkStart w:id="14" w:name="_Toc225058148"/>
      <w:r w:rsidRPr="00CB65C9">
        <w:rPr>
          <w:rFonts w:ascii="Arial" w:hAnsi="Arial" w:cs="Arial"/>
          <w:color w:val="auto"/>
          <w:sz w:val="22"/>
          <w:szCs w:val="22"/>
        </w:rPr>
        <w:lastRenderedPageBreak/>
        <w:t>Impact on family members and carers</w:t>
      </w:r>
      <w:r w:rsidRPr="00CB65C9">
        <w:rPr>
          <w:rFonts w:ascii="Arial" w:hAnsi="Arial" w:cs="Arial"/>
          <w:color w:val="auto"/>
          <w:sz w:val="22"/>
          <w:szCs w:val="22"/>
        </w:rPr>
        <w:t>.</w:t>
      </w:r>
      <w:bookmarkEnd w:id="14"/>
    </w:p>
    <w:p w14:paraId="6933CA8B" w14:textId="77777777" w:rsidR="00670F82" w:rsidRPr="00CB65C9" w:rsidRDefault="00670F82" w:rsidP="00CB65C9">
      <w:pPr>
        <w:spacing w:line="360" w:lineRule="auto"/>
        <w:rPr>
          <w:rFonts w:ascii="Arial" w:hAnsi="Arial" w:cs="Arial"/>
          <w:sz w:val="22"/>
          <w:szCs w:val="22"/>
        </w:rPr>
      </w:pPr>
      <w:r w:rsidRPr="00670F82">
        <w:rPr>
          <w:rFonts w:ascii="Arial" w:hAnsi="Arial" w:cs="Arial"/>
          <w:sz w:val="22"/>
          <w:szCs w:val="22"/>
        </w:rPr>
        <w:t>When doctors offer precise, current medication regimens, EPMA can improve family engagement. Family carers frequently take on the task of giving medication to patients with chronic or complicated diseases, and digital clarity boosts their self-assurance.</w:t>
      </w:r>
      <w:r w:rsidRPr="00670F82">
        <w:rPr>
          <w:rFonts w:ascii="Arial" w:hAnsi="Arial" w:cs="Arial"/>
          <w:sz w:val="22"/>
          <w:szCs w:val="22"/>
        </w:rPr>
        <w:br/>
      </w:r>
      <w:r w:rsidRPr="00670F82">
        <w:rPr>
          <w:rFonts w:ascii="Arial" w:hAnsi="Arial" w:cs="Arial"/>
          <w:sz w:val="22"/>
          <w:szCs w:val="22"/>
        </w:rPr>
        <w:br/>
        <w:t>However, if digital technologies make prescription records more difficult to obtain or understand, family members can feel left out. When hospitals mainly rely on electronic summaries, carers who lack digital literacy may find it difficult.</w:t>
      </w:r>
    </w:p>
    <w:p w14:paraId="59196A51" w14:textId="77777777" w:rsidR="00670F82" w:rsidRPr="00CB65C9" w:rsidRDefault="00670F82" w:rsidP="00CB65C9">
      <w:pPr>
        <w:spacing w:line="360" w:lineRule="auto"/>
        <w:rPr>
          <w:rFonts w:ascii="Arial" w:hAnsi="Arial" w:cs="Arial"/>
          <w:sz w:val="22"/>
          <w:szCs w:val="22"/>
        </w:rPr>
      </w:pPr>
    </w:p>
    <w:p w14:paraId="7B223501" w14:textId="3CCFAD1F" w:rsidR="00670F82" w:rsidRPr="00CB65C9" w:rsidRDefault="00670F82" w:rsidP="00CB65C9">
      <w:pPr>
        <w:pStyle w:val="Heading2"/>
        <w:spacing w:line="360" w:lineRule="auto"/>
        <w:rPr>
          <w:rFonts w:ascii="Arial" w:hAnsi="Arial" w:cs="Arial"/>
          <w:b/>
          <w:bCs/>
          <w:color w:val="auto"/>
          <w:sz w:val="22"/>
          <w:szCs w:val="22"/>
        </w:rPr>
      </w:pPr>
      <w:bookmarkStart w:id="15" w:name="_Toc225058149"/>
      <w:r w:rsidRPr="00CB65C9">
        <w:rPr>
          <w:rFonts w:ascii="Arial" w:hAnsi="Arial" w:cs="Arial"/>
          <w:b/>
          <w:bCs/>
          <w:color w:val="auto"/>
          <w:sz w:val="22"/>
          <w:szCs w:val="22"/>
        </w:rPr>
        <w:t>Co-production and public health</w:t>
      </w:r>
      <w:r w:rsidRPr="00CB65C9">
        <w:rPr>
          <w:rFonts w:ascii="Arial" w:hAnsi="Arial" w:cs="Arial"/>
          <w:b/>
          <w:bCs/>
          <w:color w:val="auto"/>
          <w:sz w:val="22"/>
          <w:szCs w:val="22"/>
        </w:rPr>
        <w:t>.</w:t>
      </w:r>
      <w:bookmarkEnd w:id="15"/>
    </w:p>
    <w:p w14:paraId="43FCC47E" w14:textId="77777777" w:rsidR="00176779" w:rsidRPr="00CB65C9" w:rsidRDefault="00176779" w:rsidP="00CB65C9">
      <w:pPr>
        <w:spacing w:line="360" w:lineRule="auto"/>
        <w:rPr>
          <w:rFonts w:ascii="Arial" w:hAnsi="Arial" w:cs="Arial"/>
          <w:sz w:val="22"/>
          <w:szCs w:val="22"/>
        </w:rPr>
      </w:pPr>
      <w:r w:rsidRPr="00176779">
        <w:rPr>
          <w:rFonts w:ascii="Arial" w:hAnsi="Arial" w:cs="Arial"/>
          <w:sz w:val="22"/>
          <w:szCs w:val="22"/>
        </w:rPr>
        <w:t>By facilitating extensive data analysis of prescription patterns, antimicrobial usage, and medication-related damage, EPMA advances public health objectives. Public Health Wales and other comparable organisations around the UK coordinate national safety campaigns and public health plans, which are influenced by this data.</w:t>
      </w:r>
    </w:p>
    <w:p w14:paraId="78F30C5E" w14:textId="58716D51" w:rsidR="00176779" w:rsidRPr="00CB65C9" w:rsidRDefault="00176779" w:rsidP="00CB65C9">
      <w:pPr>
        <w:pStyle w:val="Heading3"/>
        <w:spacing w:line="360" w:lineRule="auto"/>
        <w:rPr>
          <w:rFonts w:ascii="Arial" w:hAnsi="Arial" w:cs="Arial"/>
          <w:color w:val="auto"/>
          <w:sz w:val="22"/>
          <w:szCs w:val="22"/>
        </w:rPr>
      </w:pPr>
      <w:bookmarkStart w:id="16" w:name="_Toc225058150"/>
      <w:r w:rsidRPr="00CB65C9">
        <w:rPr>
          <w:rFonts w:ascii="Arial" w:hAnsi="Arial" w:cs="Arial"/>
          <w:color w:val="auto"/>
          <w:sz w:val="22"/>
          <w:szCs w:val="22"/>
        </w:rPr>
        <w:t>Critical evaluation</w:t>
      </w:r>
      <w:r w:rsidRPr="00CB65C9">
        <w:rPr>
          <w:rFonts w:ascii="Arial" w:hAnsi="Arial" w:cs="Arial"/>
          <w:color w:val="auto"/>
          <w:sz w:val="22"/>
          <w:szCs w:val="22"/>
        </w:rPr>
        <w:t>.</w:t>
      </w:r>
      <w:bookmarkEnd w:id="16"/>
    </w:p>
    <w:p w14:paraId="2D821ADF" w14:textId="0073C848" w:rsidR="00176779" w:rsidRPr="00CB65C9" w:rsidRDefault="00176779" w:rsidP="00CB65C9">
      <w:pPr>
        <w:spacing w:line="360" w:lineRule="auto"/>
        <w:rPr>
          <w:rFonts w:ascii="Arial" w:hAnsi="Arial" w:cs="Arial"/>
          <w:sz w:val="22"/>
          <w:szCs w:val="22"/>
          <w:u w:val="single"/>
        </w:rPr>
      </w:pPr>
      <w:r w:rsidRPr="00CB65C9">
        <w:rPr>
          <w:rFonts w:ascii="Arial" w:hAnsi="Arial" w:cs="Arial"/>
          <w:sz w:val="22"/>
          <w:szCs w:val="22"/>
          <w:u w:val="single"/>
        </w:rPr>
        <w:t>Community benefits</w:t>
      </w:r>
      <w:r w:rsidRPr="00CB65C9">
        <w:rPr>
          <w:rFonts w:ascii="Arial" w:hAnsi="Arial" w:cs="Arial"/>
          <w:sz w:val="22"/>
          <w:szCs w:val="22"/>
          <w:u w:val="single"/>
        </w:rPr>
        <w:t>:</w:t>
      </w:r>
    </w:p>
    <w:p w14:paraId="7B5E79F2" w14:textId="76B61C91" w:rsidR="00176779" w:rsidRPr="00CB65C9" w:rsidRDefault="00176779" w:rsidP="00CB65C9">
      <w:pPr>
        <w:pStyle w:val="ListParagraph"/>
        <w:numPr>
          <w:ilvl w:val="0"/>
          <w:numId w:val="16"/>
        </w:numPr>
        <w:spacing w:line="360" w:lineRule="auto"/>
        <w:rPr>
          <w:rFonts w:ascii="Arial" w:hAnsi="Arial" w:cs="Arial"/>
          <w:sz w:val="22"/>
          <w:szCs w:val="22"/>
        </w:rPr>
      </w:pPr>
      <w:r w:rsidRPr="00CB65C9">
        <w:rPr>
          <w:rFonts w:ascii="Arial" w:hAnsi="Arial" w:cs="Arial"/>
          <w:sz w:val="22"/>
          <w:szCs w:val="22"/>
        </w:rPr>
        <w:t>Better population-level insights into prescribing patterns.</w:t>
      </w:r>
    </w:p>
    <w:p w14:paraId="528AE467" w14:textId="1E8A77AC" w:rsidR="00176779" w:rsidRPr="00CB65C9" w:rsidRDefault="00176779" w:rsidP="00CB65C9">
      <w:pPr>
        <w:pStyle w:val="ListParagraph"/>
        <w:numPr>
          <w:ilvl w:val="0"/>
          <w:numId w:val="16"/>
        </w:numPr>
        <w:spacing w:line="360" w:lineRule="auto"/>
        <w:rPr>
          <w:rFonts w:ascii="Arial" w:hAnsi="Arial" w:cs="Arial"/>
          <w:sz w:val="22"/>
          <w:szCs w:val="22"/>
        </w:rPr>
      </w:pPr>
      <w:r w:rsidRPr="00CB65C9">
        <w:rPr>
          <w:rFonts w:ascii="Arial" w:hAnsi="Arial" w:cs="Arial"/>
          <w:sz w:val="22"/>
          <w:szCs w:val="22"/>
        </w:rPr>
        <w:t>Improved medicines safety across local health systems.</w:t>
      </w:r>
    </w:p>
    <w:p w14:paraId="7CE960B5" w14:textId="3E0FF488" w:rsidR="00176779" w:rsidRPr="00CB65C9" w:rsidRDefault="00176779" w:rsidP="00CB65C9">
      <w:pPr>
        <w:pStyle w:val="ListParagraph"/>
        <w:numPr>
          <w:ilvl w:val="0"/>
          <w:numId w:val="16"/>
        </w:numPr>
        <w:spacing w:line="360" w:lineRule="auto"/>
        <w:rPr>
          <w:rFonts w:ascii="Arial" w:hAnsi="Arial" w:cs="Arial"/>
          <w:sz w:val="22"/>
          <w:szCs w:val="22"/>
        </w:rPr>
      </w:pPr>
      <w:r w:rsidRPr="00CB65C9">
        <w:rPr>
          <w:rFonts w:ascii="Arial" w:hAnsi="Arial" w:cs="Arial"/>
          <w:sz w:val="22"/>
          <w:szCs w:val="22"/>
        </w:rPr>
        <w:t>Enhanced equity through remote digital access.</w:t>
      </w:r>
    </w:p>
    <w:p w14:paraId="296E3F03" w14:textId="548BC9AA" w:rsidR="00176779" w:rsidRPr="00CB65C9" w:rsidRDefault="00176779" w:rsidP="00CB65C9">
      <w:pPr>
        <w:spacing w:line="360" w:lineRule="auto"/>
        <w:rPr>
          <w:rFonts w:ascii="Arial" w:hAnsi="Arial" w:cs="Arial"/>
          <w:sz w:val="22"/>
          <w:szCs w:val="22"/>
          <w:u w:val="single"/>
        </w:rPr>
      </w:pPr>
      <w:r w:rsidRPr="00CB65C9">
        <w:rPr>
          <w:rFonts w:ascii="Arial" w:hAnsi="Arial" w:cs="Arial"/>
          <w:sz w:val="22"/>
          <w:szCs w:val="22"/>
          <w:u w:val="single"/>
        </w:rPr>
        <w:t>Community risks</w:t>
      </w:r>
      <w:r w:rsidRPr="00CB65C9">
        <w:rPr>
          <w:rFonts w:ascii="Arial" w:hAnsi="Arial" w:cs="Arial"/>
          <w:sz w:val="22"/>
          <w:szCs w:val="22"/>
          <w:u w:val="single"/>
        </w:rPr>
        <w:t>:</w:t>
      </w:r>
    </w:p>
    <w:p w14:paraId="35878BBF" w14:textId="0B26D837" w:rsidR="00176779" w:rsidRPr="00CB65C9" w:rsidRDefault="00176779" w:rsidP="00CB65C9">
      <w:pPr>
        <w:pStyle w:val="ListParagraph"/>
        <w:numPr>
          <w:ilvl w:val="0"/>
          <w:numId w:val="17"/>
        </w:numPr>
        <w:spacing w:line="360" w:lineRule="auto"/>
        <w:rPr>
          <w:rFonts w:ascii="Arial" w:hAnsi="Arial" w:cs="Arial"/>
          <w:sz w:val="22"/>
          <w:szCs w:val="22"/>
        </w:rPr>
      </w:pPr>
      <w:r w:rsidRPr="00CB65C9">
        <w:rPr>
          <w:rFonts w:ascii="Arial" w:hAnsi="Arial" w:cs="Arial"/>
          <w:sz w:val="22"/>
          <w:szCs w:val="22"/>
        </w:rPr>
        <w:t>Digital exclusion affects certain groups disproportionately (the elderly, low-income households).</w:t>
      </w:r>
    </w:p>
    <w:p w14:paraId="7FDE8FA3" w14:textId="0FDB4EDD" w:rsidR="00176779" w:rsidRPr="00CB65C9" w:rsidRDefault="00176779" w:rsidP="00CB65C9">
      <w:pPr>
        <w:pStyle w:val="ListParagraph"/>
        <w:numPr>
          <w:ilvl w:val="0"/>
          <w:numId w:val="17"/>
        </w:numPr>
        <w:spacing w:line="360" w:lineRule="auto"/>
        <w:rPr>
          <w:rFonts w:ascii="Arial" w:hAnsi="Arial" w:cs="Arial"/>
          <w:sz w:val="22"/>
          <w:szCs w:val="22"/>
        </w:rPr>
      </w:pPr>
      <w:r w:rsidRPr="00CB65C9">
        <w:rPr>
          <w:rFonts w:ascii="Arial" w:hAnsi="Arial" w:cs="Arial"/>
          <w:sz w:val="22"/>
          <w:szCs w:val="22"/>
        </w:rPr>
        <w:t>Lack of full interoperability can fragment care across community boundaries.</w:t>
      </w:r>
    </w:p>
    <w:p w14:paraId="62589D8C" w14:textId="79BC598B" w:rsidR="00176779" w:rsidRPr="00CB65C9" w:rsidRDefault="00176779" w:rsidP="00CB65C9">
      <w:pPr>
        <w:pStyle w:val="ListParagraph"/>
        <w:numPr>
          <w:ilvl w:val="0"/>
          <w:numId w:val="17"/>
        </w:numPr>
        <w:spacing w:line="360" w:lineRule="auto"/>
        <w:rPr>
          <w:rFonts w:ascii="Arial" w:hAnsi="Arial" w:cs="Arial"/>
          <w:sz w:val="22"/>
          <w:szCs w:val="22"/>
        </w:rPr>
      </w:pPr>
      <w:r w:rsidRPr="00CB65C9">
        <w:rPr>
          <w:rFonts w:ascii="Arial" w:hAnsi="Arial" w:cs="Arial"/>
          <w:sz w:val="22"/>
          <w:szCs w:val="22"/>
        </w:rPr>
        <w:t>High system costs can reduce budgets for community-based preventive work.</w:t>
      </w:r>
    </w:p>
    <w:p w14:paraId="06412130" w14:textId="77777777" w:rsidR="00176779" w:rsidRPr="00CB65C9" w:rsidRDefault="00176779" w:rsidP="00CB65C9">
      <w:pPr>
        <w:spacing w:line="360" w:lineRule="auto"/>
        <w:rPr>
          <w:rFonts w:ascii="Arial" w:hAnsi="Arial" w:cs="Arial"/>
          <w:sz w:val="22"/>
          <w:szCs w:val="22"/>
        </w:rPr>
      </w:pPr>
    </w:p>
    <w:p w14:paraId="6B386416" w14:textId="77777777" w:rsidR="00CB65C9" w:rsidRPr="00CB65C9" w:rsidRDefault="00CB65C9" w:rsidP="00CB65C9">
      <w:pPr>
        <w:spacing w:line="360" w:lineRule="auto"/>
        <w:rPr>
          <w:rFonts w:ascii="Arial" w:hAnsi="Arial" w:cs="Arial"/>
          <w:sz w:val="22"/>
          <w:szCs w:val="22"/>
        </w:rPr>
      </w:pPr>
    </w:p>
    <w:p w14:paraId="48BE6BC6" w14:textId="77777777" w:rsidR="00CB65C9" w:rsidRPr="00CB65C9" w:rsidRDefault="00CB65C9" w:rsidP="00CB65C9">
      <w:pPr>
        <w:spacing w:line="360" w:lineRule="auto"/>
        <w:rPr>
          <w:rFonts w:ascii="Arial" w:hAnsi="Arial" w:cs="Arial"/>
          <w:sz w:val="22"/>
          <w:szCs w:val="22"/>
        </w:rPr>
      </w:pPr>
    </w:p>
    <w:p w14:paraId="4F54BCD3" w14:textId="77777777" w:rsidR="00CB65C9" w:rsidRPr="00CB65C9" w:rsidRDefault="00CB65C9" w:rsidP="00CB65C9">
      <w:pPr>
        <w:spacing w:line="360" w:lineRule="auto"/>
        <w:rPr>
          <w:rFonts w:ascii="Arial" w:hAnsi="Arial" w:cs="Arial"/>
          <w:sz w:val="22"/>
          <w:szCs w:val="22"/>
        </w:rPr>
      </w:pPr>
    </w:p>
    <w:p w14:paraId="0180DDC9" w14:textId="4D0AF9D4" w:rsidR="00670F82" w:rsidRPr="00CB65C9" w:rsidRDefault="00176779" w:rsidP="00CB65C9">
      <w:pPr>
        <w:pStyle w:val="Heading2"/>
        <w:spacing w:line="360" w:lineRule="auto"/>
        <w:rPr>
          <w:rFonts w:ascii="Arial" w:hAnsi="Arial" w:cs="Arial"/>
          <w:color w:val="auto"/>
          <w:sz w:val="22"/>
          <w:szCs w:val="22"/>
        </w:rPr>
      </w:pPr>
      <w:bookmarkStart w:id="17" w:name="_Toc225058151"/>
      <w:r w:rsidRPr="00CB65C9">
        <w:rPr>
          <w:rFonts w:ascii="Arial" w:hAnsi="Arial" w:cs="Arial"/>
          <w:color w:val="auto"/>
          <w:sz w:val="22"/>
          <w:szCs w:val="22"/>
        </w:rPr>
        <w:lastRenderedPageBreak/>
        <w:t>Critical Discussion: Successes, Limitations, and Real-World Lessons</w:t>
      </w:r>
      <w:r w:rsidRPr="00CB65C9">
        <w:rPr>
          <w:rFonts w:ascii="Arial" w:hAnsi="Arial" w:cs="Arial"/>
          <w:color w:val="auto"/>
          <w:sz w:val="22"/>
          <w:szCs w:val="22"/>
        </w:rPr>
        <w:t>.</w:t>
      </w:r>
      <w:bookmarkEnd w:id="17"/>
    </w:p>
    <w:p w14:paraId="69D89B29" w14:textId="77777777" w:rsidR="00176779" w:rsidRPr="00CB65C9" w:rsidRDefault="00176779" w:rsidP="00CB65C9">
      <w:pPr>
        <w:spacing w:line="360" w:lineRule="auto"/>
        <w:rPr>
          <w:rFonts w:ascii="Arial" w:hAnsi="Arial" w:cs="Arial"/>
          <w:sz w:val="22"/>
          <w:szCs w:val="22"/>
        </w:rPr>
      </w:pPr>
      <w:r w:rsidRPr="00176779">
        <w:rPr>
          <w:rFonts w:ascii="Arial" w:hAnsi="Arial" w:cs="Arial"/>
          <w:sz w:val="22"/>
          <w:szCs w:val="22"/>
        </w:rPr>
        <w:t>With significant benefits in terms of efficiency, safety, and uniformity, EPMA is a significant advancement for the digitisation of healthcare in the UK. However, its effectiveness varies among businesses and is impacted by staff participation, finances, culture, and leadership.</w:t>
      </w:r>
    </w:p>
    <w:p w14:paraId="73345AC9" w14:textId="07EB25BE" w:rsidR="00176779" w:rsidRPr="00176779" w:rsidRDefault="00176779" w:rsidP="00CB65C9">
      <w:pPr>
        <w:spacing w:line="360" w:lineRule="auto"/>
        <w:rPr>
          <w:rFonts w:ascii="Arial" w:hAnsi="Arial" w:cs="Arial"/>
          <w:sz w:val="22"/>
          <w:szCs w:val="22"/>
          <w:u w:val="single"/>
        </w:rPr>
      </w:pPr>
      <w:r w:rsidRPr="00176779">
        <w:rPr>
          <w:rFonts w:ascii="Arial" w:hAnsi="Arial" w:cs="Arial"/>
          <w:sz w:val="22"/>
          <w:szCs w:val="22"/>
          <w:u w:val="single"/>
        </w:rPr>
        <w:t>Key successes</w:t>
      </w:r>
      <w:r w:rsidRPr="00CB65C9">
        <w:rPr>
          <w:rFonts w:ascii="Arial" w:hAnsi="Arial" w:cs="Arial"/>
          <w:sz w:val="22"/>
          <w:szCs w:val="22"/>
          <w:u w:val="single"/>
        </w:rPr>
        <w:t>:</w:t>
      </w:r>
    </w:p>
    <w:p w14:paraId="3A8BB9EB" w14:textId="77777777" w:rsidR="00176779" w:rsidRPr="00176779" w:rsidRDefault="00176779" w:rsidP="00CB65C9">
      <w:pPr>
        <w:numPr>
          <w:ilvl w:val="0"/>
          <w:numId w:val="18"/>
        </w:numPr>
        <w:spacing w:line="360" w:lineRule="auto"/>
        <w:rPr>
          <w:rFonts w:ascii="Arial" w:hAnsi="Arial" w:cs="Arial"/>
          <w:sz w:val="22"/>
          <w:szCs w:val="22"/>
        </w:rPr>
      </w:pPr>
      <w:r w:rsidRPr="00176779">
        <w:rPr>
          <w:rFonts w:ascii="Arial" w:hAnsi="Arial" w:cs="Arial"/>
          <w:sz w:val="22"/>
          <w:szCs w:val="22"/>
        </w:rPr>
        <w:t xml:space="preserve">Evidence-based reduction in medication errors (Bates &amp; Singh, 2018; Ahmed et al., 2021). </w:t>
      </w:r>
    </w:p>
    <w:p w14:paraId="1D68519A" w14:textId="77777777" w:rsidR="00176779" w:rsidRPr="00176779" w:rsidRDefault="00176779" w:rsidP="00CB65C9">
      <w:pPr>
        <w:numPr>
          <w:ilvl w:val="0"/>
          <w:numId w:val="18"/>
        </w:numPr>
        <w:spacing w:line="360" w:lineRule="auto"/>
        <w:rPr>
          <w:rFonts w:ascii="Arial" w:hAnsi="Arial" w:cs="Arial"/>
          <w:sz w:val="22"/>
          <w:szCs w:val="22"/>
        </w:rPr>
      </w:pPr>
      <w:r w:rsidRPr="00176779">
        <w:rPr>
          <w:rFonts w:ascii="Arial" w:hAnsi="Arial" w:cs="Arial"/>
          <w:sz w:val="22"/>
          <w:szCs w:val="22"/>
        </w:rPr>
        <w:t xml:space="preserve">More efficient workflows, particularly for pharmacy and nursing teams. </w:t>
      </w:r>
    </w:p>
    <w:p w14:paraId="460F43A2" w14:textId="77777777" w:rsidR="00176779" w:rsidRPr="00176779" w:rsidRDefault="00176779" w:rsidP="00CB65C9">
      <w:pPr>
        <w:numPr>
          <w:ilvl w:val="0"/>
          <w:numId w:val="18"/>
        </w:numPr>
        <w:spacing w:line="360" w:lineRule="auto"/>
        <w:rPr>
          <w:rFonts w:ascii="Arial" w:hAnsi="Arial" w:cs="Arial"/>
          <w:sz w:val="22"/>
          <w:szCs w:val="22"/>
        </w:rPr>
      </w:pPr>
      <w:r w:rsidRPr="00176779">
        <w:rPr>
          <w:rFonts w:ascii="Arial" w:hAnsi="Arial" w:cs="Arial"/>
          <w:sz w:val="22"/>
          <w:szCs w:val="22"/>
        </w:rPr>
        <w:t xml:space="preserve">Improved audit capacity, supporting national safety standards. </w:t>
      </w:r>
    </w:p>
    <w:p w14:paraId="52A26AA7" w14:textId="77777777" w:rsidR="00176779" w:rsidRPr="00CB65C9" w:rsidRDefault="00176779" w:rsidP="00CB65C9">
      <w:pPr>
        <w:numPr>
          <w:ilvl w:val="0"/>
          <w:numId w:val="18"/>
        </w:numPr>
        <w:spacing w:line="360" w:lineRule="auto"/>
        <w:rPr>
          <w:rFonts w:ascii="Arial" w:hAnsi="Arial" w:cs="Arial"/>
          <w:sz w:val="22"/>
          <w:szCs w:val="22"/>
        </w:rPr>
      </w:pPr>
      <w:r w:rsidRPr="00176779">
        <w:rPr>
          <w:rFonts w:ascii="Arial" w:hAnsi="Arial" w:cs="Arial"/>
          <w:sz w:val="22"/>
          <w:szCs w:val="22"/>
        </w:rPr>
        <w:t>Enhanced patient confidence in digitally enhanced safety mechanisms.</w:t>
      </w:r>
    </w:p>
    <w:p w14:paraId="6F302B56" w14:textId="77777777" w:rsidR="00176779" w:rsidRPr="00CB65C9" w:rsidRDefault="00176779" w:rsidP="00CB65C9">
      <w:pPr>
        <w:spacing w:line="360" w:lineRule="auto"/>
        <w:rPr>
          <w:rFonts w:ascii="Arial" w:hAnsi="Arial" w:cs="Arial"/>
          <w:sz w:val="22"/>
          <w:szCs w:val="22"/>
        </w:rPr>
      </w:pPr>
    </w:p>
    <w:p w14:paraId="33345B21" w14:textId="25FB685F" w:rsidR="00176779" w:rsidRPr="00176779" w:rsidRDefault="00176779" w:rsidP="00CB65C9">
      <w:pPr>
        <w:spacing w:line="360" w:lineRule="auto"/>
        <w:rPr>
          <w:rFonts w:ascii="Arial" w:hAnsi="Arial" w:cs="Arial"/>
          <w:sz w:val="22"/>
          <w:szCs w:val="22"/>
          <w:u w:val="single"/>
        </w:rPr>
      </w:pPr>
      <w:r w:rsidRPr="00176779">
        <w:rPr>
          <w:rFonts w:ascii="Arial" w:hAnsi="Arial" w:cs="Arial"/>
          <w:sz w:val="22"/>
          <w:szCs w:val="22"/>
          <w:u w:val="single"/>
        </w:rPr>
        <w:t>Key limitations</w:t>
      </w:r>
      <w:r w:rsidRPr="00CB65C9">
        <w:rPr>
          <w:rFonts w:ascii="Arial" w:hAnsi="Arial" w:cs="Arial"/>
          <w:sz w:val="22"/>
          <w:szCs w:val="22"/>
          <w:u w:val="single"/>
        </w:rPr>
        <w:t>:</w:t>
      </w:r>
    </w:p>
    <w:p w14:paraId="7A98C1DF" w14:textId="77777777" w:rsidR="00176779" w:rsidRPr="00176779" w:rsidRDefault="00176779" w:rsidP="00CB65C9">
      <w:pPr>
        <w:numPr>
          <w:ilvl w:val="0"/>
          <w:numId w:val="19"/>
        </w:numPr>
        <w:spacing w:line="360" w:lineRule="auto"/>
        <w:rPr>
          <w:rFonts w:ascii="Arial" w:hAnsi="Arial" w:cs="Arial"/>
          <w:sz w:val="22"/>
          <w:szCs w:val="22"/>
        </w:rPr>
      </w:pPr>
      <w:r w:rsidRPr="00176779">
        <w:rPr>
          <w:rFonts w:ascii="Arial" w:hAnsi="Arial" w:cs="Arial"/>
          <w:sz w:val="22"/>
          <w:szCs w:val="22"/>
        </w:rPr>
        <w:t xml:space="preserve">Technical failures can create risk and workflow disruption. </w:t>
      </w:r>
    </w:p>
    <w:p w14:paraId="515293C1" w14:textId="77777777" w:rsidR="00176779" w:rsidRPr="00176779" w:rsidRDefault="00176779" w:rsidP="00CB65C9">
      <w:pPr>
        <w:numPr>
          <w:ilvl w:val="0"/>
          <w:numId w:val="19"/>
        </w:numPr>
        <w:spacing w:line="360" w:lineRule="auto"/>
        <w:rPr>
          <w:rFonts w:ascii="Arial" w:hAnsi="Arial" w:cs="Arial"/>
          <w:sz w:val="22"/>
          <w:szCs w:val="22"/>
        </w:rPr>
      </w:pPr>
      <w:r w:rsidRPr="00176779">
        <w:rPr>
          <w:rFonts w:ascii="Arial" w:hAnsi="Arial" w:cs="Arial"/>
          <w:sz w:val="22"/>
          <w:szCs w:val="22"/>
        </w:rPr>
        <w:t xml:space="preserve">Digital literacy gaps reduce usability and slow adoption. </w:t>
      </w:r>
    </w:p>
    <w:p w14:paraId="67FB23CF" w14:textId="77777777" w:rsidR="00176779" w:rsidRPr="00176779" w:rsidRDefault="00176779" w:rsidP="00CB65C9">
      <w:pPr>
        <w:numPr>
          <w:ilvl w:val="0"/>
          <w:numId w:val="19"/>
        </w:numPr>
        <w:spacing w:line="360" w:lineRule="auto"/>
        <w:rPr>
          <w:rFonts w:ascii="Arial" w:hAnsi="Arial" w:cs="Arial"/>
          <w:sz w:val="22"/>
          <w:szCs w:val="22"/>
        </w:rPr>
      </w:pPr>
      <w:r w:rsidRPr="00176779">
        <w:rPr>
          <w:rFonts w:ascii="Arial" w:hAnsi="Arial" w:cs="Arial"/>
          <w:sz w:val="22"/>
          <w:szCs w:val="22"/>
        </w:rPr>
        <w:t xml:space="preserve">Alert fatigue can undermine safety benefits. </w:t>
      </w:r>
    </w:p>
    <w:p w14:paraId="2899AE18" w14:textId="77777777" w:rsidR="00176779" w:rsidRPr="00CB65C9" w:rsidRDefault="00176779" w:rsidP="00CB65C9">
      <w:pPr>
        <w:numPr>
          <w:ilvl w:val="0"/>
          <w:numId w:val="19"/>
        </w:numPr>
        <w:spacing w:line="360" w:lineRule="auto"/>
        <w:rPr>
          <w:rFonts w:ascii="Arial" w:hAnsi="Arial" w:cs="Arial"/>
          <w:sz w:val="22"/>
          <w:szCs w:val="22"/>
        </w:rPr>
      </w:pPr>
      <w:r w:rsidRPr="00176779">
        <w:rPr>
          <w:rFonts w:ascii="Arial" w:hAnsi="Arial" w:cs="Arial"/>
          <w:sz w:val="22"/>
          <w:szCs w:val="22"/>
        </w:rPr>
        <w:t>Interoperability challenges limit impact across community care.</w:t>
      </w:r>
    </w:p>
    <w:p w14:paraId="7023B67E" w14:textId="6CA9424D" w:rsidR="00176779" w:rsidRPr="00176779" w:rsidRDefault="00176779" w:rsidP="00CB65C9">
      <w:pPr>
        <w:spacing w:line="360" w:lineRule="auto"/>
        <w:rPr>
          <w:rFonts w:ascii="Arial" w:hAnsi="Arial" w:cs="Arial"/>
          <w:sz w:val="22"/>
          <w:szCs w:val="22"/>
        </w:rPr>
      </w:pPr>
      <w:r w:rsidRPr="00CB65C9">
        <w:rPr>
          <w:rFonts w:ascii="Arial" w:hAnsi="Arial" w:cs="Arial"/>
          <w:sz w:val="22"/>
          <w:szCs w:val="22"/>
        </w:rPr>
        <w:t>Given these findings, EPMA must be understood not merely as a technology but as a complex socio-technical system. Its effectiveness depends on high-quality training, organisational readiness, system design, and alignment with clinical needs.</w:t>
      </w:r>
    </w:p>
    <w:p w14:paraId="0B8DFAB8" w14:textId="77777777" w:rsidR="00176779" w:rsidRPr="00CB65C9" w:rsidRDefault="00176779" w:rsidP="00CB65C9">
      <w:pPr>
        <w:spacing w:line="360" w:lineRule="auto"/>
        <w:rPr>
          <w:rFonts w:ascii="Arial" w:hAnsi="Arial" w:cs="Arial"/>
          <w:sz w:val="22"/>
          <w:szCs w:val="22"/>
        </w:rPr>
      </w:pPr>
    </w:p>
    <w:p w14:paraId="042B10A8" w14:textId="77777777" w:rsidR="00CB65C9" w:rsidRPr="00CB65C9" w:rsidRDefault="00CB65C9" w:rsidP="00CB65C9">
      <w:pPr>
        <w:spacing w:line="360" w:lineRule="auto"/>
        <w:rPr>
          <w:rFonts w:ascii="Arial" w:hAnsi="Arial" w:cs="Arial"/>
          <w:sz w:val="22"/>
          <w:szCs w:val="22"/>
        </w:rPr>
      </w:pPr>
    </w:p>
    <w:p w14:paraId="199F676F" w14:textId="77777777" w:rsidR="00CB65C9" w:rsidRPr="00CB65C9" w:rsidRDefault="00CB65C9" w:rsidP="00CB65C9">
      <w:pPr>
        <w:spacing w:line="360" w:lineRule="auto"/>
        <w:rPr>
          <w:rFonts w:ascii="Arial" w:hAnsi="Arial" w:cs="Arial"/>
          <w:sz w:val="22"/>
          <w:szCs w:val="22"/>
        </w:rPr>
      </w:pPr>
    </w:p>
    <w:p w14:paraId="5642BA7D" w14:textId="77777777" w:rsidR="00CB65C9" w:rsidRDefault="00CB65C9" w:rsidP="00CB65C9">
      <w:pPr>
        <w:spacing w:line="360" w:lineRule="auto"/>
        <w:rPr>
          <w:rFonts w:ascii="Arial" w:hAnsi="Arial" w:cs="Arial"/>
          <w:sz w:val="22"/>
          <w:szCs w:val="22"/>
        </w:rPr>
      </w:pPr>
    </w:p>
    <w:p w14:paraId="59B9F022" w14:textId="77777777" w:rsidR="00CB65C9" w:rsidRDefault="00CB65C9" w:rsidP="00CB65C9">
      <w:pPr>
        <w:spacing w:line="360" w:lineRule="auto"/>
        <w:rPr>
          <w:rFonts w:ascii="Arial" w:hAnsi="Arial" w:cs="Arial"/>
          <w:sz w:val="22"/>
          <w:szCs w:val="22"/>
        </w:rPr>
      </w:pPr>
    </w:p>
    <w:p w14:paraId="6475FAAD" w14:textId="77777777" w:rsidR="00CB65C9" w:rsidRDefault="00CB65C9" w:rsidP="00CB65C9">
      <w:pPr>
        <w:spacing w:line="360" w:lineRule="auto"/>
        <w:rPr>
          <w:rFonts w:ascii="Arial" w:hAnsi="Arial" w:cs="Arial"/>
          <w:sz w:val="22"/>
          <w:szCs w:val="22"/>
        </w:rPr>
      </w:pPr>
    </w:p>
    <w:p w14:paraId="3DC27C59" w14:textId="77777777" w:rsidR="00CB65C9" w:rsidRDefault="00CB65C9" w:rsidP="00CB65C9">
      <w:pPr>
        <w:spacing w:line="360" w:lineRule="auto"/>
        <w:rPr>
          <w:rFonts w:ascii="Arial" w:hAnsi="Arial" w:cs="Arial"/>
          <w:sz w:val="22"/>
          <w:szCs w:val="22"/>
        </w:rPr>
      </w:pPr>
    </w:p>
    <w:p w14:paraId="6A755E01" w14:textId="77777777" w:rsidR="00CB65C9" w:rsidRDefault="00CB65C9" w:rsidP="00CB65C9">
      <w:pPr>
        <w:spacing w:line="360" w:lineRule="auto"/>
        <w:rPr>
          <w:rFonts w:ascii="Arial" w:hAnsi="Arial" w:cs="Arial"/>
          <w:sz w:val="22"/>
          <w:szCs w:val="22"/>
        </w:rPr>
      </w:pPr>
    </w:p>
    <w:p w14:paraId="3E400932" w14:textId="77777777" w:rsidR="00CB65C9" w:rsidRDefault="00CB65C9" w:rsidP="00CB65C9">
      <w:pPr>
        <w:spacing w:line="360" w:lineRule="auto"/>
        <w:rPr>
          <w:rFonts w:ascii="Arial" w:hAnsi="Arial" w:cs="Arial"/>
          <w:sz w:val="22"/>
          <w:szCs w:val="22"/>
        </w:rPr>
      </w:pPr>
    </w:p>
    <w:p w14:paraId="55FF6EEE" w14:textId="77777777" w:rsidR="00CB65C9" w:rsidRDefault="00CB65C9" w:rsidP="00CB65C9">
      <w:pPr>
        <w:spacing w:line="360" w:lineRule="auto"/>
        <w:rPr>
          <w:rFonts w:ascii="Arial" w:hAnsi="Arial" w:cs="Arial"/>
          <w:sz w:val="22"/>
          <w:szCs w:val="22"/>
        </w:rPr>
      </w:pPr>
    </w:p>
    <w:p w14:paraId="5AC8F101" w14:textId="77777777" w:rsidR="00CB65C9" w:rsidRPr="00CB65C9" w:rsidRDefault="00CB65C9" w:rsidP="00CB65C9">
      <w:pPr>
        <w:spacing w:line="360" w:lineRule="auto"/>
        <w:rPr>
          <w:rFonts w:ascii="Arial" w:hAnsi="Arial" w:cs="Arial"/>
          <w:sz w:val="22"/>
          <w:szCs w:val="22"/>
        </w:rPr>
      </w:pPr>
    </w:p>
    <w:p w14:paraId="1762EEFB" w14:textId="77777777" w:rsidR="00CB65C9" w:rsidRPr="00CB65C9" w:rsidRDefault="00CB65C9" w:rsidP="00CB65C9">
      <w:pPr>
        <w:spacing w:line="360" w:lineRule="auto"/>
        <w:rPr>
          <w:rFonts w:ascii="Arial" w:hAnsi="Arial" w:cs="Arial"/>
          <w:sz w:val="22"/>
          <w:szCs w:val="22"/>
        </w:rPr>
      </w:pPr>
    </w:p>
    <w:p w14:paraId="12F8087B" w14:textId="506A1E50" w:rsidR="00CB65C9" w:rsidRPr="00CB65C9" w:rsidRDefault="00C80D0F" w:rsidP="00CB65C9">
      <w:pPr>
        <w:pStyle w:val="Heading1"/>
        <w:spacing w:line="360" w:lineRule="auto"/>
        <w:rPr>
          <w:rFonts w:ascii="Arial" w:hAnsi="Arial" w:cs="Arial"/>
          <w:b/>
          <w:bCs/>
          <w:color w:val="auto"/>
          <w:sz w:val="22"/>
          <w:szCs w:val="22"/>
        </w:rPr>
      </w:pPr>
      <w:bookmarkStart w:id="18" w:name="_Toc225058152"/>
      <w:r w:rsidRPr="00CB65C9">
        <w:rPr>
          <w:rFonts w:ascii="Arial" w:hAnsi="Arial" w:cs="Arial"/>
          <w:b/>
          <w:bCs/>
          <w:color w:val="auto"/>
          <w:sz w:val="22"/>
          <w:szCs w:val="22"/>
        </w:rPr>
        <w:t>Conclusion</w:t>
      </w:r>
      <w:bookmarkEnd w:id="18"/>
    </w:p>
    <w:p w14:paraId="156E62B3" w14:textId="77777777" w:rsidR="00176779" w:rsidRPr="00176779" w:rsidRDefault="00176779" w:rsidP="00CB65C9">
      <w:pPr>
        <w:spacing w:line="360" w:lineRule="auto"/>
        <w:rPr>
          <w:rFonts w:ascii="Arial" w:hAnsi="Arial" w:cs="Arial"/>
          <w:sz w:val="22"/>
          <w:szCs w:val="22"/>
        </w:rPr>
      </w:pPr>
      <w:r w:rsidRPr="00176779">
        <w:rPr>
          <w:rFonts w:ascii="Arial" w:hAnsi="Arial" w:cs="Arial"/>
          <w:sz w:val="22"/>
          <w:szCs w:val="22"/>
        </w:rPr>
        <w:t>One of the biggest digital changes to healthcare in the UK during the past ten years has been EPMA. There is ample evidence of both its advantages and disadvantages, and it has a broad influence on worker roles, service delivery, patient experience, and community health. The solution meets national goals for digital integration, expedites workflows, and significantly improves drug safety.</w:t>
      </w:r>
      <w:r w:rsidRPr="00176779">
        <w:rPr>
          <w:rFonts w:ascii="Arial" w:hAnsi="Arial" w:cs="Arial"/>
          <w:sz w:val="22"/>
          <w:szCs w:val="22"/>
        </w:rPr>
        <w:br/>
      </w:r>
      <w:r w:rsidRPr="00176779">
        <w:rPr>
          <w:rFonts w:ascii="Arial" w:hAnsi="Arial" w:cs="Arial"/>
          <w:sz w:val="22"/>
          <w:szCs w:val="22"/>
        </w:rPr>
        <w:br/>
        <w:t>However, there are organisational obstacles to its adoption as well, such as professional opposition, technological difficulties, and disparities in digital literacy. The benefits to the community are substantial, but they are limited by digital exclusion and unequal interoperability.</w:t>
      </w:r>
    </w:p>
    <w:p w14:paraId="543535D1" w14:textId="77777777" w:rsidR="00176779" w:rsidRPr="00176779" w:rsidRDefault="00176779" w:rsidP="00CB65C9">
      <w:pPr>
        <w:spacing w:line="360" w:lineRule="auto"/>
        <w:rPr>
          <w:rFonts w:ascii="Arial" w:hAnsi="Arial" w:cs="Arial"/>
          <w:sz w:val="22"/>
          <w:szCs w:val="22"/>
        </w:rPr>
      </w:pPr>
      <w:r w:rsidRPr="00176779">
        <w:rPr>
          <w:rFonts w:ascii="Arial" w:hAnsi="Arial" w:cs="Arial"/>
          <w:sz w:val="22"/>
          <w:szCs w:val="22"/>
        </w:rPr>
        <w:t>All things considered, EPMA is a successful yet developing invention. Workforce development, ongoing investment, user-centred design, and a well-thought-out national digital strategy will all be necessary for its long-term success. EPMA offers important insights into how technology may, when used correctly, enhance patient care, support staff, and public health as UK health and social care continue to digitise.</w:t>
      </w:r>
    </w:p>
    <w:p w14:paraId="4C613DCA" w14:textId="77777777" w:rsidR="00176779" w:rsidRPr="00CB65C9" w:rsidRDefault="00176779" w:rsidP="00CB65C9">
      <w:pPr>
        <w:spacing w:line="360" w:lineRule="auto"/>
        <w:rPr>
          <w:rFonts w:ascii="Arial" w:hAnsi="Arial" w:cs="Arial"/>
          <w:b/>
          <w:bCs/>
          <w:sz w:val="22"/>
          <w:szCs w:val="22"/>
        </w:rPr>
      </w:pPr>
    </w:p>
    <w:p w14:paraId="06388B3A" w14:textId="77777777" w:rsidR="00C80D0F" w:rsidRPr="00CB65C9" w:rsidRDefault="008375B5" w:rsidP="00CB65C9">
      <w:pPr>
        <w:spacing w:line="360" w:lineRule="auto"/>
        <w:rPr>
          <w:rFonts w:ascii="Arial" w:hAnsi="Arial" w:cs="Arial"/>
          <w:sz w:val="22"/>
          <w:szCs w:val="22"/>
        </w:rPr>
      </w:pPr>
      <w:r w:rsidRPr="00CB65C9">
        <w:rPr>
          <w:rFonts w:ascii="Arial" w:hAnsi="Arial" w:cs="Arial"/>
          <w:sz w:val="22"/>
          <w:szCs w:val="22"/>
        </w:rPr>
        <w:t xml:space="preserve"> </w:t>
      </w:r>
    </w:p>
    <w:p w14:paraId="4241EF9C" w14:textId="77777777" w:rsidR="00C80D0F" w:rsidRPr="00CB65C9" w:rsidRDefault="00C80D0F" w:rsidP="00CB65C9">
      <w:pPr>
        <w:spacing w:line="360" w:lineRule="auto"/>
        <w:rPr>
          <w:rFonts w:ascii="Arial" w:hAnsi="Arial" w:cs="Arial"/>
          <w:sz w:val="22"/>
          <w:szCs w:val="22"/>
        </w:rPr>
      </w:pPr>
    </w:p>
    <w:p w14:paraId="317B5555" w14:textId="77777777" w:rsidR="008375B5" w:rsidRPr="00CB65C9" w:rsidRDefault="008375B5" w:rsidP="00CB65C9">
      <w:pPr>
        <w:spacing w:line="360" w:lineRule="auto"/>
        <w:rPr>
          <w:rFonts w:ascii="Arial" w:hAnsi="Arial" w:cs="Arial"/>
          <w:sz w:val="22"/>
          <w:szCs w:val="22"/>
        </w:rPr>
      </w:pPr>
    </w:p>
    <w:p w14:paraId="75270AB3" w14:textId="77777777" w:rsidR="00CB65C9" w:rsidRPr="00CB65C9" w:rsidRDefault="00CB65C9" w:rsidP="00CB65C9">
      <w:pPr>
        <w:spacing w:line="360" w:lineRule="auto"/>
        <w:rPr>
          <w:rFonts w:ascii="Arial" w:hAnsi="Arial" w:cs="Arial"/>
          <w:sz w:val="22"/>
          <w:szCs w:val="22"/>
        </w:rPr>
      </w:pPr>
    </w:p>
    <w:p w14:paraId="5BECC0B1" w14:textId="77777777" w:rsidR="00CB65C9" w:rsidRPr="00CB65C9" w:rsidRDefault="00CB65C9" w:rsidP="00CB65C9">
      <w:pPr>
        <w:spacing w:line="360" w:lineRule="auto"/>
        <w:rPr>
          <w:rFonts w:ascii="Arial" w:hAnsi="Arial" w:cs="Arial"/>
          <w:sz w:val="22"/>
          <w:szCs w:val="22"/>
        </w:rPr>
      </w:pPr>
    </w:p>
    <w:p w14:paraId="6CD0945E" w14:textId="77777777" w:rsidR="00CB65C9" w:rsidRPr="00CB65C9" w:rsidRDefault="00CB65C9" w:rsidP="00CB65C9">
      <w:pPr>
        <w:spacing w:line="360" w:lineRule="auto"/>
        <w:rPr>
          <w:rFonts w:ascii="Arial" w:hAnsi="Arial" w:cs="Arial"/>
          <w:sz w:val="22"/>
          <w:szCs w:val="22"/>
        </w:rPr>
      </w:pPr>
    </w:p>
    <w:p w14:paraId="42D55010" w14:textId="77777777" w:rsidR="00CB65C9" w:rsidRPr="00CB65C9" w:rsidRDefault="00CB65C9" w:rsidP="00CB65C9">
      <w:pPr>
        <w:spacing w:line="360" w:lineRule="auto"/>
        <w:rPr>
          <w:rFonts w:ascii="Arial" w:hAnsi="Arial" w:cs="Arial"/>
          <w:sz w:val="22"/>
          <w:szCs w:val="22"/>
        </w:rPr>
      </w:pPr>
    </w:p>
    <w:p w14:paraId="469B0DAB" w14:textId="77777777" w:rsidR="00CB65C9" w:rsidRPr="00CB65C9" w:rsidRDefault="00CB65C9" w:rsidP="00CB65C9">
      <w:pPr>
        <w:spacing w:line="360" w:lineRule="auto"/>
        <w:rPr>
          <w:rFonts w:ascii="Arial" w:hAnsi="Arial" w:cs="Arial"/>
          <w:sz w:val="22"/>
          <w:szCs w:val="22"/>
        </w:rPr>
      </w:pPr>
    </w:p>
    <w:p w14:paraId="63857A30" w14:textId="41F64AF0" w:rsidR="008375B5" w:rsidRPr="00CB65C9" w:rsidRDefault="008375B5" w:rsidP="00CB65C9">
      <w:pPr>
        <w:pStyle w:val="Heading1"/>
        <w:spacing w:line="360" w:lineRule="auto"/>
        <w:rPr>
          <w:rFonts w:ascii="Arial" w:hAnsi="Arial" w:cs="Arial"/>
          <w:color w:val="auto"/>
          <w:sz w:val="22"/>
          <w:szCs w:val="22"/>
        </w:rPr>
      </w:pPr>
      <w:bookmarkStart w:id="19" w:name="_Toc225058153"/>
      <w:r w:rsidRPr="00CB65C9">
        <w:rPr>
          <w:rFonts w:ascii="Arial" w:hAnsi="Arial" w:cs="Arial"/>
          <w:color w:val="auto"/>
          <w:sz w:val="22"/>
          <w:szCs w:val="22"/>
        </w:rPr>
        <w:lastRenderedPageBreak/>
        <w:t>References</w:t>
      </w:r>
      <w:r w:rsidR="00126986" w:rsidRPr="00CB65C9">
        <w:rPr>
          <w:rFonts w:ascii="Arial" w:hAnsi="Arial" w:cs="Arial"/>
          <w:color w:val="auto"/>
          <w:sz w:val="22"/>
          <w:szCs w:val="22"/>
        </w:rPr>
        <w:t>:</w:t>
      </w:r>
      <w:bookmarkEnd w:id="19"/>
    </w:p>
    <w:p w14:paraId="6811EA0C"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Ahmed, Z., Garfield, S., Jani, Y., </w:t>
      </w:r>
      <w:proofErr w:type="spellStart"/>
      <w:r w:rsidRPr="00CB65C9">
        <w:rPr>
          <w:rFonts w:ascii="Arial" w:hAnsi="Arial" w:cs="Arial"/>
          <w:sz w:val="22"/>
          <w:szCs w:val="22"/>
        </w:rPr>
        <w:t>Jheeta</w:t>
      </w:r>
      <w:proofErr w:type="spellEnd"/>
      <w:r w:rsidRPr="00CB65C9">
        <w:rPr>
          <w:rFonts w:ascii="Arial" w:hAnsi="Arial" w:cs="Arial"/>
          <w:sz w:val="22"/>
          <w:szCs w:val="22"/>
        </w:rPr>
        <w:t xml:space="preserve">, S. and Franklin, B.D. (2021) ‘Impact of electronic prescribing on patient safety in hospitals: a review of reviews’, </w:t>
      </w:r>
      <w:r w:rsidRPr="00CB65C9">
        <w:rPr>
          <w:rFonts w:ascii="Arial" w:hAnsi="Arial" w:cs="Arial"/>
          <w:i/>
          <w:iCs/>
          <w:sz w:val="22"/>
          <w:szCs w:val="22"/>
        </w:rPr>
        <w:t>British Journal of Clinical Pharmacology</w:t>
      </w:r>
      <w:r w:rsidRPr="00CB65C9">
        <w:rPr>
          <w:rFonts w:ascii="Arial" w:hAnsi="Arial" w:cs="Arial"/>
          <w:sz w:val="22"/>
          <w:szCs w:val="22"/>
        </w:rPr>
        <w:t>, 87(7), pp. 2742–2753.</w:t>
      </w:r>
    </w:p>
    <w:p w14:paraId="124CB0AB" w14:textId="77777777" w:rsidR="00126986" w:rsidRPr="00CB65C9" w:rsidRDefault="00126986" w:rsidP="00CB65C9">
      <w:pPr>
        <w:pStyle w:val="ListParagraph"/>
        <w:numPr>
          <w:ilvl w:val="0"/>
          <w:numId w:val="20"/>
        </w:numPr>
        <w:spacing w:line="360" w:lineRule="auto"/>
        <w:rPr>
          <w:rFonts w:ascii="Arial" w:hAnsi="Arial" w:cs="Arial"/>
          <w:sz w:val="22"/>
          <w:szCs w:val="22"/>
        </w:rPr>
      </w:pPr>
      <w:proofErr w:type="spellStart"/>
      <w:r w:rsidRPr="00CB65C9">
        <w:rPr>
          <w:rFonts w:ascii="Arial" w:hAnsi="Arial" w:cs="Arial"/>
          <w:sz w:val="22"/>
          <w:szCs w:val="22"/>
        </w:rPr>
        <w:t>Alqenae</w:t>
      </w:r>
      <w:proofErr w:type="spellEnd"/>
      <w:r w:rsidRPr="00CB65C9">
        <w:rPr>
          <w:rFonts w:ascii="Arial" w:hAnsi="Arial" w:cs="Arial"/>
          <w:sz w:val="22"/>
          <w:szCs w:val="22"/>
        </w:rPr>
        <w:t xml:space="preserve">, F.A., Steinke, D.T. and Keers, R.N. (2020) ‘Prevalence and nature of medication administration errors in hospital settings: a systematic review of direct observational evidence’, </w:t>
      </w:r>
      <w:r w:rsidRPr="00CB65C9">
        <w:rPr>
          <w:rFonts w:ascii="Arial" w:hAnsi="Arial" w:cs="Arial"/>
          <w:i/>
          <w:iCs/>
          <w:sz w:val="22"/>
          <w:szCs w:val="22"/>
        </w:rPr>
        <w:t>European Journal of Clinical Pharmacology</w:t>
      </w:r>
      <w:r w:rsidRPr="00CB65C9">
        <w:rPr>
          <w:rFonts w:ascii="Arial" w:hAnsi="Arial" w:cs="Arial"/>
          <w:sz w:val="22"/>
          <w:szCs w:val="22"/>
        </w:rPr>
        <w:t>, 76(9), pp. 1265–1278.</w:t>
      </w:r>
    </w:p>
    <w:p w14:paraId="23225B0D"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Bates, D.W. and Singh, H. (2018) ‘Two decades since To Err Is Human: an assessment of progress and emerging priorities in patient safety’, </w:t>
      </w:r>
      <w:r w:rsidRPr="00CB65C9">
        <w:rPr>
          <w:rFonts w:ascii="Arial" w:hAnsi="Arial" w:cs="Arial"/>
          <w:i/>
          <w:iCs/>
          <w:sz w:val="22"/>
          <w:szCs w:val="22"/>
        </w:rPr>
        <w:t>Health Affairs</w:t>
      </w:r>
      <w:r w:rsidRPr="00CB65C9">
        <w:rPr>
          <w:rFonts w:ascii="Arial" w:hAnsi="Arial" w:cs="Arial"/>
          <w:sz w:val="22"/>
          <w:szCs w:val="22"/>
        </w:rPr>
        <w:t>, 37(11), pp. 1736–1743.</w:t>
      </w:r>
    </w:p>
    <w:p w14:paraId="780BCDC6"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Holland, K., Middleton, J. and Upton, D. (2019) </w:t>
      </w:r>
      <w:r w:rsidRPr="00CB65C9">
        <w:rPr>
          <w:rFonts w:ascii="Arial" w:hAnsi="Arial" w:cs="Arial"/>
          <w:i/>
          <w:iCs/>
          <w:sz w:val="22"/>
          <w:szCs w:val="22"/>
        </w:rPr>
        <w:t>Nurses’ Handbook of Health Assessment</w:t>
      </w:r>
      <w:r w:rsidRPr="00CB65C9">
        <w:rPr>
          <w:rFonts w:ascii="Arial" w:hAnsi="Arial" w:cs="Arial"/>
          <w:sz w:val="22"/>
          <w:szCs w:val="22"/>
        </w:rPr>
        <w:t xml:space="preserve">. 2nd </w:t>
      </w:r>
      <w:proofErr w:type="spellStart"/>
      <w:r w:rsidRPr="00CB65C9">
        <w:rPr>
          <w:rFonts w:ascii="Arial" w:hAnsi="Arial" w:cs="Arial"/>
          <w:sz w:val="22"/>
          <w:szCs w:val="22"/>
        </w:rPr>
        <w:t>edn</w:t>
      </w:r>
      <w:proofErr w:type="spellEnd"/>
      <w:r w:rsidRPr="00CB65C9">
        <w:rPr>
          <w:rFonts w:ascii="Arial" w:hAnsi="Arial" w:cs="Arial"/>
          <w:sz w:val="22"/>
          <w:szCs w:val="22"/>
        </w:rPr>
        <w:t>. London: Routledge.</w:t>
      </w:r>
    </w:p>
    <w:p w14:paraId="77E20CC7"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Lamble, S. (2021) ‘Digital nursing: challenges and opportunities in a post-pandemic world’, </w:t>
      </w:r>
      <w:r w:rsidRPr="00CB65C9">
        <w:rPr>
          <w:rFonts w:ascii="Arial" w:hAnsi="Arial" w:cs="Arial"/>
          <w:i/>
          <w:iCs/>
          <w:sz w:val="22"/>
          <w:szCs w:val="22"/>
        </w:rPr>
        <w:t>Nursing Times</w:t>
      </w:r>
      <w:r w:rsidRPr="00CB65C9">
        <w:rPr>
          <w:rFonts w:ascii="Arial" w:hAnsi="Arial" w:cs="Arial"/>
          <w:sz w:val="22"/>
          <w:szCs w:val="22"/>
        </w:rPr>
        <w:t>, 117(5), pp. 18–21.</w:t>
      </w:r>
    </w:p>
    <w:p w14:paraId="36112535"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NHS England (2020) </w:t>
      </w:r>
      <w:r w:rsidRPr="00CB65C9">
        <w:rPr>
          <w:rFonts w:ascii="Arial" w:hAnsi="Arial" w:cs="Arial"/>
          <w:i/>
          <w:iCs/>
          <w:sz w:val="22"/>
          <w:szCs w:val="22"/>
        </w:rPr>
        <w:t>Digital Medicines: Guidance for NHS Trusts</w:t>
      </w:r>
      <w:r w:rsidRPr="00CB65C9">
        <w:rPr>
          <w:rFonts w:ascii="Arial" w:hAnsi="Arial" w:cs="Arial"/>
          <w:sz w:val="22"/>
          <w:szCs w:val="22"/>
        </w:rPr>
        <w:t xml:space="preserve">. Available at: </w:t>
      </w:r>
      <w:hyperlink r:id="rId10" w:tgtFrame="_new" w:history="1">
        <w:r w:rsidRPr="00CB65C9">
          <w:rPr>
            <w:rStyle w:val="Hyperlink"/>
            <w:rFonts w:ascii="Arial" w:hAnsi="Arial" w:cs="Arial"/>
            <w:color w:val="auto"/>
            <w:sz w:val="22"/>
            <w:szCs w:val="22"/>
          </w:rPr>
          <w:t>https://www.england.nhs.uk</w:t>
        </w:r>
      </w:hyperlink>
      <w:r w:rsidRPr="00CB65C9">
        <w:rPr>
          <w:rFonts w:ascii="Arial" w:hAnsi="Arial" w:cs="Arial"/>
          <w:sz w:val="22"/>
          <w:szCs w:val="22"/>
        </w:rPr>
        <w:t xml:space="preserve"> (Accessed: 5 March 2024).</w:t>
      </w:r>
    </w:p>
    <w:p w14:paraId="4ACD1FEB"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Public Health England (2020) </w:t>
      </w:r>
      <w:r w:rsidRPr="00CB65C9">
        <w:rPr>
          <w:rFonts w:ascii="Arial" w:hAnsi="Arial" w:cs="Arial"/>
          <w:i/>
          <w:iCs/>
          <w:sz w:val="22"/>
          <w:szCs w:val="22"/>
        </w:rPr>
        <w:t>Health Equity in England: The Marmot Review 10 Years On</w:t>
      </w:r>
      <w:r w:rsidRPr="00CB65C9">
        <w:rPr>
          <w:rFonts w:ascii="Arial" w:hAnsi="Arial" w:cs="Arial"/>
          <w:sz w:val="22"/>
          <w:szCs w:val="22"/>
        </w:rPr>
        <w:t>. London: PHE.</w:t>
      </w:r>
    </w:p>
    <w:p w14:paraId="3A4E6705"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Royal Pharmaceutical Society (2019) </w:t>
      </w:r>
      <w:r w:rsidRPr="00CB65C9">
        <w:rPr>
          <w:rFonts w:ascii="Arial" w:hAnsi="Arial" w:cs="Arial"/>
          <w:i/>
          <w:iCs/>
          <w:sz w:val="22"/>
          <w:szCs w:val="22"/>
        </w:rPr>
        <w:t>Medicines Safety: Reducing Harm and Improving Care</w:t>
      </w:r>
      <w:r w:rsidRPr="00CB65C9">
        <w:rPr>
          <w:rFonts w:ascii="Arial" w:hAnsi="Arial" w:cs="Arial"/>
          <w:sz w:val="22"/>
          <w:szCs w:val="22"/>
        </w:rPr>
        <w:t>. London: Royal Pharmaceutical Society.</w:t>
      </w:r>
    </w:p>
    <w:p w14:paraId="6CD2ECD3" w14:textId="77777777" w:rsidR="00126986" w:rsidRPr="00CB65C9" w:rsidRDefault="00126986" w:rsidP="00CB65C9">
      <w:pPr>
        <w:pStyle w:val="ListParagraph"/>
        <w:numPr>
          <w:ilvl w:val="0"/>
          <w:numId w:val="20"/>
        </w:numPr>
        <w:spacing w:line="360" w:lineRule="auto"/>
        <w:rPr>
          <w:rFonts w:ascii="Arial" w:hAnsi="Arial" w:cs="Arial"/>
          <w:sz w:val="22"/>
          <w:szCs w:val="22"/>
        </w:rPr>
      </w:pPr>
      <w:r w:rsidRPr="00CB65C9">
        <w:rPr>
          <w:rFonts w:ascii="Arial" w:hAnsi="Arial" w:cs="Arial"/>
          <w:sz w:val="22"/>
          <w:szCs w:val="22"/>
        </w:rPr>
        <w:t xml:space="preserve">Thomas, L. and Reeves, S. (2020) ‘Electronic prescribing: impact on nurse–patient communication’, </w:t>
      </w:r>
      <w:r w:rsidRPr="00CB65C9">
        <w:rPr>
          <w:rFonts w:ascii="Arial" w:hAnsi="Arial" w:cs="Arial"/>
          <w:i/>
          <w:iCs/>
          <w:sz w:val="22"/>
          <w:szCs w:val="22"/>
        </w:rPr>
        <w:t>Journal of Advanced Nursing</w:t>
      </w:r>
      <w:r w:rsidRPr="00CB65C9">
        <w:rPr>
          <w:rFonts w:ascii="Arial" w:hAnsi="Arial" w:cs="Arial"/>
          <w:sz w:val="22"/>
          <w:szCs w:val="22"/>
        </w:rPr>
        <w:t>, 76(4), pp. 1021–1030.</w:t>
      </w:r>
    </w:p>
    <w:p w14:paraId="11D18E33" w14:textId="77777777" w:rsidR="00126986" w:rsidRPr="00CB65C9" w:rsidRDefault="00126986" w:rsidP="00CB65C9">
      <w:pPr>
        <w:spacing w:line="360" w:lineRule="auto"/>
        <w:rPr>
          <w:rFonts w:ascii="Arial" w:hAnsi="Arial" w:cs="Arial"/>
          <w:sz w:val="22"/>
          <w:szCs w:val="22"/>
        </w:rPr>
      </w:pPr>
    </w:p>
    <w:sectPr w:rsidR="00126986" w:rsidRPr="00CB65C9" w:rsidSect="008375B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D08D4" w14:textId="77777777" w:rsidR="001F77ED" w:rsidRDefault="001F77ED" w:rsidP="008375B5">
      <w:pPr>
        <w:spacing w:after="0" w:line="240" w:lineRule="auto"/>
      </w:pPr>
      <w:r>
        <w:separator/>
      </w:r>
    </w:p>
  </w:endnote>
  <w:endnote w:type="continuationSeparator" w:id="0">
    <w:p w14:paraId="6F332280" w14:textId="77777777" w:rsidR="001F77ED" w:rsidRDefault="001F77ED"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1AB5A" w14:textId="77777777" w:rsidR="001F77ED" w:rsidRDefault="001F77ED" w:rsidP="008375B5">
      <w:pPr>
        <w:spacing w:after="0" w:line="240" w:lineRule="auto"/>
      </w:pPr>
      <w:r>
        <w:separator/>
      </w:r>
    </w:p>
  </w:footnote>
  <w:footnote w:type="continuationSeparator" w:id="0">
    <w:p w14:paraId="6F32B303" w14:textId="77777777" w:rsidR="001F77ED" w:rsidRDefault="001F77ED"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53D08"/>
    <w:multiLevelType w:val="hybridMultilevel"/>
    <w:tmpl w:val="34F06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F5E3A"/>
    <w:multiLevelType w:val="multilevel"/>
    <w:tmpl w:val="54A6BD6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6305EC"/>
    <w:multiLevelType w:val="multilevel"/>
    <w:tmpl w:val="54A6BD6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75EB2"/>
    <w:multiLevelType w:val="hybridMultilevel"/>
    <w:tmpl w:val="15581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D85E11"/>
    <w:multiLevelType w:val="multilevel"/>
    <w:tmpl w:val="54A6BD6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3B316E"/>
    <w:multiLevelType w:val="hybridMultilevel"/>
    <w:tmpl w:val="6670477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15:restartNumberingAfterBreak="0">
    <w:nsid w:val="4D284229"/>
    <w:multiLevelType w:val="hybridMultilevel"/>
    <w:tmpl w:val="AF2EF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6601DB"/>
    <w:multiLevelType w:val="hybridMultilevel"/>
    <w:tmpl w:val="C852A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8538BF"/>
    <w:multiLevelType w:val="hybridMultilevel"/>
    <w:tmpl w:val="D07C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520B9B"/>
    <w:multiLevelType w:val="hybridMultilevel"/>
    <w:tmpl w:val="CEC62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BB1CE1"/>
    <w:multiLevelType w:val="hybridMultilevel"/>
    <w:tmpl w:val="5830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91DAD"/>
    <w:multiLevelType w:val="hybridMultilevel"/>
    <w:tmpl w:val="7F5A0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09961">
    <w:abstractNumId w:val="4"/>
  </w:num>
  <w:num w:numId="2" w16cid:durableId="1722706951">
    <w:abstractNumId w:val="5"/>
  </w:num>
  <w:num w:numId="3" w16cid:durableId="335810324">
    <w:abstractNumId w:val="8"/>
  </w:num>
  <w:num w:numId="4" w16cid:durableId="808743765">
    <w:abstractNumId w:val="2"/>
  </w:num>
  <w:num w:numId="5" w16cid:durableId="1356345100">
    <w:abstractNumId w:val="3"/>
  </w:num>
  <w:num w:numId="6" w16cid:durableId="409356113">
    <w:abstractNumId w:val="10"/>
  </w:num>
  <w:num w:numId="7" w16cid:durableId="1013411307">
    <w:abstractNumId w:val="16"/>
  </w:num>
  <w:num w:numId="8" w16cid:durableId="704909136">
    <w:abstractNumId w:val="17"/>
  </w:num>
  <w:num w:numId="9" w16cid:durableId="615523531">
    <w:abstractNumId w:val="11"/>
  </w:num>
  <w:num w:numId="10" w16cid:durableId="317467175">
    <w:abstractNumId w:val="14"/>
  </w:num>
  <w:num w:numId="11" w16cid:durableId="1220439589">
    <w:abstractNumId w:val="12"/>
  </w:num>
  <w:num w:numId="12" w16cid:durableId="1489519460">
    <w:abstractNumId w:val="0"/>
  </w:num>
  <w:num w:numId="13" w16cid:durableId="1935048043">
    <w:abstractNumId w:val="13"/>
  </w:num>
  <w:num w:numId="14" w16cid:durableId="480386152">
    <w:abstractNumId w:val="19"/>
  </w:num>
  <w:num w:numId="15" w16cid:durableId="1469283535">
    <w:abstractNumId w:val="15"/>
  </w:num>
  <w:num w:numId="16" w16cid:durableId="1617758614">
    <w:abstractNumId w:val="18"/>
  </w:num>
  <w:num w:numId="17" w16cid:durableId="97338186">
    <w:abstractNumId w:val="7"/>
  </w:num>
  <w:num w:numId="18" w16cid:durableId="1182545970">
    <w:abstractNumId w:val="9"/>
  </w:num>
  <w:num w:numId="19" w16cid:durableId="588733978">
    <w:abstractNumId w:val="1"/>
  </w:num>
  <w:num w:numId="20" w16cid:durableId="3489462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5362D"/>
    <w:rsid w:val="00126986"/>
    <w:rsid w:val="00176779"/>
    <w:rsid w:val="001E5B76"/>
    <w:rsid w:val="001F77ED"/>
    <w:rsid w:val="00255D51"/>
    <w:rsid w:val="0043530D"/>
    <w:rsid w:val="0058254B"/>
    <w:rsid w:val="00670F82"/>
    <w:rsid w:val="008265EC"/>
    <w:rsid w:val="008375B5"/>
    <w:rsid w:val="008E31E6"/>
    <w:rsid w:val="009334D8"/>
    <w:rsid w:val="00987802"/>
    <w:rsid w:val="00A875D4"/>
    <w:rsid w:val="00A9474F"/>
    <w:rsid w:val="00AC2DCE"/>
    <w:rsid w:val="00AC3FDE"/>
    <w:rsid w:val="00C80D0F"/>
    <w:rsid w:val="00CB65C9"/>
    <w:rsid w:val="00D40915"/>
    <w:rsid w:val="00F03023"/>
    <w:rsid w:val="00F360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126986"/>
    <w:rPr>
      <w:color w:val="467886" w:themeColor="hyperlink"/>
      <w:u w:val="single"/>
    </w:rPr>
  </w:style>
  <w:style w:type="character" w:styleId="UnresolvedMention">
    <w:name w:val="Unresolved Mention"/>
    <w:basedOn w:val="DefaultParagraphFont"/>
    <w:uiPriority w:val="99"/>
    <w:semiHidden/>
    <w:unhideWhenUsed/>
    <w:rsid w:val="00126986"/>
    <w:rPr>
      <w:color w:val="605E5C"/>
      <w:shd w:val="clear" w:color="auto" w:fill="E1DFDD"/>
    </w:rPr>
  </w:style>
  <w:style w:type="paragraph" w:styleId="TOCHeading">
    <w:name w:val="TOC Heading"/>
    <w:basedOn w:val="Heading1"/>
    <w:next w:val="Normal"/>
    <w:uiPriority w:val="39"/>
    <w:unhideWhenUsed/>
    <w:qFormat/>
    <w:rsid w:val="00CB65C9"/>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CB65C9"/>
    <w:pPr>
      <w:spacing w:after="100"/>
    </w:pPr>
  </w:style>
  <w:style w:type="paragraph" w:styleId="TOC2">
    <w:name w:val="toc 2"/>
    <w:basedOn w:val="Normal"/>
    <w:next w:val="Normal"/>
    <w:autoRedefine/>
    <w:uiPriority w:val="39"/>
    <w:unhideWhenUsed/>
    <w:rsid w:val="00CB65C9"/>
    <w:pPr>
      <w:spacing w:after="100"/>
      <w:ind w:left="240"/>
    </w:pPr>
  </w:style>
  <w:style w:type="paragraph" w:styleId="TOC3">
    <w:name w:val="toc 3"/>
    <w:basedOn w:val="Normal"/>
    <w:next w:val="Normal"/>
    <w:autoRedefine/>
    <w:uiPriority w:val="39"/>
    <w:unhideWhenUsed/>
    <w:rsid w:val="00CB65C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AE1D9-FCC3-45E3-9770-B9711BD80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marta proca</cp:lastModifiedBy>
  <cp:revision>5</cp:revision>
  <dcterms:created xsi:type="dcterms:W3CDTF">2026-03-21T22:27:00Z</dcterms:created>
  <dcterms:modified xsi:type="dcterms:W3CDTF">2026-03-22T07:49:00Z</dcterms:modified>
</cp:coreProperties>
</file>