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BF488" w14:textId="0C4D8C10" w:rsidR="003B2DAB" w:rsidRPr="003B2DAB" w:rsidRDefault="003B2DAB" w:rsidP="004D2CFF">
      <w:pPr>
        <w:spacing w:line="360" w:lineRule="auto"/>
        <w:rPr>
          <w:rFonts w:asciiTheme="minorHAnsi" w:hAnsiTheme="minorHAnsi"/>
          <w:b/>
          <w:bCs/>
          <w:u w:val="single"/>
        </w:rPr>
      </w:pPr>
      <w:r w:rsidRPr="003B2DAB">
        <w:rPr>
          <w:rFonts w:asciiTheme="minorHAnsi" w:hAnsiTheme="minorHAnsi"/>
          <w:b/>
          <w:bCs/>
          <w:u w:val="single"/>
        </w:rPr>
        <w:t>Questions 1</w:t>
      </w:r>
    </w:p>
    <w:p w14:paraId="5A8BAB9F" w14:textId="08F4687E" w:rsidR="004D2CFF" w:rsidRDefault="00080994" w:rsidP="004D2CFF">
      <w:pPr>
        <w:spacing w:line="360" w:lineRule="auto"/>
        <w:rPr>
          <w:rFonts w:asciiTheme="minorHAnsi" w:hAnsiTheme="minorHAnsi"/>
        </w:rPr>
      </w:pPr>
      <w:r w:rsidRPr="004D2CFF">
        <w:rPr>
          <w:rFonts w:asciiTheme="minorHAnsi" w:hAnsiTheme="minorHAnsi"/>
        </w:rPr>
        <w:t>The defence against insanity is governed by The Criminal Procedure (Insanity) Act 1964</w:t>
      </w:r>
      <w:r w:rsidR="009B33EF">
        <w:rPr>
          <w:rFonts w:asciiTheme="minorHAnsi" w:hAnsiTheme="minorHAnsi"/>
        </w:rPr>
        <w:t xml:space="preserve"> and case law from R v </w:t>
      </w:r>
      <w:proofErr w:type="spellStart"/>
      <w:r w:rsidR="009B33EF" w:rsidRPr="004D2CFF">
        <w:rPr>
          <w:rFonts w:asciiTheme="minorHAnsi" w:hAnsiTheme="minorHAnsi"/>
        </w:rPr>
        <w:t>M’Naghten</w:t>
      </w:r>
      <w:proofErr w:type="spellEnd"/>
      <w:r w:rsidR="009B33EF">
        <w:rPr>
          <w:rFonts w:asciiTheme="minorHAnsi" w:hAnsiTheme="minorHAnsi"/>
        </w:rPr>
        <w:t xml:space="preserve"> (</w:t>
      </w:r>
      <w:r w:rsidR="009B33EF" w:rsidRPr="004D2CFF">
        <w:rPr>
          <w:rFonts w:asciiTheme="minorHAnsi" w:hAnsiTheme="minorHAnsi"/>
        </w:rPr>
        <w:t>1843</w:t>
      </w:r>
      <w:r w:rsidR="009B33EF">
        <w:rPr>
          <w:rFonts w:asciiTheme="minorHAnsi" w:hAnsiTheme="minorHAnsi"/>
        </w:rPr>
        <w:t>)</w:t>
      </w:r>
      <w:r w:rsidRPr="004D2CFF">
        <w:rPr>
          <w:rFonts w:asciiTheme="minorHAnsi" w:hAnsiTheme="minorHAnsi"/>
        </w:rPr>
        <w:t xml:space="preserve">. Insanity refers to insanity at plea which is an insanity which occurs after the offence and effects a person’s ability to stand trial and insanity at the time of the offence that effects a person’s ability to fully meet the mens rea element of a crime. This essay will discuss the latter. </w:t>
      </w:r>
    </w:p>
    <w:p w14:paraId="5CA4A20E" w14:textId="77777777" w:rsidR="004D2CFF" w:rsidRPr="004D2CFF" w:rsidRDefault="004D2CFF" w:rsidP="004D2CFF">
      <w:pPr>
        <w:spacing w:line="360" w:lineRule="auto"/>
        <w:rPr>
          <w:sz w:val="28"/>
          <w:szCs w:val="28"/>
        </w:rPr>
      </w:pPr>
    </w:p>
    <w:p w14:paraId="79BC1C3B" w14:textId="745903DD" w:rsidR="00080994" w:rsidRPr="004D2CFF" w:rsidRDefault="00080994" w:rsidP="004D2CFF">
      <w:pPr>
        <w:spacing w:line="360" w:lineRule="auto"/>
        <w:rPr>
          <w:rFonts w:asciiTheme="minorHAnsi" w:hAnsiTheme="minorHAnsi"/>
        </w:rPr>
      </w:pPr>
      <w:r w:rsidRPr="004D2CFF">
        <w:rPr>
          <w:rFonts w:asciiTheme="minorHAnsi" w:hAnsiTheme="minorHAnsi"/>
        </w:rPr>
        <w:t xml:space="preserve">The criteria for a person to use the defence of insanity is outlined by Lord Tindal as every person being assumed to be as sound mind unless clearly proven that at the time of the crime the person was suffering from a disease of the mind which resulted in a defect of </w:t>
      </w:r>
      <w:r w:rsidR="00C124E2" w:rsidRPr="004D2CFF">
        <w:rPr>
          <w:rFonts w:asciiTheme="minorHAnsi" w:hAnsiTheme="minorHAnsi"/>
        </w:rPr>
        <w:t>reason,</w:t>
      </w:r>
      <w:r w:rsidRPr="004D2CFF">
        <w:rPr>
          <w:rFonts w:asciiTheme="minorHAnsi" w:hAnsiTheme="minorHAnsi"/>
        </w:rPr>
        <w:t xml:space="preserve"> so the defendant did </w:t>
      </w:r>
      <w:r w:rsidR="00C124E2" w:rsidRPr="004D2CFF">
        <w:rPr>
          <w:rFonts w:asciiTheme="minorHAnsi" w:hAnsiTheme="minorHAnsi"/>
        </w:rPr>
        <w:t>n</w:t>
      </w:r>
      <w:r w:rsidRPr="004D2CFF">
        <w:rPr>
          <w:rFonts w:asciiTheme="minorHAnsi" w:hAnsiTheme="minorHAnsi"/>
        </w:rPr>
        <w:t>ot know</w:t>
      </w:r>
      <w:r w:rsidR="004D2CFF" w:rsidRPr="004D2CFF">
        <w:rPr>
          <w:rFonts w:asciiTheme="minorHAnsi" w:hAnsiTheme="minorHAnsi"/>
        </w:rPr>
        <w:t xml:space="preserve"> </w:t>
      </w:r>
      <w:r w:rsidRPr="004D2CFF">
        <w:rPr>
          <w:rFonts w:asciiTheme="minorHAnsi" w:hAnsiTheme="minorHAnsi"/>
        </w:rPr>
        <w:t xml:space="preserve">the magnitude of their actions or that they did not know they were doing something wrong (M’Naghten,1843). </w:t>
      </w:r>
      <w:r w:rsidR="004D2CFF" w:rsidRPr="004D2CFF">
        <w:rPr>
          <w:rFonts w:asciiTheme="minorHAnsi" w:hAnsiTheme="minorHAnsi"/>
        </w:rPr>
        <w:t xml:space="preserve"> This definition led to the </w:t>
      </w:r>
      <w:proofErr w:type="spellStart"/>
      <w:r w:rsidR="004D2CFF" w:rsidRPr="004D2CFF">
        <w:rPr>
          <w:rFonts w:asciiTheme="minorHAnsi" w:hAnsiTheme="minorHAnsi"/>
        </w:rPr>
        <w:t>M’Naghten</w:t>
      </w:r>
      <w:proofErr w:type="spellEnd"/>
      <w:r w:rsidR="004D2CFF" w:rsidRPr="004D2CFF">
        <w:rPr>
          <w:rFonts w:asciiTheme="minorHAnsi" w:hAnsiTheme="minorHAnsi"/>
        </w:rPr>
        <w:t xml:space="preserve"> rules which set the three elements required for a defendant to be able to plead insanity: A defect of reason; caused by a disease of the mind, causing the defendant to not know the nature of their action or that they did not know what they were doing was wrong.  </w:t>
      </w:r>
    </w:p>
    <w:p w14:paraId="4DF56989" w14:textId="5ADE95AB" w:rsidR="004D2CFF" w:rsidRPr="004D2CFF" w:rsidRDefault="004D2CFF" w:rsidP="004D2CFF">
      <w:pPr>
        <w:spacing w:line="360" w:lineRule="auto"/>
        <w:rPr>
          <w:rFonts w:asciiTheme="minorHAnsi" w:hAnsiTheme="minorHAnsi"/>
        </w:rPr>
      </w:pPr>
    </w:p>
    <w:p w14:paraId="2820A65A" w14:textId="5E5C55A5" w:rsidR="004D2CFF" w:rsidRPr="004D2CFF" w:rsidRDefault="004D2CFF" w:rsidP="004D2CFF">
      <w:pPr>
        <w:spacing w:line="360" w:lineRule="auto"/>
        <w:rPr>
          <w:rFonts w:asciiTheme="minorHAnsi" w:hAnsiTheme="minorHAnsi"/>
        </w:rPr>
      </w:pPr>
      <w:r w:rsidRPr="004D2CFF">
        <w:rPr>
          <w:rFonts w:asciiTheme="minorHAnsi" w:hAnsiTheme="minorHAnsi"/>
        </w:rPr>
        <w:t>Insanity is a common law defence made popular in the 18</w:t>
      </w:r>
      <w:r w:rsidRPr="004D2CFF">
        <w:rPr>
          <w:rFonts w:asciiTheme="minorHAnsi" w:hAnsiTheme="minorHAnsi"/>
          <w:vertAlign w:val="superscript"/>
        </w:rPr>
        <w:t>th</w:t>
      </w:r>
      <w:r w:rsidRPr="004D2CFF">
        <w:rPr>
          <w:rFonts w:asciiTheme="minorHAnsi" w:hAnsiTheme="minorHAnsi"/>
        </w:rPr>
        <w:t xml:space="preserve"> century for defendants to avoid the death sentence (White, 1985). The criteria set in the </w:t>
      </w:r>
      <w:proofErr w:type="spellStart"/>
      <w:r w:rsidRPr="004D2CFF">
        <w:rPr>
          <w:rFonts w:asciiTheme="minorHAnsi" w:hAnsiTheme="minorHAnsi"/>
        </w:rPr>
        <w:t>M’Naghten</w:t>
      </w:r>
      <w:proofErr w:type="spellEnd"/>
      <w:r w:rsidRPr="004D2CFF">
        <w:rPr>
          <w:rFonts w:asciiTheme="minorHAnsi" w:hAnsiTheme="minorHAnsi"/>
        </w:rPr>
        <w:t xml:space="preserve"> Rules (1843) are criticised as being difficult to apply in modern times</w:t>
      </w:r>
      <w:r w:rsidR="009B33EF">
        <w:rPr>
          <w:rFonts w:asciiTheme="minorHAnsi" w:hAnsiTheme="minorHAnsi"/>
        </w:rPr>
        <w:t xml:space="preserve"> as there has been advancements to the understandings of mental disorders which make it harder to apply black and white rules</w:t>
      </w:r>
      <w:r w:rsidRPr="004D2CFF">
        <w:rPr>
          <w:rFonts w:asciiTheme="minorHAnsi" w:hAnsiTheme="minorHAnsi"/>
        </w:rPr>
        <w:t xml:space="preserve">. Case law sets that illnesses such as sleepwalking (Burgess, 1991) and diabetes (Hennessy, 1989) are classed as diseases of the mind. </w:t>
      </w:r>
    </w:p>
    <w:p w14:paraId="0A792BB6" w14:textId="670C526C" w:rsidR="00080994" w:rsidRPr="004D2CFF" w:rsidRDefault="00C124E2" w:rsidP="004D2CFF">
      <w:pPr>
        <w:pStyle w:val="NormalWeb"/>
        <w:spacing w:line="360" w:lineRule="auto"/>
        <w:rPr>
          <w:rFonts w:asciiTheme="minorHAnsi" w:hAnsiTheme="minorHAnsi"/>
        </w:rPr>
      </w:pPr>
      <w:r w:rsidRPr="004D2CFF">
        <w:rPr>
          <w:rFonts w:asciiTheme="minorHAnsi" w:hAnsiTheme="minorHAnsi"/>
        </w:rPr>
        <w:t xml:space="preserve">A criticism of the current defence of insanity is that it does not take into consideration the concept of those without the capacity to understand morally wrong. According to the rules set in </w:t>
      </w:r>
      <w:proofErr w:type="spellStart"/>
      <w:r w:rsidRPr="004D2CFF">
        <w:rPr>
          <w:rFonts w:asciiTheme="minorHAnsi" w:hAnsiTheme="minorHAnsi"/>
        </w:rPr>
        <w:t>M’Naghten</w:t>
      </w:r>
      <w:proofErr w:type="spellEnd"/>
      <w:r w:rsidRPr="004D2CFF">
        <w:rPr>
          <w:rFonts w:asciiTheme="minorHAnsi" w:hAnsiTheme="minorHAnsi"/>
        </w:rPr>
        <w:t xml:space="preserve"> (1843) the fact that a person may know the act they have committed is illegal is enough for them not to be allowed the defence of insanity (R v Windle, 1952). This is criticised by Howard (2003) who argues that insanity should be based on irrational acts in </w:t>
      </w:r>
      <w:r w:rsidR="004D2CFF" w:rsidRPr="004D2CFF">
        <w:rPr>
          <w:rFonts w:asciiTheme="minorHAnsi" w:hAnsiTheme="minorHAnsi"/>
        </w:rPr>
        <w:t>a</w:t>
      </w:r>
      <w:r w:rsidRPr="004D2CFF">
        <w:rPr>
          <w:rFonts w:asciiTheme="minorHAnsi" w:hAnsiTheme="minorHAnsi"/>
        </w:rPr>
        <w:t xml:space="preserve"> </w:t>
      </w:r>
      <w:r w:rsidR="004D2CFF" w:rsidRPr="004D2CFF">
        <w:rPr>
          <w:rFonts w:asciiTheme="minorHAnsi" w:hAnsiTheme="minorHAnsi"/>
        </w:rPr>
        <w:t xml:space="preserve">normally </w:t>
      </w:r>
      <w:r w:rsidRPr="004D2CFF">
        <w:rPr>
          <w:rFonts w:asciiTheme="minorHAnsi" w:hAnsiTheme="minorHAnsi" w:cs="Arial"/>
        </w:rPr>
        <w:t xml:space="preserve">working mind. This is supported by </w:t>
      </w:r>
      <w:r w:rsidR="004D2CFF" w:rsidRPr="004D2CFF">
        <w:rPr>
          <w:rFonts w:asciiTheme="minorHAnsi" w:hAnsiTheme="minorHAnsi" w:cs="Arial"/>
        </w:rPr>
        <w:t>Moore’s’</w:t>
      </w:r>
      <w:r w:rsidRPr="004D2CFF">
        <w:rPr>
          <w:rFonts w:asciiTheme="minorHAnsi" w:hAnsiTheme="minorHAnsi" w:cs="Arial"/>
        </w:rPr>
        <w:t xml:space="preserve"> (1984) approach that only rational and moral people can be responsible in their abiding by the law.</w:t>
      </w:r>
    </w:p>
    <w:p w14:paraId="0E82BFD7" w14:textId="7BB5B495" w:rsidR="00080994" w:rsidRPr="004D2CFF" w:rsidRDefault="004D2CFF" w:rsidP="004D2CFF">
      <w:pPr>
        <w:spacing w:line="360" w:lineRule="auto"/>
        <w:rPr>
          <w:rFonts w:asciiTheme="minorHAnsi" w:hAnsiTheme="minorHAnsi"/>
        </w:rPr>
      </w:pPr>
      <w:r w:rsidRPr="004D2CFF">
        <w:rPr>
          <w:rFonts w:asciiTheme="minorHAnsi" w:hAnsiTheme="minorHAnsi"/>
        </w:rPr>
        <w:lastRenderedPageBreak/>
        <w:t xml:space="preserve">If a defendant is found not guilty using insanity as a defence then the verdict would be seen as Not Guilty by reason of Insanity. The Criminal Procedure Act (1964, s.5) sets three special verdicts for defendants which are a hospital order, a supervision order or an order for their discharge. </w:t>
      </w:r>
    </w:p>
    <w:p w14:paraId="000CED23" w14:textId="77777777" w:rsidR="00080994" w:rsidRPr="004D2CFF" w:rsidRDefault="00080994" w:rsidP="004D2CFF">
      <w:pPr>
        <w:spacing w:line="360" w:lineRule="auto"/>
        <w:rPr>
          <w:rFonts w:asciiTheme="minorHAnsi" w:hAnsiTheme="minorHAnsi"/>
        </w:rPr>
      </w:pPr>
    </w:p>
    <w:p w14:paraId="392178B1" w14:textId="481FC2E1" w:rsidR="00080994" w:rsidRDefault="004D2CFF" w:rsidP="004D2CFF">
      <w:pPr>
        <w:spacing w:line="360" w:lineRule="auto"/>
        <w:rPr>
          <w:rFonts w:asciiTheme="minorHAnsi" w:hAnsiTheme="minorHAnsi"/>
        </w:rPr>
      </w:pPr>
      <w:r w:rsidRPr="004D2CFF">
        <w:rPr>
          <w:rFonts w:asciiTheme="minorHAnsi" w:hAnsiTheme="minorHAnsi"/>
        </w:rPr>
        <w:t xml:space="preserve">There is a close nature between the defence of insanity and automatism. The defence of insanity and automatism can be separated as insanity requires an internal element (Kemp, 1957) whereas automatism requires an external element to be affecting an individual without any control of the mind (Bratty, 1963). The burden of proof for a defence of insanity is on the defendant and requires evidence from two or more medical practitioners (Criminal Procedure Act, 1991) whereas the burden on proof to disprove the defence of automatism is on the prosecution. </w:t>
      </w:r>
      <w:r w:rsidR="009B33EF">
        <w:rPr>
          <w:rFonts w:asciiTheme="minorHAnsi" w:hAnsiTheme="minorHAnsi"/>
        </w:rPr>
        <w:t>Criticism is given to the burden of proof being on the defendant as if the jury believe</w:t>
      </w:r>
      <w:r w:rsidR="00084AE9">
        <w:rPr>
          <w:rFonts w:asciiTheme="minorHAnsi" w:hAnsiTheme="minorHAnsi"/>
        </w:rPr>
        <w:t xml:space="preserve">, at a ratio of </w:t>
      </w:r>
      <w:r w:rsidR="009B33EF">
        <w:rPr>
          <w:rFonts w:asciiTheme="minorHAnsi" w:hAnsiTheme="minorHAnsi"/>
        </w:rPr>
        <w:t>51:49</w:t>
      </w:r>
      <w:r w:rsidR="00084AE9">
        <w:rPr>
          <w:rFonts w:asciiTheme="minorHAnsi" w:hAnsiTheme="minorHAnsi"/>
        </w:rPr>
        <w:t>,</w:t>
      </w:r>
      <w:r w:rsidR="009B33EF">
        <w:rPr>
          <w:rFonts w:asciiTheme="minorHAnsi" w:hAnsiTheme="minorHAnsi"/>
        </w:rPr>
        <w:t xml:space="preserve"> that the defendant is sane the defence of insanity will not be available, but with 49% voting for insanity it is more than a reasonable belief (Law commission, 2013). Further c</w:t>
      </w:r>
      <w:r w:rsidRPr="004D2CFF">
        <w:rPr>
          <w:rFonts w:asciiTheme="minorHAnsi" w:hAnsiTheme="minorHAnsi"/>
        </w:rPr>
        <w:t xml:space="preserve">riticism is given due to the blurred lines between the two defences, this can be seen in Hennessy (1989) and Quick (1973) who both had diabetes. Hennessy (1989) had to use the defence of insanity as he had failed to take his medication meaning the cause of his mental state was an internal factor whereas Quick (1973) took too much of his medication, it was there for seen as an external factor and allowed him to use the defence of automatism. This is criticised by Lord Justice Davis (2013) who calls the distinction between defences available based on internal and external factors illogical and calls for a reform in that area (Law Commission 2013). </w:t>
      </w:r>
    </w:p>
    <w:p w14:paraId="058413D3" w14:textId="36F93036" w:rsidR="00084AE9" w:rsidRDefault="00084AE9" w:rsidP="004D2CFF">
      <w:pPr>
        <w:spacing w:line="360" w:lineRule="auto"/>
        <w:rPr>
          <w:rFonts w:asciiTheme="minorHAnsi" w:hAnsiTheme="minorHAnsi"/>
        </w:rPr>
      </w:pPr>
    </w:p>
    <w:p w14:paraId="10BB680E" w14:textId="2034F9B3" w:rsidR="00084AE9" w:rsidRDefault="00052D4A" w:rsidP="004D2CFF">
      <w:pPr>
        <w:spacing w:line="360" w:lineRule="auto"/>
        <w:rPr>
          <w:rFonts w:asciiTheme="minorHAnsi" w:hAnsiTheme="minorHAnsi"/>
        </w:rPr>
      </w:pPr>
      <w:r>
        <w:rPr>
          <w:rFonts w:asciiTheme="minorHAnsi" w:hAnsiTheme="minorHAnsi"/>
        </w:rPr>
        <w:t>The i</w:t>
      </w:r>
      <w:r w:rsidR="00084AE9">
        <w:rPr>
          <w:rFonts w:asciiTheme="minorHAnsi" w:hAnsiTheme="minorHAnsi"/>
        </w:rPr>
        <w:t xml:space="preserve">ntroduction of new </w:t>
      </w:r>
      <w:r>
        <w:rPr>
          <w:rFonts w:asciiTheme="minorHAnsi" w:hAnsiTheme="minorHAnsi"/>
        </w:rPr>
        <w:t>legislation</w:t>
      </w:r>
      <w:r w:rsidR="00084AE9">
        <w:rPr>
          <w:rFonts w:asciiTheme="minorHAnsi" w:hAnsiTheme="minorHAnsi"/>
        </w:rPr>
        <w:t xml:space="preserve"> has given a more </w:t>
      </w:r>
      <w:r>
        <w:rPr>
          <w:rFonts w:asciiTheme="minorHAnsi" w:hAnsiTheme="minorHAnsi"/>
        </w:rPr>
        <w:t>contemporary</w:t>
      </w:r>
      <w:r w:rsidR="00084AE9">
        <w:rPr>
          <w:rFonts w:asciiTheme="minorHAnsi" w:hAnsiTheme="minorHAnsi"/>
        </w:rPr>
        <w:t xml:space="preserve"> defence </w:t>
      </w:r>
      <w:r>
        <w:rPr>
          <w:rFonts w:asciiTheme="minorHAnsi" w:hAnsiTheme="minorHAnsi"/>
        </w:rPr>
        <w:t>in line</w:t>
      </w:r>
      <w:r w:rsidR="00084AE9">
        <w:rPr>
          <w:rFonts w:asciiTheme="minorHAnsi" w:hAnsiTheme="minorHAnsi"/>
        </w:rPr>
        <w:t xml:space="preserve"> with the modern understandings of mental health </w:t>
      </w:r>
      <w:r>
        <w:rPr>
          <w:rFonts w:asciiTheme="minorHAnsi" w:hAnsiTheme="minorHAnsi"/>
        </w:rPr>
        <w:t>illnesses</w:t>
      </w:r>
      <w:r w:rsidR="00084AE9">
        <w:rPr>
          <w:rFonts w:asciiTheme="minorHAnsi" w:hAnsiTheme="minorHAnsi"/>
        </w:rPr>
        <w:t xml:space="preserve">. This is seen in the diminished responsibility defence. This defence is brought about in the Homicide Act (1957) and modified in the </w:t>
      </w:r>
      <w:r>
        <w:rPr>
          <w:rFonts w:asciiTheme="minorHAnsi" w:hAnsiTheme="minorHAnsi"/>
        </w:rPr>
        <w:t>Coroners</w:t>
      </w:r>
      <w:r w:rsidR="00084AE9">
        <w:rPr>
          <w:rFonts w:asciiTheme="minorHAnsi" w:hAnsiTheme="minorHAnsi"/>
        </w:rPr>
        <w:t xml:space="preserve"> and Justice Act (2009). This defences takes into consideration that an abnormality of the mental functioning can </w:t>
      </w:r>
      <w:r>
        <w:rPr>
          <w:rFonts w:asciiTheme="minorHAnsi" w:hAnsiTheme="minorHAnsi"/>
        </w:rPr>
        <w:t>impair an individual from making a rational decision (Coroners</w:t>
      </w:r>
      <w:r>
        <w:rPr>
          <w:rFonts w:asciiTheme="minorHAnsi" w:hAnsiTheme="minorHAnsi"/>
        </w:rPr>
        <w:t xml:space="preserve"> and Justice Act </w:t>
      </w:r>
      <w:r>
        <w:rPr>
          <w:rFonts w:asciiTheme="minorHAnsi" w:hAnsiTheme="minorHAnsi"/>
        </w:rPr>
        <w:t xml:space="preserve">2009). As seen in R v Windle (1952) the mental condition suffered by Windle was not deemed to be suitable for a defence of insanity because he knew he had committed an illegal crime, the defence of diminished responsibility would however consider that although Windle knew he committed a crime the mental illness he </w:t>
      </w:r>
      <w:r>
        <w:rPr>
          <w:rFonts w:asciiTheme="minorHAnsi" w:hAnsiTheme="minorHAnsi"/>
        </w:rPr>
        <w:lastRenderedPageBreak/>
        <w:t>suffered would have prevented him from making a rational decision to not commit the crime in the first place.</w:t>
      </w:r>
    </w:p>
    <w:p w14:paraId="64485B38" w14:textId="77777777" w:rsidR="00080994" w:rsidRPr="004D2CFF" w:rsidRDefault="00080994" w:rsidP="004D2CFF">
      <w:pPr>
        <w:spacing w:line="360" w:lineRule="auto"/>
        <w:rPr>
          <w:rFonts w:asciiTheme="minorHAnsi" w:hAnsiTheme="minorHAnsi"/>
        </w:rPr>
      </w:pPr>
    </w:p>
    <w:p w14:paraId="3F6DD872" w14:textId="1AF1C503" w:rsidR="004D2CFF" w:rsidRPr="004D2CFF" w:rsidRDefault="004D2CFF" w:rsidP="004D2CFF">
      <w:pPr>
        <w:spacing w:line="360" w:lineRule="auto"/>
        <w:rPr>
          <w:rFonts w:asciiTheme="minorHAnsi" w:hAnsiTheme="minorHAnsi"/>
        </w:rPr>
      </w:pPr>
      <w:r w:rsidRPr="004D2CFF">
        <w:rPr>
          <w:rFonts w:asciiTheme="minorHAnsi" w:hAnsiTheme="minorHAnsi"/>
        </w:rPr>
        <w:t xml:space="preserve">There is call form the legal profession to </w:t>
      </w:r>
      <w:r w:rsidR="00084AE9">
        <w:rPr>
          <w:rFonts w:asciiTheme="minorHAnsi" w:hAnsiTheme="minorHAnsi"/>
        </w:rPr>
        <w:t xml:space="preserve">further </w:t>
      </w:r>
      <w:r w:rsidRPr="004D2CFF">
        <w:rPr>
          <w:rFonts w:asciiTheme="minorHAnsi" w:hAnsiTheme="minorHAnsi"/>
        </w:rPr>
        <w:t>reform the defence of insanity (Law Commission, 2013). They</w:t>
      </w:r>
      <w:r w:rsidR="00080994" w:rsidRPr="004D2CFF">
        <w:rPr>
          <w:rFonts w:asciiTheme="minorHAnsi" w:hAnsiTheme="minorHAnsi"/>
        </w:rPr>
        <w:t xml:space="preserve"> argued that current defence of insanity has not kept pace with the advancements in medicine, psychology or psychiatry. </w:t>
      </w:r>
      <w:r w:rsidRPr="004D2CFF">
        <w:rPr>
          <w:rFonts w:asciiTheme="minorHAnsi" w:hAnsiTheme="minorHAnsi"/>
        </w:rPr>
        <w:t>They put forward a defence of ‘</w:t>
      </w:r>
      <w:r w:rsidRPr="004D2CFF">
        <w:rPr>
          <w:rFonts w:asciiTheme="minorHAnsi" w:hAnsiTheme="minorHAnsi"/>
          <w:color w:val="000000"/>
          <w:shd w:val="clear" w:color="auto" w:fill="FFFFFF"/>
        </w:rPr>
        <w:t xml:space="preserve">not guilty by reason of a recognised medical condition’ which would be concerned with a person’s lacking capacity. Thus, becoming a blanket defence which will cover all physical and mental conditions. </w:t>
      </w:r>
    </w:p>
    <w:p w14:paraId="6B0A187F" w14:textId="7D5AA609" w:rsidR="00080994" w:rsidRDefault="00080994" w:rsidP="004D2CFF">
      <w:pPr>
        <w:spacing w:line="360" w:lineRule="auto"/>
      </w:pPr>
    </w:p>
    <w:p w14:paraId="0EFA9C3A" w14:textId="5C5E8695" w:rsidR="00080994" w:rsidRDefault="00080994" w:rsidP="004D2CFF">
      <w:pPr>
        <w:spacing w:line="360" w:lineRule="auto"/>
      </w:pPr>
      <w:r>
        <w:t xml:space="preserve"> -_________</w:t>
      </w:r>
    </w:p>
    <w:p w14:paraId="315DE1E3" w14:textId="042CC0F2" w:rsidR="00080994" w:rsidRPr="004D2CFF" w:rsidRDefault="00080994" w:rsidP="004D2CFF">
      <w:pPr>
        <w:spacing w:line="360" w:lineRule="auto"/>
        <w:ind w:left="360"/>
        <w:rPr>
          <w:rFonts w:asciiTheme="minorHAnsi" w:hAnsiTheme="minorHAnsi"/>
          <w:sz w:val="28"/>
          <w:szCs w:val="28"/>
          <w:u w:val="single"/>
        </w:rPr>
      </w:pPr>
      <w:r w:rsidRPr="004D2CFF">
        <w:rPr>
          <w:rFonts w:asciiTheme="minorHAnsi" w:hAnsiTheme="minorHAnsi"/>
          <w:sz w:val="28"/>
          <w:szCs w:val="28"/>
          <w:u w:val="single"/>
        </w:rPr>
        <w:t xml:space="preserve">References </w:t>
      </w:r>
    </w:p>
    <w:p w14:paraId="1DDC51F5" w14:textId="77777777" w:rsidR="004D2CFF" w:rsidRPr="004D2CFF" w:rsidRDefault="004D2CFF" w:rsidP="004D2CFF">
      <w:pPr>
        <w:spacing w:line="360" w:lineRule="auto"/>
        <w:ind w:left="360"/>
        <w:rPr>
          <w:rFonts w:asciiTheme="minorHAnsi" w:hAnsiTheme="minorHAnsi"/>
        </w:rPr>
      </w:pPr>
      <w:r w:rsidRPr="004D2CFF">
        <w:rPr>
          <w:rFonts w:asciiTheme="minorHAnsi" w:hAnsiTheme="minorHAnsi"/>
        </w:rPr>
        <w:t xml:space="preserve">Howard. H (2003) </w:t>
      </w:r>
      <w:r w:rsidRPr="004D2CFF">
        <w:rPr>
          <w:rFonts w:asciiTheme="minorHAnsi" w:hAnsiTheme="minorHAnsi" w:cs="Arial"/>
        </w:rPr>
        <w:t xml:space="preserve">‘Reform of the insanity defence: theoretical issues’ </w:t>
      </w:r>
      <w:r w:rsidRPr="004D2CFF">
        <w:rPr>
          <w:rFonts w:asciiTheme="minorHAnsi" w:hAnsiTheme="minorHAnsi" w:cs="Arial"/>
          <w:i/>
          <w:iCs/>
        </w:rPr>
        <w:t xml:space="preserve">Journal of Criminal Law </w:t>
      </w:r>
      <w:r w:rsidRPr="004D2CFF">
        <w:rPr>
          <w:rFonts w:asciiTheme="minorHAnsi" w:hAnsiTheme="minorHAnsi" w:cs="Arial"/>
        </w:rPr>
        <w:t xml:space="preserve">Vol: 67 </w:t>
      </w:r>
      <w:proofErr w:type="spellStart"/>
      <w:r w:rsidRPr="004D2CFF">
        <w:rPr>
          <w:rFonts w:asciiTheme="minorHAnsi" w:hAnsiTheme="minorHAnsi" w:cs="Arial"/>
        </w:rPr>
        <w:t>Pg</w:t>
      </w:r>
      <w:proofErr w:type="spellEnd"/>
      <w:r w:rsidRPr="004D2CFF">
        <w:rPr>
          <w:rFonts w:asciiTheme="minorHAnsi" w:hAnsiTheme="minorHAnsi" w:cs="Arial"/>
        </w:rPr>
        <w:t xml:space="preserve"> 51 – 67</w:t>
      </w:r>
    </w:p>
    <w:p w14:paraId="2840DF6C" w14:textId="77777777" w:rsidR="004D2CFF" w:rsidRPr="004D2CFF" w:rsidRDefault="00595E35" w:rsidP="004D2CFF">
      <w:pPr>
        <w:spacing w:line="360" w:lineRule="auto"/>
        <w:ind w:left="360"/>
        <w:rPr>
          <w:rFonts w:asciiTheme="minorHAnsi" w:hAnsiTheme="minorHAnsi"/>
        </w:rPr>
      </w:pPr>
      <w:hyperlink r:id="rId5" w:history="1">
        <w:r w:rsidR="004D2CFF" w:rsidRPr="004D2CFF">
          <w:rPr>
            <w:rStyle w:val="Hyperlink"/>
            <w:rFonts w:asciiTheme="minorHAnsi" w:hAnsiTheme="minorHAnsi"/>
          </w:rPr>
          <w:t>http://www.lawcom.gov.uk/app/uploads/2015/06/insanity_discussion.pdf</w:t>
        </w:r>
      </w:hyperlink>
    </w:p>
    <w:p w14:paraId="5BC80DA5" w14:textId="77777777" w:rsidR="004D2CFF" w:rsidRPr="004D2CFF" w:rsidRDefault="004D2CFF" w:rsidP="004D2CFF">
      <w:pPr>
        <w:spacing w:line="360" w:lineRule="auto"/>
        <w:ind w:left="360"/>
        <w:rPr>
          <w:rFonts w:asciiTheme="minorHAnsi" w:hAnsiTheme="minorHAnsi"/>
        </w:rPr>
      </w:pPr>
      <w:r w:rsidRPr="004D2CFF">
        <w:rPr>
          <w:rFonts w:asciiTheme="minorHAnsi" w:hAnsiTheme="minorHAnsi"/>
        </w:rPr>
        <w:t xml:space="preserve">Law Commission (2013) </w:t>
      </w:r>
      <w:r w:rsidRPr="004D2CFF">
        <w:rPr>
          <w:rFonts w:asciiTheme="minorHAnsi" w:hAnsiTheme="minorHAnsi"/>
          <w:i/>
          <w:iCs/>
        </w:rPr>
        <w:t xml:space="preserve">Criminal Liability: Insanity and automatism </w:t>
      </w:r>
      <w:r w:rsidRPr="004D2CFF">
        <w:rPr>
          <w:rFonts w:asciiTheme="minorHAnsi" w:hAnsiTheme="minorHAnsi"/>
        </w:rPr>
        <w:t xml:space="preserve">Available at: </w:t>
      </w:r>
      <w:hyperlink r:id="rId6" w:history="1">
        <w:r w:rsidRPr="004D2CFF">
          <w:rPr>
            <w:rStyle w:val="Hyperlink"/>
            <w:rFonts w:asciiTheme="minorHAnsi" w:hAnsiTheme="minorHAnsi"/>
          </w:rPr>
          <w:t>http://www.lawcom.gov.uk/app/uploads/2015/06/insanity_discussion.pdf</w:t>
        </w:r>
      </w:hyperlink>
      <w:r w:rsidRPr="004D2CFF">
        <w:rPr>
          <w:rFonts w:asciiTheme="minorHAnsi" w:hAnsiTheme="minorHAnsi"/>
        </w:rPr>
        <w:t xml:space="preserve"> (Access on: 8</w:t>
      </w:r>
      <w:r w:rsidRPr="004D2CFF">
        <w:rPr>
          <w:rFonts w:asciiTheme="minorHAnsi" w:hAnsiTheme="minorHAnsi"/>
          <w:vertAlign w:val="superscript"/>
        </w:rPr>
        <w:t>th</w:t>
      </w:r>
      <w:r w:rsidRPr="004D2CFF">
        <w:rPr>
          <w:rFonts w:asciiTheme="minorHAnsi" w:hAnsiTheme="minorHAnsi"/>
        </w:rPr>
        <w:t xml:space="preserve"> April 2021)</w:t>
      </w:r>
    </w:p>
    <w:p w14:paraId="24C063DC" w14:textId="77777777" w:rsidR="004D2CFF" w:rsidRPr="004D2CFF" w:rsidRDefault="004D2CFF" w:rsidP="004D2CFF">
      <w:pPr>
        <w:spacing w:line="360" w:lineRule="auto"/>
        <w:ind w:left="360"/>
        <w:rPr>
          <w:rFonts w:asciiTheme="minorHAnsi" w:hAnsiTheme="minorHAnsi"/>
        </w:rPr>
      </w:pPr>
      <w:r w:rsidRPr="004D2CFF">
        <w:rPr>
          <w:rFonts w:asciiTheme="minorHAnsi" w:hAnsiTheme="minorHAnsi" w:cs="Arial"/>
        </w:rPr>
        <w:t xml:space="preserve">Moore. M (1984) </w:t>
      </w:r>
      <w:r w:rsidRPr="004D2CFF">
        <w:rPr>
          <w:rFonts w:asciiTheme="minorHAnsi" w:hAnsiTheme="minorHAnsi" w:cs="Arial"/>
          <w:i/>
          <w:iCs/>
        </w:rPr>
        <w:t xml:space="preserve">Law and </w:t>
      </w:r>
      <w:proofErr w:type="gramStart"/>
      <w:r w:rsidRPr="004D2CFF">
        <w:rPr>
          <w:rFonts w:asciiTheme="minorHAnsi" w:hAnsiTheme="minorHAnsi" w:cs="Arial"/>
          <w:i/>
          <w:iCs/>
        </w:rPr>
        <w:t>psychiatry :</w:t>
      </w:r>
      <w:proofErr w:type="gramEnd"/>
      <w:r w:rsidRPr="004D2CFF">
        <w:rPr>
          <w:rFonts w:asciiTheme="minorHAnsi" w:hAnsiTheme="minorHAnsi" w:cs="Arial"/>
          <w:i/>
          <w:iCs/>
        </w:rPr>
        <w:t xml:space="preserve"> rethink the relationship </w:t>
      </w:r>
      <w:r w:rsidRPr="004D2CFF">
        <w:rPr>
          <w:rFonts w:asciiTheme="minorHAnsi" w:hAnsiTheme="minorHAnsi" w:cs="Arial"/>
        </w:rPr>
        <w:t>Cambridge University Press</w:t>
      </w:r>
    </w:p>
    <w:p w14:paraId="03C3BE80" w14:textId="4EA75D18" w:rsidR="004D2CFF" w:rsidRDefault="004D2CFF" w:rsidP="004D2CFF">
      <w:pPr>
        <w:spacing w:line="360" w:lineRule="auto"/>
        <w:ind w:left="360"/>
        <w:rPr>
          <w:rFonts w:asciiTheme="minorHAnsi" w:hAnsiTheme="minorHAnsi"/>
        </w:rPr>
      </w:pPr>
      <w:r w:rsidRPr="004D2CFF">
        <w:rPr>
          <w:rFonts w:asciiTheme="minorHAnsi" w:hAnsiTheme="minorHAnsi"/>
        </w:rPr>
        <w:t>White. S (1985) ‘The Insanity Defence in England and Wales since 1843</w:t>
      </w:r>
      <w:r w:rsidRPr="004D2CFF">
        <w:rPr>
          <w:rFonts w:asciiTheme="minorHAnsi" w:hAnsiTheme="minorHAnsi"/>
          <w:i/>
          <w:iCs/>
        </w:rPr>
        <w:t xml:space="preserve">’ Sage Journals </w:t>
      </w:r>
      <w:r w:rsidRPr="004D2CFF">
        <w:rPr>
          <w:rFonts w:asciiTheme="minorHAnsi" w:hAnsiTheme="minorHAnsi"/>
        </w:rPr>
        <w:t xml:space="preserve">Vol: </w:t>
      </w:r>
      <w:proofErr w:type="gramStart"/>
      <w:r w:rsidRPr="004D2CFF">
        <w:rPr>
          <w:rFonts w:asciiTheme="minorHAnsi" w:hAnsiTheme="minorHAnsi"/>
        </w:rPr>
        <w:t xml:space="preserve">477  </w:t>
      </w:r>
      <w:proofErr w:type="spellStart"/>
      <w:r w:rsidRPr="004D2CFF">
        <w:rPr>
          <w:rFonts w:asciiTheme="minorHAnsi" w:hAnsiTheme="minorHAnsi"/>
        </w:rPr>
        <w:t>Pg</w:t>
      </w:r>
      <w:proofErr w:type="spellEnd"/>
      <w:proofErr w:type="gramEnd"/>
      <w:r w:rsidRPr="004D2CFF">
        <w:rPr>
          <w:rFonts w:asciiTheme="minorHAnsi" w:hAnsiTheme="minorHAnsi"/>
        </w:rPr>
        <w:t xml:space="preserve"> 43 – 57</w:t>
      </w:r>
    </w:p>
    <w:p w14:paraId="05AB2E4D" w14:textId="18478722" w:rsidR="009B33EF" w:rsidRPr="009B33EF" w:rsidRDefault="009B33EF" w:rsidP="004D2CFF">
      <w:pPr>
        <w:spacing w:line="360" w:lineRule="auto"/>
        <w:ind w:left="360"/>
        <w:rPr>
          <w:rFonts w:asciiTheme="minorHAnsi" w:hAnsiTheme="minorHAnsi"/>
        </w:rPr>
      </w:pPr>
      <w:r>
        <w:rPr>
          <w:rFonts w:asciiTheme="minorHAnsi" w:hAnsiTheme="minorHAnsi"/>
        </w:rPr>
        <w:t xml:space="preserve">Law Commission (2013) ‘Criminal Liability: Insanity and Automatism’ </w:t>
      </w:r>
      <w:r>
        <w:rPr>
          <w:rFonts w:asciiTheme="minorHAnsi" w:hAnsiTheme="minorHAnsi"/>
          <w:i/>
          <w:iCs/>
        </w:rPr>
        <w:t xml:space="preserve">A Discussion Paper – Summary for non-specialists </w:t>
      </w:r>
      <w:r>
        <w:rPr>
          <w:rFonts w:asciiTheme="minorHAnsi" w:hAnsiTheme="minorHAnsi"/>
        </w:rPr>
        <w:t>page 13</w:t>
      </w:r>
    </w:p>
    <w:p w14:paraId="520583E4" w14:textId="02810A65" w:rsidR="00080994" w:rsidRPr="004D2CFF" w:rsidRDefault="00080994" w:rsidP="004D2CFF">
      <w:pPr>
        <w:pStyle w:val="ListParagraph"/>
        <w:spacing w:line="360" w:lineRule="auto"/>
        <w:rPr>
          <w:rFonts w:asciiTheme="minorHAnsi" w:hAnsiTheme="minorHAnsi"/>
        </w:rPr>
      </w:pPr>
    </w:p>
    <w:p w14:paraId="119E7125" w14:textId="24BE4828" w:rsidR="00080994" w:rsidRPr="004D2CFF" w:rsidRDefault="00080994" w:rsidP="004D2CFF">
      <w:pPr>
        <w:spacing w:line="360" w:lineRule="auto"/>
        <w:rPr>
          <w:rFonts w:asciiTheme="minorHAnsi" w:hAnsiTheme="minorHAnsi"/>
        </w:rPr>
      </w:pPr>
    </w:p>
    <w:p w14:paraId="32E2E4CC" w14:textId="45703DC7" w:rsidR="00080994" w:rsidRPr="004D2CFF" w:rsidRDefault="00080994" w:rsidP="004D2CFF">
      <w:pPr>
        <w:spacing w:line="360" w:lineRule="auto"/>
        <w:rPr>
          <w:rFonts w:asciiTheme="minorHAnsi" w:hAnsiTheme="minorHAnsi"/>
        </w:rPr>
      </w:pPr>
    </w:p>
    <w:p w14:paraId="7DFEC2B2" w14:textId="2DA1033E" w:rsidR="00080994" w:rsidRPr="004D2CFF" w:rsidRDefault="00080994" w:rsidP="004D2CFF">
      <w:pPr>
        <w:spacing w:line="360" w:lineRule="auto"/>
        <w:ind w:left="360"/>
        <w:rPr>
          <w:rFonts w:asciiTheme="minorHAnsi" w:hAnsiTheme="minorHAnsi"/>
          <w:sz w:val="28"/>
          <w:szCs w:val="28"/>
          <w:u w:val="single"/>
        </w:rPr>
      </w:pPr>
      <w:r w:rsidRPr="004D2CFF">
        <w:rPr>
          <w:rFonts w:asciiTheme="minorHAnsi" w:hAnsiTheme="minorHAnsi"/>
          <w:sz w:val="28"/>
          <w:szCs w:val="28"/>
          <w:u w:val="single"/>
        </w:rPr>
        <w:t xml:space="preserve">Case List </w:t>
      </w:r>
    </w:p>
    <w:p w14:paraId="5E27F552" w14:textId="77777777" w:rsidR="00072F43" w:rsidRPr="004D2CFF" w:rsidRDefault="00072F43" w:rsidP="004D2CFF">
      <w:pPr>
        <w:spacing w:line="360" w:lineRule="auto"/>
        <w:ind w:left="360"/>
        <w:rPr>
          <w:rFonts w:asciiTheme="minorHAnsi" w:hAnsiTheme="minorHAnsi"/>
        </w:rPr>
      </w:pPr>
      <w:r w:rsidRPr="004D2CFF">
        <w:rPr>
          <w:rFonts w:asciiTheme="minorHAnsi" w:hAnsiTheme="minorHAnsi"/>
          <w:color w:val="000000"/>
        </w:rPr>
        <w:t>Bratty v A-G for NI (1963) AC 386</w:t>
      </w:r>
      <w:r w:rsidRPr="004D2CFF">
        <w:rPr>
          <w:rFonts w:asciiTheme="minorHAnsi" w:hAnsiTheme="minorHAnsi"/>
          <w:color w:val="000000"/>
          <w:shd w:val="clear" w:color="auto" w:fill="FFFFFF"/>
        </w:rPr>
        <w:t> </w:t>
      </w:r>
    </w:p>
    <w:p w14:paraId="3DFB2F0B" w14:textId="77777777" w:rsidR="00072F43" w:rsidRPr="004D2CFF" w:rsidRDefault="00072F43" w:rsidP="004D2CFF">
      <w:pPr>
        <w:pStyle w:val="NormalWeb"/>
        <w:spacing w:line="360" w:lineRule="auto"/>
        <w:ind w:left="360"/>
        <w:rPr>
          <w:rFonts w:asciiTheme="minorHAnsi" w:hAnsiTheme="minorHAnsi" w:cs="Arial"/>
        </w:rPr>
      </w:pPr>
      <w:r>
        <w:rPr>
          <w:rFonts w:asciiTheme="minorHAnsi" w:hAnsiTheme="minorHAnsi"/>
        </w:rPr>
        <w:t>Coroners</w:t>
      </w:r>
      <w:r>
        <w:rPr>
          <w:rFonts w:asciiTheme="minorHAnsi" w:hAnsiTheme="minorHAnsi"/>
        </w:rPr>
        <w:t xml:space="preserve"> and Justice Act (2009)</w:t>
      </w:r>
      <w:r>
        <w:rPr>
          <w:rFonts w:asciiTheme="minorHAnsi" w:hAnsiTheme="minorHAnsi"/>
        </w:rPr>
        <w:t xml:space="preserve"> s.2.52</w:t>
      </w:r>
    </w:p>
    <w:p w14:paraId="6848942F" w14:textId="77777777" w:rsidR="00072F43" w:rsidRDefault="00072F43" w:rsidP="004D2CFF">
      <w:pPr>
        <w:pStyle w:val="NormalWeb"/>
        <w:spacing w:line="360" w:lineRule="auto"/>
        <w:ind w:left="360"/>
        <w:rPr>
          <w:rFonts w:asciiTheme="minorHAnsi" w:hAnsiTheme="minorHAnsi"/>
          <w:color w:val="000000"/>
          <w:shd w:val="clear" w:color="auto" w:fill="FFFFFF"/>
        </w:rPr>
      </w:pPr>
      <w:r w:rsidRPr="004D2CFF">
        <w:rPr>
          <w:rFonts w:asciiTheme="minorHAnsi" w:hAnsiTheme="minorHAnsi"/>
          <w:color w:val="000000"/>
          <w:shd w:val="clear" w:color="auto" w:fill="FFFFFF"/>
        </w:rPr>
        <w:lastRenderedPageBreak/>
        <w:t>Criminal Procedure (Insanity and Unfitness to Plead) Act 1991</w:t>
      </w:r>
    </w:p>
    <w:p w14:paraId="4369AB16" w14:textId="77777777" w:rsidR="00072F43" w:rsidRPr="004D2CFF" w:rsidRDefault="00072F43" w:rsidP="004D2CFF">
      <w:pPr>
        <w:pStyle w:val="NormalWeb"/>
        <w:spacing w:line="360" w:lineRule="auto"/>
        <w:ind w:left="360"/>
        <w:rPr>
          <w:rFonts w:asciiTheme="minorHAnsi" w:hAnsiTheme="minorHAnsi" w:cs="Arial"/>
        </w:rPr>
      </w:pPr>
      <w:r w:rsidRPr="004D2CFF">
        <w:rPr>
          <w:rFonts w:asciiTheme="minorHAnsi" w:hAnsiTheme="minorHAnsi"/>
        </w:rPr>
        <w:t>Criminal Procedure Act (1991) s.1</w:t>
      </w:r>
    </w:p>
    <w:p w14:paraId="47D546EE" w14:textId="77777777" w:rsidR="00072F43" w:rsidRPr="004D2CFF" w:rsidRDefault="00072F43" w:rsidP="004D2CFF">
      <w:pPr>
        <w:spacing w:line="360" w:lineRule="auto"/>
        <w:ind w:left="360"/>
        <w:rPr>
          <w:rFonts w:asciiTheme="minorHAnsi" w:hAnsiTheme="minorHAnsi"/>
        </w:rPr>
      </w:pPr>
      <w:r w:rsidRPr="004D2CFF">
        <w:rPr>
          <w:rFonts w:asciiTheme="minorHAnsi" w:hAnsiTheme="minorHAnsi"/>
        </w:rPr>
        <w:t>Criminal Procedure Act (1991) s.5</w:t>
      </w:r>
    </w:p>
    <w:p w14:paraId="5C0EED6E" w14:textId="77777777" w:rsidR="00072F43" w:rsidRDefault="00072F43" w:rsidP="004D2CFF">
      <w:pPr>
        <w:pStyle w:val="NormalWeb"/>
        <w:spacing w:line="360" w:lineRule="auto"/>
        <w:ind w:left="360"/>
        <w:rPr>
          <w:rFonts w:asciiTheme="minorHAnsi" w:hAnsiTheme="minorHAnsi"/>
        </w:rPr>
      </w:pPr>
      <w:r>
        <w:rPr>
          <w:rFonts w:asciiTheme="minorHAnsi" w:hAnsiTheme="minorHAnsi"/>
        </w:rPr>
        <w:t>Homicide Act (1957)</w:t>
      </w:r>
      <w:r>
        <w:rPr>
          <w:rFonts w:asciiTheme="minorHAnsi" w:hAnsiTheme="minorHAnsi"/>
        </w:rPr>
        <w:t xml:space="preserve"> s.1.2</w:t>
      </w:r>
    </w:p>
    <w:p w14:paraId="43B76E0D" w14:textId="77777777" w:rsidR="00072F43" w:rsidRPr="004D2CFF" w:rsidRDefault="00072F43" w:rsidP="004D2CFF">
      <w:pPr>
        <w:pStyle w:val="NormalWeb"/>
        <w:spacing w:line="360" w:lineRule="auto"/>
        <w:ind w:left="360"/>
        <w:rPr>
          <w:rFonts w:asciiTheme="minorHAnsi" w:hAnsiTheme="minorHAnsi"/>
        </w:rPr>
      </w:pPr>
      <w:r w:rsidRPr="004D2CFF">
        <w:rPr>
          <w:rFonts w:asciiTheme="minorHAnsi" w:hAnsiTheme="minorHAnsi" w:cs="Arial"/>
        </w:rPr>
        <w:t>R v Burgess (1991) 2 WLR 1206</w:t>
      </w:r>
    </w:p>
    <w:p w14:paraId="6F05C16F" w14:textId="77777777" w:rsidR="00072F43" w:rsidRPr="004D2CFF" w:rsidRDefault="00072F43" w:rsidP="004D2CFF">
      <w:pPr>
        <w:spacing w:line="360" w:lineRule="auto"/>
        <w:ind w:left="360"/>
        <w:rPr>
          <w:rFonts w:asciiTheme="minorHAnsi" w:hAnsiTheme="minorHAnsi"/>
        </w:rPr>
      </w:pPr>
      <w:r w:rsidRPr="004D2CFF">
        <w:rPr>
          <w:rFonts w:asciiTheme="minorHAnsi" w:hAnsiTheme="minorHAnsi"/>
        </w:rPr>
        <w:t>R v Hennessy [1989] 1 WLR 287</w:t>
      </w:r>
    </w:p>
    <w:p w14:paraId="4ADAC1ED" w14:textId="77777777" w:rsidR="00072F43" w:rsidRPr="004D2CFF" w:rsidRDefault="00072F43" w:rsidP="004D2CFF">
      <w:pPr>
        <w:spacing w:line="360" w:lineRule="auto"/>
        <w:ind w:left="360"/>
        <w:rPr>
          <w:rFonts w:asciiTheme="minorHAnsi" w:hAnsiTheme="minorHAnsi"/>
        </w:rPr>
      </w:pPr>
      <w:r w:rsidRPr="004D2CFF">
        <w:rPr>
          <w:rFonts w:asciiTheme="minorHAnsi" w:hAnsiTheme="minorHAnsi"/>
        </w:rPr>
        <w:t>R v Kemp [1957] 1 QB 399</w:t>
      </w:r>
    </w:p>
    <w:p w14:paraId="454E6BA7" w14:textId="77777777" w:rsidR="00072F43" w:rsidRPr="004D2CFF" w:rsidRDefault="00072F43" w:rsidP="004D2CFF">
      <w:pPr>
        <w:spacing w:line="360" w:lineRule="auto"/>
        <w:ind w:left="360"/>
        <w:rPr>
          <w:rFonts w:asciiTheme="minorHAnsi" w:hAnsiTheme="minorHAnsi"/>
        </w:rPr>
      </w:pPr>
      <w:r w:rsidRPr="004D2CFF">
        <w:rPr>
          <w:rFonts w:asciiTheme="minorHAnsi" w:hAnsiTheme="minorHAnsi"/>
        </w:rPr>
        <w:t xml:space="preserve">R v </w:t>
      </w:r>
      <w:proofErr w:type="spellStart"/>
      <w:r w:rsidRPr="004D2CFF">
        <w:rPr>
          <w:rFonts w:asciiTheme="minorHAnsi" w:hAnsiTheme="minorHAnsi"/>
        </w:rPr>
        <w:t>M’Naghten</w:t>
      </w:r>
      <w:proofErr w:type="spellEnd"/>
      <w:r w:rsidRPr="004D2CFF">
        <w:rPr>
          <w:rFonts w:asciiTheme="minorHAnsi" w:hAnsiTheme="minorHAnsi"/>
        </w:rPr>
        <w:t xml:space="preserve"> (1843) 8 ER 718</w:t>
      </w:r>
    </w:p>
    <w:p w14:paraId="6C84B53D" w14:textId="77777777" w:rsidR="00072F43" w:rsidRPr="004D2CFF" w:rsidRDefault="00072F43" w:rsidP="004D2CFF">
      <w:pPr>
        <w:spacing w:line="360" w:lineRule="auto"/>
        <w:ind w:left="360"/>
        <w:rPr>
          <w:rFonts w:asciiTheme="minorHAnsi" w:hAnsiTheme="minorHAnsi"/>
        </w:rPr>
      </w:pPr>
      <w:r w:rsidRPr="004D2CFF">
        <w:rPr>
          <w:rFonts w:asciiTheme="minorHAnsi" w:hAnsiTheme="minorHAnsi"/>
        </w:rPr>
        <w:t>R v Quick (1973) 3 WLR 26</w:t>
      </w:r>
    </w:p>
    <w:p w14:paraId="3A29E19E" w14:textId="77777777" w:rsidR="00072F43" w:rsidRDefault="00072F43" w:rsidP="004D2CFF">
      <w:pPr>
        <w:pStyle w:val="NormalWeb"/>
        <w:spacing w:line="360" w:lineRule="auto"/>
        <w:ind w:left="360"/>
        <w:rPr>
          <w:rFonts w:asciiTheme="minorHAnsi" w:hAnsiTheme="minorHAnsi" w:cs="Arial"/>
        </w:rPr>
      </w:pPr>
      <w:r w:rsidRPr="004D2CFF">
        <w:rPr>
          <w:rFonts w:asciiTheme="minorHAnsi" w:hAnsiTheme="minorHAnsi"/>
        </w:rPr>
        <w:t xml:space="preserve">R </w:t>
      </w:r>
      <w:r w:rsidRPr="004D2CFF">
        <w:rPr>
          <w:rFonts w:asciiTheme="minorHAnsi" w:hAnsiTheme="minorHAnsi" w:cs="Arial"/>
        </w:rPr>
        <w:t xml:space="preserve">v </w:t>
      </w:r>
      <w:r w:rsidRPr="004D2CFF">
        <w:rPr>
          <w:rFonts w:asciiTheme="minorHAnsi" w:hAnsiTheme="minorHAnsi"/>
        </w:rPr>
        <w:t xml:space="preserve">Windle </w:t>
      </w:r>
      <w:r w:rsidRPr="004D2CFF">
        <w:rPr>
          <w:rFonts w:asciiTheme="minorHAnsi" w:hAnsiTheme="minorHAnsi" w:cs="Arial"/>
        </w:rPr>
        <w:t>[1952] 2 QB 826</w:t>
      </w:r>
    </w:p>
    <w:p w14:paraId="471CDE11" w14:textId="1603034D" w:rsidR="004D2CFF" w:rsidRDefault="004D2CFF" w:rsidP="004D2CFF">
      <w:pPr>
        <w:spacing w:line="360" w:lineRule="auto"/>
      </w:pPr>
    </w:p>
    <w:p w14:paraId="0CA27160" w14:textId="4EE41F87" w:rsidR="003B2DAB" w:rsidRDefault="003B2DAB" w:rsidP="004D2CFF">
      <w:pPr>
        <w:spacing w:line="360" w:lineRule="auto"/>
      </w:pPr>
    </w:p>
    <w:p w14:paraId="209A6BF7" w14:textId="5F2CA81D" w:rsidR="003B2DAB" w:rsidRDefault="003B2DAB" w:rsidP="004D2CFF">
      <w:pPr>
        <w:spacing w:line="360" w:lineRule="auto"/>
      </w:pPr>
    </w:p>
    <w:p w14:paraId="4F3A4204" w14:textId="0903795C" w:rsidR="003B2DAB" w:rsidRDefault="003B2DAB" w:rsidP="004D2CFF">
      <w:pPr>
        <w:spacing w:line="360" w:lineRule="auto"/>
      </w:pPr>
    </w:p>
    <w:p w14:paraId="65537318" w14:textId="4D735428" w:rsidR="003B2DAB" w:rsidRDefault="003B2DAB" w:rsidP="004D2CFF">
      <w:pPr>
        <w:spacing w:line="360" w:lineRule="auto"/>
      </w:pPr>
    </w:p>
    <w:p w14:paraId="034E0A2F" w14:textId="63E94E0A" w:rsidR="003B2DAB" w:rsidRDefault="003B2DAB" w:rsidP="004D2CFF">
      <w:pPr>
        <w:spacing w:line="360" w:lineRule="auto"/>
      </w:pPr>
    </w:p>
    <w:p w14:paraId="0863D2D8" w14:textId="476172AE" w:rsidR="003B2DAB" w:rsidRDefault="003B2DAB" w:rsidP="004D2CFF">
      <w:pPr>
        <w:spacing w:line="360" w:lineRule="auto"/>
        <w:rPr>
          <w:b/>
          <w:bCs/>
          <w:u w:val="single"/>
        </w:rPr>
      </w:pPr>
      <w:r w:rsidRPr="003B2DAB">
        <w:rPr>
          <w:b/>
          <w:bCs/>
          <w:u w:val="single"/>
        </w:rPr>
        <w:t>Question 2</w:t>
      </w:r>
    </w:p>
    <w:p w14:paraId="4958478B" w14:textId="77777777" w:rsidR="003B2DAB" w:rsidRPr="00ED2723" w:rsidRDefault="003B2DAB" w:rsidP="003B2DAB">
      <w:pPr>
        <w:autoSpaceDE w:val="0"/>
        <w:autoSpaceDN w:val="0"/>
        <w:adjustRightInd w:val="0"/>
        <w:spacing w:line="360" w:lineRule="auto"/>
        <w:rPr>
          <w:rFonts w:asciiTheme="minorHAnsi" w:hAnsiTheme="minorHAnsi"/>
        </w:rPr>
      </w:pPr>
      <w:r w:rsidRPr="00ED2723">
        <w:rPr>
          <w:rFonts w:asciiTheme="minorHAnsi" w:hAnsiTheme="minorHAnsi"/>
        </w:rPr>
        <w:t>This essay will establish Ali liability in relation to incidents which took place resulting in the death of two victims. The essay will outline the liability for each victim individually.</w:t>
      </w:r>
    </w:p>
    <w:p w14:paraId="5ABD6FF8" w14:textId="77777777" w:rsidR="003B2DAB" w:rsidRPr="00ED2723" w:rsidRDefault="003B2DAB" w:rsidP="003B2DAB">
      <w:pPr>
        <w:autoSpaceDE w:val="0"/>
        <w:autoSpaceDN w:val="0"/>
        <w:adjustRightInd w:val="0"/>
        <w:spacing w:line="360" w:lineRule="auto"/>
        <w:rPr>
          <w:rFonts w:asciiTheme="minorHAnsi" w:hAnsiTheme="minorHAnsi"/>
        </w:rPr>
      </w:pPr>
      <w:r w:rsidRPr="00ED2723">
        <w:rPr>
          <w:rFonts w:asciiTheme="minorHAnsi" w:hAnsiTheme="minorHAnsi"/>
        </w:rPr>
        <w:t>LEE</w:t>
      </w:r>
    </w:p>
    <w:p w14:paraId="307D658C" w14:textId="65351E2B" w:rsidR="003B2DAB" w:rsidRPr="00ED2723" w:rsidRDefault="003B2DAB" w:rsidP="003B2DAB">
      <w:pPr>
        <w:spacing w:line="360" w:lineRule="auto"/>
        <w:rPr>
          <w:rFonts w:asciiTheme="minorHAnsi" w:hAnsiTheme="minorHAnsi" w:cstheme="majorHAnsi"/>
        </w:rPr>
      </w:pPr>
      <w:proofErr w:type="spellStart"/>
      <w:r w:rsidRPr="00ED2723">
        <w:rPr>
          <w:rFonts w:asciiTheme="minorHAnsi" w:hAnsiTheme="minorHAnsi" w:cstheme="majorHAnsi"/>
        </w:rPr>
        <w:t>Alis</w:t>
      </w:r>
      <w:proofErr w:type="spellEnd"/>
      <w:r w:rsidRPr="00ED2723">
        <w:rPr>
          <w:rFonts w:asciiTheme="minorHAnsi" w:hAnsiTheme="minorHAnsi" w:cstheme="majorHAnsi"/>
        </w:rPr>
        <w:t xml:space="preserve"> act of punching Lee when he tried to get Ali to leave the club are the actions under consideration. This act falls under battery (Criminal Justice Act 1988 s. 39). Battery is the application of unlawful force from one person to another (R v Ireland and Burstow 1997). </w:t>
      </w:r>
      <w:proofErr w:type="spellStart"/>
      <w:r w:rsidRPr="00ED2723">
        <w:rPr>
          <w:rFonts w:asciiTheme="minorHAnsi" w:hAnsiTheme="minorHAnsi" w:cstheme="majorHAnsi"/>
        </w:rPr>
        <w:t>Alis</w:t>
      </w:r>
      <w:proofErr w:type="spellEnd"/>
      <w:r w:rsidRPr="00ED2723">
        <w:rPr>
          <w:rFonts w:asciiTheme="minorHAnsi" w:hAnsiTheme="minorHAnsi" w:cstheme="majorHAnsi"/>
        </w:rPr>
        <w:t xml:space="preserve"> actions against Lee meet</w:t>
      </w:r>
      <w:r>
        <w:rPr>
          <w:rFonts w:asciiTheme="minorHAnsi" w:hAnsiTheme="minorHAnsi" w:cstheme="majorHAnsi"/>
        </w:rPr>
        <w:t xml:space="preserve"> </w:t>
      </w:r>
      <w:r w:rsidRPr="00ED2723">
        <w:rPr>
          <w:rFonts w:asciiTheme="minorHAnsi" w:hAnsiTheme="minorHAnsi" w:cstheme="majorHAnsi"/>
        </w:rPr>
        <w:t>the actus re</w:t>
      </w:r>
      <w:r w:rsidR="00072F43">
        <w:rPr>
          <w:rFonts w:asciiTheme="minorHAnsi" w:hAnsiTheme="minorHAnsi" w:cstheme="majorHAnsi"/>
        </w:rPr>
        <w:t>us</w:t>
      </w:r>
      <w:r w:rsidRPr="00ED2723">
        <w:rPr>
          <w:rFonts w:asciiTheme="minorHAnsi" w:hAnsiTheme="minorHAnsi" w:cstheme="majorHAnsi"/>
        </w:rPr>
        <w:t xml:space="preserve"> for battery as he intentionally causes unlawful force to him by punching him in the face. Ali meets the mens rea element required for battery as he intended to apply force to Lee (R v </w:t>
      </w:r>
      <w:r w:rsidRPr="00ED2723">
        <w:rPr>
          <w:rFonts w:asciiTheme="minorHAnsi" w:hAnsiTheme="minorHAnsi" w:cstheme="majorHAnsi"/>
          <w:color w:val="000000"/>
        </w:rPr>
        <w:t>Venna 1976). This leaves</w:t>
      </w:r>
      <w:r w:rsidRPr="00ED2723">
        <w:rPr>
          <w:rFonts w:asciiTheme="minorHAnsi" w:hAnsiTheme="minorHAnsi" w:cstheme="majorHAnsi"/>
        </w:rPr>
        <w:t xml:space="preserve"> Ali initially liable for battery due to his action of hitting Lee.</w:t>
      </w:r>
    </w:p>
    <w:p w14:paraId="55AD6747" w14:textId="1ABF61BF" w:rsidR="003B2DAB" w:rsidRPr="00ED2723" w:rsidRDefault="003B2DAB" w:rsidP="003B2DAB">
      <w:pPr>
        <w:autoSpaceDE w:val="0"/>
        <w:autoSpaceDN w:val="0"/>
        <w:adjustRightInd w:val="0"/>
        <w:spacing w:line="360" w:lineRule="auto"/>
        <w:rPr>
          <w:rFonts w:asciiTheme="minorHAnsi" w:hAnsiTheme="minorHAnsi" w:cstheme="majorHAnsi"/>
          <w:color w:val="000000" w:themeColor="text1"/>
        </w:rPr>
      </w:pPr>
      <w:r w:rsidRPr="00ED2723">
        <w:rPr>
          <w:rFonts w:asciiTheme="minorHAnsi" w:hAnsiTheme="minorHAnsi" w:cstheme="majorHAnsi"/>
          <w:color w:val="000000"/>
        </w:rPr>
        <w:lastRenderedPageBreak/>
        <w:t>However</w:t>
      </w:r>
      <w:r w:rsidRPr="00ED2723">
        <w:rPr>
          <w:rFonts w:asciiTheme="minorHAnsi" w:hAnsiTheme="minorHAnsi" w:cstheme="majorHAnsi"/>
        </w:rPr>
        <w:t xml:space="preserve">, as Lee died the circumstances of liability change from battery. After the punch as Lee then becomes unconscious the liability is elevated to Assault Occasioning Actual Bodily Harm (ABH) (s.47 Offences Against the Person Act 1861). Lee meets both the actus rea and mens rea elements of this crime as he caused Lee to experience actual bodily harm and he intended to do this. Further from this as Lee dies resulting from </w:t>
      </w:r>
      <w:proofErr w:type="spellStart"/>
      <w:r w:rsidRPr="00ED2723">
        <w:rPr>
          <w:rFonts w:asciiTheme="minorHAnsi" w:hAnsiTheme="minorHAnsi" w:cstheme="majorHAnsi"/>
        </w:rPr>
        <w:t>Alis</w:t>
      </w:r>
      <w:proofErr w:type="spellEnd"/>
      <w:r w:rsidRPr="00ED2723">
        <w:rPr>
          <w:rFonts w:asciiTheme="minorHAnsi" w:hAnsiTheme="minorHAnsi" w:cstheme="majorHAnsi"/>
        </w:rPr>
        <w:t xml:space="preserve"> actions this is then advanced to Manslaughter. Ali would be liable for </w:t>
      </w:r>
      <w:r w:rsidR="00072F43">
        <w:rPr>
          <w:rFonts w:asciiTheme="minorHAnsi" w:hAnsiTheme="minorHAnsi" w:cstheme="majorHAnsi"/>
        </w:rPr>
        <w:t xml:space="preserve">constructive </w:t>
      </w:r>
      <w:r w:rsidRPr="00ED2723">
        <w:rPr>
          <w:rFonts w:asciiTheme="minorHAnsi" w:hAnsiTheme="minorHAnsi" w:cstheme="majorHAnsi"/>
        </w:rPr>
        <w:t xml:space="preserve">manslaughter and not murder as he lacks the mens rea for murder in this act.  Applying the But for Test establishes that based on the information given, but for </w:t>
      </w:r>
      <w:proofErr w:type="spellStart"/>
      <w:r w:rsidRPr="00ED2723">
        <w:rPr>
          <w:rFonts w:asciiTheme="minorHAnsi" w:hAnsiTheme="minorHAnsi" w:cstheme="majorHAnsi"/>
        </w:rPr>
        <w:t>Alis</w:t>
      </w:r>
      <w:proofErr w:type="spellEnd"/>
      <w:r w:rsidRPr="00ED2723">
        <w:rPr>
          <w:rFonts w:asciiTheme="minorHAnsi" w:hAnsiTheme="minorHAnsi" w:cstheme="majorHAnsi"/>
        </w:rPr>
        <w:t xml:space="preserve"> actions Lee would not have been hit unconscious and died</w:t>
      </w:r>
      <w:r w:rsidRPr="00ED2723">
        <w:rPr>
          <w:rFonts w:asciiTheme="minorHAnsi" w:hAnsiTheme="minorHAnsi" w:cstheme="majorHAnsi"/>
          <w:color w:val="212529"/>
        </w:rPr>
        <w:t xml:space="preserve"> (R v White 1910)</w:t>
      </w:r>
      <w:r w:rsidRPr="00ED2723">
        <w:rPr>
          <w:rFonts w:asciiTheme="minorHAnsi" w:hAnsiTheme="minorHAnsi" w:cstheme="majorHAnsi"/>
        </w:rPr>
        <w:t xml:space="preserve">. </w:t>
      </w:r>
      <w:r w:rsidRPr="00ED2723">
        <w:rPr>
          <w:rFonts w:asciiTheme="minorHAnsi" w:hAnsiTheme="minorHAnsi" w:cstheme="majorHAnsi"/>
          <w:color w:val="000000"/>
        </w:rPr>
        <w:t>It is also important to note that as Ali left the scene after punching Lee and him becoming unconscious, he omitted to prevent the eventual consequence of death and gave himself greater liability (</w:t>
      </w:r>
      <w:r w:rsidRPr="00ED2723">
        <w:rPr>
          <w:rStyle w:val="Strong"/>
          <w:rFonts w:asciiTheme="minorHAnsi" w:hAnsiTheme="minorHAnsi" w:cstheme="majorHAnsi"/>
          <w:b w:val="0"/>
          <w:bCs w:val="0"/>
          <w:i/>
          <w:iCs/>
          <w:color w:val="000000" w:themeColor="text1"/>
          <w:bdr w:val="none" w:sz="0" w:space="0" w:color="auto" w:frame="1"/>
        </w:rPr>
        <w:t>DPP v Santana-Bermudez</w:t>
      </w:r>
      <w:r w:rsidRPr="00ED2723">
        <w:rPr>
          <w:rFonts w:asciiTheme="minorHAnsi" w:hAnsiTheme="minorHAnsi" w:cstheme="majorHAnsi"/>
          <w:b/>
          <w:bCs/>
          <w:color w:val="000000" w:themeColor="text1"/>
        </w:rPr>
        <w:t xml:space="preserve"> </w:t>
      </w:r>
      <w:r w:rsidRPr="00ED2723">
        <w:rPr>
          <w:rFonts w:asciiTheme="minorHAnsi" w:hAnsiTheme="minorHAnsi" w:cstheme="majorHAnsi"/>
          <w:color w:val="000000" w:themeColor="text1"/>
        </w:rPr>
        <w:t xml:space="preserve">2003). As there is a link between the initial act of Ali punching Lee and Lees death, without any break in causation, the chain of causation is intact, and Ali is liable for his death. </w:t>
      </w:r>
    </w:p>
    <w:p w14:paraId="785FEA34" w14:textId="77777777" w:rsidR="003B2DAB" w:rsidRPr="00ED2723" w:rsidRDefault="003B2DAB" w:rsidP="003B2DAB">
      <w:pPr>
        <w:spacing w:line="360" w:lineRule="auto"/>
        <w:rPr>
          <w:rFonts w:asciiTheme="minorHAnsi" w:hAnsiTheme="minorHAnsi"/>
        </w:rPr>
      </w:pPr>
      <w:r w:rsidRPr="00ED2723">
        <w:rPr>
          <w:rFonts w:asciiTheme="minorHAnsi" w:hAnsiTheme="minorHAnsi" w:cstheme="majorHAnsi"/>
          <w:b/>
          <w:bCs/>
          <w:color w:val="000000" w:themeColor="text1"/>
        </w:rPr>
        <w:t>Liability:</w:t>
      </w:r>
      <w:r w:rsidRPr="00ED2723">
        <w:rPr>
          <w:rFonts w:asciiTheme="minorHAnsi" w:hAnsiTheme="minorHAnsi" w:cstheme="majorHAnsi"/>
          <w:color w:val="000000" w:themeColor="text1"/>
        </w:rPr>
        <w:t xml:space="preserve"> </w:t>
      </w:r>
      <w:r w:rsidRPr="00ED2723">
        <w:rPr>
          <w:rFonts w:asciiTheme="minorHAnsi" w:hAnsiTheme="minorHAnsi" w:cstheme="majorHAnsi"/>
        </w:rPr>
        <w:t>Ali is liable for constructive manslaughter. Ali originally committed a</w:t>
      </w:r>
      <w:r>
        <w:rPr>
          <w:rFonts w:asciiTheme="minorHAnsi" w:hAnsiTheme="minorHAnsi" w:cstheme="majorHAnsi"/>
        </w:rPr>
        <w:t xml:space="preserve">n </w:t>
      </w:r>
      <w:r w:rsidRPr="00ED2723">
        <w:rPr>
          <w:rFonts w:asciiTheme="minorHAnsi" w:hAnsiTheme="minorHAnsi" w:cstheme="majorHAnsi"/>
        </w:rPr>
        <w:t xml:space="preserve">illegal act </w:t>
      </w:r>
      <w:r>
        <w:rPr>
          <w:rFonts w:asciiTheme="minorHAnsi" w:hAnsiTheme="minorHAnsi" w:cstheme="majorHAnsi"/>
        </w:rPr>
        <w:t xml:space="preserve">under criminal law </w:t>
      </w:r>
      <w:r w:rsidRPr="00ED2723">
        <w:rPr>
          <w:rFonts w:asciiTheme="minorHAnsi" w:hAnsiTheme="minorHAnsi" w:cstheme="majorHAnsi"/>
        </w:rPr>
        <w:t>of Battery (</w:t>
      </w:r>
      <w:r w:rsidRPr="00ED2723">
        <w:rPr>
          <w:rStyle w:val="Emphasis"/>
          <w:rFonts w:asciiTheme="minorHAnsi" w:hAnsiTheme="minorHAnsi" w:cstheme="majorHAnsi"/>
          <w:color w:val="212529"/>
        </w:rPr>
        <w:t>R v Fenton</w:t>
      </w:r>
      <w:r w:rsidRPr="00ED2723">
        <w:rPr>
          <w:rStyle w:val="apple-converted-space"/>
          <w:rFonts w:asciiTheme="minorHAnsi" w:hAnsiTheme="minorHAnsi" w:cstheme="majorHAnsi"/>
          <w:color w:val="212529"/>
        </w:rPr>
        <w:t> </w:t>
      </w:r>
      <w:r w:rsidRPr="00ED2723">
        <w:rPr>
          <w:rStyle w:val="Strong"/>
          <w:rFonts w:asciiTheme="minorHAnsi" w:hAnsiTheme="minorHAnsi" w:cstheme="majorHAnsi"/>
          <w:b w:val="0"/>
          <w:bCs w:val="0"/>
          <w:color w:val="212529"/>
        </w:rPr>
        <w:t>1830</w:t>
      </w:r>
      <w:r w:rsidRPr="00ED2723">
        <w:rPr>
          <w:rStyle w:val="Strong"/>
          <w:rFonts w:asciiTheme="minorHAnsi" w:hAnsiTheme="minorHAnsi" w:cstheme="majorHAnsi"/>
          <w:color w:val="212529"/>
        </w:rPr>
        <w:t>)</w:t>
      </w:r>
      <w:r w:rsidRPr="00ED2723">
        <w:rPr>
          <w:rFonts w:asciiTheme="minorHAnsi" w:hAnsiTheme="minorHAnsi" w:cstheme="majorHAnsi"/>
        </w:rPr>
        <w:t xml:space="preserve">. The original act would be deemed by a reasonable person to clearly cause harm to a person (Church 1965) </w:t>
      </w:r>
      <w:r>
        <w:rPr>
          <w:rFonts w:asciiTheme="minorHAnsi" w:hAnsiTheme="minorHAnsi" w:cstheme="majorHAnsi"/>
        </w:rPr>
        <w:t>e</w:t>
      </w:r>
      <w:r w:rsidRPr="00ED2723">
        <w:rPr>
          <w:rFonts w:asciiTheme="minorHAnsi" w:hAnsiTheme="minorHAnsi" w:cstheme="majorHAnsi"/>
        </w:rPr>
        <w:t>ven though the caused harm was not foreseen (</w:t>
      </w:r>
      <w:r w:rsidRPr="00ED2723">
        <w:rPr>
          <w:rStyle w:val="Emphasis"/>
          <w:rFonts w:asciiTheme="minorHAnsi" w:hAnsiTheme="minorHAnsi" w:cs="Segoe UI"/>
          <w:color w:val="212529"/>
        </w:rPr>
        <w:t>R v JM and SM</w:t>
      </w:r>
      <w:r w:rsidRPr="00ED2723">
        <w:rPr>
          <w:rStyle w:val="apple-converted-space"/>
          <w:rFonts w:asciiTheme="minorHAnsi" w:hAnsiTheme="minorHAnsi" w:cs="Segoe UI"/>
          <w:i/>
          <w:iCs/>
          <w:color w:val="212529"/>
        </w:rPr>
        <w:t> </w:t>
      </w:r>
      <w:r w:rsidRPr="00ED2723">
        <w:rPr>
          <w:rFonts w:asciiTheme="minorHAnsi" w:hAnsiTheme="minorHAnsi"/>
        </w:rPr>
        <w:t>2012)</w:t>
      </w:r>
      <w:r w:rsidRPr="00ED2723">
        <w:rPr>
          <w:rFonts w:asciiTheme="minorHAnsi" w:hAnsiTheme="minorHAnsi" w:cstheme="majorHAnsi"/>
        </w:rPr>
        <w:t>. The act resulted in the death of Lee.</w:t>
      </w:r>
    </w:p>
    <w:p w14:paraId="12A8BDD0" w14:textId="77777777" w:rsidR="003B2DAB" w:rsidRPr="00ED2723" w:rsidRDefault="003B2DAB" w:rsidP="003B2DAB">
      <w:pPr>
        <w:autoSpaceDE w:val="0"/>
        <w:autoSpaceDN w:val="0"/>
        <w:adjustRightInd w:val="0"/>
        <w:spacing w:line="360" w:lineRule="auto"/>
        <w:rPr>
          <w:rFonts w:asciiTheme="minorHAnsi" w:hAnsiTheme="minorHAnsi" w:cstheme="majorHAnsi"/>
          <w:b/>
          <w:bCs/>
          <w:color w:val="000000" w:themeColor="text1"/>
        </w:rPr>
      </w:pPr>
      <w:r w:rsidRPr="00ED2723">
        <w:rPr>
          <w:rFonts w:asciiTheme="minorHAnsi" w:hAnsiTheme="minorHAnsi" w:cstheme="majorHAnsi"/>
          <w:b/>
          <w:bCs/>
          <w:color w:val="000000" w:themeColor="text1"/>
        </w:rPr>
        <w:t xml:space="preserve">Mitigating factors: </w:t>
      </w:r>
      <w:r w:rsidRPr="00ED2723">
        <w:rPr>
          <w:rFonts w:asciiTheme="minorHAnsi" w:hAnsiTheme="minorHAnsi" w:cstheme="majorHAnsi"/>
          <w:color w:val="000000" w:themeColor="text1"/>
        </w:rPr>
        <w:t xml:space="preserve">The act of Ali punching Lee was not a premediated action, it was an ‘in the heat of the moment’ response. The intent with </w:t>
      </w:r>
      <w:proofErr w:type="spellStart"/>
      <w:r w:rsidRPr="00ED2723">
        <w:rPr>
          <w:rFonts w:asciiTheme="minorHAnsi" w:hAnsiTheme="minorHAnsi" w:cstheme="majorHAnsi"/>
          <w:color w:val="000000" w:themeColor="text1"/>
        </w:rPr>
        <w:t>Alis</w:t>
      </w:r>
      <w:proofErr w:type="spellEnd"/>
      <w:r w:rsidRPr="00ED2723">
        <w:rPr>
          <w:rFonts w:asciiTheme="minorHAnsi" w:hAnsiTheme="minorHAnsi" w:cstheme="majorHAnsi"/>
          <w:color w:val="000000" w:themeColor="text1"/>
        </w:rPr>
        <w:t xml:space="preserve"> action was to cause harm and not death. These mitigating factors may result in a more lenient sentence within the sentence guidelines of 8 – 16 years imprisonment for constructive manslaughter.</w:t>
      </w:r>
    </w:p>
    <w:p w14:paraId="6E867DD8" w14:textId="77777777" w:rsidR="003B2DAB" w:rsidRPr="00ED2723" w:rsidRDefault="003B2DAB" w:rsidP="003B2DAB">
      <w:pPr>
        <w:autoSpaceDE w:val="0"/>
        <w:autoSpaceDN w:val="0"/>
        <w:adjustRightInd w:val="0"/>
        <w:spacing w:line="360" w:lineRule="auto"/>
        <w:rPr>
          <w:rFonts w:asciiTheme="minorHAnsi" w:hAnsiTheme="minorHAnsi" w:cstheme="majorHAnsi"/>
        </w:rPr>
      </w:pPr>
    </w:p>
    <w:p w14:paraId="3896CAE5" w14:textId="77777777" w:rsidR="003B2DAB" w:rsidRDefault="003B2DAB" w:rsidP="003B2DAB">
      <w:pPr>
        <w:spacing w:line="360" w:lineRule="auto"/>
        <w:rPr>
          <w:rFonts w:asciiTheme="minorHAnsi" w:hAnsiTheme="minorHAnsi"/>
        </w:rPr>
      </w:pPr>
      <w:r w:rsidRPr="00ED2723">
        <w:rPr>
          <w:rFonts w:asciiTheme="minorHAnsi" w:hAnsiTheme="minorHAnsi"/>
        </w:rPr>
        <w:t>COLIN</w:t>
      </w:r>
    </w:p>
    <w:p w14:paraId="0BF27DC0" w14:textId="77777777" w:rsidR="003B2DAB" w:rsidRDefault="003B2DAB" w:rsidP="003B2DAB">
      <w:pPr>
        <w:spacing w:line="360" w:lineRule="auto"/>
        <w:rPr>
          <w:rFonts w:asciiTheme="minorHAnsi" w:hAnsiTheme="minorHAnsi" w:cstheme="minorHAnsi"/>
        </w:rPr>
      </w:pPr>
      <w:proofErr w:type="spellStart"/>
      <w:r w:rsidRPr="00ED2723">
        <w:rPr>
          <w:rFonts w:asciiTheme="minorHAnsi" w:hAnsiTheme="minorHAnsi" w:cs="AppleSystemUIFont"/>
        </w:rPr>
        <w:t>Alis</w:t>
      </w:r>
      <w:proofErr w:type="spellEnd"/>
      <w:r w:rsidRPr="00ED2723">
        <w:rPr>
          <w:rFonts w:asciiTheme="minorHAnsi" w:hAnsiTheme="minorHAnsi" w:cs="AppleSystemUIFont"/>
        </w:rPr>
        <w:t xml:space="preserve"> action of stabbing Colin are the actions under consideration. The offence being considered here is murder. The initial act of stabbing Colin would qualify Ali to be charged with grievously bodily harm (GBH) (Offences Against the Person Act 1861 s.20</w:t>
      </w:r>
      <w:r w:rsidRPr="00ED2723">
        <w:rPr>
          <w:rFonts w:asciiTheme="minorHAnsi" w:hAnsiTheme="minorHAnsi" w:cstheme="minorHAnsi"/>
        </w:rPr>
        <w:t>)</w:t>
      </w:r>
      <w:r w:rsidRPr="00ED2723">
        <w:rPr>
          <w:rFonts w:asciiTheme="minorHAnsi" w:hAnsiTheme="minorHAnsi" w:cs="AppleSystemUIFont"/>
        </w:rPr>
        <w:t>. Ali met the actus rea element for GBH due to him unlawfully wounding Colin and met the mens rea for GBH as he seriously wounded him breaking the skin (</w:t>
      </w:r>
      <w:r w:rsidRPr="00ED2723">
        <w:rPr>
          <w:rFonts w:asciiTheme="minorHAnsi" w:hAnsiTheme="minorHAnsi" w:cstheme="minorHAnsi"/>
        </w:rPr>
        <w:t xml:space="preserve">JCC vs Eisenhower 1984). </w:t>
      </w:r>
    </w:p>
    <w:p w14:paraId="70CED7F5" w14:textId="6EBC8DE9" w:rsidR="003B2DAB" w:rsidRPr="00ED2723" w:rsidRDefault="003B2DAB" w:rsidP="003B2DAB">
      <w:pPr>
        <w:spacing w:line="360" w:lineRule="auto"/>
        <w:rPr>
          <w:rFonts w:asciiTheme="minorHAnsi" w:hAnsiTheme="minorHAnsi"/>
        </w:rPr>
      </w:pPr>
      <w:r w:rsidRPr="00ED2723">
        <w:rPr>
          <w:rFonts w:asciiTheme="minorHAnsi" w:hAnsiTheme="minorHAnsi" w:cs="AppleSystemUIFont"/>
        </w:rPr>
        <w:t xml:space="preserve">The fact that Colin died as a result of the stabbing elevates the liability from grievously bodily harm to murder. </w:t>
      </w:r>
      <w:proofErr w:type="spellStart"/>
      <w:r w:rsidRPr="00ED2723">
        <w:rPr>
          <w:rFonts w:asciiTheme="minorHAnsi" w:hAnsiTheme="minorHAnsi" w:cs="AppleSystemUIFont"/>
        </w:rPr>
        <w:t>Alis</w:t>
      </w:r>
      <w:proofErr w:type="spellEnd"/>
      <w:r w:rsidRPr="00ED2723">
        <w:rPr>
          <w:rFonts w:asciiTheme="minorHAnsi" w:hAnsiTheme="minorHAnsi" w:cs="AppleSystemUIFont"/>
        </w:rPr>
        <w:t xml:space="preserve"> actions meet the actus rea element of murder as he unlawfully killed Colin under the queen’s peace. </w:t>
      </w:r>
      <w:r w:rsidR="00B912B5">
        <w:rPr>
          <w:rFonts w:asciiTheme="minorHAnsi" w:hAnsiTheme="minorHAnsi" w:cs="AppleSystemUIFont"/>
        </w:rPr>
        <w:t xml:space="preserve">We can establish that </w:t>
      </w:r>
      <w:r w:rsidR="00595E35">
        <w:rPr>
          <w:rFonts w:asciiTheme="minorHAnsi" w:hAnsiTheme="minorHAnsi" w:cs="AppleSystemUIFont"/>
        </w:rPr>
        <w:t>there is both factual causation and legal causation.</w:t>
      </w:r>
      <w:r w:rsidR="00B912B5">
        <w:rPr>
          <w:rFonts w:asciiTheme="minorHAnsi" w:hAnsiTheme="minorHAnsi" w:cs="AppleSystemUIFont"/>
        </w:rPr>
        <w:t xml:space="preserve"> </w:t>
      </w:r>
      <w:r w:rsidRPr="00ED2723">
        <w:rPr>
          <w:rFonts w:asciiTheme="minorHAnsi" w:hAnsiTheme="minorHAnsi" w:cs="AppleSystemUIFont"/>
        </w:rPr>
        <w:t xml:space="preserve">Using the </w:t>
      </w:r>
      <w:r>
        <w:rPr>
          <w:rFonts w:asciiTheme="minorHAnsi" w:hAnsiTheme="minorHAnsi" w:cs="AppleSystemUIFont"/>
        </w:rPr>
        <w:t>b</w:t>
      </w:r>
      <w:r w:rsidRPr="00ED2723">
        <w:rPr>
          <w:rFonts w:asciiTheme="minorHAnsi" w:hAnsiTheme="minorHAnsi" w:cs="AppleSystemUIFont"/>
        </w:rPr>
        <w:t xml:space="preserve">ut for test it is clear that but for </w:t>
      </w:r>
      <w:proofErr w:type="spellStart"/>
      <w:r w:rsidRPr="00ED2723">
        <w:rPr>
          <w:rFonts w:asciiTheme="minorHAnsi" w:hAnsiTheme="minorHAnsi" w:cs="AppleSystemUIFont"/>
        </w:rPr>
        <w:t>Alis</w:t>
      </w:r>
      <w:proofErr w:type="spellEnd"/>
      <w:r w:rsidRPr="00ED2723">
        <w:rPr>
          <w:rFonts w:asciiTheme="minorHAnsi" w:hAnsiTheme="minorHAnsi" w:cs="AppleSystemUIFont"/>
        </w:rPr>
        <w:t xml:space="preserve"> actions of stabbing Colin </w:t>
      </w:r>
      <w:r w:rsidRPr="00ED2723">
        <w:rPr>
          <w:rFonts w:asciiTheme="minorHAnsi" w:hAnsiTheme="minorHAnsi" w:cs="AppleSystemUIFont"/>
        </w:rPr>
        <w:lastRenderedPageBreak/>
        <w:t>he would not have died. The mens rea element for murder required Ali to have malice afterthought; that he intended to kill or cause Grievous Bodily Harm to Colin (</w:t>
      </w:r>
      <w:r w:rsidRPr="00ED2723">
        <w:rPr>
          <w:rStyle w:val="Emphasis"/>
          <w:rFonts w:asciiTheme="minorHAnsi" w:hAnsiTheme="minorHAnsi" w:cs="Segoe UI"/>
          <w:color w:val="212529"/>
        </w:rPr>
        <w:t>R v Cunningham</w:t>
      </w:r>
      <w:r w:rsidRPr="00ED2723">
        <w:rPr>
          <w:rStyle w:val="apple-converted-space"/>
          <w:rFonts w:asciiTheme="minorHAnsi" w:hAnsiTheme="minorHAnsi" w:cs="Segoe UI"/>
          <w:color w:val="212529"/>
          <w:shd w:val="clear" w:color="auto" w:fill="FFFFFF"/>
        </w:rPr>
        <w:t> </w:t>
      </w:r>
      <w:r w:rsidRPr="00ED2723">
        <w:rPr>
          <w:rFonts w:asciiTheme="minorHAnsi" w:hAnsiTheme="minorHAnsi" w:cs="Segoe UI"/>
          <w:color w:val="212529"/>
          <w:shd w:val="clear" w:color="auto" w:fill="FFFFFF"/>
        </w:rPr>
        <w:t xml:space="preserve">1982). </w:t>
      </w:r>
      <w:r w:rsidRPr="00ED2723">
        <w:rPr>
          <w:rFonts w:asciiTheme="minorHAnsi" w:hAnsiTheme="minorHAnsi" w:cs="AppleSystemUIFont"/>
        </w:rPr>
        <w:t xml:space="preserve">Ali met the mens rea element of murder as he had malice afterthought in the action of stabbing Colin </w:t>
      </w:r>
      <w:r w:rsidRPr="00ED2723">
        <w:rPr>
          <w:rFonts w:asciiTheme="minorHAnsi" w:hAnsiTheme="minorHAnsi" w:cs="AppleSystemUIFont"/>
          <w:i/>
          <w:iCs/>
        </w:rPr>
        <w:t>(</w:t>
      </w:r>
      <w:r w:rsidRPr="00ED2723">
        <w:rPr>
          <w:rStyle w:val="Emphasis"/>
          <w:rFonts w:asciiTheme="minorHAnsi" w:hAnsiTheme="minorHAnsi"/>
          <w:i w:val="0"/>
          <w:iCs w:val="0"/>
          <w:color w:val="000000"/>
        </w:rPr>
        <w:t>R v Vickers</w:t>
      </w:r>
      <w:r w:rsidRPr="00ED2723">
        <w:rPr>
          <w:rStyle w:val="apple-converted-space"/>
          <w:rFonts w:asciiTheme="minorHAnsi" w:hAnsiTheme="minorHAnsi"/>
          <w:i/>
          <w:iCs/>
          <w:color w:val="000000"/>
        </w:rPr>
        <w:t> </w:t>
      </w:r>
      <w:r w:rsidRPr="00ED2723">
        <w:rPr>
          <w:rStyle w:val="Strong"/>
          <w:rFonts w:asciiTheme="minorHAnsi" w:hAnsiTheme="minorHAnsi"/>
          <w:b w:val="0"/>
          <w:bCs w:val="0"/>
          <w:i/>
          <w:iCs/>
          <w:color w:val="000000"/>
        </w:rPr>
        <w:t>1957).</w:t>
      </w:r>
      <w:r w:rsidRPr="00ED2723">
        <w:rPr>
          <w:rStyle w:val="Strong"/>
          <w:rFonts w:asciiTheme="minorHAnsi" w:hAnsiTheme="minorHAnsi"/>
          <w:b w:val="0"/>
          <w:bCs w:val="0"/>
          <w:color w:val="000000"/>
        </w:rPr>
        <w:t xml:space="preserve"> (R v </w:t>
      </w:r>
      <w:proofErr w:type="spellStart"/>
      <w:r w:rsidRPr="00ED2723">
        <w:rPr>
          <w:rStyle w:val="Strong"/>
          <w:rFonts w:asciiTheme="minorHAnsi" w:hAnsiTheme="minorHAnsi"/>
          <w:b w:val="0"/>
          <w:bCs w:val="0"/>
          <w:color w:val="000000"/>
        </w:rPr>
        <w:t>Woollin</w:t>
      </w:r>
      <w:proofErr w:type="spellEnd"/>
      <w:r w:rsidRPr="00ED2723">
        <w:rPr>
          <w:rStyle w:val="Strong"/>
          <w:rFonts w:asciiTheme="minorHAnsi" w:hAnsiTheme="minorHAnsi"/>
          <w:b w:val="0"/>
          <w:bCs w:val="0"/>
          <w:color w:val="000000"/>
        </w:rPr>
        <w:t xml:space="preserve"> 1998) Using the criteria applied by the jury it would be found that Ali</w:t>
      </w:r>
      <w:r w:rsidRPr="00ED2723">
        <w:rPr>
          <w:rStyle w:val="Strong"/>
          <w:rFonts w:asciiTheme="minorHAnsi" w:hAnsiTheme="minorHAnsi"/>
          <w:color w:val="000000"/>
        </w:rPr>
        <w:t xml:space="preserve"> </w:t>
      </w:r>
      <w:r w:rsidRPr="00ED2723">
        <w:rPr>
          <w:rStyle w:val="Strong"/>
          <w:rFonts w:asciiTheme="minorHAnsi" w:hAnsiTheme="minorHAnsi"/>
          <w:b w:val="0"/>
          <w:bCs w:val="0"/>
          <w:color w:val="000000"/>
        </w:rPr>
        <w:t xml:space="preserve">had the direct intent to cause the death of Colin as a reasonable person would see that stabbing someone so they bleed profusely and leaving them would leave death as a virtual certainty </w:t>
      </w:r>
      <w:r w:rsidRPr="00ED2723">
        <w:rPr>
          <w:rFonts w:asciiTheme="minorHAnsi" w:hAnsiTheme="minorHAnsi" w:cs="Segoe UI"/>
          <w:color w:val="212529"/>
          <w:shd w:val="clear" w:color="auto" w:fill="FFFFFF"/>
        </w:rPr>
        <w:t>(R v Matthews 2003). Even if a defence i</w:t>
      </w:r>
      <w:r>
        <w:rPr>
          <w:rFonts w:asciiTheme="minorHAnsi" w:hAnsiTheme="minorHAnsi" w:cs="Segoe UI"/>
          <w:color w:val="212529"/>
          <w:shd w:val="clear" w:color="auto" w:fill="FFFFFF"/>
        </w:rPr>
        <w:t>s</w:t>
      </w:r>
      <w:r w:rsidRPr="00ED2723">
        <w:rPr>
          <w:rFonts w:asciiTheme="minorHAnsi" w:hAnsiTheme="minorHAnsi" w:cs="Segoe UI"/>
          <w:color w:val="212529"/>
          <w:shd w:val="clear" w:color="auto" w:fill="FFFFFF"/>
        </w:rPr>
        <w:t xml:space="preserve"> presented against murder it is clear to a reasonable person that he intended to cause </w:t>
      </w:r>
      <w:proofErr w:type="gramStart"/>
      <w:r w:rsidRPr="00ED2723">
        <w:rPr>
          <w:rFonts w:asciiTheme="minorHAnsi" w:hAnsiTheme="minorHAnsi" w:cs="Segoe UI"/>
          <w:color w:val="212529"/>
          <w:shd w:val="clear" w:color="auto" w:fill="FFFFFF"/>
        </w:rPr>
        <w:t>GBH</w:t>
      </w:r>
      <w:proofErr w:type="gramEnd"/>
      <w:r w:rsidRPr="00ED2723">
        <w:rPr>
          <w:rFonts w:asciiTheme="minorHAnsi" w:hAnsiTheme="minorHAnsi" w:cs="Segoe UI"/>
          <w:color w:val="212529"/>
          <w:shd w:val="clear" w:color="auto" w:fill="FFFFFF"/>
        </w:rPr>
        <w:t xml:space="preserve"> and </w:t>
      </w:r>
      <w:r>
        <w:rPr>
          <w:rFonts w:asciiTheme="minorHAnsi" w:hAnsiTheme="minorHAnsi" w:cs="Segoe UI"/>
          <w:color w:val="212529"/>
          <w:shd w:val="clear" w:color="auto" w:fill="FFFFFF"/>
        </w:rPr>
        <w:t>that Ali met</w:t>
      </w:r>
      <w:r w:rsidRPr="00ED2723">
        <w:rPr>
          <w:rFonts w:asciiTheme="minorHAnsi" w:hAnsiTheme="minorHAnsi" w:cs="Segoe UI"/>
          <w:color w:val="212529"/>
          <w:shd w:val="clear" w:color="auto" w:fill="FFFFFF"/>
        </w:rPr>
        <w:t xml:space="preserve"> both elements required to be charged for GBH prior to Colins death.</w:t>
      </w:r>
    </w:p>
    <w:p w14:paraId="4A3FCE76" w14:textId="77777777" w:rsidR="003B2DAB" w:rsidRPr="00ED2723" w:rsidRDefault="003B2DAB" w:rsidP="003B2DAB">
      <w:pPr>
        <w:autoSpaceDE w:val="0"/>
        <w:autoSpaceDN w:val="0"/>
        <w:adjustRightInd w:val="0"/>
        <w:spacing w:line="360" w:lineRule="auto"/>
        <w:rPr>
          <w:rFonts w:asciiTheme="minorHAnsi" w:hAnsiTheme="minorHAnsi"/>
        </w:rPr>
      </w:pPr>
      <w:r w:rsidRPr="00ED2723">
        <w:rPr>
          <w:rFonts w:asciiTheme="minorHAnsi" w:hAnsiTheme="minorHAnsi"/>
          <w:b/>
          <w:bCs/>
        </w:rPr>
        <w:t>Liability:</w:t>
      </w:r>
      <w:r w:rsidRPr="00ED2723">
        <w:rPr>
          <w:rFonts w:asciiTheme="minorHAnsi" w:hAnsiTheme="minorHAnsi"/>
        </w:rPr>
        <w:t xml:space="preserve"> Ali is liable for murder. As it is evident that Ali has met both the actus reus and mens reus for GBH and murder he would be liable to be tried for the unlawful murder of Colin.</w:t>
      </w:r>
    </w:p>
    <w:p w14:paraId="0CE05378" w14:textId="77777777" w:rsidR="003B2DAB" w:rsidRPr="00ED2723" w:rsidRDefault="003B2DAB" w:rsidP="003B2DAB">
      <w:pPr>
        <w:autoSpaceDE w:val="0"/>
        <w:autoSpaceDN w:val="0"/>
        <w:adjustRightInd w:val="0"/>
        <w:spacing w:line="360" w:lineRule="auto"/>
        <w:rPr>
          <w:rStyle w:val="Strong"/>
          <w:rFonts w:asciiTheme="minorHAnsi" w:hAnsiTheme="minorHAnsi"/>
          <w:b w:val="0"/>
          <w:bCs w:val="0"/>
          <w:color w:val="000000"/>
        </w:rPr>
      </w:pPr>
      <w:r w:rsidRPr="00ED2723">
        <w:rPr>
          <w:rFonts w:asciiTheme="minorHAnsi" w:hAnsiTheme="minorHAnsi" w:cs="Segoe UI"/>
          <w:b/>
          <w:bCs/>
          <w:color w:val="212529"/>
          <w:shd w:val="clear" w:color="auto" w:fill="FFFFFF"/>
        </w:rPr>
        <w:t>Aggravating Factors:</w:t>
      </w:r>
      <w:r w:rsidRPr="00ED2723">
        <w:rPr>
          <w:rFonts w:asciiTheme="minorHAnsi" w:hAnsiTheme="minorHAnsi" w:cs="Segoe UI"/>
          <w:color w:val="212529"/>
          <w:shd w:val="clear" w:color="auto" w:fill="FFFFFF"/>
        </w:rPr>
        <w:t xml:space="preserve"> The fact that Ali sought Colin out and approached him with a weapon he brought with him shows that a significant degree of planning went into the attack. Ali also left Colin to bleed on the street which would have increased the physical pain he as a victim went through. Both these acts will be seen as aggravating factors and result in a harsher sentence for Ali. These aggravating factors will likely result in a more severe punishment in the sentencing frame of 15 years to a whole life order.</w:t>
      </w:r>
    </w:p>
    <w:p w14:paraId="14EEEAD4" w14:textId="77777777" w:rsidR="003B2DAB" w:rsidRPr="0073741A" w:rsidRDefault="003B2DAB" w:rsidP="003B2DAB">
      <w:pPr>
        <w:autoSpaceDE w:val="0"/>
        <w:autoSpaceDN w:val="0"/>
        <w:adjustRightInd w:val="0"/>
        <w:spacing w:line="360" w:lineRule="auto"/>
        <w:rPr>
          <w:rFonts w:asciiTheme="minorHAnsi" w:hAnsiTheme="minorHAnsi" w:cs="AppleSystemUIFont"/>
        </w:rPr>
      </w:pPr>
    </w:p>
    <w:p w14:paraId="2CB37E64" w14:textId="77777777" w:rsidR="003B2DAB" w:rsidRDefault="003B2DAB" w:rsidP="003B2DAB"/>
    <w:p w14:paraId="7D047EB8" w14:textId="77777777" w:rsidR="003B2DAB" w:rsidRDefault="003B2DAB" w:rsidP="003B2DAB"/>
    <w:p w14:paraId="307E421F" w14:textId="77777777" w:rsidR="003B2DAB" w:rsidRDefault="003B2DAB" w:rsidP="003B2DAB"/>
    <w:p w14:paraId="76BB5AAD" w14:textId="77777777" w:rsidR="003B2DAB" w:rsidRDefault="003B2DAB" w:rsidP="003B2DAB">
      <w:pPr>
        <w:pBdr>
          <w:bottom w:val="single" w:sz="6" w:space="1" w:color="auto"/>
        </w:pBdr>
      </w:pPr>
    </w:p>
    <w:p w14:paraId="0C92A0A0" w14:textId="77777777" w:rsidR="003B2DAB" w:rsidRPr="00ED2723" w:rsidRDefault="003B2DAB" w:rsidP="003B2DAB">
      <w:pPr>
        <w:rPr>
          <w:b/>
          <w:bCs/>
        </w:rPr>
      </w:pPr>
    </w:p>
    <w:p w14:paraId="7028E4AD" w14:textId="77777777" w:rsidR="003B2DAB" w:rsidRPr="00ED2723" w:rsidRDefault="003B2DAB" w:rsidP="003B2DAB">
      <w:pPr>
        <w:spacing w:line="360" w:lineRule="auto"/>
        <w:rPr>
          <w:b/>
          <w:bCs/>
        </w:rPr>
      </w:pPr>
      <w:r w:rsidRPr="00ED2723">
        <w:rPr>
          <w:b/>
          <w:bCs/>
        </w:rPr>
        <w:t>Case List</w:t>
      </w:r>
    </w:p>
    <w:p w14:paraId="6BD9B6C8" w14:textId="77777777" w:rsidR="003B2DAB" w:rsidRPr="00ED2723" w:rsidRDefault="003B2DAB" w:rsidP="003B2DAB">
      <w:pPr>
        <w:pStyle w:val="Heading1"/>
        <w:numPr>
          <w:ilvl w:val="0"/>
          <w:numId w:val="3"/>
        </w:numPr>
        <w:spacing w:before="0" w:beforeAutospacing="0" w:line="360" w:lineRule="auto"/>
        <w:rPr>
          <w:rFonts w:asciiTheme="minorHAnsi" w:hAnsiTheme="minorHAnsi" w:cs="Segoe UI"/>
          <w:b w:val="0"/>
          <w:bCs w:val="0"/>
          <w:color w:val="212529"/>
          <w:sz w:val="24"/>
          <w:szCs w:val="24"/>
        </w:rPr>
      </w:pPr>
      <w:r w:rsidRPr="00ED2723">
        <w:rPr>
          <w:rFonts w:asciiTheme="minorHAnsi" w:hAnsiTheme="minorHAnsi" w:cstheme="majorHAnsi"/>
          <w:b w:val="0"/>
          <w:bCs w:val="0"/>
          <w:sz w:val="24"/>
          <w:szCs w:val="24"/>
        </w:rPr>
        <w:t>Criminal Justice Act 1988 s. 39</w:t>
      </w:r>
    </w:p>
    <w:p w14:paraId="1A461344" w14:textId="77777777" w:rsidR="003B2DAB" w:rsidRPr="00ED2723" w:rsidRDefault="003B2DAB" w:rsidP="003B2DAB">
      <w:pPr>
        <w:pStyle w:val="ListParagraph"/>
        <w:numPr>
          <w:ilvl w:val="0"/>
          <w:numId w:val="3"/>
        </w:numPr>
        <w:spacing w:line="360" w:lineRule="auto"/>
        <w:rPr>
          <w:rFonts w:cs="Arial"/>
          <w:color w:val="4D5156"/>
          <w:shd w:val="clear" w:color="auto" w:fill="FFFFFF"/>
        </w:rPr>
      </w:pPr>
      <w:r w:rsidRPr="00ED2723">
        <w:rPr>
          <w:rStyle w:val="Strong"/>
          <w:rFonts w:cs="Segoe UI"/>
          <w:b w:val="0"/>
          <w:bCs w:val="0"/>
          <w:i/>
          <w:iCs/>
          <w:color w:val="444145"/>
          <w:bdr w:val="none" w:sz="0" w:space="0" w:color="auto" w:frame="1"/>
        </w:rPr>
        <w:t>DPP v Santana-Bermudez</w:t>
      </w:r>
      <w:r w:rsidRPr="00ED2723">
        <w:t xml:space="preserve"> (2003) </w:t>
      </w:r>
      <w:r w:rsidRPr="00ED2723">
        <w:rPr>
          <w:rFonts w:cs="Arial"/>
          <w:color w:val="4D5156"/>
          <w:shd w:val="clear" w:color="auto" w:fill="FFFFFF"/>
        </w:rPr>
        <w:t>EWHC 2908</w:t>
      </w:r>
    </w:p>
    <w:p w14:paraId="0D5DCDE1" w14:textId="77777777" w:rsidR="003B2DAB" w:rsidRPr="00ED2723" w:rsidRDefault="003B2DAB" w:rsidP="003B2DAB">
      <w:pPr>
        <w:pStyle w:val="ListParagraph"/>
        <w:numPr>
          <w:ilvl w:val="0"/>
          <w:numId w:val="3"/>
        </w:numPr>
        <w:spacing w:line="360" w:lineRule="auto"/>
        <w:rPr>
          <w:rFonts w:cstheme="minorHAnsi"/>
          <w:color w:val="000000" w:themeColor="text1"/>
        </w:rPr>
      </w:pPr>
      <w:r w:rsidRPr="00ED2723">
        <w:rPr>
          <w:rFonts w:cstheme="minorHAnsi"/>
          <w:color w:val="000000" w:themeColor="text1"/>
        </w:rPr>
        <w:t>JJC v Eisenhower [1984] QB 331</w:t>
      </w:r>
    </w:p>
    <w:p w14:paraId="62AFF0BA" w14:textId="77777777" w:rsidR="003B2DAB" w:rsidRPr="00ED2723" w:rsidRDefault="003B2DAB" w:rsidP="003B2DAB">
      <w:pPr>
        <w:pStyle w:val="Heading1"/>
        <w:numPr>
          <w:ilvl w:val="0"/>
          <w:numId w:val="3"/>
        </w:numPr>
        <w:spacing w:before="0" w:beforeAutospacing="0" w:line="360" w:lineRule="auto"/>
        <w:rPr>
          <w:rFonts w:asciiTheme="minorHAnsi" w:hAnsiTheme="minorHAnsi" w:cs="Segoe UI"/>
          <w:b w:val="0"/>
          <w:bCs w:val="0"/>
          <w:color w:val="212529"/>
          <w:sz w:val="24"/>
          <w:szCs w:val="24"/>
        </w:rPr>
      </w:pPr>
      <w:r w:rsidRPr="00ED2723">
        <w:rPr>
          <w:rFonts w:asciiTheme="minorHAnsi" w:hAnsiTheme="minorHAnsi" w:cs="Segoe UI"/>
          <w:b w:val="0"/>
          <w:bCs w:val="0"/>
          <w:color w:val="212529"/>
          <w:sz w:val="24"/>
          <w:szCs w:val="24"/>
        </w:rPr>
        <w:t>Offences Against the Person Act (1861) s.20</w:t>
      </w:r>
    </w:p>
    <w:p w14:paraId="12B2EE0F" w14:textId="77777777" w:rsidR="003B2DAB" w:rsidRPr="00ED2723" w:rsidRDefault="003B2DAB" w:rsidP="003B2DAB">
      <w:pPr>
        <w:pStyle w:val="Heading1"/>
        <w:numPr>
          <w:ilvl w:val="0"/>
          <w:numId w:val="3"/>
        </w:numPr>
        <w:spacing w:before="0" w:beforeAutospacing="0" w:line="360" w:lineRule="auto"/>
        <w:rPr>
          <w:rFonts w:asciiTheme="minorHAnsi" w:hAnsiTheme="minorHAnsi" w:cs="Segoe UI"/>
          <w:b w:val="0"/>
          <w:bCs w:val="0"/>
          <w:color w:val="212529"/>
          <w:sz w:val="24"/>
          <w:szCs w:val="24"/>
        </w:rPr>
      </w:pPr>
      <w:r w:rsidRPr="00ED2723">
        <w:rPr>
          <w:rFonts w:asciiTheme="minorHAnsi" w:hAnsiTheme="minorHAnsi" w:cs="Segoe UI"/>
          <w:b w:val="0"/>
          <w:bCs w:val="0"/>
          <w:color w:val="212529"/>
          <w:sz w:val="24"/>
          <w:szCs w:val="24"/>
        </w:rPr>
        <w:t>Offences Against the Person Act (1861) s.47</w:t>
      </w:r>
    </w:p>
    <w:p w14:paraId="75636ACC" w14:textId="77777777" w:rsidR="003B2DAB" w:rsidRPr="00ED2723" w:rsidRDefault="003B2DAB" w:rsidP="003B2DAB">
      <w:pPr>
        <w:pStyle w:val="ListParagraph"/>
        <w:numPr>
          <w:ilvl w:val="0"/>
          <w:numId w:val="3"/>
        </w:numPr>
        <w:spacing w:line="360" w:lineRule="auto"/>
      </w:pPr>
      <w:r w:rsidRPr="00ED2723">
        <w:rPr>
          <w:rStyle w:val="Emphasis"/>
          <w:color w:val="5500FF"/>
        </w:rPr>
        <w:t>R v</w:t>
      </w:r>
      <w:r w:rsidRPr="00ED2723">
        <w:rPr>
          <w:rStyle w:val="apple-converted-space"/>
          <w:i/>
          <w:iCs/>
          <w:color w:val="5500FF"/>
        </w:rPr>
        <w:t> </w:t>
      </w:r>
      <w:hyperlink r:id="rId7" w:history="1">
        <w:r w:rsidRPr="00ED2723">
          <w:rPr>
            <w:rStyle w:val="Emphasis"/>
            <w:color w:val="5500FF"/>
          </w:rPr>
          <w:t>Church</w:t>
        </w:r>
      </w:hyperlink>
      <w:r w:rsidRPr="00ED2723">
        <w:rPr>
          <w:rStyle w:val="Emphasis"/>
          <w:color w:val="5500FF"/>
        </w:rPr>
        <w:t> </w:t>
      </w:r>
      <w:r w:rsidRPr="00ED2723">
        <w:rPr>
          <w:color w:val="000000"/>
        </w:rPr>
        <w:t>[1965] 2 WLR 1220</w:t>
      </w:r>
    </w:p>
    <w:p w14:paraId="0204FA8A" w14:textId="77777777" w:rsidR="003B2DAB" w:rsidRPr="00ED2723" w:rsidRDefault="003B2DAB" w:rsidP="003B2DAB">
      <w:pPr>
        <w:pStyle w:val="Heading1"/>
        <w:numPr>
          <w:ilvl w:val="0"/>
          <w:numId w:val="3"/>
        </w:numPr>
        <w:spacing w:before="0" w:beforeAutospacing="0" w:line="360" w:lineRule="auto"/>
        <w:rPr>
          <w:rFonts w:asciiTheme="minorHAnsi" w:hAnsiTheme="minorHAnsi" w:cs="Segoe UI"/>
          <w:b w:val="0"/>
          <w:bCs w:val="0"/>
          <w:color w:val="212529"/>
          <w:sz w:val="24"/>
          <w:szCs w:val="24"/>
        </w:rPr>
      </w:pPr>
      <w:r w:rsidRPr="00ED2723">
        <w:rPr>
          <w:rStyle w:val="Emphasis"/>
          <w:rFonts w:asciiTheme="minorHAnsi" w:hAnsiTheme="minorHAnsi" w:cs="Segoe UI"/>
          <w:b w:val="0"/>
          <w:bCs w:val="0"/>
          <w:color w:val="212529"/>
          <w:sz w:val="24"/>
          <w:szCs w:val="24"/>
        </w:rPr>
        <w:t>R v Cunningham</w:t>
      </w:r>
      <w:r w:rsidRPr="00ED2723">
        <w:rPr>
          <w:rStyle w:val="apple-converted-space"/>
          <w:rFonts w:asciiTheme="minorHAnsi" w:hAnsiTheme="minorHAnsi" w:cs="Segoe UI"/>
          <w:b w:val="0"/>
          <w:bCs w:val="0"/>
          <w:color w:val="212529"/>
          <w:sz w:val="24"/>
          <w:szCs w:val="24"/>
          <w:shd w:val="clear" w:color="auto" w:fill="FFFFFF"/>
        </w:rPr>
        <w:t> </w:t>
      </w:r>
      <w:r w:rsidRPr="00ED2723">
        <w:rPr>
          <w:rFonts w:asciiTheme="minorHAnsi" w:hAnsiTheme="minorHAnsi" w:cs="Segoe UI"/>
          <w:b w:val="0"/>
          <w:bCs w:val="0"/>
          <w:color w:val="212529"/>
          <w:sz w:val="24"/>
          <w:szCs w:val="24"/>
          <w:shd w:val="clear" w:color="auto" w:fill="FFFFFF"/>
        </w:rPr>
        <w:t>1982 [1982] AC 566</w:t>
      </w:r>
    </w:p>
    <w:p w14:paraId="140C3F4D" w14:textId="77777777" w:rsidR="003B2DAB" w:rsidRPr="00ED2723" w:rsidRDefault="003B2DAB" w:rsidP="003B2DAB">
      <w:pPr>
        <w:pStyle w:val="ListParagraph"/>
        <w:numPr>
          <w:ilvl w:val="0"/>
          <w:numId w:val="3"/>
        </w:numPr>
        <w:spacing w:line="360" w:lineRule="auto"/>
      </w:pPr>
      <w:r w:rsidRPr="00ED2723">
        <w:rPr>
          <w:rStyle w:val="Emphasis"/>
          <w:rFonts w:cs="Segoe UI"/>
          <w:color w:val="212529"/>
        </w:rPr>
        <w:t>R v Fenton</w:t>
      </w:r>
      <w:r w:rsidRPr="00ED2723">
        <w:rPr>
          <w:rStyle w:val="apple-converted-space"/>
          <w:rFonts w:cs="Segoe UI"/>
          <w:color w:val="212529"/>
        </w:rPr>
        <w:t> </w:t>
      </w:r>
      <w:r w:rsidRPr="00ED2723">
        <w:rPr>
          <w:rStyle w:val="Strong"/>
          <w:rFonts w:cs="Segoe UI"/>
          <w:b w:val="0"/>
          <w:bCs w:val="0"/>
          <w:color w:val="212529"/>
        </w:rPr>
        <w:t>(1830) 1 Lew CC 179</w:t>
      </w:r>
    </w:p>
    <w:p w14:paraId="34E5252C" w14:textId="77777777" w:rsidR="003B2DAB" w:rsidRPr="00ED2723" w:rsidRDefault="003B2DAB" w:rsidP="003B2DAB">
      <w:pPr>
        <w:pStyle w:val="Heading1"/>
        <w:numPr>
          <w:ilvl w:val="0"/>
          <w:numId w:val="3"/>
        </w:numPr>
        <w:spacing w:before="0" w:beforeAutospacing="0" w:line="360" w:lineRule="auto"/>
        <w:rPr>
          <w:rFonts w:asciiTheme="minorHAnsi" w:hAnsiTheme="minorHAnsi" w:cs="AppleSystemUIFont"/>
          <w:b w:val="0"/>
          <w:bCs w:val="0"/>
          <w:sz w:val="24"/>
          <w:szCs w:val="24"/>
        </w:rPr>
      </w:pPr>
      <w:r w:rsidRPr="00ED2723">
        <w:rPr>
          <w:rFonts w:asciiTheme="minorHAnsi" w:hAnsiTheme="minorHAnsi" w:cs="AppleSystemUIFont"/>
          <w:b w:val="0"/>
          <w:bCs w:val="0"/>
          <w:sz w:val="24"/>
          <w:szCs w:val="24"/>
        </w:rPr>
        <w:t>R v Ireland and Burstow (1997) UKHL 34</w:t>
      </w:r>
    </w:p>
    <w:p w14:paraId="55CFDC4E" w14:textId="77777777" w:rsidR="003B2DAB" w:rsidRPr="00ED2723" w:rsidRDefault="003B2DAB" w:rsidP="003B2DAB">
      <w:pPr>
        <w:pStyle w:val="ListParagraph"/>
        <w:numPr>
          <w:ilvl w:val="0"/>
          <w:numId w:val="3"/>
        </w:numPr>
        <w:spacing w:line="360" w:lineRule="auto"/>
      </w:pPr>
      <w:r w:rsidRPr="00ED2723">
        <w:rPr>
          <w:rStyle w:val="Emphasis"/>
          <w:rFonts w:cs="Segoe UI"/>
          <w:color w:val="212529"/>
        </w:rPr>
        <w:lastRenderedPageBreak/>
        <w:t>R v JM and SM</w:t>
      </w:r>
      <w:r w:rsidRPr="00ED2723">
        <w:rPr>
          <w:rStyle w:val="apple-converted-space"/>
          <w:rFonts w:cs="Segoe UI"/>
          <w:i/>
          <w:iCs/>
          <w:color w:val="212529"/>
        </w:rPr>
        <w:t> </w:t>
      </w:r>
      <w:r w:rsidRPr="00ED2723">
        <w:rPr>
          <w:rStyle w:val="Strong"/>
          <w:rFonts w:cs="Segoe UI"/>
          <w:b w:val="0"/>
          <w:bCs w:val="0"/>
          <w:color w:val="212529"/>
        </w:rPr>
        <w:t>[2012] EWCA Crim 2293</w:t>
      </w:r>
    </w:p>
    <w:p w14:paraId="22437594" w14:textId="77777777" w:rsidR="003B2DAB" w:rsidRPr="00ED2723" w:rsidRDefault="003B2DAB" w:rsidP="003B2DAB">
      <w:pPr>
        <w:pStyle w:val="ListParagraph"/>
        <w:numPr>
          <w:ilvl w:val="0"/>
          <w:numId w:val="3"/>
        </w:numPr>
        <w:spacing w:line="360" w:lineRule="auto"/>
      </w:pPr>
      <w:r w:rsidRPr="00ED2723">
        <w:rPr>
          <w:rFonts w:cs="Segoe UI"/>
          <w:color w:val="212529"/>
          <w:shd w:val="clear" w:color="auto" w:fill="FFFFFF"/>
        </w:rPr>
        <w:t>R v Matthews (2003)</w:t>
      </w:r>
      <w:r w:rsidRPr="00ED2723">
        <w:rPr>
          <w:color w:val="444444"/>
          <w:shd w:val="clear" w:color="auto" w:fill="FFFFFF"/>
        </w:rPr>
        <w:t xml:space="preserve"> EWCA Crim 192.</w:t>
      </w:r>
    </w:p>
    <w:p w14:paraId="11026F0F" w14:textId="77777777" w:rsidR="003B2DAB" w:rsidRPr="00ED2723" w:rsidRDefault="003B2DAB" w:rsidP="003B2DAB">
      <w:pPr>
        <w:pStyle w:val="Heading1"/>
        <w:numPr>
          <w:ilvl w:val="0"/>
          <w:numId w:val="3"/>
        </w:numPr>
        <w:spacing w:before="0" w:beforeAutospacing="0" w:line="360" w:lineRule="auto"/>
        <w:rPr>
          <w:rFonts w:asciiTheme="minorHAnsi" w:hAnsiTheme="minorHAnsi" w:cs="Arial"/>
          <w:b w:val="0"/>
          <w:bCs w:val="0"/>
          <w:color w:val="000000"/>
          <w:sz w:val="24"/>
          <w:szCs w:val="24"/>
        </w:rPr>
      </w:pPr>
      <w:r w:rsidRPr="00ED2723">
        <w:rPr>
          <w:rFonts w:asciiTheme="minorHAnsi" w:hAnsiTheme="minorHAnsi" w:cs="Arial"/>
          <w:b w:val="0"/>
          <w:bCs w:val="0"/>
          <w:color w:val="000000"/>
          <w:sz w:val="24"/>
          <w:szCs w:val="24"/>
        </w:rPr>
        <w:t>R v Venna (1976) QB 421</w:t>
      </w:r>
    </w:p>
    <w:p w14:paraId="256B4015" w14:textId="77777777" w:rsidR="003B2DAB" w:rsidRPr="00ED2723" w:rsidRDefault="003B2DAB" w:rsidP="003B2DAB">
      <w:pPr>
        <w:pStyle w:val="ListParagraph"/>
        <w:numPr>
          <w:ilvl w:val="0"/>
          <w:numId w:val="3"/>
        </w:numPr>
        <w:spacing w:line="360" w:lineRule="auto"/>
      </w:pPr>
      <w:r w:rsidRPr="00ED2723">
        <w:rPr>
          <w:rStyle w:val="Emphasis"/>
          <w:color w:val="000000"/>
        </w:rPr>
        <w:t>R v Vickers</w:t>
      </w:r>
      <w:r w:rsidRPr="00ED2723">
        <w:rPr>
          <w:rStyle w:val="apple-converted-space"/>
          <w:color w:val="000000"/>
        </w:rPr>
        <w:t> </w:t>
      </w:r>
      <w:r w:rsidRPr="00ED2723">
        <w:rPr>
          <w:rStyle w:val="Strong"/>
          <w:b w:val="0"/>
          <w:bCs w:val="0"/>
          <w:color w:val="000000"/>
        </w:rPr>
        <w:t>[1957] 2 QB 664</w:t>
      </w:r>
    </w:p>
    <w:p w14:paraId="1E8630DC" w14:textId="77777777" w:rsidR="003B2DAB" w:rsidRPr="00ED2723" w:rsidRDefault="003B2DAB" w:rsidP="003B2DAB">
      <w:pPr>
        <w:pStyle w:val="Heading1"/>
        <w:numPr>
          <w:ilvl w:val="0"/>
          <w:numId w:val="3"/>
        </w:numPr>
        <w:spacing w:before="0" w:beforeAutospacing="0" w:line="360" w:lineRule="auto"/>
        <w:rPr>
          <w:rFonts w:asciiTheme="minorHAnsi" w:hAnsiTheme="minorHAnsi" w:cs="Segoe UI"/>
          <w:b w:val="0"/>
          <w:bCs w:val="0"/>
          <w:color w:val="212529"/>
          <w:sz w:val="24"/>
          <w:szCs w:val="24"/>
        </w:rPr>
      </w:pPr>
      <w:r w:rsidRPr="00ED2723">
        <w:rPr>
          <w:rFonts w:asciiTheme="minorHAnsi" w:hAnsiTheme="minorHAnsi" w:cs="Segoe UI"/>
          <w:b w:val="0"/>
          <w:bCs w:val="0"/>
          <w:color w:val="212529"/>
          <w:sz w:val="24"/>
          <w:szCs w:val="24"/>
        </w:rPr>
        <w:t>R v White [1910] 2 KB 124</w:t>
      </w:r>
    </w:p>
    <w:p w14:paraId="1D0D297D" w14:textId="77777777" w:rsidR="003B2DAB" w:rsidRPr="00ED2723" w:rsidRDefault="003B2DAB" w:rsidP="003B2DAB">
      <w:pPr>
        <w:pStyle w:val="ListParagraph"/>
        <w:numPr>
          <w:ilvl w:val="0"/>
          <w:numId w:val="3"/>
        </w:numPr>
        <w:spacing w:line="360" w:lineRule="auto"/>
      </w:pPr>
      <w:r w:rsidRPr="00ED2723">
        <w:rPr>
          <w:rFonts w:cs="Segoe UI"/>
          <w:color w:val="212529"/>
        </w:rPr>
        <w:t xml:space="preserve">R v </w:t>
      </w:r>
      <w:proofErr w:type="spellStart"/>
      <w:r w:rsidRPr="00ED2723">
        <w:rPr>
          <w:rFonts w:cs="Segoe UI"/>
          <w:color w:val="212529"/>
        </w:rPr>
        <w:t>Woollin</w:t>
      </w:r>
      <w:proofErr w:type="spellEnd"/>
      <w:r w:rsidRPr="00ED2723">
        <w:rPr>
          <w:rFonts w:cs="Segoe UI"/>
          <w:color w:val="212529"/>
        </w:rPr>
        <w:t xml:space="preserve"> </w:t>
      </w:r>
      <w:r w:rsidRPr="00ED2723">
        <w:rPr>
          <w:rFonts w:cs="Arial"/>
          <w:color w:val="202124"/>
          <w:shd w:val="clear" w:color="auto" w:fill="FFFFFF"/>
        </w:rPr>
        <w:t>3 W.L.R. 382</w:t>
      </w:r>
    </w:p>
    <w:p w14:paraId="1CFD516A" w14:textId="77777777" w:rsidR="003B2DAB" w:rsidRDefault="003B2DAB" w:rsidP="003B2DAB">
      <w:pPr>
        <w:pStyle w:val="Heading1"/>
        <w:spacing w:before="0" w:beforeAutospacing="0"/>
        <w:rPr>
          <w:rFonts w:asciiTheme="minorHAnsi" w:hAnsiTheme="minorHAnsi" w:cs="Segoe UI"/>
          <w:b w:val="0"/>
          <w:bCs w:val="0"/>
          <w:color w:val="212529"/>
          <w:sz w:val="24"/>
          <w:szCs w:val="24"/>
        </w:rPr>
      </w:pPr>
    </w:p>
    <w:p w14:paraId="3D292168" w14:textId="77777777" w:rsidR="003B2DAB" w:rsidRDefault="003B2DAB" w:rsidP="003B2DAB"/>
    <w:p w14:paraId="00795255" w14:textId="77777777" w:rsidR="003B2DAB" w:rsidRPr="003B2DAB" w:rsidRDefault="003B2DAB" w:rsidP="004D2CFF">
      <w:pPr>
        <w:spacing w:line="360" w:lineRule="auto"/>
        <w:rPr>
          <w:b/>
          <w:bCs/>
          <w:u w:val="single"/>
        </w:rPr>
      </w:pPr>
    </w:p>
    <w:sectPr w:rsidR="003B2DAB" w:rsidRPr="003B2D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7750B"/>
    <w:multiLevelType w:val="hybridMultilevel"/>
    <w:tmpl w:val="DE1C9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2A62F7"/>
    <w:multiLevelType w:val="hybridMultilevel"/>
    <w:tmpl w:val="DA744344"/>
    <w:lvl w:ilvl="0" w:tplc="55AAEA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1F1389E"/>
    <w:multiLevelType w:val="hybridMultilevel"/>
    <w:tmpl w:val="0AE69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31D"/>
    <w:rsid w:val="00052D4A"/>
    <w:rsid w:val="00072F43"/>
    <w:rsid w:val="00080994"/>
    <w:rsid w:val="00084AE9"/>
    <w:rsid w:val="000C5942"/>
    <w:rsid w:val="00267FDF"/>
    <w:rsid w:val="002C54ED"/>
    <w:rsid w:val="003B2DAB"/>
    <w:rsid w:val="004D2CFF"/>
    <w:rsid w:val="005539B2"/>
    <w:rsid w:val="00595E35"/>
    <w:rsid w:val="009B33EF"/>
    <w:rsid w:val="00B912B5"/>
    <w:rsid w:val="00C124E2"/>
    <w:rsid w:val="00CA0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22D0E4"/>
  <w15:chartTrackingRefBased/>
  <w15:docId w15:val="{7281BA53-80FF-3E4D-A18B-52B606C9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CFF"/>
    <w:rPr>
      <w:rFonts w:ascii="Times New Roman" w:eastAsia="Times New Roman" w:hAnsi="Times New Roman" w:cs="Times New Roman"/>
      <w:lang w:eastAsia="en-GB"/>
    </w:rPr>
  </w:style>
  <w:style w:type="paragraph" w:styleId="Heading1">
    <w:name w:val="heading 1"/>
    <w:basedOn w:val="Normal"/>
    <w:link w:val="Heading1Char"/>
    <w:uiPriority w:val="9"/>
    <w:qFormat/>
    <w:rsid w:val="003B2DA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31D"/>
    <w:pPr>
      <w:ind w:left="720"/>
      <w:contextualSpacing/>
    </w:pPr>
  </w:style>
  <w:style w:type="character" w:styleId="Hyperlink">
    <w:name w:val="Hyperlink"/>
    <w:basedOn w:val="DefaultParagraphFont"/>
    <w:uiPriority w:val="99"/>
    <w:unhideWhenUsed/>
    <w:rsid w:val="00080994"/>
    <w:rPr>
      <w:color w:val="0563C1" w:themeColor="hyperlink"/>
      <w:u w:val="single"/>
    </w:rPr>
  </w:style>
  <w:style w:type="character" w:styleId="UnresolvedMention">
    <w:name w:val="Unresolved Mention"/>
    <w:basedOn w:val="DefaultParagraphFont"/>
    <w:uiPriority w:val="99"/>
    <w:semiHidden/>
    <w:unhideWhenUsed/>
    <w:rsid w:val="00080994"/>
    <w:rPr>
      <w:color w:val="605E5C"/>
      <w:shd w:val="clear" w:color="auto" w:fill="E1DFDD"/>
    </w:rPr>
  </w:style>
  <w:style w:type="character" w:styleId="Strong">
    <w:name w:val="Strong"/>
    <w:basedOn w:val="DefaultParagraphFont"/>
    <w:uiPriority w:val="22"/>
    <w:qFormat/>
    <w:rsid w:val="00080994"/>
    <w:rPr>
      <w:b/>
      <w:bCs/>
    </w:rPr>
  </w:style>
  <w:style w:type="character" w:styleId="Emphasis">
    <w:name w:val="Emphasis"/>
    <w:basedOn w:val="DefaultParagraphFont"/>
    <w:uiPriority w:val="20"/>
    <w:qFormat/>
    <w:rsid w:val="00080994"/>
    <w:rPr>
      <w:i/>
      <w:iCs/>
    </w:rPr>
  </w:style>
  <w:style w:type="character" w:customStyle="1" w:styleId="apple-converted-space">
    <w:name w:val="apple-converted-space"/>
    <w:basedOn w:val="DefaultParagraphFont"/>
    <w:rsid w:val="00080994"/>
  </w:style>
  <w:style w:type="paragraph" w:styleId="NormalWeb">
    <w:name w:val="Normal (Web)"/>
    <w:basedOn w:val="Normal"/>
    <w:uiPriority w:val="99"/>
    <w:unhideWhenUsed/>
    <w:rsid w:val="00080994"/>
    <w:pPr>
      <w:spacing w:before="100" w:beforeAutospacing="1" w:after="100" w:afterAutospacing="1"/>
    </w:pPr>
  </w:style>
  <w:style w:type="character" w:customStyle="1" w:styleId="Heading1Char">
    <w:name w:val="Heading 1 Char"/>
    <w:basedOn w:val="DefaultParagraphFont"/>
    <w:link w:val="Heading1"/>
    <w:uiPriority w:val="9"/>
    <w:rsid w:val="003B2DA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709493">
      <w:bodyDiv w:val="1"/>
      <w:marLeft w:val="0"/>
      <w:marRight w:val="0"/>
      <w:marTop w:val="0"/>
      <w:marBottom w:val="0"/>
      <w:divBdr>
        <w:top w:val="none" w:sz="0" w:space="0" w:color="auto"/>
        <w:left w:val="none" w:sz="0" w:space="0" w:color="auto"/>
        <w:bottom w:val="none" w:sz="0" w:space="0" w:color="auto"/>
        <w:right w:val="none" w:sz="0" w:space="0" w:color="auto"/>
      </w:divBdr>
      <w:divsChild>
        <w:div w:id="651642922">
          <w:marLeft w:val="0"/>
          <w:marRight w:val="0"/>
          <w:marTop w:val="0"/>
          <w:marBottom w:val="0"/>
          <w:divBdr>
            <w:top w:val="none" w:sz="0" w:space="0" w:color="auto"/>
            <w:left w:val="none" w:sz="0" w:space="0" w:color="auto"/>
            <w:bottom w:val="none" w:sz="0" w:space="0" w:color="auto"/>
            <w:right w:val="none" w:sz="0" w:space="0" w:color="auto"/>
          </w:divBdr>
          <w:divsChild>
            <w:div w:id="2126340207">
              <w:marLeft w:val="0"/>
              <w:marRight w:val="0"/>
              <w:marTop w:val="0"/>
              <w:marBottom w:val="0"/>
              <w:divBdr>
                <w:top w:val="none" w:sz="0" w:space="0" w:color="auto"/>
                <w:left w:val="none" w:sz="0" w:space="0" w:color="auto"/>
                <w:bottom w:val="none" w:sz="0" w:space="0" w:color="auto"/>
                <w:right w:val="none" w:sz="0" w:space="0" w:color="auto"/>
              </w:divBdr>
              <w:divsChild>
                <w:div w:id="38125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87970">
      <w:bodyDiv w:val="1"/>
      <w:marLeft w:val="0"/>
      <w:marRight w:val="0"/>
      <w:marTop w:val="0"/>
      <w:marBottom w:val="0"/>
      <w:divBdr>
        <w:top w:val="none" w:sz="0" w:space="0" w:color="auto"/>
        <w:left w:val="none" w:sz="0" w:space="0" w:color="auto"/>
        <w:bottom w:val="none" w:sz="0" w:space="0" w:color="auto"/>
        <w:right w:val="none" w:sz="0" w:space="0" w:color="auto"/>
      </w:divBdr>
      <w:divsChild>
        <w:div w:id="615450105">
          <w:marLeft w:val="0"/>
          <w:marRight w:val="0"/>
          <w:marTop w:val="0"/>
          <w:marBottom w:val="0"/>
          <w:divBdr>
            <w:top w:val="none" w:sz="0" w:space="0" w:color="auto"/>
            <w:left w:val="none" w:sz="0" w:space="0" w:color="auto"/>
            <w:bottom w:val="none" w:sz="0" w:space="0" w:color="auto"/>
            <w:right w:val="none" w:sz="0" w:space="0" w:color="auto"/>
          </w:divBdr>
          <w:divsChild>
            <w:div w:id="1781947853">
              <w:marLeft w:val="0"/>
              <w:marRight w:val="0"/>
              <w:marTop w:val="0"/>
              <w:marBottom w:val="0"/>
              <w:divBdr>
                <w:top w:val="none" w:sz="0" w:space="0" w:color="auto"/>
                <w:left w:val="none" w:sz="0" w:space="0" w:color="auto"/>
                <w:bottom w:val="none" w:sz="0" w:space="0" w:color="auto"/>
                <w:right w:val="none" w:sz="0" w:space="0" w:color="auto"/>
              </w:divBdr>
              <w:divsChild>
                <w:div w:id="160244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533251">
      <w:bodyDiv w:val="1"/>
      <w:marLeft w:val="0"/>
      <w:marRight w:val="0"/>
      <w:marTop w:val="0"/>
      <w:marBottom w:val="0"/>
      <w:divBdr>
        <w:top w:val="none" w:sz="0" w:space="0" w:color="auto"/>
        <w:left w:val="none" w:sz="0" w:space="0" w:color="auto"/>
        <w:bottom w:val="none" w:sz="0" w:space="0" w:color="auto"/>
        <w:right w:val="none" w:sz="0" w:space="0" w:color="auto"/>
      </w:divBdr>
    </w:div>
    <w:div w:id="1192181931">
      <w:bodyDiv w:val="1"/>
      <w:marLeft w:val="0"/>
      <w:marRight w:val="0"/>
      <w:marTop w:val="0"/>
      <w:marBottom w:val="0"/>
      <w:divBdr>
        <w:top w:val="none" w:sz="0" w:space="0" w:color="auto"/>
        <w:left w:val="none" w:sz="0" w:space="0" w:color="auto"/>
        <w:bottom w:val="none" w:sz="0" w:space="0" w:color="auto"/>
        <w:right w:val="none" w:sz="0" w:space="0" w:color="auto"/>
      </w:divBdr>
    </w:div>
    <w:div w:id="1690642941">
      <w:bodyDiv w:val="1"/>
      <w:marLeft w:val="0"/>
      <w:marRight w:val="0"/>
      <w:marTop w:val="0"/>
      <w:marBottom w:val="0"/>
      <w:divBdr>
        <w:top w:val="none" w:sz="0" w:space="0" w:color="auto"/>
        <w:left w:val="none" w:sz="0" w:space="0" w:color="auto"/>
        <w:bottom w:val="none" w:sz="0" w:space="0" w:color="auto"/>
        <w:right w:val="none" w:sz="0" w:space="0" w:color="auto"/>
      </w:divBdr>
      <w:divsChild>
        <w:div w:id="2033729166">
          <w:marLeft w:val="0"/>
          <w:marRight w:val="0"/>
          <w:marTop w:val="0"/>
          <w:marBottom w:val="0"/>
          <w:divBdr>
            <w:top w:val="none" w:sz="0" w:space="0" w:color="auto"/>
            <w:left w:val="none" w:sz="0" w:space="0" w:color="auto"/>
            <w:bottom w:val="none" w:sz="0" w:space="0" w:color="auto"/>
            <w:right w:val="none" w:sz="0" w:space="0" w:color="auto"/>
          </w:divBdr>
          <w:divsChild>
            <w:div w:id="1268195597">
              <w:marLeft w:val="0"/>
              <w:marRight w:val="0"/>
              <w:marTop w:val="0"/>
              <w:marBottom w:val="0"/>
              <w:divBdr>
                <w:top w:val="none" w:sz="0" w:space="0" w:color="auto"/>
                <w:left w:val="none" w:sz="0" w:space="0" w:color="auto"/>
                <w:bottom w:val="none" w:sz="0" w:space="0" w:color="auto"/>
                <w:right w:val="none" w:sz="0" w:space="0" w:color="auto"/>
              </w:divBdr>
              <w:divsChild>
                <w:div w:id="12847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48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ailii.org/ew/cases/EWCA/Crim/1965/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wcom.gov.uk/app/uploads/2015/06/insanity_discussion.pdf" TargetMode="External"/><Relationship Id="rId5" Type="http://schemas.openxmlformats.org/officeDocument/2006/relationships/hyperlink" Target="http://www.lawcom.gov.uk/app/uploads/2015/06/insanity_discussion.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6</cp:revision>
  <dcterms:created xsi:type="dcterms:W3CDTF">2021-04-08T14:12:00Z</dcterms:created>
  <dcterms:modified xsi:type="dcterms:W3CDTF">2021-04-28T19:55:00Z</dcterms:modified>
</cp:coreProperties>
</file>