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74FADA" w14:textId="109E10DD" w:rsidR="00A252C1" w:rsidRDefault="00A252C1"/>
    <w:p w14:paraId="1AF99759" w14:textId="4C623235" w:rsidR="00A252C1" w:rsidRDefault="00A252C1" w:rsidP="00252B4A">
      <w:pPr>
        <w:spacing w:line="360" w:lineRule="auto"/>
      </w:pPr>
      <w:r>
        <w:t xml:space="preserve">For this assignment I spent a day in a Primary School </w:t>
      </w:r>
      <w:r w:rsidR="00197700">
        <w:t>observing and</w:t>
      </w:r>
      <w:r>
        <w:t xml:space="preserve"> identified four different critical incidents. I have chosen one of these critical incidents to discuss further here. This assignment will look at this critical incident within the context of Donaldson’s Four </w:t>
      </w:r>
      <w:proofErr w:type="gramStart"/>
      <w:r>
        <w:t>Purposes, and</w:t>
      </w:r>
      <w:proofErr w:type="gramEnd"/>
      <w:r>
        <w:t xml:space="preserve"> draw upon relevant research in order to understand the characteristics of the critical incident. It will then reflect on how this critical incident can shape my own professional and personal </w:t>
      </w:r>
      <w:r w:rsidR="00197700">
        <w:t>development and</w:t>
      </w:r>
      <w:r>
        <w:t xml:space="preserve"> help identify the next steps in order to achieve this.</w:t>
      </w:r>
    </w:p>
    <w:p w14:paraId="6D478E11" w14:textId="467FF147" w:rsidR="00A252C1" w:rsidRDefault="00A252C1" w:rsidP="00252B4A">
      <w:pPr>
        <w:spacing w:line="360" w:lineRule="auto"/>
      </w:pPr>
      <w:r>
        <w:t xml:space="preserve">In order to identify a critical incident, it must first be defined; </w:t>
      </w:r>
      <w:r w:rsidR="00197700">
        <w:t xml:space="preserve">Cohen, Manion and Morrison identify critical incidents as “particular events or occurrences that might typify or illuminate very starkly a particular feature of a teacher’s behaviour or teaching style” (Cohen, Manion and Morrison, 2007, </w:t>
      </w:r>
      <w:r w:rsidR="00B5460D">
        <w:t xml:space="preserve">p. </w:t>
      </w:r>
      <w:r w:rsidR="00197700">
        <w:t>404). Wragg</w:t>
      </w:r>
      <w:r w:rsidR="003E2453">
        <w:t xml:space="preserve"> (1994, p.64)</w:t>
      </w:r>
      <w:r w:rsidR="00197700">
        <w:t xml:space="preserve"> suggests it is even simpler, that they are events of more interest than others </w:t>
      </w:r>
      <w:r w:rsidR="003E2453">
        <w:t>t</w:t>
      </w:r>
      <w:r w:rsidR="00197700">
        <w:t>o the observer, and therefore justify a more detailed recording than other</w:t>
      </w:r>
      <w:r w:rsidR="003E2453">
        <w:t>s</w:t>
      </w:r>
      <w:r w:rsidR="00F501D6">
        <w:t xml:space="preserve">. It is therefore our analysis and reflection that makes these ‘ordinary’ incidents’ critical. Tripp highlights the use of critical incidents as a means to “assist and record the process of developing personally and professionally as a teacher” (Tripp, </w:t>
      </w:r>
      <w:r w:rsidR="008B081D">
        <w:t xml:space="preserve">1993, </w:t>
      </w:r>
      <w:r w:rsidR="00B5460D">
        <w:t>p.</w:t>
      </w:r>
      <w:r w:rsidR="00F501D6">
        <w:t>41). This is the purpose of this assignment.</w:t>
      </w:r>
    </w:p>
    <w:p w14:paraId="78247B95" w14:textId="77777777" w:rsidR="00252B4A" w:rsidRDefault="00252B4A" w:rsidP="00252B4A">
      <w:pPr>
        <w:spacing w:line="360" w:lineRule="auto"/>
      </w:pPr>
    </w:p>
    <w:p w14:paraId="658137EF" w14:textId="5BB63538" w:rsidR="00E41A7A" w:rsidRDefault="00D57F48" w:rsidP="00252B4A">
      <w:pPr>
        <w:spacing w:line="360" w:lineRule="auto"/>
      </w:pPr>
      <w:r>
        <w:t>The school in this case study is an English medium primary school with 423 pupils, of which nine per cent receive free school meals</w:t>
      </w:r>
      <w:r w:rsidR="00E41A7A">
        <w:t xml:space="preserve">. It has 94.9% </w:t>
      </w:r>
      <w:proofErr w:type="gramStart"/>
      <w:r w:rsidR="00E41A7A">
        <w:t>attendance, and</w:t>
      </w:r>
      <w:proofErr w:type="gramEnd"/>
      <w:r w:rsidR="00E41A7A">
        <w:t xml:space="preserve"> is in the Green Support category (My Local School, 2019). This case study looks at a year six class, with </w:t>
      </w:r>
      <w:r w:rsidR="005D049E">
        <w:t>twenty-seven</w:t>
      </w:r>
      <w:r w:rsidR="00E41A7A">
        <w:t xml:space="preserve"> pupils. There is an almost 2:1 ratio of boys to girls.</w:t>
      </w:r>
      <w:r w:rsidR="00BD482C">
        <w:t xml:space="preserve"> It is one of two year six classes in the </w:t>
      </w:r>
      <w:proofErr w:type="gramStart"/>
      <w:r w:rsidR="00BD482C">
        <w:t>school, and</w:t>
      </w:r>
      <w:proofErr w:type="gramEnd"/>
      <w:r w:rsidR="00BD482C">
        <w:t xml:space="preserve"> is the younger of the two classes. </w:t>
      </w:r>
      <w:r w:rsidR="00C17D6E">
        <w:t>Although t</w:t>
      </w:r>
      <w:r w:rsidR="00BD482C">
        <w:t>he two classes follow the same scheme of work, it is noticed that this class need</w:t>
      </w:r>
      <w:r w:rsidR="00D76D54">
        <w:t>s</w:t>
      </w:r>
      <w:r w:rsidR="00BD482C">
        <w:t xml:space="preserve"> a slower pace than the other</w:t>
      </w:r>
      <w:r w:rsidR="00475F84">
        <w:t>, and often need</w:t>
      </w:r>
      <w:r w:rsidR="00D76D54">
        <w:t>s</w:t>
      </w:r>
      <w:r w:rsidR="00475F84">
        <w:t xml:space="preserve"> more repetition of new concepts before they can confidently approach them themselves</w:t>
      </w:r>
      <w:r w:rsidR="00BD482C">
        <w:t>.</w:t>
      </w:r>
    </w:p>
    <w:p w14:paraId="1A1B7987" w14:textId="294BB28D" w:rsidR="00F501D6" w:rsidRDefault="00E41A7A" w:rsidP="00252B4A">
      <w:pPr>
        <w:spacing w:line="360" w:lineRule="auto"/>
      </w:pPr>
      <w:r>
        <w:t xml:space="preserve">Please note, that the school will be referred to as ‘School X’ in order to keep anonymity for ethical practice, as </w:t>
      </w:r>
      <w:proofErr w:type="spellStart"/>
      <w:r>
        <w:t>guidelined</w:t>
      </w:r>
      <w:proofErr w:type="spellEnd"/>
      <w:r>
        <w:t xml:space="preserve"> by BERA (2018). Similarly, any students and teachers mentioned will be named with letters only.</w:t>
      </w:r>
    </w:p>
    <w:p w14:paraId="73E2B7E8" w14:textId="77777777" w:rsidR="00252B4A" w:rsidRDefault="00252B4A" w:rsidP="00252B4A">
      <w:pPr>
        <w:spacing w:line="360" w:lineRule="auto"/>
      </w:pPr>
    </w:p>
    <w:p w14:paraId="2CB956CA" w14:textId="3F09BE9F" w:rsidR="00A079BF" w:rsidRDefault="0074339E" w:rsidP="00252B4A">
      <w:pPr>
        <w:spacing w:line="360" w:lineRule="auto"/>
      </w:pPr>
      <w:r>
        <w:t xml:space="preserve">This assignment looks at a case study of a year six class. </w:t>
      </w:r>
      <w:r w:rsidR="00AC181C">
        <w:t>A case study is “the study of an instance in action” (</w:t>
      </w:r>
      <w:r w:rsidR="007D2A36">
        <w:t xml:space="preserve">Cohen, 2007, </w:t>
      </w:r>
      <w:r w:rsidR="00B5460D">
        <w:t xml:space="preserve">p. </w:t>
      </w:r>
      <w:r w:rsidR="007D2A36">
        <w:t>253</w:t>
      </w:r>
      <w:r w:rsidR="00AC181C">
        <w:t>). Cohen explains this further, stating that a case study provides a “unique example” of real situations and real people (2007,</w:t>
      </w:r>
      <w:r w:rsidR="00B5460D">
        <w:t xml:space="preserve"> p.</w:t>
      </w:r>
      <w:r w:rsidR="00AC181C">
        <w:t xml:space="preserve"> 253). Case studies look at analytical rather than statistical </w:t>
      </w:r>
      <w:proofErr w:type="gramStart"/>
      <w:r w:rsidR="00AC181C">
        <w:t>generalisations, and</w:t>
      </w:r>
      <w:proofErr w:type="gramEnd"/>
      <w:r w:rsidR="00AC181C">
        <w:t xml:space="preserve"> can help researchers to develop theories </w:t>
      </w:r>
      <w:r w:rsidR="007968A9">
        <w:t>to help understand similar cases and situations (</w:t>
      </w:r>
      <w:r w:rsidR="007968A9" w:rsidRPr="00B5460D">
        <w:t xml:space="preserve">Robson, 2002, </w:t>
      </w:r>
      <w:r w:rsidR="00B5460D">
        <w:t>p.</w:t>
      </w:r>
      <w:r w:rsidR="007968A9" w:rsidRPr="00B5460D">
        <w:t>183</w:t>
      </w:r>
      <w:r w:rsidR="007968A9">
        <w:t xml:space="preserve">). </w:t>
      </w:r>
      <w:r w:rsidR="007968A9">
        <w:lastRenderedPageBreak/>
        <w:t xml:space="preserve">However, criticisms can be made of the case study approach; there can </w:t>
      </w:r>
      <w:r w:rsidR="007C32E9">
        <w:t xml:space="preserve">be a tendency to base the case study in an extreme, in order to find what you are looking for, which would not be truly representative. For example, if you are researching disruptive behaviour, you might deliberately conduct your research in a highly disruptive class (Cohen, 2007, </w:t>
      </w:r>
      <w:r w:rsidR="00B5460D">
        <w:t>p.</w:t>
      </w:r>
      <w:r w:rsidR="007C32E9">
        <w:t>255). In order to reduce this risk, this case study was semi-structured. It was structured in that it was an observation with guided questions</w:t>
      </w:r>
      <w:r w:rsidR="00E378C6">
        <w:t>, following Fletcher-Wood</w:t>
      </w:r>
      <w:r w:rsidR="00173B18">
        <w:t>’s model (2016)</w:t>
      </w:r>
      <w:r w:rsidR="007C32E9">
        <w:t xml:space="preserve">, however it was unstructured in that I was not looking for any one particular behaviour or incident. Rather, I was allowing natural events to unfold, and noting down what I saw. Of course, even this is not truly ‘natural’, as the very nature of having an extra adult in the room can change the behaviour of students. </w:t>
      </w:r>
      <w:r w:rsidR="006E1058">
        <w:t xml:space="preserve">Hitchcock and Hughes claim the case study approach to be “particularly valuable when the researcher has little control over the events” (Hitchcock and Hughes, 1995, </w:t>
      </w:r>
      <w:r w:rsidR="00B5460D">
        <w:t xml:space="preserve">p. </w:t>
      </w:r>
      <w:r w:rsidR="006E1058">
        <w:t>322). The fact that I did not chose the school or class that I went to, or the lessons that the children were taking, meant that I had very little, if any, control over what I was observing.</w:t>
      </w:r>
    </w:p>
    <w:p w14:paraId="0D16CED7" w14:textId="77777777" w:rsidR="00252B4A" w:rsidRDefault="00252B4A" w:rsidP="00252B4A">
      <w:pPr>
        <w:spacing w:line="360" w:lineRule="auto"/>
      </w:pPr>
    </w:p>
    <w:p w14:paraId="51719223" w14:textId="33638CA1" w:rsidR="004116B3" w:rsidRDefault="004116B3" w:rsidP="00252B4A">
      <w:pPr>
        <w:spacing w:line="360" w:lineRule="auto"/>
      </w:pPr>
      <w:r>
        <w:t xml:space="preserve">A further criticism of this approach is that it is prone to observer bias, both in terms of what they look to see, but also in their interpretation of events (Cohen, 2007, </w:t>
      </w:r>
      <w:r w:rsidR="00B5460D">
        <w:t>p.</w:t>
      </w:r>
      <w:r>
        <w:t>256). Bias is a problem regardless of the method</w:t>
      </w:r>
      <w:r w:rsidR="004C1540">
        <w:t>, as there is always bias of interpretation of results as well. However, it is important that the case study is completed with an open mind.</w:t>
      </w:r>
    </w:p>
    <w:p w14:paraId="25A79CE7" w14:textId="7A2474A2" w:rsidR="004C1540" w:rsidRDefault="00A952B8" w:rsidP="00252B4A">
      <w:pPr>
        <w:spacing w:line="360" w:lineRule="auto"/>
      </w:pPr>
      <w:r>
        <w:t xml:space="preserve">This case study was completed by observation. </w:t>
      </w:r>
      <w:r w:rsidR="00E378C6">
        <w:t xml:space="preserve">It took a semi-participant approach; I sat at the side to observe and make notes of what I saw, however, it is very difficult in a classroom setting to remain as a non-participant, so </w:t>
      </w:r>
      <w:r w:rsidR="00E378C6">
        <w:t>if a student had a question</w:t>
      </w:r>
      <w:r w:rsidR="00E378C6">
        <w:t xml:space="preserve">, I did answer. Cohen (2007, </w:t>
      </w:r>
      <w:r w:rsidR="00B5460D">
        <w:t>p.</w:t>
      </w:r>
      <w:r w:rsidR="00E378C6">
        <w:t xml:space="preserve">396) cautions the importance of avoiding a time gap in the recording of notes. All notes written were recorded at the time of event, or immediately after, in order to ensure accuracy. </w:t>
      </w:r>
    </w:p>
    <w:p w14:paraId="7C2E2772" w14:textId="77777777" w:rsidR="00A079BF" w:rsidRDefault="00A079BF" w:rsidP="00252B4A">
      <w:pPr>
        <w:spacing w:line="360" w:lineRule="auto"/>
      </w:pPr>
    </w:p>
    <w:p w14:paraId="552FF416" w14:textId="0002E179" w:rsidR="00243B6E" w:rsidRDefault="00A079BF" w:rsidP="00252B4A">
      <w:pPr>
        <w:spacing w:line="360" w:lineRule="auto"/>
      </w:pPr>
      <w:r>
        <w:t>On the day that my case study took place</w:t>
      </w:r>
      <w:r w:rsidR="00CB6377">
        <w:t xml:space="preserve"> the class teacher was ill, and a supply teacher was taking the class. Throughout the morning the majority of the class had worked well, but there were two boys in particular who had been constantly distracted, whispering to each other</w:t>
      </w:r>
      <w:r w:rsidR="00D53239">
        <w:t xml:space="preserve"> and </w:t>
      </w:r>
      <w:r w:rsidR="00CB6377">
        <w:t xml:space="preserve">playing with their stationary. In both morning lessons they had fallen behind the rest of the </w:t>
      </w:r>
      <w:proofErr w:type="gramStart"/>
      <w:r w:rsidR="00CB6377">
        <w:t>class, and</w:t>
      </w:r>
      <w:proofErr w:type="gramEnd"/>
      <w:r w:rsidR="00CB6377">
        <w:t xml:space="preserve"> needed constant reminders to pick up their pencils and work, and neither managed to complete the minimum work set. It is unclear as to whether these two boys were generally slower in completing their work, or whether it was because they were distracted. Had the normal class teacher been there, I could have asked. In the afternoon, all of the class seemed </w:t>
      </w:r>
      <w:r w:rsidR="00CB6377">
        <w:lastRenderedPageBreak/>
        <w:t xml:space="preserve">tired after lunch. The two boys were still distracted and were not listening to the lesson that was taking place. </w:t>
      </w:r>
      <w:r w:rsidR="007C079F">
        <w:t>Once the work was set, the teacher went over to the boys to check that they had understood the task</w:t>
      </w:r>
      <w:r w:rsidR="00216AB5">
        <w:t xml:space="preserve"> of highlighting key words</w:t>
      </w:r>
      <w:r w:rsidR="007C079F">
        <w:t xml:space="preserve">. </w:t>
      </w:r>
      <w:r w:rsidR="00216AB5">
        <w:t xml:space="preserve">The teacher reexplained the </w:t>
      </w:r>
      <w:proofErr w:type="gramStart"/>
      <w:r w:rsidR="00216AB5">
        <w:t>task, and</w:t>
      </w:r>
      <w:proofErr w:type="gramEnd"/>
      <w:r w:rsidR="00216AB5">
        <w:t xml:space="preserve"> helped them with the first part. One of the boys (student A) then proceed</w:t>
      </w:r>
      <w:r w:rsidR="00F304EF">
        <w:t>ed</w:t>
      </w:r>
      <w:r w:rsidR="00216AB5">
        <w:t xml:space="preserve"> to finish the task. The teacher checked it, and it was correct, and she g</w:t>
      </w:r>
      <w:r w:rsidR="00F304EF">
        <w:t>ave</w:t>
      </w:r>
      <w:r w:rsidR="00216AB5">
        <w:t xml:space="preserve"> him lots of praise. This is the first time today that he had managed to keep up with the rest of the class. Student A then continued to complete each of the following tasks, both quickly and accurately. Each time, the teacher gave him lots of praise, sometimes loud enough for the whole class to hear. </w:t>
      </w:r>
      <w:r w:rsidR="00243B6E">
        <w:t xml:space="preserve">Student A was now engaged, motivated and fully participating in </w:t>
      </w:r>
      <w:r w:rsidR="00D76D54">
        <w:t xml:space="preserve">the </w:t>
      </w:r>
      <w:r w:rsidR="00243B6E">
        <w:t xml:space="preserve">class. He was even helping his friend (student B), who was also much more focused than in the morning. </w:t>
      </w:r>
      <w:r w:rsidR="00F304EF">
        <w:t xml:space="preserve">At the end of the afternoon, student A received a prize for his on-task behaviour and effort. </w:t>
      </w:r>
      <w:r w:rsidR="00243B6E">
        <w:t>This complete change of attitude really made me stop and think, and it is for this reason that I have chosen this as my critical incident. For more details of this lesson, see appendi</w:t>
      </w:r>
      <w:r w:rsidR="00451AED">
        <w:t>ces 3A and 3B.</w:t>
      </w:r>
    </w:p>
    <w:p w14:paraId="0990A1DF" w14:textId="77777777" w:rsidR="00451AED" w:rsidRDefault="00451AED" w:rsidP="00252B4A">
      <w:pPr>
        <w:spacing w:line="360" w:lineRule="auto"/>
      </w:pPr>
    </w:p>
    <w:p w14:paraId="15A62988" w14:textId="5D3A40A0" w:rsidR="00B97EAE" w:rsidRDefault="009E6BE2" w:rsidP="00252B4A">
      <w:pPr>
        <w:spacing w:line="360" w:lineRule="auto"/>
      </w:pPr>
      <w:r>
        <w:t xml:space="preserve">Whilst the idea of a case study and critical incident is to look at singular examples and incidents, it is important not to look at it in isolation. </w:t>
      </w:r>
      <w:r w:rsidR="00451AED">
        <w:t>It can be critically analysed by looking at Donaldson’s Four Purposes (2015,</w:t>
      </w:r>
      <w:r w:rsidR="00B5460D">
        <w:t xml:space="preserve"> p.</w:t>
      </w:r>
      <w:r w:rsidR="00451AED">
        <w:t xml:space="preserve"> 4). These are the underlying principles in the new Welsh curriculum, and have the aim that all children and  young people will be “ambitious capable learners, ready to learn throughout their lives; ethical, informed citizens, ready to be citizens of Wales and the world; health, confident individuals, ready to lead fulfilling lives as valued members of society; and enterprising, creative contributors, ready to play a full part in life and work”.  Indeed, t</w:t>
      </w:r>
      <w:r>
        <w:t xml:space="preserve">here is a clear link here to </w:t>
      </w:r>
      <w:r w:rsidR="00451AED">
        <w:t xml:space="preserve">these </w:t>
      </w:r>
      <w:r>
        <w:t xml:space="preserve">Four Purposes; </w:t>
      </w:r>
      <w:r w:rsidR="00AC77C6">
        <w:t>i</w:t>
      </w:r>
      <w:r w:rsidR="00B46632">
        <w:t xml:space="preserve">t </w:t>
      </w:r>
      <w:r>
        <w:t xml:space="preserve">is clear that on receiving some praise, student A began to “have </w:t>
      </w:r>
      <w:r w:rsidR="00B46632">
        <w:t xml:space="preserve">[the] </w:t>
      </w:r>
      <w:r>
        <w:t xml:space="preserve">confidence to participate”, </w:t>
      </w:r>
      <w:r w:rsidR="001F47D0">
        <w:t>and the continued praise had the effect of increasing his confidence</w:t>
      </w:r>
      <w:r w:rsidR="00243E86">
        <w:t xml:space="preserve"> (2015, </w:t>
      </w:r>
      <w:r w:rsidR="00B5460D">
        <w:t>p.</w:t>
      </w:r>
      <w:r w:rsidR="00243E86">
        <w:t xml:space="preserve">31). </w:t>
      </w:r>
      <w:r w:rsidR="00B46632">
        <w:t xml:space="preserve"> </w:t>
      </w:r>
      <w:r w:rsidR="00243E86">
        <w:t>This</w:t>
      </w:r>
      <w:r w:rsidR="00B46632">
        <w:t xml:space="preserve"> in turn </w:t>
      </w:r>
      <w:r w:rsidR="00243E86">
        <w:t xml:space="preserve">relates to another of Donaldson’s Four Purposes: for children to </w:t>
      </w:r>
      <w:r w:rsidR="00AC77C6">
        <w:t xml:space="preserve">be </w:t>
      </w:r>
      <w:r w:rsidR="00243E86">
        <w:t xml:space="preserve">“ambitious, capable learners” (2015, </w:t>
      </w:r>
      <w:r w:rsidR="00B5460D">
        <w:t>p.</w:t>
      </w:r>
      <w:r w:rsidR="00243E86">
        <w:t>31)</w:t>
      </w:r>
      <w:r w:rsidR="001F47D0">
        <w:t xml:space="preserve">. </w:t>
      </w:r>
      <w:r w:rsidR="00243E86">
        <w:t xml:space="preserve">As his confidence grew, he began to “seek and enjoy [the] challenge” of the afternoon tasks. </w:t>
      </w:r>
      <w:proofErr w:type="gramStart"/>
      <w:r w:rsidR="001F47D0">
        <w:t>Therefore</w:t>
      </w:r>
      <w:proofErr w:type="gramEnd"/>
      <w:r w:rsidR="001F47D0">
        <w:t xml:space="preserve"> this critical incident shows that the teacher was successful in this instan</w:t>
      </w:r>
      <w:r w:rsidR="00451EC8">
        <w:t>ce in developing a “confident individual”</w:t>
      </w:r>
      <w:r w:rsidR="00243E86">
        <w:t xml:space="preserve"> and “ambitious capable learner” (2015, </w:t>
      </w:r>
      <w:r w:rsidR="00B5460D">
        <w:t>p.</w:t>
      </w:r>
      <w:r w:rsidR="00243E86">
        <w:t>31)</w:t>
      </w:r>
      <w:r w:rsidR="00451EC8">
        <w:t xml:space="preserve">. On the other hand, however, it could be argued that the fact that all morning he had needed reminding to stay on task suggests that </w:t>
      </w:r>
      <w:r w:rsidR="00EE78DA">
        <w:t xml:space="preserve">his learning environment in the mornings’ lessons might not have been conducive </w:t>
      </w:r>
      <w:r w:rsidR="00AC77C6">
        <w:t xml:space="preserve">to </w:t>
      </w:r>
      <w:r w:rsidR="00B5460D">
        <w:t>n</w:t>
      </w:r>
      <w:r w:rsidR="00243E86">
        <w:t xml:space="preserve">either </w:t>
      </w:r>
      <w:r w:rsidR="00EE78DA">
        <w:t>building his confidence</w:t>
      </w:r>
      <w:r w:rsidR="00243E86">
        <w:t xml:space="preserve"> </w:t>
      </w:r>
      <w:r w:rsidR="00AC77C6">
        <w:t>n</w:t>
      </w:r>
      <w:r w:rsidR="00243E86">
        <w:t xml:space="preserve">or </w:t>
      </w:r>
      <w:r w:rsidR="00B97EAE">
        <w:t>creating ambitious learners</w:t>
      </w:r>
      <w:r w:rsidR="00EE78DA">
        <w:t xml:space="preserve">. This leads to the question: if the teacher had praised student A in the morning, would his attitude to learning and his self-confidence </w:t>
      </w:r>
      <w:r w:rsidR="00B97EAE">
        <w:t xml:space="preserve">and drive </w:t>
      </w:r>
      <w:r w:rsidR="00AC77C6">
        <w:t xml:space="preserve">have </w:t>
      </w:r>
      <w:r w:rsidR="00EE78DA">
        <w:t xml:space="preserve">changed earlier? </w:t>
      </w:r>
      <w:r w:rsidR="00B97EAE">
        <w:t xml:space="preserve">Clearly, we cannot know the answer to this. There are many reasons that could have </w:t>
      </w:r>
      <w:r w:rsidR="00B97EAE">
        <w:lastRenderedPageBreak/>
        <w:t>influenced his change in attitude, that may have nothing to do with the teacher’s praise. He might have preferred the task, for example, or the subject. Maybe he wasn’t hungry after lunch, but he had been before. Without further observation</w:t>
      </w:r>
      <w:r w:rsidR="00AC77C6">
        <w:t>, and perhaps without interviewing him and directly asking,</w:t>
      </w:r>
      <w:r w:rsidR="00B97EAE">
        <w:t xml:space="preserve"> we cannot know.</w:t>
      </w:r>
      <w:r w:rsidR="00AC77C6">
        <w:t xml:space="preserve"> Therein lies a problem of observation: it is difficult to link cause with effect.</w:t>
      </w:r>
      <w:r w:rsidR="00B97EAE">
        <w:t xml:space="preserve"> </w:t>
      </w:r>
      <w:proofErr w:type="gramStart"/>
      <w:r w:rsidR="00B97EAE">
        <w:t>However</w:t>
      </w:r>
      <w:proofErr w:type="gramEnd"/>
      <w:r w:rsidR="00B97EAE">
        <w:t xml:space="preserve"> I do believe that there was a clear link between him receiving the praise and his change in attitude. This has made me research further the importance of praise in behaviour management.</w:t>
      </w:r>
    </w:p>
    <w:p w14:paraId="649BD28F" w14:textId="77777777" w:rsidR="00DF0DCB" w:rsidRDefault="00DF0DCB" w:rsidP="00252B4A">
      <w:pPr>
        <w:spacing w:line="360" w:lineRule="auto"/>
      </w:pPr>
    </w:p>
    <w:p w14:paraId="6C62B064" w14:textId="175F9466" w:rsidR="001B3AC0" w:rsidRDefault="00452BC3" w:rsidP="00252B4A">
      <w:pPr>
        <w:spacing w:line="360" w:lineRule="auto"/>
      </w:pPr>
      <w:r>
        <w:t xml:space="preserve">The idea of praise as a form of behaviour management is a behaviourism </w:t>
      </w:r>
      <w:r w:rsidR="00B1248F">
        <w:t>idea</w:t>
      </w:r>
      <w:r>
        <w:t xml:space="preserve">. Behaviourism is the idea that both positive and negative reinforcement increase the probability that the desired behaviour will occur again. </w:t>
      </w:r>
      <w:r w:rsidR="00AE10AA">
        <w:t xml:space="preserve">Particularly relevant here is Skinner’s idea of </w:t>
      </w:r>
      <w:r w:rsidR="00B1248F">
        <w:t>o</w:t>
      </w:r>
      <w:r w:rsidR="00AE10AA">
        <w:t>perant conditioning; the idea that indi</w:t>
      </w:r>
      <w:r w:rsidR="00B1248F">
        <w:t>vi</w:t>
      </w:r>
      <w:r w:rsidR="00AE10AA">
        <w:t xml:space="preserve">duals make a connection between a </w:t>
      </w:r>
      <w:r w:rsidR="00B1248F">
        <w:t xml:space="preserve">particular behaviour and a response or consequence (Skinner, 1938). In this instance, student A made the connection </w:t>
      </w:r>
      <w:r w:rsidR="00931C8E">
        <w:t>between</w:t>
      </w:r>
      <w:r w:rsidR="00B1248F">
        <w:t xml:space="preserve"> completing his task </w:t>
      </w:r>
      <w:proofErr w:type="gramStart"/>
      <w:r w:rsidR="00B1248F">
        <w:t>quickly, and</w:t>
      </w:r>
      <w:proofErr w:type="gramEnd"/>
      <w:r w:rsidR="00B1248F">
        <w:t xml:space="preserve"> receiving praise. </w:t>
      </w:r>
      <w:r w:rsidR="008610B2">
        <w:t>He then</w:t>
      </w:r>
      <w:r w:rsidR="008C7AAF">
        <w:t xml:space="preserve"> continued to</w:t>
      </w:r>
      <w:r w:rsidR="008610B2">
        <w:t xml:space="preserve"> repeat his action of finishing his task quickly</w:t>
      </w:r>
      <w:r w:rsidR="004766D6">
        <w:t xml:space="preserve"> and </w:t>
      </w:r>
      <w:proofErr w:type="gramStart"/>
      <w:r w:rsidR="004766D6">
        <w:t>accurately</w:t>
      </w:r>
      <w:r w:rsidR="008610B2">
        <w:t>, and</w:t>
      </w:r>
      <w:proofErr w:type="gramEnd"/>
      <w:r w:rsidR="008610B2">
        <w:t xml:space="preserve"> received more praise. Arguably, therefore, the teacher has created an operating conditioning environment in this instance, in that she wanted the student to complete his tasks quickly and accurately, and by giving praise when this behaviour was completed, the behaviour was repeated.</w:t>
      </w:r>
    </w:p>
    <w:p w14:paraId="6993044F" w14:textId="31B35AB0" w:rsidR="008C7AAF" w:rsidRDefault="008C7AAF" w:rsidP="00252B4A">
      <w:pPr>
        <w:spacing w:line="360" w:lineRule="auto"/>
      </w:pPr>
      <w:r>
        <w:t xml:space="preserve">Influenced by both behavioural learning theory and the principles of operant conditioning, Spilt et. al. (2016, </w:t>
      </w:r>
      <w:r w:rsidR="00B5460D">
        <w:t>p.</w:t>
      </w:r>
      <w:r>
        <w:t>733) claim that there is a “consensus about the importance of positive reinforcement of appropriate behaviour using contingent praise for prevention of oppositional behaviour”, and that this leads to more on-task student behaviour.</w:t>
      </w:r>
      <w:r w:rsidR="00525EFF">
        <w:t xml:space="preserve"> </w:t>
      </w:r>
      <w:proofErr w:type="spellStart"/>
      <w:r w:rsidR="0085268C">
        <w:t>Gewertz</w:t>
      </w:r>
      <w:proofErr w:type="spellEnd"/>
      <w:r w:rsidR="0085268C">
        <w:t xml:space="preserve"> (2020) agrees that the higher the teachers’ praise to reprimand ration, the more students’ focus stays on-task. </w:t>
      </w:r>
      <w:r w:rsidR="00525EFF">
        <w:t xml:space="preserve">Arguably, this is what happened in this case study: throughout the morning student A was consistently called up for not being on task. These reprimands resulted in him focusing for a very short amount of time, before going off task again. Whereas in the afternoon, he was praised for his short burst of on-task behaviour, which led to him continuing </w:t>
      </w:r>
      <w:r w:rsidR="0012225F">
        <w:t>his on-task behaviour.</w:t>
      </w:r>
    </w:p>
    <w:p w14:paraId="6E093019" w14:textId="63F1D01D" w:rsidR="0085268C" w:rsidRPr="00370B2A" w:rsidRDefault="0085268C" w:rsidP="00252B4A">
      <w:pPr>
        <w:spacing w:line="360" w:lineRule="auto"/>
      </w:pPr>
      <w:r>
        <w:t>Praise for the sake of praise, however, can be counter-productive</w:t>
      </w:r>
      <w:r w:rsidR="004766D6">
        <w:t>;</w:t>
      </w:r>
      <w:r>
        <w:t xml:space="preserve"> </w:t>
      </w:r>
      <w:proofErr w:type="spellStart"/>
      <w:r>
        <w:t>Floress</w:t>
      </w:r>
      <w:proofErr w:type="spellEnd"/>
      <w:r>
        <w:t xml:space="preserve"> (2017</w:t>
      </w:r>
      <w:r w:rsidR="004F369F">
        <w:t xml:space="preserve">, </w:t>
      </w:r>
      <w:r w:rsidR="00B5460D">
        <w:t>p.</w:t>
      </w:r>
      <w:r w:rsidR="004F369F">
        <w:t>228)</w:t>
      </w:r>
      <w:r>
        <w:t xml:space="preserve"> argues that praise must be “behaviour-specific, contingent, genuine and directed toward an academic skill” for it to be most effective</w:t>
      </w:r>
      <w:r w:rsidR="00370B2A">
        <w:t xml:space="preserve">. Indeed, in their </w:t>
      </w:r>
      <w:r w:rsidR="00370B2A" w:rsidRPr="00370B2A">
        <w:rPr>
          <w:i/>
          <w:iCs/>
        </w:rPr>
        <w:t>Good Behaviour Game</w:t>
      </w:r>
      <w:r w:rsidR="00370B2A">
        <w:rPr>
          <w:i/>
          <w:iCs/>
        </w:rPr>
        <w:t xml:space="preserve"> </w:t>
      </w:r>
      <w:r w:rsidR="00370B2A">
        <w:t>experiment, Spilt et. al. (2016) concluded that the higher the level of pra</w:t>
      </w:r>
      <w:r w:rsidR="00120F6A">
        <w:t>is</w:t>
      </w:r>
      <w:r w:rsidR="00370B2A">
        <w:t>e for compliant behaviours combined with the lower level of reprimands for non-compliant behaviours result</w:t>
      </w:r>
      <w:r w:rsidR="00352258">
        <w:t>ed in enhanced children’s development over the course of the school year.</w:t>
      </w:r>
    </w:p>
    <w:p w14:paraId="1FEC1E40" w14:textId="2EDDD94E" w:rsidR="0012225F" w:rsidRDefault="0012225F" w:rsidP="00252B4A">
      <w:pPr>
        <w:spacing w:line="360" w:lineRule="auto"/>
      </w:pPr>
      <w:r>
        <w:lastRenderedPageBreak/>
        <w:t xml:space="preserve">Interestingly, Spilt et. al. (2016) state that, </w:t>
      </w:r>
      <w:r w:rsidR="004766D6">
        <w:t xml:space="preserve">despite </w:t>
      </w:r>
      <w:r>
        <w:t xml:space="preserve">the importance of positive behaviour reinforcement through praise </w:t>
      </w:r>
      <w:r w:rsidR="004766D6">
        <w:t xml:space="preserve">being </w:t>
      </w:r>
      <w:r>
        <w:t>widely recognised in educational practice, it is yet to filter into pedagogical change in the classroom, with praise to reprimand ratios tending to be low.</w:t>
      </w:r>
      <w:r w:rsidR="0097091A">
        <w:t xml:space="preserve"> Of course, this varies with each practitioner, and even then, influenced further by particular classroom dynamics.</w:t>
      </w:r>
      <w:r w:rsidR="0085268C">
        <w:t xml:space="preserve"> </w:t>
      </w:r>
      <w:r w:rsidR="00E11E2F">
        <w:t>Despite this, however, there is a clear argument for teachers to focus on their own praise to reprimand ratios in their individual classrooms as a behaviour management strategy.</w:t>
      </w:r>
    </w:p>
    <w:p w14:paraId="740B0999" w14:textId="7E31FA09" w:rsidR="008610B2" w:rsidRDefault="004F369F" w:rsidP="00252B4A">
      <w:pPr>
        <w:spacing w:line="360" w:lineRule="auto"/>
      </w:pPr>
      <w:r>
        <w:t xml:space="preserve">Not everyone agrees with this strategy, however. Praise is a form of reward, and Kohn (1999, </w:t>
      </w:r>
      <w:r w:rsidR="00B5460D">
        <w:t>pps</w:t>
      </w:r>
      <w:r>
        <w:t>4, 51) argues that both reward and punishment are nothing more than the manipulation of behaviour, and that rewarding people for their compliance is “not the way the world works”. Furthermore, he argues that rewards actually punish. It punishes those who do not receive the reward, as it is demoralising to miss out. A solution to this would be to reward everyone</w:t>
      </w:r>
      <w:r w:rsidR="00543014">
        <w:t xml:space="preserve">, regardless of merit and behaviour. Indeed, there has been a trend in this, </w:t>
      </w:r>
      <w:r w:rsidR="00543014" w:rsidRPr="00B5460D">
        <w:t>with some schools awarding everyone participation rewards in sports day, for example, and not having any winners of races.</w:t>
      </w:r>
      <w:r w:rsidR="00543014">
        <w:t xml:space="preserve"> Indeed, while everyone who participates is a winner, as they had the joy of getting involved, being a part of a team, and certainly deserve credit for this. Is it right that those who came first in a race did not ‘win’ that </w:t>
      </w:r>
      <w:proofErr w:type="gramStart"/>
      <w:r w:rsidR="00543014">
        <w:t>race</w:t>
      </w:r>
      <w:proofErr w:type="gramEnd"/>
      <w:r w:rsidR="00543014">
        <w:t xml:space="preserve"> however? Afterall, everybody has different strengths and weaknesses, and it is important that children realise this. This certainly goes against </w:t>
      </w:r>
      <w:proofErr w:type="spellStart"/>
      <w:r w:rsidR="00543014">
        <w:t>Floress</w:t>
      </w:r>
      <w:proofErr w:type="spellEnd"/>
      <w:r w:rsidR="00543014">
        <w:t xml:space="preserve">’ </w:t>
      </w:r>
      <w:r w:rsidR="00734C02">
        <w:t>(</w:t>
      </w:r>
      <w:r w:rsidR="00120F6A">
        <w:t xml:space="preserve">2017) </w:t>
      </w:r>
      <w:r w:rsidR="00543014">
        <w:t xml:space="preserve">premise that praise should be targeted and genuine. </w:t>
      </w:r>
      <w:r w:rsidR="00120F6A">
        <w:t>Afterall, if everybody receives praise regardless of their behaviour, where is the motivation to behave?</w:t>
      </w:r>
    </w:p>
    <w:p w14:paraId="2E8D35C3" w14:textId="12D601A3" w:rsidR="00C045DC" w:rsidRDefault="002613B6" w:rsidP="00252B4A">
      <w:pPr>
        <w:spacing w:line="360" w:lineRule="auto"/>
      </w:pPr>
      <w:r>
        <w:t xml:space="preserve">Kohn </w:t>
      </w:r>
      <w:r w:rsidR="00056F9F">
        <w:t xml:space="preserve">(1999, </w:t>
      </w:r>
      <w:r w:rsidR="00B5460D">
        <w:t>p.</w:t>
      </w:r>
      <w:r w:rsidR="00056F9F">
        <w:t xml:space="preserve">161) </w:t>
      </w:r>
      <w:r>
        <w:t xml:space="preserve">takes this further, however. He argues that </w:t>
      </w:r>
      <w:r w:rsidR="00056F9F">
        <w:t>good values have to be grown from the inside out, and that although praise and punishments can change behaviour in the short term, they cannot change the person who engages in that behaviour. Whilst it is true that not all individuals can be reached to the extent that many teaching practitioners would want, the research from the vast advocates of positive reinforcement in behaviour management suggest that there is, in fact, a clear correlation in increased praise and an increase in desired behaviour.</w:t>
      </w:r>
    </w:p>
    <w:p w14:paraId="1B75EC15" w14:textId="021961A0" w:rsidR="00B47898" w:rsidRDefault="00C80CE8" w:rsidP="00252B4A">
      <w:pPr>
        <w:spacing w:line="360" w:lineRule="auto"/>
      </w:pPr>
      <w:r>
        <w:t xml:space="preserve">The use of praise in the classroom does not only affect the behaviour of the child being praised; Spilt et. al. (2016) argues that praise and reprimands also shape the socio-emotional functioning of all the children in the classroom. </w:t>
      </w:r>
      <w:r w:rsidR="00982A90">
        <w:t xml:space="preserve">According to </w:t>
      </w:r>
      <w:proofErr w:type="spellStart"/>
      <w:r w:rsidR="00982A90">
        <w:t>Cadima</w:t>
      </w:r>
      <w:proofErr w:type="spellEnd"/>
      <w:r w:rsidR="00982A90">
        <w:t xml:space="preserve"> et. al. (2015), a vast body of research shows that positive child-teacher relationships, which include high levels of closeness, warmth and reciprocal support, can enhance children’s development both socially and academically.  Similarly, </w:t>
      </w:r>
      <w:r w:rsidR="007372D6">
        <w:t xml:space="preserve">perceived negative child-teacher relationships, such as a high number of conflicts and disagreements between the child and teacher, have been shown to </w:t>
      </w:r>
      <w:r w:rsidR="007372D6">
        <w:lastRenderedPageBreak/>
        <w:t>have a negative impact on the child’s school success.</w:t>
      </w:r>
      <w:r w:rsidR="00B07718">
        <w:t xml:space="preserve"> Spilt et. al. (2016</w:t>
      </w:r>
      <w:r w:rsidR="00C531F1">
        <w:t xml:space="preserve">, </w:t>
      </w:r>
      <w:r w:rsidR="00B5460D">
        <w:t>p.</w:t>
      </w:r>
      <w:r w:rsidR="00C531F1">
        <w:t xml:space="preserve">738) </w:t>
      </w:r>
      <w:r w:rsidR="00B07718">
        <w:t xml:space="preserve">agree, arguing that a “predictable, friendly, and safe” environment is created </w:t>
      </w:r>
      <w:r w:rsidR="00C531F1">
        <w:t>by frequently praising appropriate behaviour, and this encourages children to engage in social interactions. Whereas, worryingly</w:t>
      </w:r>
      <w:r w:rsidR="00197572">
        <w:t xml:space="preserve">, </w:t>
      </w:r>
      <w:r w:rsidR="00C531F1">
        <w:t xml:space="preserve">though perhaps </w:t>
      </w:r>
      <w:r w:rsidR="002D342C">
        <w:t>un</w:t>
      </w:r>
      <w:r w:rsidR="00C531F1">
        <w:t>surprisingly, higher rates of reprimands have been associated with a decrease in children’s self-worth.</w:t>
      </w:r>
      <w:r w:rsidR="00197572">
        <w:t xml:space="preserve"> </w:t>
      </w:r>
    </w:p>
    <w:p w14:paraId="06BF2AB9" w14:textId="6622055C" w:rsidR="00056F9F" w:rsidRDefault="002D342C" w:rsidP="00252B4A">
      <w:pPr>
        <w:spacing w:line="360" w:lineRule="auto"/>
      </w:pPr>
      <w:r>
        <w:t xml:space="preserve"> There has been a surge on the focus of wellbeing recently, due in part to reports such as the United Nations Children’s Fund report on child wellbeing in rich countries (UNICEF, 2007</w:t>
      </w:r>
      <w:r w:rsidR="000679BA">
        <w:t xml:space="preserve">, </w:t>
      </w:r>
      <w:r w:rsidR="00B5460D">
        <w:t>pps</w:t>
      </w:r>
      <w:r w:rsidR="000679BA">
        <w:t>2-3</w:t>
      </w:r>
      <w:r>
        <w:t xml:space="preserve">), which suggested that children  and young people were unsatisfied with their lives, </w:t>
      </w:r>
      <w:r w:rsidR="000679BA">
        <w:t xml:space="preserve">less happy, and have a poor quality of life. Concerningly, </w:t>
      </w:r>
      <w:r w:rsidR="00570EC9">
        <w:t>t</w:t>
      </w:r>
      <w:r w:rsidR="000679BA">
        <w:t>he United Kingdom were in the bottom third of rankings for five of the six different dimensions of child-wellbeing.</w:t>
      </w:r>
      <w:r w:rsidR="00433F96">
        <w:t xml:space="preserve"> </w:t>
      </w:r>
      <w:r w:rsidR="00D30148">
        <w:t xml:space="preserve">The fact that </w:t>
      </w:r>
      <w:r w:rsidR="00D45245">
        <w:t xml:space="preserve">Wales </w:t>
      </w:r>
      <w:r w:rsidR="00D30148">
        <w:t>is not only</w:t>
      </w:r>
      <w:r w:rsidR="00D45245">
        <w:t xml:space="preserve"> incorporating wellbeing into school </w:t>
      </w:r>
      <w:proofErr w:type="gramStart"/>
      <w:r w:rsidR="00D45245">
        <w:t xml:space="preserve">life, </w:t>
      </w:r>
      <w:r w:rsidR="00D30148">
        <w:t>but</w:t>
      </w:r>
      <w:proofErr w:type="gramEnd"/>
      <w:r w:rsidR="00D30148">
        <w:t xml:space="preserve"> putting it</w:t>
      </w:r>
      <w:r w:rsidR="00D45245">
        <w:t xml:space="preserve"> at the heart of the new curriculum</w:t>
      </w:r>
      <w:r w:rsidR="00D30148">
        <w:t xml:space="preserve"> reflects the findings of research that shows a correlation in wellbeing and school and social performance</w:t>
      </w:r>
      <w:r w:rsidR="00DD16A9">
        <w:t xml:space="preserve"> </w:t>
      </w:r>
      <w:r>
        <w:t>(Donaldson 2015)</w:t>
      </w:r>
      <w:r w:rsidR="00D45245">
        <w:t xml:space="preserve">. </w:t>
      </w:r>
    </w:p>
    <w:p w14:paraId="374F5262" w14:textId="27556A1C" w:rsidR="00570EC9" w:rsidRDefault="00570EC9" w:rsidP="00252B4A">
      <w:pPr>
        <w:spacing w:line="360" w:lineRule="auto"/>
      </w:pPr>
      <w:r>
        <w:t>However, Wang et al. (2020) highlight a weakness of wellbeing research, claiming that classroom climate effects on pupils’ outcomes could also be due to differences such as in child characteristics and study design, as well as age, ethnicity and socioeconomic status. It is difficult to attribute clear causes and effects to any one particular dimension, including wellbeing.</w:t>
      </w:r>
    </w:p>
    <w:p w14:paraId="12D47F7A" w14:textId="3F3D57D4" w:rsidR="00C864B4" w:rsidRDefault="00C864B4" w:rsidP="00252B4A">
      <w:pPr>
        <w:spacing w:line="360" w:lineRule="auto"/>
      </w:pPr>
      <w:r>
        <w:t xml:space="preserve">Having said this, although the cause and effect of wellbeing may be difficult to measure, </w:t>
      </w:r>
      <w:r>
        <w:t>there is a clear consensus that</w:t>
      </w:r>
      <w:r>
        <w:t xml:space="preserve"> there is a positive correlation, and it goes beyond praise in the classroom. </w:t>
      </w:r>
      <w:r w:rsidR="00573C80">
        <w:t>Wang et al.</w:t>
      </w:r>
      <w:r w:rsidR="005247FB">
        <w:t>’s</w:t>
      </w:r>
      <w:r w:rsidR="00573C80">
        <w:t xml:space="preserve"> (2020) </w:t>
      </w:r>
      <w:r w:rsidR="005247FB">
        <w:t>research shows that higher maths achievement is more likely when teachers have high expectations of their students, and ensure instructions are relevant and meaningful to students’ daily lives and interests. Although this research has been inconclusive of primary age pupils, there is some evidence to suggest that in this age too, high expectations of pupils can lead to higher results.</w:t>
      </w:r>
    </w:p>
    <w:p w14:paraId="2F5F38F5" w14:textId="71DE5A30" w:rsidR="00A07142" w:rsidRDefault="00A07142" w:rsidP="00252B4A">
      <w:pPr>
        <w:spacing w:line="360" w:lineRule="auto"/>
      </w:pPr>
      <w:r>
        <w:t xml:space="preserve">Arguably even more importantly, Wang et al.’s (2020, </w:t>
      </w:r>
      <w:r w:rsidR="00B5460D">
        <w:t>p.</w:t>
      </w:r>
      <w:r>
        <w:t>3) research suggests that pupils who “perceived classroom endorsement of personal improvement and effort”, rather than of high performance and competition for grades, reported a greater enjoyment in learning. Perhaps, therefore, the endorsement that student A received for his effort in the first task helped to increase his enjoyment in the task, which could be the reason that he continued to stay focused. It certainly seemed to increase his confidence for the remainder of the lesson.</w:t>
      </w:r>
    </w:p>
    <w:p w14:paraId="21105CB7" w14:textId="0154F5BA" w:rsidR="00D609A5" w:rsidRDefault="00EA7540" w:rsidP="00252B4A">
      <w:pPr>
        <w:spacing w:line="360" w:lineRule="auto"/>
      </w:pPr>
      <w:r>
        <w:t>Finally, Jang (2012) states that the more that teachers respect their pupils and provide them with social support, the higher the correlation of student-intrinsic motivation.</w:t>
      </w:r>
      <w:r w:rsidR="00882E48">
        <w:t xml:space="preserve"> Evidently, if the wellbeing of the student is high, the more motivated and engaged they are, the more they </w:t>
      </w:r>
      <w:r w:rsidR="00882E48">
        <w:lastRenderedPageBreak/>
        <w:t>enjoy learning, and the higher the</w:t>
      </w:r>
      <w:r w:rsidR="000C187C">
        <w:t>ir</w:t>
      </w:r>
      <w:r w:rsidR="00882E48">
        <w:t xml:space="preserve"> grades will be. Clearly, the wellbeing of the child is fundamental in their ability to learn.</w:t>
      </w:r>
    </w:p>
    <w:p w14:paraId="3E3F412D" w14:textId="77777777" w:rsidR="00252B4A" w:rsidRDefault="00252B4A" w:rsidP="00252B4A">
      <w:pPr>
        <w:spacing w:line="360" w:lineRule="auto"/>
      </w:pPr>
    </w:p>
    <w:p w14:paraId="69260AF8" w14:textId="2AA605F5" w:rsidR="00195350" w:rsidRDefault="00195350" w:rsidP="00252B4A">
      <w:pPr>
        <w:spacing w:line="360" w:lineRule="auto"/>
      </w:pPr>
      <w:r>
        <w:t xml:space="preserve">Brookfield </w:t>
      </w:r>
      <w:r w:rsidR="00A771FD">
        <w:t xml:space="preserve">(1995) </w:t>
      </w:r>
      <w:r>
        <w:t>believes that good teachers continually critically reflect on their teaching practice, with the aim of gaining an increased awareness of his or her teaching from as many different vantages as possible. With this in mind, he proposes four lenses in which teachers can engage with for critical reflection: the autobiographical, the students’ eyes, our colleagues’ experiences and theoretical literature.</w:t>
      </w:r>
    </w:p>
    <w:p w14:paraId="4912971C" w14:textId="27AAF22F" w:rsidR="0016544A" w:rsidRDefault="0016544A" w:rsidP="00252B4A">
      <w:pPr>
        <w:spacing w:line="360" w:lineRule="auto"/>
      </w:pPr>
      <w:r>
        <w:t xml:space="preserve">This case study has provided me with a lot to reflect on as I approach my own teaching journey. Seeing the impact of a little praise to a pupil has made me realise not only how important praise is for the individual’s motivation, as Jang (2012) suggests, but also as a behavioural management strategy. </w:t>
      </w:r>
      <w:r w:rsidR="00AF3920">
        <w:t xml:space="preserve">The idea of positive reinforcement of appropriate behaviour using praise in order to prevent disruptive behaviour is certainly an interesting </w:t>
      </w:r>
      <w:proofErr w:type="gramStart"/>
      <w:r w:rsidR="00AF3920">
        <w:t>one, and</w:t>
      </w:r>
      <w:proofErr w:type="gramEnd"/>
      <w:r w:rsidR="00AF3920">
        <w:t xml:space="preserve"> is something that I would like to explore further during my own teaching practise (</w:t>
      </w:r>
      <w:r w:rsidR="00AF3920">
        <w:t>Spilt et. al.</w:t>
      </w:r>
      <w:r w:rsidR="00FB13CF">
        <w:t>,</w:t>
      </w:r>
      <w:r w:rsidR="00AF3920">
        <w:t xml:space="preserve"> 2016</w:t>
      </w:r>
      <w:r w:rsidR="00AF3920">
        <w:t>). It is far easier to see disruptive behaviour and respond with a reprimand, and it is very easy for that to become instinctive.</w:t>
      </w:r>
      <w:r w:rsidR="006B3844">
        <w:t xml:space="preserve"> Yet I know from my own experience as a learner, that I am far more motivated if I receive praise in something, as it not only makes me feel good about myself, but it reassures me that I can do it, and spurs me on to keep going. Going forward, I will endeavour to remember this from the students’ </w:t>
      </w:r>
      <w:proofErr w:type="gramStart"/>
      <w:r w:rsidR="006B3844">
        <w:t>eyes, and</w:t>
      </w:r>
      <w:proofErr w:type="gramEnd"/>
      <w:r w:rsidR="006B3844">
        <w:t xml:space="preserve"> will focus on having a high </w:t>
      </w:r>
      <w:r w:rsidR="00FB13CF">
        <w:t xml:space="preserve">praise to </w:t>
      </w:r>
      <w:r w:rsidR="006B3844">
        <w:t xml:space="preserve">reprimand ratio. A good starting point for this will be to play Spilt et. al.’s (2016, </w:t>
      </w:r>
      <w:r w:rsidR="00B5460D">
        <w:t>p.</w:t>
      </w:r>
      <w:r w:rsidR="006B3844">
        <w:t xml:space="preserve">734) </w:t>
      </w:r>
      <w:r w:rsidR="006B3844">
        <w:rPr>
          <w:i/>
          <w:iCs/>
        </w:rPr>
        <w:t>The Good Behaviour Game</w:t>
      </w:r>
      <w:r w:rsidR="006B3844">
        <w:t xml:space="preserve">, a team game that uses cards that are taken away rather than a verbal reprimand. </w:t>
      </w:r>
    </w:p>
    <w:p w14:paraId="1817DC78" w14:textId="4201D1EB" w:rsidR="006B3844" w:rsidRDefault="008C2885" w:rsidP="00252B4A">
      <w:pPr>
        <w:spacing w:line="360" w:lineRule="auto"/>
      </w:pPr>
      <w:r>
        <w:t>This case study has also further highlighted the real importance of student wellbeing. It is perhaps obvious that wellbeing is crucial to a person’s health. However it is perhaps not so obvious j</w:t>
      </w:r>
      <w:r w:rsidR="00B10597">
        <w:t>u</w:t>
      </w:r>
      <w:r>
        <w:t>st how much wellbeing can affect a person’s ability to learn</w:t>
      </w:r>
      <w:r w:rsidR="0081037E">
        <w:t>;</w:t>
      </w:r>
      <w:r w:rsidR="00FB13CF">
        <w:t xml:space="preserve"> </w:t>
      </w:r>
      <w:r w:rsidR="0081037E">
        <w:t>t</w:t>
      </w:r>
      <w:r w:rsidR="00FB13CF">
        <w:t>he wealth of research shows that better student-teacher relationships and a positive learning environment can improve self-regulation (</w:t>
      </w:r>
      <w:proofErr w:type="spellStart"/>
      <w:r w:rsidR="00FB13CF">
        <w:t>Cadima</w:t>
      </w:r>
      <w:proofErr w:type="spellEnd"/>
      <w:r w:rsidR="00FB13CF">
        <w:t xml:space="preserve">, 2015), increase student-intrinsic motivation (Jang 2012) </w:t>
      </w:r>
      <w:r w:rsidR="0081037E">
        <w:t>and increase their sense of security and self-esteem (Spilt et. al, 2016).</w:t>
      </w:r>
      <w:r w:rsidR="00334BF2">
        <w:t xml:space="preserve"> A positive and safe learning environment is really important, and something that I am going to work hard on going forward. Creating a positive environment with a high ratio of praise to reprimands is linked with this, but it involves a lot more. Creating positive teacher-student relationship</w:t>
      </w:r>
      <w:r w:rsidR="005B3069">
        <w:t>s</w:t>
      </w:r>
      <w:r w:rsidR="00334BF2">
        <w:t xml:space="preserve"> is really important in this, and </w:t>
      </w:r>
      <w:proofErr w:type="spellStart"/>
      <w:r w:rsidR="00334BF2">
        <w:t>Cadima</w:t>
      </w:r>
      <w:proofErr w:type="spellEnd"/>
      <w:r w:rsidR="00334BF2">
        <w:t xml:space="preserve"> (2015) suggests that this is done by emitting warmth, closeness and providing reciprocal support, while Wang et al. (2020) highlights the teacher’s respect for students and the provision of social support helps in creating a positive classroom </w:t>
      </w:r>
      <w:r w:rsidR="00334BF2">
        <w:lastRenderedPageBreak/>
        <w:t>environment.</w:t>
      </w:r>
      <w:r w:rsidR="005B3069">
        <w:t xml:space="preserve"> I intend to work hard at creating strong, positive relationships with each of my students, by not only being warm and supportive, but by getting to know their interests, asking their opinions, and incorporating these into lessons whenever possible. </w:t>
      </w:r>
      <w:r w:rsidR="002C51B7">
        <w:t>I will also continue my professional development by looking into wellbeing lessons that I can use in the classroom, to look further at individual wellbeing as well as class wellbeing.</w:t>
      </w:r>
    </w:p>
    <w:p w14:paraId="69107F23" w14:textId="77777777" w:rsidR="00252B4A" w:rsidRDefault="00252B4A" w:rsidP="00252B4A">
      <w:pPr>
        <w:spacing w:line="360" w:lineRule="auto"/>
      </w:pPr>
    </w:p>
    <w:p w14:paraId="5ADF0361" w14:textId="1BB42587" w:rsidR="00453B57" w:rsidRPr="00BC645A" w:rsidRDefault="00453B57" w:rsidP="00252B4A">
      <w:pPr>
        <w:spacing w:line="360" w:lineRule="auto"/>
      </w:pPr>
      <w:r>
        <w:t xml:space="preserve">In conclusion, this case study looked at a critical incident that took place in a year six classroom that was identified through observation. This critical incident, of a boy who had been </w:t>
      </w:r>
      <w:proofErr w:type="gramStart"/>
      <w:r>
        <w:t>off-task</w:t>
      </w:r>
      <w:proofErr w:type="gramEnd"/>
      <w:r>
        <w:t xml:space="preserve"> all morning but praised for completing a task in the afternoon, was then analysed through looking into how it fit in with Donaldson’s Four Purposes.</w:t>
      </w:r>
      <w:r w:rsidR="00BC645A">
        <w:t xml:space="preserve"> It became apparent that this critical incident linked with “ambitious, capable learners” and “healthy, confident individuals” (Donaldson, 2015). This then led to look at recent research conducted in the areas of praise as a form of behaviour management, and wellbeing in the classroom. From this research it is clear that praise is an effective form of classroom management, and higher uses of praise versus reprimands can lead to more desired behaviour. This also linked with class wellbeing, as a positive classroom environment is fundamental in a child’s wellbeing, and this in turn is crucial to the child’s ability to learn. Importantly, this case study has resulted in professional reflection; it has not only developed my pedagogical knowledge on learning outcomes and wellbeing, but also my professional learning with my wider reading and research findings I have decided on some next steps for my own teaching practice. These include focusing on having a high praise to reprimand ratio, which I will use </w:t>
      </w:r>
      <w:r w:rsidR="00BC645A">
        <w:rPr>
          <w:i/>
          <w:iCs/>
        </w:rPr>
        <w:t>The Good Behaviour Game</w:t>
      </w:r>
      <w:r w:rsidR="00BC645A">
        <w:t xml:space="preserve"> to help me achieve this, and focusing on building strong positive relationships with each of my pupils, by providing emotional support, being warm and taking an active interest in each individual’s interests and opinions. Furthermore, I will continue to reflect on my practice and research, as is the role of the reflective practitioner in Wales.</w:t>
      </w:r>
    </w:p>
    <w:p w14:paraId="1FCA45D7" w14:textId="77777777" w:rsidR="00A771FD" w:rsidRDefault="00A771FD" w:rsidP="00252B4A">
      <w:pPr>
        <w:spacing w:line="360" w:lineRule="auto"/>
      </w:pPr>
    </w:p>
    <w:p w14:paraId="6F3E785B" w14:textId="77777777" w:rsidR="00AB6CC9" w:rsidRDefault="00F501D6">
      <w:r>
        <w:br w:type="page"/>
      </w:r>
      <w:r w:rsidR="00AB6CC9">
        <w:rPr>
          <w:noProof/>
        </w:rPr>
        <w:lastRenderedPageBreak/>
        <w:drawing>
          <wp:inline distT="0" distB="0" distL="0" distR="0" wp14:anchorId="2E492C88" wp14:editId="3A5AD967">
            <wp:extent cx="5731510" cy="8802370"/>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8802370"/>
                    </a:xfrm>
                    <a:prstGeom prst="rect">
                      <a:avLst/>
                    </a:prstGeom>
                  </pic:spPr>
                </pic:pic>
              </a:graphicData>
            </a:graphic>
          </wp:inline>
        </w:drawing>
      </w:r>
    </w:p>
    <w:p w14:paraId="302BD78B" w14:textId="77777777" w:rsidR="00AB6CC9" w:rsidRDefault="00AB6CC9">
      <w:r>
        <w:rPr>
          <w:noProof/>
        </w:rPr>
        <w:lastRenderedPageBreak/>
        <w:drawing>
          <wp:inline distT="0" distB="0" distL="0" distR="0" wp14:anchorId="1924AC89" wp14:editId="78A177B8">
            <wp:extent cx="5549900" cy="7226300"/>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549900" cy="7226300"/>
                    </a:xfrm>
                    <a:prstGeom prst="rect">
                      <a:avLst/>
                    </a:prstGeom>
                  </pic:spPr>
                </pic:pic>
              </a:graphicData>
            </a:graphic>
          </wp:inline>
        </w:drawing>
      </w:r>
    </w:p>
    <w:p w14:paraId="0D09342C" w14:textId="77777777" w:rsidR="00AB6CC9" w:rsidRDefault="00AB6CC9"/>
    <w:p w14:paraId="20B2C11F" w14:textId="77777777" w:rsidR="00AB6CC9" w:rsidRDefault="00AB6CC9"/>
    <w:p w14:paraId="28E6739E" w14:textId="77777777" w:rsidR="00AB6CC9" w:rsidRDefault="00AB6CC9"/>
    <w:p w14:paraId="6C0C1C11" w14:textId="5B7B2D83" w:rsidR="00AB6CC9" w:rsidRDefault="00AB6CC9">
      <w:r>
        <w:br w:type="page"/>
      </w:r>
    </w:p>
    <w:p w14:paraId="7A67CE10" w14:textId="77777777" w:rsidR="00AB6CC9" w:rsidRDefault="00AB6CC9">
      <w:r>
        <w:rPr>
          <w:noProof/>
        </w:rPr>
        <w:lastRenderedPageBreak/>
        <w:drawing>
          <wp:inline distT="0" distB="0" distL="0" distR="0" wp14:anchorId="5522ECDD" wp14:editId="000CEA21">
            <wp:extent cx="5731510" cy="8044180"/>
            <wp:effectExtent l="0" t="0" r="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8044180"/>
                    </a:xfrm>
                    <a:prstGeom prst="rect">
                      <a:avLst/>
                    </a:prstGeom>
                  </pic:spPr>
                </pic:pic>
              </a:graphicData>
            </a:graphic>
          </wp:inline>
        </w:drawing>
      </w:r>
    </w:p>
    <w:p w14:paraId="2843A3EE" w14:textId="77777777" w:rsidR="00AB6CC9" w:rsidRDefault="00AB6CC9"/>
    <w:p w14:paraId="4C8E9C7C" w14:textId="783B04CB" w:rsidR="00AB6CC9" w:rsidRDefault="00AB6CC9">
      <w:r>
        <w:br w:type="page"/>
      </w:r>
    </w:p>
    <w:p w14:paraId="6C0925FE" w14:textId="57BD060A" w:rsidR="00AB6CC9" w:rsidRDefault="00AB6CC9">
      <w:r>
        <w:rPr>
          <w:noProof/>
        </w:rPr>
        <w:lastRenderedPageBreak/>
        <w:drawing>
          <wp:inline distT="0" distB="0" distL="0" distR="0" wp14:anchorId="099DA43F" wp14:editId="0A911E94">
            <wp:extent cx="5731510" cy="8696325"/>
            <wp:effectExtent l="0" t="0" r="0" b="3175"/>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8696325"/>
                    </a:xfrm>
                    <a:prstGeom prst="rect">
                      <a:avLst/>
                    </a:prstGeom>
                  </pic:spPr>
                </pic:pic>
              </a:graphicData>
            </a:graphic>
          </wp:inline>
        </w:drawing>
      </w:r>
    </w:p>
    <w:p w14:paraId="3D68CFA4" w14:textId="7A2CE9DA" w:rsidR="00AB6CC9" w:rsidRDefault="00AB6CC9"/>
    <w:p w14:paraId="0C96F65A" w14:textId="3369B7CF" w:rsidR="00AB6CC9" w:rsidRDefault="00AB6CC9"/>
    <w:p w14:paraId="375A79F7" w14:textId="5CC4E5D2" w:rsidR="00AB6CC9" w:rsidRDefault="00AB6CC9">
      <w:r>
        <w:rPr>
          <w:noProof/>
        </w:rPr>
        <w:drawing>
          <wp:inline distT="0" distB="0" distL="0" distR="0" wp14:anchorId="08B19258" wp14:editId="3083A4B7">
            <wp:extent cx="5731510" cy="7075805"/>
            <wp:effectExtent l="0" t="0" r="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7075805"/>
                    </a:xfrm>
                    <a:prstGeom prst="rect">
                      <a:avLst/>
                    </a:prstGeom>
                  </pic:spPr>
                </pic:pic>
              </a:graphicData>
            </a:graphic>
          </wp:inline>
        </w:drawing>
      </w:r>
    </w:p>
    <w:p w14:paraId="6CED2B61" w14:textId="77777777" w:rsidR="00AB6CC9" w:rsidRDefault="00AB6CC9"/>
    <w:p w14:paraId="3C1463B3" w14:textId="77777777" w:rsidR="00AB6CC9" w:rsidRDefault="00AB6CC9"/>
    <w:p w14:paraId="6F6C8D85" w14:textId="77777777" w:rsidR="00AB6CC9" w:rsidRDefault="00AB6CC9"/>
    <w:p w14:paraId="2B3DBC65" w14:textId="77777777" w:rsidR="00AB6CC9" w:rsidRDefault="00AB6CC9"/>
    <w:p w14:paraId="647757EA" w14:textId="77777777" w:rsidR="00AB6CC9" w:rsidRDefault="00AB6CC9"/>
    <w:p w14:paraId="03AEE8EA" w14:textId="77777777" w:rsidR="00AB6CC9" w:rsidRDefault="00AB6CC9"/>
    <w:p w14:paraId="302802FB" w14:textId="77777777" w:rsidR="00AB6CC9" w:rsidRDefault="00AB6CC9"/>
    <w:p w14:paraId="4C5BB99E" w14:textId="6C8C83E7" w:rsidR="00AB6CC9" w:rsidRDefault="00AB6CC9"/>
    <w:p w14:paraId="14F00DFE" w14:textId="64F60AB1" w:rsidR="00AB6CC9" w:rsidRDefault="00252B4A">
      <w:r>
        <w:rPr>
          <w:noProof/>
        </w:rPr>
        <w:lastRenderedPageBreak/>
        <w:drawing>
          <wp:inline distT="0" distB="0" distL="0" distR="0" wp14:anchorId="4E051CE3" wp14:editId="4CB174E7">
            <wp:extent cx="5731510" cy="7997190"/>
            <wp:effectExtent l="0" t="0" r="0" b="381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7997190"/>
                    </a:xfrm>
                    <a:prstGeom prst="rect">
                      <a:avLst/>
                    </a:prstGeom>
                  </pic:spPr>
                </pic:pic>
              </a:graphicData>
            </a:graphic>
          </wp:inline>
        </w:drawing>
      </w:r>
    </w:p>
    <w:p w14:paraId="631E1DBB" w14:textId="77777777" w:rsidR="00AB6CC9" w:rsidRDefault="00AB6CC9"/>
    <w:p w14:paraId="3CAC7446" w14:textId="77777777" w:rsidR="00AB6CC9" w:rsidRDefault="00AB6CC9"/>
    <w:p w14:paraId="6830F2A3" w14:textId="77777777" w:rsidR="00AB6CC9" w:rsidRDefault="00AB6CC9"/>
    <w:p w14:paraId="012461C7" w14:textId="77777777" w:rsidR="00AB6CC9" w:rsidRDefault="00AB6CC9"/>
    <w:p w14:paraId="67F56358" w14:textId="4D0FF2E4" w:rsidR="00AB6CC9" w:rsidRDefault="00252B4A">
      <w:r>
        <w:rPr>
          <w:noProof/>
        </w:rPr>
        <w:lastRenderedPageBreak/>
        <w:drawing>
          <wp:inline distT="0" distB="0" distL="0" distR="0" wp14:anchorId="77E5E5F9" wp14:editId="3DE3E3C4">
            <wp:extent cx="5731510" cy="8328660"/>
            <wp:effectExtent l="0" t="0" r="0" b="254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8328660"/>
                    </a:xfrm>
                    <a:prstGeom prst="rect">
                      <a:avLst/>
                    </a:prstGeom>
                  </pic:spPr>
                </pic:pic>
              </a:graphicData>
            </a:graphic>
          </wp:inline>
        </w:drawing>
      </w:r>
    </w:p>
    <w:p w14:paraId="799BC124" w14:textId="77777777" w:rsidR="00AB6CC9" w:rsidRDefault="00AB6CC9"/>
    <w:p w14:paraId="233599C9" w14:textId="77777777" w:rsidR="00AB6CC9" w:rsidRDefault="00AB6CC9"/>
    <w:p w14:paraId="35260AD1" w14:textId="77777777" w:rsidR="00AB6CC9" w:rsidRDefault="00AB6CC9"/>
    <w:p w14:paraId="4B5F71D6" w14:textId="718A85BA" w:rsidR="00AB6CC9" w:rsidRDefault="00252B4A">
      <w:r>
        <w:rPr>
          <w:noProof/>
        </w:rPr>
        <w:lastRenderedPageBreak/>
        <w:drawing>
          <wp:inline distT="0" distB="0" distL="0" distR="0" wp14:anchorId="6A3918DE" wp14:editId="430C3A4F">
            <wp:extent cx="5731510" cy="7769225"/>
            <wp:effectExtent l="0" t="0" r="0" b="3175"/>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7769225"/>
                    </a:xfrm>
                    <a:prstGeom prst="rect">
                      <a:avLst/>
                    </a:prstGeom>
                  </pic:spPr>
                </pic:pic>
              </a:graphicData>
            </a:graphic>
          </wp:inline>
        </w:drawing>
      </w:r>
    </w:p>
    <w:p w14:paraId="19BE91C7" w14:textId="77777777" w:rsidR="00AB6CC9" w:rsidRDefault="00AB6CC9"/>
    <w:p w14:paraId="6004A15E" w14:textId="77777777" w:rsidR="00AB6CC9" w:rsidRDefault="00AB6CC9"/>
    <w:p w14:paraId="6181D13E" w14:textId="77777777" w:rsidR="00AB6CC9" w:rsidRDefault="00AB6CC9"/>
    <w:p w14:paraId="14E25E7B" w14:textId="77777777" w:rsidR="00AB6CC9" w:rsidRDefault="00AB6CC9"/>
    <w:p w14:paraId="3C5675A5" w14:textId="77777777" w:rsidR="00AB6CC9" w:rsidRDefault="00AB6CC9"/>
    <w:p w14:paraId="08764A65" w14:textId="77777777" w:rsidR="00AB6CC9" w:rsidRDefault="00AB6CC9"/>
    <w:p w14:paraId="472DE782" w14:textId="103D2772" w:rsidR="00AB6CC9" w:rsidRDefault="00252B4A">
      <w:r>
        <w:rPr>
          <w:noProof/>
        </w:rPr>
        <w:lastRenderedPageBreak/>
        <w:drawing>
          <wp:inline distT="0" distB="0" distL="0" distR="0" wp14:anchorId="151EE9B4" wp14:editId="58C3A3CE">
            <wp:extent cx="5731510" cy="8586470"/>
            <wp:effectExtent l="0" t="0" r="0" b="0"/>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8586470"/>
                    </a:xfrm>
                    <a:prstGeom prst="rect">
                      <a:avLst/>
                    </a:prstGeom>
                  </pic:spPr>
                </pic:pic>
              </a:graphicData>
            </a:graphic>
          </wp:inline>
        </w:drawing>
      </w:r>
    </w:p>
    <w:p w14:paraId="5F6F5B76" w14:textId="77777777" w:rsidR="00AB6CC9" w:rsidRDefault="00AB6CC9"/>
    <w:p w14:paraId="0A6E0581" w14:textId="3869AD91" w:rsidR="00AB6CC9" w:rsidRDefault="00252B4A">
      <w:r>
        <w:rPr>
          <w:noProof/>
        </w:rPr>
        <w:lastRenderedPageBreak/>
        <w:drawing>
          <wp:inline distT="0" distB="0" distL="0" distR="0" wp14:anchorId="4934724F" wp14:editId="1EE16C1D">
            <wp:extent cx="5731510" cy="8539480"/>
            <wp:effectExtent l="0" t="0" r="0" b="0"/>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8539480"/>
                    </a:xfrm>
                    <a:prstGeom prst="rect">
                      <a:avLst/>
                    </a:prstGeom>
                  </pic:spPr>
                </pic:pic>
              </a:graphicData>
            </a:graphic>
          </wp:inline>
        </w:drawing>
      </w:r>
    </w:p>
    <w:p w14:paraId="5A02E72B" w14:textId="783FB23E" w:rsidR="00AB6CC9" w:rsidRDefault="00AB6CC9"/>
    <w:p w14:paraId="7817FE68" w14:textId="50713D05" w:rsidR="00AB6CC9" w:rsidRDefault="00252B4A">
      <w:r>
        <w:rPr>
          <w:noProof/>
        </w:rPr>
        <w:lastRenderedPageBreak/>
        <w:drawing>
          <wp:inline distT="0" distB="0" distL="0" distR="0" wp14:anchorId="233EC7AD" wp14:editId="7E5D0D44">
            <wp:extent cx="5731510" cy="7508875"/>
            <wp:effectExtent l="0" t="0" r="0" b="0"/>
            <wp:docPr id="15" name="Picture 1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let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7508875"/>
                    </a:xfrm>
                    <a:prstGeom prst="rect">
                      <a:avLst/>
                    </a:prstGeom>
                  </pic:spPr>
                </pic:pic>
              </a:graphicData>
            </a:graphic>
          </wp:inline>
        </w:drawing>
      </w:r>
      <w:r w:rsidR="00AB6CC9">
        <w:br w:type="page"/>
      </w:r>
    </w:p>
    <w:p w14:paraId="07003C81" w14:textId="7D423F08" w:rsidR="00AB6CC9" w:rsidRDefault="00252B4A">
      <w:r>
        <w:rPr>
          <w:noProof/>
        </w:rPr>
        <w:lastRenderedPageBreak/>
        <w:drawing>
          <wp:inline distT="0" distB="0" distL="0" distR="0" wp14:anchorId="71791488" wp14:editId="19E47ED6">
            <wp:extent cx="5731510" cy="8218805"/>
            <wp:effectExtent l="0" t="0" r="0" b="0"/>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8218805"/>
                    </a:xfrm>
                    <a:prstGeom prst="rect">
                      <a:avLst/>
                    </a:prstGeom>
                  </pic:spPr>
                </pic:pic>
              </a:graphicData>
            </a:graphic>
          </wp:inline>
        </w:drawing>
      </w:r>
      <w:r w:rsidR="00AB6CC9">
        <w:br w:type="page"/>
      </w:r>
    </w:p>
    <w:p w14:paraId="6EC51AD2" w14:textId="690A8F28" w:rsidR="00D609A5" w:rsidRDefault="00D609A5"/>
    <w:p w14:paraId="3CD34024" w14:textId="42663218" w:rsidR="00F501D6" w:rsidRPr="00CA6A9D" w:rsidRDefault="00DF0DCB">
      <w:pPr>
        <w:rPr>
          <w:b/>
          <w:bCs/>
        </w:rPr>
      </w:pPr>
      <w:r w:rsidRPr="00CA6A9D">
        <w:rPr>
          <w:b/>
          <w:bCs/>
        </w:rPr>
        <w:t>Bibliography</w:t>
      </w:r>
    </w:p>
    <w:p w14:paraId="7C12DA58" w14:textId="7A4F5BE0" w:rsidR="00AC181C" w:rsidRDefault="00AC181C"/>
    <w:p w14:paraId="69F091AF" w14:textId="20D16A6F" w:rsidR="00CA6A9D" w:rsidRDefault="00CA6A9D" w:rsidP="00CA6A9D">
      <w:pPr>
        <w:rPr>
          <w:color w:val="3A3A3A"/>
          <w:shd w:val="clear" w:color="auto" w:fill="FFFFFF"/>
        </w:rPr>
      </w:pPr>
      <w:r w:rsidRPr="000F5FBB">
        <w:rPr>
          <w:color w:val="3A3A3A"/>
          <w:shd w:val="clear" w:color="auto" w:fill="FFFFFF"/>
        </w:rPr>
        <w:t xml:space="preserve">Brookfield, S. </w:t>
      </w:r>
      <w:r w:rsidRPr="000F5FBB">
        <w:rPr>
          <w:color w:val="3A3A3A"/>
          <w:shd w:val="clear" w:color="auto" w:fill="FFFFFF"/>
        </w:rPr>
        <w:t>(</w:t>
      </w:r>
      <w:r w:rsidRPr="000F5FBB">
        <w:rPr>
          <w:color w:val="3A3A3A"/>
          <w:shd w:val="clear" w:color="auto" w:fill="FFFFFF"/>
        </w:rPr>
        <w:t>1995</w:t>
      </w:r>
      <w:r w:rsidRPr="000F5FBB">
        <w:rPr>
          <w:color w:val="3A3A3A"/>
          <w:shd w:val="clear" w:color="auto" w:fill="FFFFFF"/>
        </w:rPr>
        <w:t>)</w:t>
      </w:r>
      <w:r w:rsidRPr="000F5FBB">
        <w:rPr>
          <w:rStyle w:val="apple-converted-space"/>
          <w:color w:val="3A3A3A"/>
          <w:shd w:val="clear" w:color="auto" w:fill="FFFFFF"/>
        </w:rPr>
        <w:t> </w:t>
      </w:r>
      <w:r w:rsidRPr="000F5FBB">
        <w:rPr>
          <w:i/>
          <w:iCs/>
          <w:color w:val="3A3A3A"/>
        </w:rPr>
        <w:t>Becoming a critically reflective teacher</w:t>
      </w:r>
      <w:r w:rsidRPr="000F5FBB">
        <w:rPr>
          <w:color w:val="3A3A3A"/>
          <w:shd w:val="clear" w:color="auto" w:fill="FFFFFF"/>
        </w:rPr>
        <w:t>, San Francisco: Jossey-Bass</w:t>
      </w:r>
    </w:p>
    <w:p w14:paraId="1CECDE05" w14:textId="77777777" w:rsidR="00CA6A9D" w:rsidRPr="000F5FBB" w:rsidRDefault="00CA6A9D" w:rsidP="00CA6A9D"/>
    <w:p w14:paraId="4D11DC70" w14:textId="2AE3AAC2" w:rsidR="00CA6A9D" w:rsidRDefault="00CA6A9D" w:rsidP="00CA6A9D">
      <w:pPr>
        <w:rPr>
          <w:color w:val="3A3A3A"/>
          <w:shd w:val="clear" w:color="auto" w:fill="FFFFFF"/>
        </w:rPr>
      </w:pPr>
      <w:proofErr w:type="spellStart"/>
      <w:r w:rsidRPr="000F5FBB">
        <w:rPr>
          <w:color w:val="3A3A3A"/>
          <w:shd w:val="clear" w:color="auto" w:fill="FFFFFF"/>
        </w:rPr>
        <w:t>Brummelman</w:t>
      </w:r>
      <w:proofErr w:type="spellEnd"/>
      <w:r w:rsidRPr="000F5FBB">
        <w:rPr>
          <w:color w:val="3A3A3A"/>
          <w:shd w:val="clear" w:color="auto" w:fill="FFFFFF"/>
        </w:rPr>
        <w:t xml:space="preserve">, Eddie, Crocker, Jennifer &amp; Bushman, Brad J, </w:t>
      </w:r>
      <w:r w:rsidRPr="000F5FBB">
        <w:rPr>
          <w:color w:val="3A3A3A"/>
          <w:shd w:val="clear" w:color="auto" w:fill="FFFFFF"/>
        </w:rPr>
        <w:t>(</w:t>
      </w:r>
      <w:r w:rsidRPr="000F5FBB">
        <w:rPr>
          <w:color w:val="3A3A3A"/>
          <w:shd w:val="clear" w:color="auto" w:fill="FFFFFF"/>
        </w:rPr>
        <w:t>2016</w:t>
      </w:r>
      <w:r w:rsidRPr="000F5FBB">
        <w:rPr>
          <w:color w:val="3A3A3A"/>
          <w:shd w:val="clear" w:color="auto" w:fill="FFFFFF"/>
        </w:rPr>
        <w:t>)</w:t>
      </w:r>
      <w:r w:rsidRPr="000F5FBB">
        <w:rPr>
          <w:color w:val="3A3A3A"/>
          <w:shd w:val="clear" w:color="auto" w:fill="FFFFFF"/>
        </w:rPr>
        <w:t xml:space="preserve"> </w:t>
      </w:r>
      <w:r w:rsidRPr="000F5FBB">
        <w:rPr>
          <w:i/>
          <w:iCs/>
          <w:color w:val="3A3A3A"/>
          <w:shd w:val="clear" w:color="auto" w:fill="FFFFFF"/>
        </w:rPr>
        <w:t xml:space="preserve">The Praise Paradox: When and Why Praise Backfires in Children </w:t>
      </w:r>
      <w:proofErr w:type="gramStart"/>
      <w:r w:rsidRPr="000F5FBB">
        <w:rPr>
          <w:i/>
          <w:iCs/>
          <w:color w:val="3A3A3A"/>
          <w:shd w:val="clear" w:color="auto" w:fill="FFFFFF"/>
        </w:rPr>
        <w:t>With</w:t>
      </w:r>
      <w:proofErr w:type="gramEnd"/>
      <w:r w:rsidRPr="000F5FBB">
        <w:rPr>
          <w:i/>
          <w:iCs/>
          <w:color w:val="3A3A3A"/>
          <w:shd w:val="clear" w:color="auto" w:fill="FFFFFF"/>
        </w:rPr>
        <w:t xml:space="preserve"> Low Self-Esteem</w:t>
      </w:r>
      <w:r w:rsidRPr="000F5FBB">
        <w:rPr>
          <w:color w:val="3A3A3A"/>
          <w:shd w:val="clear" w:color="auto" w:fill="FFFFFF"/>
        </w:rPr>
        <w:t>,</w:t>
      </w:r>
      <w:r w:rsidRPr="000F5FBB">
        <w:rPr>
          <w:rStyle w:val="apple-converted-space"/>
          <w:color w:val="3A3A3A"/>
          <w:shd w:val="clear" w:color="auto" w:fill="FFFFFF"/>
        </w:rPr>
        <w:t> </w:t>
      </w:r>
      <w:r w:rsidRPr="000F5FBB">
        <w:rPr>
          <w:color w:val="3A3A3A"/>
        </w:rPr>
        <w:t xml:space="preserve">Child </w:t>
      </w:r>
      <w:r w:rsidRPr="000F5FBB">
        <w:rPr>
          <w:color w:val="3A3A3A"/>
        </w:rPr>
        <w:t>D</w:t>
      </w:r>
      <w:r w:rsidRPr="000F5FBB">
        <w:rPr>
          <w:color w:val="3A3A3A"/>
        </w:rPr>
        <w:t xml:space="preserve">evelopment </w:t>
      </w:r>
      <w:r w:rsidRPr="000F5FBB">
        <w:rPr>
          <w:color w:val="3A3A3A"/>
        </w:rPr>
        <w:t>P</w:t>
      </w:r>
      <w:r w:rsidRPr="000F5FBB">
        <w:rPr>
          <w:color w:val="3A3A3A"/>
        </w:rPr>
        <w:t>erspectives</w:t>
      </w:r>
      <w:r w:rsidRPr="000F5FBB">
        <w:rPr>
          <w:color w:val="3A3A3A"/>
          <w:shd w:val="clear" w:color="auto" w:fill="FFFFFF"/>
        </w:rPr>
        <w:t>, 10(2), pp.111–115</w:t>
      </w:r>
    </w:p>
    <w:p w14:paraId="7B1A9B6E" w14:textId="77777777" w:rsidR="00CA6A9D" w:rsidRPr="000F5FBB" w:rsidRDefault="00CA6A9D" w:rsidP="00CA6A9D"/>
    <w:p w14:paraId="414283D0" w14:textId="4697FB2D" w:rsidR="00CA6A9D" w:rsidRDefault="00CA6A9D" w:rsidP="00CA6A9D">
      <w:pPr>
        <w:rPr>
          <w:color w:val="3A3A3A"/>
          <w:shd w:val="clear" w:color="auto" w:fill="FFFFFF"/>
        </w:rPr>
      </w:pPr>
      <w:proofErr w:type="spellStart"/>
      <w:r w:rsidRPr="000F5FBB">
        <w:rPr>
          <w:color w:val="3A3A3A"/>
          <w:shd w:val="clear" w:color="auto" w:fill="FFFFFF"/>
        </w:rPr>
        <w:t>Cadima</w:t>
      </w:r>
      <w:proofErr w:type="spellEnd"/>
      <w:r w:rsidRPr="000F5FBB">
        <w:rPr>
          <w:color w:val="3A3A3A"/>
          <w:shd w:val="clear" w:color="auto" w:fill="FFFFFF"/>
        </w:rPr>
        <w:t xml:space="preserve">, Joana et al. </w:t>
      </w:r>
      <w:r w:rsidRPr="000F5FBB">
        <w:rPr>
          <w:color w:val="3A3A3A"/>
          <w:shd w:val="clear" w:color="auto" w:fill="FFFFFF"/>
        </w:rPr>
        <w:t>(</w:t>
      </w:r>
      <w:r w:rsidRPr="000F5FBB">
        <w:rPr>
          <w:color w:val="3A3A3A"/>
          <w:shd w:val="clear" w:color="auto" w:fill="FFFFFF"/>
        </w:rPr>
        <w:t>2015</w:t>
      </w:r>
      <w:r w:rsidRPr="000F5FBB">
        <w:rPr>
          <w:color w:val="3A3A3A"/>
          <w:shd w:val="clear" w:color="auto" w:fill="FFFFFF"/>
        </w:rPr>
        <w:t>)</w:t>
      </w:r>
      <w:r w:rsidRPr="000F5FBB">
        <w:rPr>
          <w:color w:val="3A3A3A"/>
          <w:shd w:val="clear" w:color="auto" w:fill="FFFFFF"/>
        </w:rPr>
        <w:t xml:space="preserve"> </w:t>
      </w:r>
      <w:r w:rsidRPr="000F5FBB">
        <w:rPr>
          <w:i/>
          <w:iCs/>
          <w:color w:val="3A3A3A"/>
          <w:shd w:val="clear" w:color="auto" w:fill="FFFFFF"/>
        </w:rPr>
        <w:t>Classroom Interactions, Dyadic Teacher–Child Relationships,</w:t>
      </w:r>
      <w:r>
        <w:rPr>
          <w:i/>
          <w:iCs/>
          <w:color w:val="3A3A3A"/>
          <w:shd w:val="clear" w:color="auto" w:fill="FFFFFF"/>
        </w:rPr>
        <w:t xml:space="preserve"> </w:t>
      </w:r>
      <w:r w:rsidRPr="000F5FBB">
        <w:rPr>
          <w:i/>
          <w:iCs/>
          <w:color w:val="3A3A3A"/>
          <w:shd w:val="clear" w:color="auto" w:fill="FFFFFF"/>
        </w:rPr>
        <w:t>and Self–Regulation in Socially Disadvantaged Young Children</w:t>
      </w:r>
      <w:r w:rsidRPr="000F5FBB">
        <w:rPr>
          <w:color w:val="3A3A3A"/>
          <w:shd w:val="clear" w:color="auto" w:fill="FFFFFF"/>
        </w:rPr>
        <w:t xml:space="preserve">, </w:t>
      </w:r>
      <w:r w:rsidRPr="000F5FBB">
        <w:rPr>
          <w:color w:val="3A3A3A"/>
        </w:rPr>
        <w:t>Journal of abnormal child psychology</w:t>
      </w:r>
      <w:r w:rsidRPr="000F5FBB">
        <w:rPr>
          <w:color w:val="3A3A3A"/>
          <w:shd w:val="clear" w:color="auto" w:fill="FFFFFF"/>
        </w:rPr>
        <w:t>, 44(1), pp.7–17</w:t>
      </w:r>
    </w:p>
    <w:p w14:paraId="4F8BB7D3" w14:textId="77777777" w:rsidR="00CA6A9D" w:rsidRPr="000F5FBB" w:rsidRDefault="00CA6A9D" w:rsidP="00CA6A9D">
      <w:pPr>
        <w:rPr>
          <w:color w:val="3A3A3A"/>
          <w:shd w:val="clear" w:color="auto" w:fill="FFFFFF"/>
        </w:rPr>
      </w:pPr>
    </w:p>
    <w:p w14:paraId="2FC79536" w14:textId="77777777" w:rsidR="00CA6A9D" w:rsidRPr="000F5FBB" w:rsidRDefault="00CA6A9D" w:rsidP="00CA6A9D">
      <w:r w:rsidRPr="000F5FBB">
        <w:rPr>
          <w:color w:val="3A3A3A"/>
          <w:shd w:val="clear" w:color="auto" w:fill="FFFFFF"/>
        </w:rPr>
        <w:t xml:space="preserve">Cohen et al. </w:t>
      </w:r>
      <w:r w:rsidRPr="000F5FBB">
        <w:rPr>
          <w:color w:val="3A3A3A"/>
          <w:shd w:val="clear" w:color="auto" w:fill="FFFFFF"/>
        </w:rPr>
        <w:t>(</w:t>
      </w:r>
      <w:r w:rsidRPr="000F5FBB">
        <w:rPr>
          <w:color w:val="3A3A3A"/>
          <w:shd w:val="clear" w:color="auto" w:fill="FFFFFF"/>
        </w:rPr>
        <w:t>2011</w:t>
      </w:r>
      <w:r w:rsidRPr="000F5FBB">
        <w:rPr>
          <w:color w:val="3A3A3A"/>
          <w:shd w:val="clear" w:color="auto" w:fill="FFFFFF"/>
        </w:rPr>
        <w:t xml:space="preserve">) </w:t>
      </w:r>
      <w:r w:rsidRPr="000F5FBB">
        <w:rPr>
          <w:i/>
          <w:iCs/>
          <w:color w:val="3A3A3A"/>
        </w:rPr>
        <w:t>Research methods in education</w:t>
      </w:r>
      <w:r w:rsidRPr="000F5FBB">
        <w:rPr>
          <w:rStyle w:val="apple-converted-space"/>
          <w:color w:val="3A3A3A"/>
          <w:shd w:val="clear" w:color="auto" w:fill="FFFFFF"/>
        </w:rPr>
        <w:t> </w:t>
      </w:r>
      <w:r w:rsidRPr="000F5FBB">
        <w:rPr>
          <w:color w:val="3A3A3A"/>
          <w:shd w:val="clear" w:color="auto" w:fill="FFFFFF"/>
        </w:rPr>
        <w:t xml:space="preserve">7th ed., </w:t>
      </w:r>
      <w:proofErr w:type="gramStart"/>
      <w:r w:rsidRPr="000F5FBB">
        <w:rPr>
          <w:color w:val="3A3A3A"/>
          <w:shd w:val="clear" w:color="auto" w:fill="FFFFFF"/>
        </w:rPr>
        <w:t>London ;</w:t>
      </w:r>
      <w:proofErr w:type="gramEnd"/>
      <w:r w:rsidRPr="000F5FBB">
        <w:rPr>
          <w:color w:val="3A3A3A"/>
          <w:shd w:val="clear" w:color="auto" w:fill="FFFFFF"/>
        </w:rPr>
        <w:t xml:space="preserve"> New York: Routledge</w:t>
      </w:r>
    </w:p>
    <w:p w14:paraId="3B0F95FA" w14:textId="77777777" w:rsidR="00CA6A9D" w:rsidRDefault="00CA6A9D" w:rsidP="00CA6A9D"/>
    <w:p w14:paraId="16B3F982" w14:textId="5FF965F8" w:rsidR="00CA6A9D" w:rsidRDefault="00CA6A9D" w:rsidP="00CA6A9D">
      <w:r w:rsidRPr="000F5FBB">
        <w:t xml:space="preserve">Donaldson (2015) </w:t>
      </w:r>
      <w:r w:rsidRPr="000F5FBB">
        <w:rPr>
          <w:i/>
          <w:iCs/>
        </w:rPr>
        <w:t>Successful Futures</w:t>
      </w:r>
      <w:r w:rsidRPr="000F5FBB">
        <w:t xml:space="preserve"> accessed on: </w:t>
      </w:r>
      <w:hyperlink r:id="rId19" w:history="1">
        <w:r w:rsidRPr="000F5FBB">
          <w:rPr>
            <w:rStyle w:val="Hyperlink"/>
          </w:rPr>
          <w:t>https://gov.wales/sites/default/files/publications/2018-03/successful-futures.pdf</w:t>
        </w:r>
      </w:hyperlink>
      <w:r w:rsidRPr="000F5FBB">
        <w:t xml:space="preserve"> (date accessed 12 October 2020)</w:t>
      </w:r>
    </w:p>
    <w:p w14:paraId="7DC9C63D" w14:textId="77777777" w:rsidR="00CA6A9D" w:rsidRPr="000F5FBB" w:rsidRDefault="00CA6A9D" w:rsidP="00CA6A9D"/>
    <w:p w14:paraId="1177AF3F" w14:textId="77777777" w:rsidR="00CA6A9D" w:rsidRPr="000F5FBB" w:rsidRDefault="00CA6A9D" w:rsidP="00CA6A9D">
      <w:r w:rsidRPr="000F5FBB">
        <w:rPr>
          <w:color w:val="000000"/>
          <w:shd w:val="clear" w:color="auto" w:fill="FFFFFF"/>
        </w:rPr>
        <w:t xml:space="preserve">Fletcher-Wood, H. (2016) </w:t>
      </w:r>
      <w:r w:rsidRPr="000F5FBB">
        <w:rPr>
          <w:i/>
          <w:iCs/>
          <w:color w:val="000000"/>
          <w:shd w:val="clear" w:color="auto" w:fill="FFFFFF"/>
        </w:rPr>
        <w:t>Ticked off</w:t>
      </w:r>
      <w:r w:rsidRPr="000F5FBB">
        <w:rPr>
          <w:color w:val="000000"/>
          <w:shd w:val="clear" w:color="auto" w:fill="FFFFFF"/>
        </w:rPr>
        <w:t xml:space="preserve">, </w:t>
      </w:r>
      <w:r w:rsidRPr="000F5FBB">
        <w:rPr>
          <w:color w:val="000000"/>
          <w:shd w:val="clear" w:color="auto" w:fill="FFFFFF"/>
        </w:rPr>
        <w:t>Carmarthen: Crown House Publishing Ltd</w:t>
      </w:r>
    </w:p>
    <w:p w14:paraId="2EA29C58" w14:textId="77777777" w:rsidR="00CA6A9D" w:rsidRDefault="00CA6A9D" w:rsidP="00CA6A9D"/>
    <w:p w14:paraId="378AAE26" w14:textId="0FDA3337" w:rsidR="00CA6A9D" w:rsidRDefault="00CA6A9D" w:rsidP="00CA6A9D">
      <w:proofErr w:type="spellStart"/>
      <w:r w:rsidRPr="000F5FBB">
        <w:t>Floress</w:t>
      </w:r>
      <w:proofErr w:type="spellEnd"/>
      <w:r w:rsidRPr="000F5FBB">
        <w:t xml:space="preserve">, Margaret T et al., </w:t>
      </w:r>
      <w:r w:rsidRPr="000F5FBB">
        <w:t>(</w:t>
      </w:r>
      <w:r w:rsidRPr="000F5FBB">
        <w:t>2017</w:t>
      </w:r>
      <w:r w:rsidRPr="000F5FBB">
        <w:t>)</w:t>
      </w:r>
      <w:r w:rsidRPr="000F5FBB">
        <w:t xml:space="preserve"> </w:t>
      </w:r>
      <w:r w:rsidRPr="000F5FBB">
        <w:rPr>
          <w:i/>
          <w:iCs/>
        </w:rPr>
        <w:t xml:space="preserve">Praise Research Trends and Future Directions: Characteristics and Teacher Training. </w:t>
      </w:r>
      <w:proofErr w:type="spellStart"/>
      <w:r w:rsidRPr="000F5FBB">
        <w:rPr>
          <w:i/>
          <w:iCs/>
        </w:rPr>
        <w:t>Behavioral</w:t>
      </w:r>
      <w:proofErr w:type="spellEnd"/>
      <w:r w:rsidRPr="000F5FBB">
        <w:rPr>
          <w:i/>
          <w:iCs/>
        </w:rPr>
        <w:t xml:space="preserve"> disorders</w:t>
      </w:r>
      <w:r w:rsidRPr="000F5FBB">
        <w:t>, 43(1), pp.227–243</w:t>
      </w:r>
    </w:p>
    <w:p w14:paraId="40EB85F2" w14:textId="267E5AE6" w:rsidR="004A6C4C" w:rsidRDefault="004A6C4C" w:rsidP="00CA6A9D"/>
    <w:p w14:paraId="5871F60E" w14:textId="0ADA5BB2" w:rsidR="004A6C4C" w:rsidRPr="004A6C4C" w:rsidRDefault="004A6C4C" w:rsidP="00CA6A9D">
      <w:proofErr w:type="spellStart"/>
      <w:r>
        <w:t>Fracassini</w:t>
      </w:r>
      <w:proofErr w:type="spellEnd"/>
      <w:r>
        <w:t xml:space="preserve"> (2004), ‘Winning is not allowed at PC School Sports Day’, </w:t>
      </w:r>
      <w:r>
        <w:rPr>
          <w:i/>
          <w:iCs/>
        </w:rPr>
        <w:t>The Sunday Times</w:t>
      </w:r>
      <w:r>
        <w:t xml:space="preserve">, accessed at </w:t>
      </w:r>
      <w:proofErr w:type="gramStart"/>
      <w:r w:rsidRPr="004A6C4C">
        <w:t>https://www.thetimes.co.uk/article/winning-is-not-allowed-at-pc-school-sports-days-rzb2vtdkz2s</w:t>
      </w:r>
      <w:r>
        <w:t xml:space="preserve">  (</w:t>
      </w:r>
      <w:proofErr w:type="gramEnd"/>
      <w:r>
        <w:t>date accessed: 25/10/20)</w:t>
      </w:r>
    </w:p>
    <w:p w14:paraId="6095EEF2" w14:textId="77777777" w:rsidR="00CA6A9D" w:rsidRDefault="00CA6A9D" w:rsidP="00CA6A9D"/>
    <w:p w14:paraId="5E47AC5D" w14:textId="2F54BAFB" w:rsidR="00CA6A9D" w:rsidRPr="000F5FBB" w:rsidRDefault="00CA6A9D" w:rsidP="00CA6A9D">
      <w:proofErr w:type="spellStart"/>
      <w:r w:rsidRPr="000F5FBB">
        <w:t>Gewertz</w:t>
      </w:r>
      <w:proofErr w:type="spellEnd"/>
      <w:r w:rsidRPr="000F5FBB">
        <w:t xml:space="preserve">, C., </w:t>
      </w:r>
      <w:r w:rsidRPr="000F5FBB">
        <w:t>(</w:t>
      </w:r>
      <w:r w:rsidRPr="000F5FBB">
        <w:t>2020</w:t>
      </w:r>
      <w:r w:rsidRPr="000F5FBB">
        <w:t>)</w:t>
      </w:r>
      <w:r w:rsidRPr="000F5FBB">
        <w:t xml:space="preserve"> </w:t>
      </w:r>
      <w:r w:rsidRPr="000F5FBB">
        <w:rPr>
          <w:i/>
          <w:iCs/>
        </w:rPr>
        <w:t>Praise Seen as Effective Classroom-Management Tool; "Effects of Teachers' Praise-to-Reprimand Ratios on Elementary Students' On-Task Behaviour</w:t>
      </w:r>
      <w:r w:rsidRPr="000F5FBB">
        <w:t>,</w:t>
      </w:r>
      <w:r w:rsidRPr="000F5FBB">
        <w:t xml:space="preserve"> Education </w:t>
      </w:r>
      <w:r w:rsidRPr="000F5FBB">
        <w:t>W</w:t>
      </w:r>
      <w:r w:rsidRPr="000F5FBB">
        <w:t>eek, 39(21), p.6.</w:t>
      </w:r>
    </w:p>
    <w:p w14:paraId="620D1EA2" w14:textId="77777777" w:rsidR="00CA6A9D" w:rsidRDefault="00CA6A9D" w:rsidP="00CA6A9D">
      <w:pPr>
        <w:rPr>
          <w:color w:val="333333"/>
          <w:shd w:val="clear" w:color="auto" w:fill="FFFFFF"/>
        </w:rPr>
      </w:pPr>
    </w:p>
    <w:p w14:paraId="7EAC4D57" w14:textId="72FCA9DB" w:rsidR="00CA6A9D" w:rsidRPr="000F5FBB" w:rsidRDefault="00CA6A9D" w:rsidP="00CA6A9D">
      <w:r w:rsidRPr="000F5FBB">
        <w:rPr>
          <w:color w:val="333333"/>
          <w:shd w:val="clear" w:color="auto" w:fill="FFFFFF"/>
        </w:rPr>
        <w:t xml:space="preserve">Jang, H., Kim, E. J., &amp; Reeve, J. (2012) </w:t>
      </w:r>
      <w:r w:rsidRPr="000F5FBB">
        <w:rPr>
          <w:i/>
          <w:iCs/>
          <w:color w:val="333333"/>
          <w:shd w:val="clear" w:color="auto" w:fill="FFFFFF"/>
        </w:rPr>
        <w:t>Longitudinal test of self-determination theory's motivation mediation model in a naturally occurring classroom context</w:t>
      </w:r>
      <w:r w:rsidRPr="000F5FBB">
        <w:rPr>
          <w:color w:val="333333"/>
          <w:shd w:val="clear" w:color="auto" w:fill="FFFFFF"/>
        </w:rPr>
        <w:t xml:space="preserve">, </w:t>
      </w:r>
      <w:r w:rsidRPr="000F5FBB">
        <w:rPr>
          <w:rStyle w:val="Emphasis"/>
          <w:i w:val="0"/>
          <w:iCs w:val="0"/>
          <w:color w:val="333333"/>
        </w:rPr>
        <w:t>Journal of Educational Psychology</w:t>
      </w:r>
      <w:r w:rsidRPr="000F5FBB">
        <w:rPr>
          <w:rStyle w:val="Emphasis"/>
          <w:color w:val="333333"/>
        </w:rPr>
        <w:t>, 104</w:t>
      </w:r>
      <w:r w:rsidRPr="000F5FBB">
        <w:rPr>
          <w:color w:val="333333"/>
          <w:shd w:val="clear" w:color="auto" w:fill="FFFFFF"/>
        </w:rPr>
        <w:t>(4), 1175–1188.</w:t>
      </w:r>
    </w:p>
    <w:p w14:paraId="0991320F" w14:textId="77777777" w:rsidR="00CA6A9D" w:rsidRDefault="00CA6A9D" w:rsidP="00CA6A9D">
      <w:pPr>
        <w:rPr>
          <w:color w:val="3A3A3A"/>
          <w:shd w:val="clear" w:color="auto" w:fill="FFFFFF"/>
        </w:rPr>
      </w:pPr>
      <w:bookmarkStart w:id="0" w:name="references"/>
      <w:bookmarkEnd w:id="0"/>
    </w:p>
    <w:p w14:paraId="331FEF7A" w14:textId="2C5D123B" w:rsidR="00CA6A9D" w:rsidRPr="000F5FBB" w:rsidRDefault="00CA6A9D" w:rsidP="00CA6A9D">
      <w:r w:rsidRPr="000F5FBB">
        <w:rPr>
          <w:color w:val="3A3A3A"/>
          <w:shd w:val="clear" w:color="auto" w:fill="FFFFFF"/>
        </w:rPr>
        <w:t xml:space="preserve">Kohn, A. </w:t>
      </w:r>
      <w:r w:rsidRPr="000F5FBB">
        <w:rPr>
          <w:color w:val="3A3A3A"/>
          <w:shd w:val="clear" w:color="auto" w:fill="FFFFFF"/>
        </w:rPr>
        <w:t>(</w:t>
      </w:r>
      <w:r w:rsidRPr="000F5FBB">
        <w:rPr>
          <w:color w:val="3A3A3A"/>
          <w:shd w:val="clear" w:color="auto" w:fill="FFFFFF"/>
        </w:rPr>
        <w:t>1999</w:t>
      </w:r>
      <w:r w:rsidRPr="000F5FBB">
        <w:rPr>
          <w:color w:val="3A3A3A"/>
          <w:shd w:val="clear" w:color="auto" w:fill="FFFFFF"/>
        </w:rPr>
        <w:t>)</w:t>
      </w:r>
      <w:r w:rsidRPr="000F5FBB">
        <w:rPr>
          <w:rStyle w:val="apple-converted-space"/>
          <w:color w:val="3A3A3A"/>
          <w:shd w:val="clear" w:color="auto" w:fill="FFFFFF"/>
        </w:rPr>
        <w:t> </w:t>
      </w:r>
      <w:r w:rsidRPr="000F5FBB">
        <w:rPr>
          <w:i/>
          <w:iCs/>
          <w:color w:val="3A3A3A"/>
        </w:rPr>
        <w:t xml:space="preserve">Punished by </w:t>
      </w:r>
      <w:r>
        <w:rPr>
          <w:i/>
          <w:iCs/>
          <w:color w:val="3A3A3A"/>
        </w:rPr>
        <w:t>R</w:t>
      </w:r>
      <w:r w:rsidRPr="000F5FBB">
        <w:rPr>
          <w:i/>
          <w:iCs/>
          <w:color w:val="3A3A3A"/>
        </w:rPr>
        <w:t>ewards: the trouble with gold stars, incentive plans, A's, praise, and other bribes</w:t>
      </w:r>
      <w:r w:rsidRPr="000F5FBB">
        <w:rPr>
          <w:rStyle w:val="apple-converted-space"/>
          <w:color w:val="3A3A3A"/>
          <w:shd w:val="clear" w:color="auto" w:fill="FFFFFF"/>
        </w:rPr>
        <w:t> </w:t>
      </w:r>
      <w:r w:rsidRPr="000F5FBB">
        <w:rPr>
          <w:color w:val="3A3A3A"/>
          <w:shd w:val="clear" w:color="auto" w:fill="FFFFFF"/>
        </w:rPr>
        <w:t>New ed.] / with a new afterword by the author., Boston, [Mass.]: Houghton Mifflin.</w:t>
      </w:r>
    </w:p>
    <w:p w14:paraId="2D03E449" w14:textId="77777777" w:rsidR="00CA6A9D" w:rsidRDefault="00CA6A9D" w:rsidP="00CA6A9D">
      <w:pPr>
        <w:pStyle w:val="NormalWeb"/>
        <w:shd w:val="clear" w:color="auto" w:fill="FFFFFF"/>
        <w:spacing w:before="0" w:beforeAutospacing="0" w:after="165" w:afterAutospacing="0"/>
        <w:rPr>
          <w:color w:val="121212"/>
        </w:rPr>
      </w:pPr>
    </w:p>
    <w:p w14:paraId="6B32F24F" w14:textId="223A2E03" w:rsidR="00CA6A9D" w:rsidRPr="000F5FBB" w:rsidRDefault="00CA6A9D" w:rsidP="00CA6A9D">
      <w:pPr>
        <w:pStyle w:val="NormalWeb"/>
        <w:shd w:val="clear" w:color="auto" w:fill="FFFFFF"/>
        <w:spacing w:before="0" w:beforeAutospacing="0" w:after="165" w:afterAutospacing="0"/>
        <w:rPr>
          <w:color w:val="121212"/>
        </w:rPr>
      </w:pPr>
      <w:r w:rsidRPr="000F5FBB">
        <w:rPr>
          <w:color w:val="121212"/>
        </w:rPr>
        <w:t>McLeod, S. A. (2018)</w:t>
      </w:r>
      <w:r w:rsidRPr="000F5FBB">
        <w:rPr>
          <w:color w:val="121212"/>
        </w:rPr>
        <w:t xml:space="preserve"> </w:t>
      </w:r>
      <w:r w:rsidRPr="000F5FBB">
        <w:rPr>
          <w:rStyle w:val="Emphasis"/>
          <w:color w:val="121212"/>
        </w:rPr>
        <w:t>Skinner - operant conditioning</w:t>
      </w:r>
      <w:r w:rsidRPr="000F5FBB">
        <w:rPr>
          <w:color w:val="121212"/>
        </w:rPr>
        <w:t xml:space="preserve">. Simply Psychology. </w:t>
      </w:r>
      <w:r w:rsidRPr="000F5FBB">
        <w:rPr>
          <w:color w:val="121212"/>
        </w:rPr>
        <w:t xml:space="preserve"> Accessed at: </w:t>
      </w:r>
      <w:hyperlink r:id="rId20" w:history="1">
        <w:r w:rsidRPr="000F5FBB">
          <w:rPr>
            <w:rStyle w:val="Hyperlink"/>
          </w:rPr>
          <w:t>https://www.simplypsychology.org/operant-conditioning.html</w:t>
        </w:r>
      </w:hyperlink>
      <w:r w:rsidRPr="000F5FBB">
        <w:rPr>
          <w:color w:val="121212"/>
        </w:rPr>
        <w:t xml:space="preserve"> (date accessed 18 October 2020)</w:t>
      </w:r>
    </w:p>
    <w:p w14:paraId="1C86BC7C" w14:textId="77777777" w:rsidR="00CA6A9D" w:rsidRPr="000F5FBB" w:rsidRDefault="00CA6A9D" w:rsidP="00CA6A9D">
      <w:r w:rsidRPr="000F5FBB">
        <w:t>My Local School, 2019. Accessed on: https://mylocalschool.gov.wales/School/6742375 (Date accessed 5 October 2020)</w:t>
      </w:r>
    </w:p>
    <w:p w14:paraId="4B376276" w14:textId="77777777" w:rsidR="00CA6A9D" w:rsidRDefault="00CA6A9D" w:rsidP="00CA6A9D">
      <w:pPr>
        <w:rPr>
          <w:color w:val="3A3A3A"/>
          <w:shd w:val="clear" w:color="auto" w:fill="FFFFFF"/>
        </w:rPr>
      </w:pPr>
    </w:p>
    <w:p w14:paraId="77F99738" w14:textId="09598B08" w:rsidR="00CA6A9D" w:rsidRPr="000F5FBB" w:rsidRDefault="00CA6A9D" w:rsidP="00CA6A9D">
      <w:r w:rsidRPr="000F5FBB">
        <w:rPr>
          <w:color w:val="3A3A3A"/>
          <w:shd w:val="clear" w:color="auto" w:fill="FFFFFF"/>
        </w:rPr>
        <w:t>Robson, C., 2011.</w:t>
      </w:r>
      <w:r w:rsidRPr="000F5FBB">
        <w:rPr>
          <w:rStyle w:val="apple-converted-space"/>
          <w:color w:val="3A3A3A"/>
          <w:shd w:val="clear" w:color="auto" w:fill="FFFFFF"/>
        </w:rPr>
        <w:t> </w:t>
      </w:r>
      <w:r w:rsidRPr="000F5FBB">
        <w:rPr>
          <w:i/>
          <w:iCs/>
          <w:color w:val="3A3A3A"/>
        </w:rPr>
        <w:t xml:space="preserve">Real </w:t>
      </w:r>
      <w:r>
        <w:rPr>
          <w:i/>
          <w:iCs/>
          <w:color w:val="3A3A3A"/>
        </w:rPr>
        <w:t>W</w:t>
      </w:r>
      <w:r w:rsidRPr="000F5FBB">
        <w:rPr>
          <w:i/>
          <w:iCs/>
          <w:color w:val="3A3A3A"/>
        </w:rPr>
        <w:t xml:space="preserve">orld </w:t>
      </w:r>
      <w:proofErr w:type="gramStart"/>
      <w:r>
        <w:rPr>
          <w:i/>
          <w:iCs/>
          <w:color w:val="3A3A3A"/>
        </w:rPr>
        <w:t>R</w:t>
      </w:r>
      <w:r w:rsidRPr="000F5FBB">
        <w:rPr>
          <w:i/>
          <w:iCs/>
          <w:color w:val="3A3A3A"/>
        </w:rPr>
        <w:t>esearch :</w:t>
      </w:r>
      <w:proofErr w:type="gramEnd"/>
      <w:r w:rsidRPr="000F5FBB">
        <w:rPr>
          <w:i/>
          <w:iCs/>
          <w:color w:val="3A3A3A"/>
        </w:rPr>
        <w:t xml:space="preserve"> a resource for users of social research methods in applied settings</w:t>
      </w:r>
      <w:r w:rsidRPr="000F5FBB">
        <w:rPr>
          <w:rStyle w:val="apple-converted-space"/>
          <w:color w:val="3A3A3A"/>
          <w:shd w:val="clear" w:color="auto" w:fill="FFFFFF"/>
        </w:rPr>
        <w:t> </w:t>
      </w:r>
      <w:r w:rsidRPr="000F5FBB">
        <w:rPr>
          <w:color w:val="3A3A3A"/>
          <w:shd w:val="clear" w:color="auto" w:fill="FFFFFF"/>
        </w:rPr>
        <w:t>3rd ed., Chichester: Wiley</w:t>
      </w:r>
    </w:p>
    <w:p w14:paraId="0B905F16" w14:textId="77777777" w:rsidR="00CA6A9D" w:rsidRDefault="00CA6A9D" w:rsidP="00CA6A9D">
      <w:pPr>
        <w:rPr>
          <w:color w:val="3A3A3A"/>
          <w:shd w:val="clear" w:color="auto" w:fill="FFFFFF"/>
        </w:rPr>
      </w:pPr>
    </w:p>
    <w:p w14:paraId="3D2B25B2" w14:textId="26C91752" w:rsidR="00CA6A9D" w:rsidRPr="000F5FBB" w:rsidRDefault="00CA6A9D" w:rsidP="00CA6A9D">
      <w:r w:rsidRPr="000F5FBB">
        <w:rPr>
          <w:color w:val="3A3A3A"/>
          <w:shd w:val="clear" w:color="auto" w:fill="FFFFFF"/>
        </w:rPr>
        <w:lastRenderedPageBreak/>
        <w:t xml:space="preserve">Rogers, B. </w:t>
      </w:r>
      <w:r w:rsidRPr="000F5FBB">
        <w:rPr>
          <w:color w:val="3A3A3A"/>
          <w:shd w:val="clear" w:color="auto" w:fill="FFFFFF"/>
        </w:rPr>
        <w:t>(</w:t>
      </w:r>
      <w:r w:rsidRPr="000F5FBB">
        <w:rPr>
          <w:color w:val="3A3A3A"/>
          <w:shd w:val="clear" w:color="auto" w:fill="FFFFFF"/>
        </w:rPr>
        <w:t>2003</w:t>
      </w:r>
      <w:r w:rsidRPr="000F5FBB">
        <w:rPr>
          <w:color w:val="3A3A3A"/>
          <w:shd w:val="clear" w:color="auto" w:fill="FFFFFF"/>
        </w:rPr>
        <w:t>)</w:t>
      </w:r>
      <w:r w:rsidRPr="000F5FBB">
        <w:rPr>
          <w:rStyle w:val="apple-converted-space"/>
          <w:color w:val="3A3A3A"/>
          <w:shd w:val="clear" w:color="auto" w:fill="FFFFFF"/>
        </w:rPr>
        <w:t> </w:t>
      </w:r>
      <w:r w:rsidRPr="000F5FBB">
        <w:rPr>
          <w:i/>
          <w:iCs/>
          <w:color w:val="3A3A3A"/>
        </w:rPr>
        <w:t xml:space="preserve">Effective </w:t>
      </w:r>
      <w:r>
        <w:rPr>
          <w:i/>
          <w:iCs/>
          <w:color w:val="3A3A3A"/>
        </w:rPr>
        <w:t>S</w:t>
      </w:r>
      <w:r w:rsidRPr="000F5FBB">
        <w:rPr>
          <w:i/>
          <w:iCs/>
          <w:color w:val="3A3A3A"/>
        </w:rPr>
        <w:t xml:space="preserve">upply </w:t>
      </w:r>
      <w:r>
        <w:rPr>
          <w:i/>
          <w:iCs/>
          <w:color w:val="3A3A3A"/>
        </w:rPr>
        <w:t>T</w:t>
      </w:r>
      <w:r w:rsidRPr="000F5FBB">
        <w:rPr>
          <w:i/>
          <w:iCs/>
          <w:color w:val="3A3A3A"/>
        </w:rPr>
        <w:t>eaching: behaviour management, classroom discipline, and colleague support</w:t>
      </w:r>
      <w:r w:rsidRPr="000F5FBB">
        <w:rPr>
          <w:color w:val="3A3A3A"/>
          <w:shd w:val="clear" w:color="auto" w:fill="FFFFFF"/>
        </w:rPr>
        <w:t xml:space="preserve">, </w:t>
      </w:r>
      <w:proofErr w:type="gramStart"/>
      <w:r w:rsidRPr="000F5FBB">
        <w:rPr>
          <w:color w:val="3A3A3A"/>
          <w:shd w:val="clear" w:color="auto" w:fill="FFFFFF"/>
        </w:rPr>
        <w:t>London ;</w:t>
      </w:r>
      <w:proofErr w:type="gramEnd"/>
      <w:r w:rsidRPr="000F5FBB">
        <w:rPr>
          <w:color w:val="3A3A3A"/>
          <w:shd w:val="clear" w:color="auto" w:fill="FFFFFF"/>
        </w:rPr>
        <w:t xml:space="preserve"> Thousand Oaks, Calif.: P. Chapman Pub.</w:t>
      </w:r>
    </w:p>
    <w:p w14:paraId="5D17B250" w14:textId="77777777" w:rsidR="00CA6A9D" w:rsidRDefault="00CA6A9D" w:rsidP="00CA6A9D">
      <w:pPr>
        <w:rPr>
          <w:color w:val="121212"/>
          <w:shd w:val="clear" w:color="auto" w:fill="FFFFFF"/>
        </w:rPr>
      </w:pPr>
    </w:p>
    <w:p w14:paraId="3B51FC4D" w14:textId="3C9C8E9B" w:rsidR="00CA6A9D" w:rsidRPr="000F5FBB" w:rsidRDefault="00CA6A9D" w:rsidP="00CA6A9D">
      <w:pPr>
        <w:rPr>
          <w:color w:val="121212"/>
          <w:shd w:val="clear" w:color="auto" w:fill="FFFFFF"/>
        </w:rPr>
      </w:pPr>
      <w:r w:rsidRPr="000F5FBB">
        <w:rPr>
          <w:color w:val="121212"/>
          <w:shd w:val="clear" w:color="auto" w:fill="FFFFFF"/>
        </w:rPr>
        <w:t>Skinner, B. F. (1938)</w:t>
      </w:r>
      <w:r w:rsidRPr="000F5FBB">
        <w:rPr>
          <w:rStyle w:val="apple-converted-space"/>
          <w:color w:val="121212"/>
          <w:shd w:val="clear" w:color="auto" w:fill="FFFFFF"/>
        </w:rPr>
        <w:t> </w:t>
      </w:r>
      <w:r w:rsidRPr="000F5FBB">
        <w:rPr>
          <w:rStyle w:val="Emphasis"/>
          <w:color w:val="121212"/>
        </w:rPr>
        <w:t xml:space="preserve">The </w:t>
      </w:r>
      <w:proofErr w:type="spellStart"/>
      <w:r w:rsidRPr="000F5FBB">
        <w:rPr>
          <w:rStyle w:val="Emphasis"/>
          <w:color w:val="121212"/>
        </w:rPr>
        <w:t>behavior</w:t>
      </w:r>
      <w:proofErr w:type="spellEnd"/>
      <w:r w:rsidRPr="000F5FBB">
        <w:rPr>
          <w:rStyle w:val="Emphasis"/>
          <w:color w:val="121212"/>
        </w:rPr>
        <w:t xml:space="preserve"> of organisms: An experimental analysis</w:t>
      </w:r>
      <w:r w:rsidRPr="000F5FBB">
        <w:rPr>
          <w:color w:val="121212"/>
          <w:shd w:val="clear" w:color="auto" w:fill="FFFFFF"/>
        </w:rPr>
        <w:t>. New York: Appleton-Century</w:t>
      </w:r>
    </w:p>
    <w:p w14:paraId="0A5C48CC" w14:textId="77777777" w:rsidR="00CA6A9D" w:rsidRDefault="00CA6A9D" w:rsidP="00CA6A9D"/>
    <w:p w14:paraId="5348D942" w14:textId="71209761" w:rsidR="00CA6A9D" w:rsidRPr="000F5FBB" w:rsidRDefault="00CA6A9D" w:rsidP="00CA6A9D">
      <w:r w:rsidRPr="000F5FBB">
        <w:t xml:space="preserve">Spilt, </w:t>
      </w:r>
      <w:proofErr w:type="spellStart"/>
      <w:r w:rsidRPr="000F5FBB">
        <w:t>Jantine</w:t>
      </w:r>
      <w:proofErr w:type="spellEnd"/>
      <w:r w:rsidRPr="000F5FBB">
        <w:t xml:space="preserve"> L et al. </w:t>
      </w:r>
      <w:r w:rsidRPr="000F5FBB">
        <w:t>(</w:t>
      </w:r>
      <w:r w:rsidRPr="000F5FBB">
        <w:t>2016</w:t>
      </w:r>
      <w:r w:rsidRPr="000F5FBB">
        <w:t>)</w:t>
      </w:r>
      <w:r w:rsidRPr="000F5FBB">
        <w:t xml:space="preserve"> </w:t>
      </w:r>
      <w:r w:rsidRPr="000F5FBB">
        <w:rPr>
          <w:i/>
          <w:iCs/>
        </w:rPr>
        <w:t xml:space="preserve">Use of Praise and Reprimands as Critical Ingredients of Teacher </w:t>
      </w:r>
      <w:proofErr w:type="spellStart"/>
      <w:r w:rsidRPr="000F5FBB">
        <w:rPr>
          <w:i/>
          <w:iCs/>
        </w:rPr>
        <w:t>Behavior</w:t>
      </w:r>
      <w:proofErr w:type="spellEnd"/>
      <w:r w:rsidRPr="000F5FBB">
        <w:rPr>
          <w:i/>
          <w:iCs/>
        </w:rPr>
        <w:t xml:space="preserve"> Management: Effects on Children’s Development in the Context of a Teacher-Mediated Classroom Intervention</w:t>
      </w:r>
      <w:r w:rsidRPr="000F5FBB">
        <w:t xml:space="preserve">, </w:t>
      </w:r>
      <w:r w:rsidRPr="000F5FBB">
        <w:t>Prevention Science, 17(6), pp.732–742.</w:t>
      </w:r>
    </w:p>
    <w:p w14:paraId="605CF4AE" w14:textId="77777777" w:rsidR="00CA6A9D" w:rsidRDefault="00CA6A9D" w:rsidP="00CA6A9D">
      <w:pPr>
        <w:rPr>
          <w:color w:val="3A3A3A"/>
          <w:shd w:val="clear" w:color="auto" w:fill="FFFFFF"/>
        </w:rPr>
      </w:pPr>
    </w:p>
    <w:p w14:paraId="2CC3972A" w14:textId="11616499" w:rsidR="00CA6A9D" w:rsidRPr="000F5FBB" w:rsidRDefault="00CA6A9D" w:rsidP="00CA6A9D">
      <w:r w:rsidRPr="000F5FBB">
        <w:rPr>
          <w:color w:val="3A3A3A"/>
          <w:shd w:val="clear" w:color="auto" w:fill="FFFFFF"/>
        </w:rPr>
        <w:t xml:space="preserve">Tripp, D. </w:t>
      </w:r>
      <w:r w:rsidRPr="000F5FBB">
        <w:rPr>
          <w:color w:val="3A3A3A"/>
          <w:shd w:val="clear" w:color="auto" w:fill="FFFFFF"/>
        </w:rPr>
        <w:t>(</w:t>
      </w:r>
      <w:r w:rsidRPr="000F5FBB">
        <w:rPr>
          <w:color w:val="3A3A3A"/>
          <w:shd w:val="clear" w:color="auto" w:fill="FFFFFF"/>
        </w:rPr>
        <w:t>1993</w:t>
      </w:r>
      <w:r w:rsidRPr="000F5FBB">
        <w:rPr>
          <w:color w:val="3A3A3A"/>
          <w:shd w:val="clear" w:color="auto" w:fill="FFFFFF"/>
        </w:rPr>
        <w:t>)</w:t>
      </w:r>
      <w:r w:rsidRPr="000F5FBB">
        <w:rPr>
          <w:rStyle w:val="apple-converted-space"/>
          <w:color w:val="3A3A3A"/>
          <w:shd w:val="clear" w:color="auto" w:fill="FFFFFF"/>
        </w:rPr>
        <w:t> </w:t>
      </w:r>
      <w:r w:rsidRPr="000F5FBB">
        <w:rPr>
          <w:i/>
          <w:iCs/>
          <w:color w:val="3A3A3A"/>
        </w:rPr>
        <w:t xml:space="preserve">Critical Incidents in </w:t>
      </w:r>
      <w:r>
        <w:rPr>
          <w:i/>
          <w:iCs/>
          <w:color w:val="3A3A3A"/>
        </w:rPr>
        <w:t>T</w:t>
      </w:r>
      <w:r w:rsidRPr="000F5FBB">
        <w:rPr>
          <w:i/>
          <w:iCs/>
          <w:color w:val="3A3A3A"/>
        </w:rPr>
        <w:t>eaching: developing professional judgement</w:t>
      </w:r>
      <w:r w:rsidRPr="000F5FBB">
        <w:rPr>
          <w:color w:val="3A3A3A"/>
          <w:shd w:val="clear" w:color="auto" w:fill="FFFFFF"/>
        </w:rPr>
        <w:t>, Routledge.</w:t>
      </w:r>
    </w:p>
    <w:p w14:paraId="198DF733" w14:textId="77777777" w:rsidR="00CA6A9D" w:rsidRDefault="00CA6A9D" w:rsidP="00CA6A9D">
      <w:pPr>
        <w:rPr>
          <w:color w:val="3A3A3A"/>
          <w:shd w:val="clear" w:color="auto" w:fill="FFFFFF"/>
        </w:rPr>
      </w:pPr>
    </w:p>
    <w:p w14:paraId="668AE618" w14:textId="4C948982" w:rsidR="00CA6A9D" w:rsidRPr="000F5FBB" w:rsidRDefault="00CA6A9D" w:rsidP="00CA6A9D">
      <w:r w:rsidRPr="000F5FBB">
        <w:rPr>
          <w:color w:val="3A3A3A"/>
          <w:shd w:val="clear" w:color="auto" w:fill="FFFFFF"/>
        </w:rPr>
        <w:t>Wang, Ming-</w:t>
      </w:r>
      <w:proofErr w:type="spellStart"/>
      <w:r w:rsidRPr="000F5FBB">
        <w:rPr>
          <w:color w:val="3A3A3A"/>
          <w:shd w:val="clear" w:color="auto" w:fill="FFFFFF"/>
        </w:rPr>
        <w:t>Te</w:t>
      </w:r>
      <w:proofErr w:type="spellEnd"/>
      <w:r w:rsidRPr="000F5FBB">
        <w:rPr>
          <w:color w:val="3A3A3A"/>
          <w:shd w:val="clear" w:color="auto" w:fill="FFFFFF"/>
        </w:rPr>
        <w:t xml:space="preserve"> et al. </w:t>
      </w:r>
      <w:r w:rsidRPr="000F5FBB">
        <w:rPr>
          <w:color w:val="3A3A3A"/>
          <w:shd w:val="clear" w:color="auto" w:fill="FFFFFF"/>
        </w:rPr>
        <w:t>(</w:t>
      </w:r>
      <w:r w:rsidRPr="000F5FBB">
        <w:rPr>
          <w:color w:val="3A3A3A"/>
          <w:shd w:val="clear" w:color="auto" w:fill="FFFFFF"/>
        </w:rPr>
        <w:t>2020</w:t>
      </w:r>
      <w:r w:rsidRPr="000F5FBB">
        <w:rPr>
          <w:color w:val="3A3A3A"/>
          <w:shd w:val="clear" w:color="auto" w:fill="FFFFFF"/>
        </w:rPr>
        <w:t>)</w:t>
      </w:r>
      <w:r w:rsidRPr="000F5FBB">
        <w:rPr>
          <w:color w:val="3A3A3A"/>
          <w:shd w:val="clear" w:color="auto" w:fill="FFFFFF"/>
        </w:rPr>
        <w:t xml:space="preserve"> </w:t>
      </w:r>
      <w:r w:rsidRPr="000F5FBB">
        <w:rPr>
          <w:i/>
          <w:iCs/>
          <w:color w:val="3A3A3A"/>
          <w:shd w:val="clear" w:color="auto" w:fill="FFFFFF"/>
        </w:rPr>
        <w:t>Classroom climate and children’s academic and psychological wellbeing: A systematic review and meta-analysis</w:t>
      </w:r>
      <w:r w:rsidRPr="000F5FBB">
        <w:rPr>
          <w:color w:val="3A3A3A"/>
          <w:shd w:val="clear" w:color="auto" w:fill="FFFFFF"/>
        </w:rPr>
        <w:t>,</w:t>
      </w:r>
      <w:r w:rsidRPr="000F5FBB">
        <w:rPr>
          <w:rStyle w:val="apple-converted-space"/>
          <w:color w:val="3A3A3A"/>
          <w:shd w:val="clear" w:color="auto" w:fill="FFFFFF"/>
        </w:rPr>
        <w:t> </w:t>
      </w:r>
      <w:r w:rsidRPr="000F5FBB">
        <w:rPr>
          <w:color w:val="3A3A3A"/>
        </w:rPr>
        <w:t>Developmental review</w:t>
      </w:r>
      <w:r w:rsidRPr="000F5FBB">
        <w:rPr>
          <w:color w:val="3A3A3A"/>
          <w:shd w:val="clear" w:color="auto" w:fill="FFFFFF"/>
        </w:rPr>
        <w:t>, 57, p.100912.</w:t>
      </w:r>
    </w:p>
    <w:p w14:paraId="230D341A" w14:textId="77777777" w:rsidR="00CA6A9D" w:rsidRDefault="00CA6A9D" w:rsidP="00CA6A9D">
      <w:pPr>
        <w:rPr>
          <w:color w:val="3A3A3A"/>
          <w:shd w:val="clear" w:color="auto" w:fill="FFFFFF"/>
        </w:rPr>
      </w:pPr>
    </w:p>
    <w:p w14:paraId="79AA1DA0" w14:textId="76512BE0" w:rsidR="00CA6A9D" w:rsidRPr="000F5FBB" w:rsidRDefault="00CA6A9D" w:rsidP="00CA6A9D">
      <w:r w:rsidRPr="000F5FBB">
        <w:rPr>
          <w:color w:val="3A3A3A"/>
          <w:shd w:val="clear" w:color="auto" w:fill="FFFFFF"/>
        </w:rPr>
        <w:t>Wragg, E.C. &amp; Open University. Postgradu</w:t>
      </w:r>
      <w:r w:rsidRPr="000F5FBB">
        <w:rPr>
          <w:color w:val="3A3A3A"/>
          <w:shd w:val="clear" w:color="auto" w:fill="FFFFFF"/>
        </w:rPr>
        <w:t>a</w:t>
      </w:r>
      <w:r w:rsidRPr="000F5FBB">
        <w:rPr>
          <w:color w:val="3A3A3A"/>
          <w:shd w:val="clear" w:color="auto" w:fill="FFFFFF"/>
        </w:rPr>
        <w:t xml:space="preserve">te Certificate in Education </w:t>
      </w:r>
      <w:r w:rsidRPr="000F5FBB">
        <w:rPr>
          <w:color w:val="3A3A3A"/>
          <w:shd w:val="clear" w:color="auto" w:fill="FFFFFF"/>
        </w:rPr>
        <w:t>(</w:t>
      </w:r>
      <w:r w:rsidRPr="000F5FBB">
        <w:rPr>
          <w:color w:val="3A3A3A"/>
          <w:shd w:val="clear" w:color="auto" w:fill="FFFFFF"/>
        </w:rPr>
        <w:t>1994</w:t>
      </w:r>
      <w:r w:rsidRPr="000F5FBB">
        <w:rPr>
          <w:color w:val="3A3A3A"/>
          <w:shd w:val="clear" w:color="auto" w:fill="FFFFFF"/>
        </w:rPr>
        <w:t>)</w:t>
      </w:r>
      <w:r w:rsidRPr="000F5FBB">
        <w:rPr>
          <w:rStyle w:val="apple-converted-space"/>
          <w:color w:val="3A3A3A"/>
          <w:shd w:val="clear" w:color="auto" w:fill="FFFFFF"/>
        </w:rPr>
        <w:t> </w:t>
      </w:r>
      <w:r w:rsidRPr="000F5FBB">
        <w:rPr>
          <w:i/>
          <w:iCs/>
          <w:color w:val="3A3A3A"/>
        </w:rPr>
        <w:t>An introduction to classroom observation.</w:t>
      </w:r>
      <w:r w:rsidRPr="000F5FBB">
        <w:rPr>
          <w:color w:val="3A3A3A"/>
          <w:shd w:val="clear" w:color="auto" w:fill="FFFFFF"/>
        </w:rPr>
        <w:t>, London: Routledge</w:t>
      </w:r>
    </w:p>
    <w:p w14:paraId="39FF9FA7" w14:textId="77777777" w:rsidR="00B1248F" w:rsidRDefault="00B1248F"/>
    <w:sectPr w:rsidR="00B1248F">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AEBC76" w14:textId="77777777" w:rsidR="00A13C55" w:rsidRDefault="00A13C55" w:rsidP="00C413DB">
      <w:r>
        <w:separator/>
      </w:r>
    </w:p>
  </w:endnote>
  <w:endnote w:type="continuationSeparator" w:id="0">
    <w:p w14:paraId="4FE8BB60" w14:textId="77777777" w:rsidR="00A13C55" w:rsidRDefault="00A13C55" w:rsidP="00C413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00127398"/>
      <w:docPartObj>
        <w:docPartGallery w:val="Page Numbers (Bottom of Page)"/>
        <w:docPartUnique/>
      </w:docPartObj>
    </w:sdtPr>
    <w:sdtEndPr>
      <w:rPr>
        <w:rStyle w:val="PageNumber"/>
      </w:rPr>
    </w:sdtEndPr>
    <w:sdtContent>
      <w:p w14:paraId="351898D0" w14:textId="3FD5F2D4" w:rsidR="00C413DB" w:rsidRDefault="00C413DB" w:rsidP="002533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33D8FF" w14:textId="77777777" w:rsidR="00C413DB" w:rsidRDefault="00C413DB" w:rsidP="00C413D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6236185"/>
      <w:docPartObj>
        <w:docPartGallery w:val="Page Numbers (Bottom of Page)"/>
        <w:docPartUnique/>
      </w:docPartObj>
    </w:sdtPr>
    <w:sdtEndPr>
      <w:rPr>
        <w:rStyle w:val="PageNumber"/>
      </w:rPr>
    </w:sdtEndPr>
    <w:sdtContent>
      <w:p w14:paraId="660B5EE6" w14:textId="6C979A91" w:rsidR="00C413DB" w:rsidRDefault="00C413DB" w:rsidP="002533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E71B34" w14:textId="77777777" w:rsidR="00C413DB" w:rsidRDefault="00C413DB" w:rsidP="00C413D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191BDD" w14:textId="77777777" w:rsidR="00A13C55" w:rsidRDefault="00A13C55" w:rsidP="00C413DB">
      <w:r>
        <w:separator/>
      </w:r>
    </w:p>
  </w:footnote>
  <w:footnote w:type="continuationSeparator" w:id="0">
    <w:p w14:paraId="2B9E013E" w14:textId="77777777" w:rsidR="00A13C55" w:rsidRDefault="00A13C55" w:rsidP="00C413D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A05"/>
    <w:rsid w:val="00056F9F"/>
    <w:rsid w:val="000679BA"/>
    <w:rsid w:val="000C187C"/>
    <w:rsid w:val="000F5FBB"/>
    <w:rsid w:val="00120F6A"/>
    <w:rsid w:val="0012225F"/>
    <w:rsid w:val="0016544A"/>
    <w:rsid w:val="00173B18"/>
    <w:rsid w:val="00195350"/>
    <w:rsid w:val="00197572"/>
    <w:rsid w:val="00197700"/>
    <w:rsid w:val="001B3AC0"/>
    <w:rsid w:val="001F47D0"/>
    <w:rsid w:val="00216AB5"/>
    <w:rsid w:val="00243B6E"/>
    <w:rsid w:val="00243E86"/>
    <w:rsid w:val="00252B4A"/>
    <w:rsid w:val="002613B6"/>
    <w:rsid w:val="0029592C"/>
    <w:rsid w:val="002C51B7"/>
    <w:rsid w:val="002D342C"/>
    <w:rsid w:val="003035B3"/>
    <w:rsid w:val="00334BF2"/>
    <w:rsid w:val="00352258"/>
    <w:rsid w:val="00370B2A"/>
    <w:rsid w:val="003E2453"/>
    <w:rsid w:val="004116B3"/>
    <w:rsid w:val="00433F96"/>
    <w:rsid w:val="00437816"/>
    <w:rsid w:val="00451AED"/>
    <w:rsid w:val="00451EC8"/>
    <w:rsid w:val="00452BC3"/>
    <w:rsid w:val="00453B57"/>
    <w:rsid w:val="004708EB"/>
    <w:rsid w:val="00475F84"/>
    <w:rsid w:val="004766D6"/>
    <w:rsid w:val="004A6C4C"/>
    <w:rsid w:val="004C1540"/>
    <w:rsid w:val="004C575B"/>
    <w:rsid w:val="004F369F"/>
    <w:rsid w:val="005247FB"/>
    <w:rsid w:val="00525EFF"/>
    <w:rsid w:val="00543014"/>
    <w:rsid w:val="005626E7"/>
    <w:rsid w:val="00570EC9"/>
    <w:rsid w:val="00573C80"/>
    <w:rsid w:val="005B3069"/>
    <w:rsid w:val="005D049E"/>
    <w:rsid w:val="00610C9F"/>
    <w:rsid w:val="00611E12"/>
    <w:rsid w:val="0061392B"/>
    <w:rsid w:val="006B3844"/>
    <w:rsid w:val="006E1058"/>
    <w:rsid w:val="00734C02"/>
    <w:rsid w:val="007372D6"/>
    <w:rsid w:val="0074339E"/>
    <w:rsid w:val="007968A9"/>
    <w:rsid w:val="007C079F"/>
    <w:rsid w:val="007C32E9"/>
    <w:rsid w:val="007D2A36"/>
    <w:rsid w:val="0081037E"/>
    <w:rsid w:val="008128BC"/>
    <w:rsid w:val="0085268C"/>
    <w:rsid w:val="008610B2"/>
    <w:rsid w:val="00882E48"/>
    <w:rsid w:val="008B081D"/>
    <w:rsid w:val="008C2885"/>
    <w:rsid w:val="008C7AAF"/>
    <w:rsid w:val="00931947"/>
    <w:rsid w:val="00931C8E"/>
    <w:rsid w:val="00964076"/>
    <w:rsid w:val="0097091A"/>
    <w:rsid w:val="00982A90"/>
    <w:rsid w:val="009E6BE2"/>
    <w:rsid w:val="00A07142"/>
    <w:rsid w:val="00A079BF"/>
    <w:rsid w:val="00A13C55"/>
    <w:rsid w:val="00A22F02"/>
    <w:rsid w:val="00A252C1"/>
    <w:rsid w:val="00A65E6D"/>
    <w:rsid w:val="00A771FD"/>
    <w:rsid w:val="00A915F9"/>
    <w:rsid w:val="00A952B8"/>
    <w:rsid w:val="00AB6CC9"/>
    <w:rsid w:val="00AC181C"/>
    <w:rsid w:val="00AC77C6"/>
    <w:rsid w:val="00AE10AA"/>
    <w:rsid w:val="00AF3920"/>
    <w:rsid w:val="00B07718"/>
    <w:rsid w:val="00B10597"/>
    <w:rsid w:val="00B1248F"/>
    <w:rsid w:val="00B46632"/>
    <w:rsid w:val="00B47898"/>
    <w:rsid w:val="00B5460D"/>
    <w:rsid w:val="00B655F5"/>
    <w:rsid w:val="00B97EAE"/>
    <w:rsid w:val="00BC645A"/>
    <w:rsid w:val="00BD482C"/>
    <w:rsid w:val="00C045DC"/>
    <w:rsid w:val="00C17D6E"/>
    <w:rsid w:val="00C413DB"/>
    <w:rsid w:val="00C531F1"/>
    <w:rsid w:val="00C76A05"/>
    <w:rsid w:val="00C80CE8"/>
    <w:rsid w:val="00C846B1"/>
    <w:rsid w:val="00C864B4"/>
    <w:rsid w:val="00C92C36"/>
    <w:rsid w:val="00CA6A9D"/>
    <w:rsid w:val="00CB6377"/>
    <w:rsid w:val="00D12A2F"/>
    <w:rsid w:val="00D30148"/>
    <w:rsid w:val="00D45245"/>
    <w:rsid w:val="00D53239"/>
    <w:rsid w:val="00D57F48"/>
    <w:rsid w:val="00D609A5"/>
    <w:rsid w:val="00D60F13"/>
    <w:rsid w:val="00D76D54"/>
    <w:rsid w:val="00DD16A9"/>
    <w:rsid w:val="00DF0DCB"/>
    <w:rsid w:val="00E11E2F"/>
    <w:rsid w:val="00E378C6"/>
    <w:rsid w:val="00E41A7A"/>
    <w:rsid w:val="00EA7540"/>
    <w:rsid w:val="00EC5707"/>
    <w:rsid w:val="00EE78DA"/>
    <w:rsid w:val="00F10400"/>
    <w:rsid w:val="00F304EF"/>
    <w:rsid w:val="00F45BAB"/>
    <w:rsid w:val="00F501D6"/>
    <w:rsid w:val="00FB1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1A44E9"/>
  <w15:chartTrackingRefBased/>
  <w15:docId w15:val="{13573585-015E-7F43-B4F1-3C3FC075B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C3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413DB"/>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413DB"/>
  </w:style>
  <w:style w:type="character" w:styleId="PageNumber">
    <w:name w:val="page number"/>
    <w:basedOn w:val="DefaultParagraphFont"/>
    <w:uiPriority w:val="99"/>
    <w:semiHidden/>
    <w:unhideWhenUsed/>
    <w:rsid w:val="00C413DB"/>
  </w:style>
  <w:style w:type="paragraph" w:styleId="FootnoteText">
    <w:name w:val="footnote text"/>
    <w:basedOn w:val="Normal"/>
    <w:link w:val="FootnoteTextChar"/>
    <w:uiPriority w:val="99"/>
    <w:semiHidden/>
    <w:unhideWhenUsed/>
    <w:rsid w:val="0061392B"/>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61392B"/>
    <w:rPr>
      <w:sz w:val="20"/>
      <w:szCs w:val="20"/>
    </w:rPr>
  </w:style>
  <w:style w:type="character" w:styleId="FootnoteReference">
    <w:name w:val="footnote reference"/>
    <w:basedOn w:val="DefaultParagraphFont"/>
    <w:uiPriority w:val="99"/>
    <w:semiHidden/>
    <w:unhideWhenUsed/>
    <w:rsid w:val="0061392B"/>
    <w:rPr>
      <w:vertAlign w:val="superscript"/>
    </w:rPr>
  </w:style>
  <w:style w:type="character" w:styleId="Hyperlink">
    <w:name w:val="Hyperlink"/>
    <w:basedOn w:val="DefaultParagraphFont"/>
    <w:uiPriority w:val="99"/>
    <w:unhideWhenUsed/>
    <w:rsid w:val="00A079BF"/>
    <w:rPr>
      <w:color w:val="0563C1" w:themeColor="hyperlink"/>
      <w:u w:val="single"/>
    </w:rPr>
  </w:style>
  <w:style w:type="character" w:styleId="UnresolvedMention">
    <w:name w:val="Unresolved Mention"/>
    <w:basedOn w:val="DefaultParagraphFont"/>
    <w:uiPriority w:val="99"/>
    <w:semiHidden/>
    <w:unhideWhenUsed/>
    <w:rsid w:val="00A079BF"/>
    <w:rPr>
      <w:color w:val="605E5C"/>
      <w:shd w:val="clear" w:color="auto" w:fill="E1DFDD"/>
    </w:rPr>
  </w:style>
  <w:style w:type="character" w:styleId="FollowedHyperlink">
    <w:name w:val="FollowedHyperlink"/>
    <w:basedOn w:val="DefaultParagraphFont"/>
    <w:uiPriority w:val="99"/>
    <w:semiHidden/>
    <w:unhideWhenUsed/>
    <w:rsid w:val="00A079BF"/>
    <w:rPr>
      <w:color w:val="954F72" w:themeColor="followedHyperlink"/>
      <w:u w:val="single"/>
    </w:rPr>
  </w:style>
  <w:style w:type="character" w:customStyle="1" w:styleId="apple-converted-space">
    <w:name w:val="apple-converted-space"/>
    <w:basedOn w:val="DefaultParagraphFont"/>
    <w:rsid w:val="00C92C36"/>
  </w:style>
  <w:style w:type="paragraph" w:styleId="NormalWeb">
    <w:name w:val="Normal (Web)"/>
    <w:basedOn w:val="Normal"/>
    <w:uiPriority w:val="99"/>
    <w:semiHidden/>
    <w:unhideWhenUsed/>
    <w:rsid w:val="00B1248F"/>
    <w:pPr>
      <w:spacing w:before="100" w:beforeAutospacing="1" w:after="100" w:afterAutospacing="1"/>
    </w:pPr>
  </w:style>
  <w:style w:type="character" w:styleId="Emphasis">
    <w:name w:val="Emphasis"/>
    <w:basedOn w:val="DefaultParagraphFont"/>
    <w:uiPriority w:val="20"/>
    <w:qFormat/>
    <w:rsid w:val="00B1248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9075594">
      <w:bodyDiv w:val="1"/>
      <w:marLeft w:val="0"/>
      <w:marRight w:val="0"/>
      <w:marTop w:val="0"/>
      <w:marBottom w:val="0"/>
      <w:divBdr>
        <w:top w:val="none" w:sz="0" w:space="0" w:color="auto"/>
        <w:left w:val="none" w:sz="0" w:space="0" w:color="auto"/>
        <w:bottom w:val="none" w:sz="0" w:space="0" w:color="auto"/>
        <w:right w:val="none" w:sz="0" w:space="0" w:color="auto"/>
      </w:divBdr>
    </w:div>
    <w:div w:id="230848793">
      <w:bodyDiv w:val="1"/>
      <w:marLeft w:val="0"/>
      <w:marRight w:val="0"/>
      <w:marTop w:val="0"/>
      <w:marBottom w:val="0"/>
      <w:divBdr>
        <w:top w:val="none" w:sz="0" w:space="0" w:color="auto"/>
        <w:left w:val="none" w:sz="0" w:space="0" w:color="auto"/>
        <w:bottom w:val="none" w:sz="0" w:space="0" w:color="auto"/>
        <w:right w:val="none" w:sz="0" w:space="0" w:color="auto"/>
      </w:divBdr>
    </w:div>
    <w:div w:id="254218059">
      <w:bodyDiv w:val="1"/>
      <w:marLeft w:val="0"/>
      <w:marRight w:val="0"/>
      <w:marTop w:val="0"/>
      <w:marBottom w:val="0"/>
      <w:divBdr>
        <w:top w:val="none" w:sz="0" w:space="0" w:color="auto"/>
        <w:left w:val="none" w:sz="0" w:space="0" w:color="auto"/>
        <w:bottom w:val="none" w:sz="0" w:space="0" w:color="auto"/>
        <w:right w:val="none" w:sz="0" w:space="0" w:color="auto"/>
      </w:divBdr>
    </w:div>
    <w:div w:id="428427697">
      <w:bodyDiv w:val="1"/>
      <w:marLeft w:val="0"/>
      <w:marRight w:val="0"/>
      <w:marTop w:val="0"/>
      <w:marBottom w:val="0"/>
      <w:divBdr>
        <w:top w:val="none" w:sz="0" w:space="0" w:color="auto"/>
        <w:left w:val="none" w:sz="0" w:space="0" w:color="auto"/>
        <w:bottom w:val="none" w:sz="0" w:space="0" w:color="auto"/>
        <w:right w:val="none" w:sz="0" w:space="0" w:color="auto"/>
      </w:divBdr>
      <w:divsChild>
        <w:div w:id="908611957">
          <w:marLeft w:val="0"/>
          <w:marRight w:val="0"/>
          <w:marTop w:val="0"/>
          <w:marBottom w:val="330"/>
          <w:divBdr>
            <w:top w:val="single" w:sz="6" w:space="0" w:color="DDDDDD"/>
            <w:left w:val="single" w:sz="6" w:space="0" w:color="DDDDDD"/>
            <w:bottom w:val="single" w:sz="6" w:space="0" w:color="DDDDDD"/>
            <w:right w:val="single" w:sz="6" w:space="0" w:color="DDDDDD"/>
          </w:divBdr>
          <w:divsChild>
            <w:div w:id="154640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780302">
      <w:bodyDiv w:val="1"/>
      <w:marLeft w:val="0"/>
      <w:marRight w:val="0"/>
      <w:marTop w:val="0"/>
      <w:marBottom w:val="0"/>
      <w:divBdr>
        <w:top w:val="none" w:sz="0" w:space="0" w:color="auto"/>
        <w:left w:val="none" w:sz="0" w:space="0" w:color="auto"/>
        <w:bottom w:val="none" w:sz="0" w:space="0" w:color="auto"/>
        <w:right w:val="none" w:sz="0" w:space="0" w:color="auto"/>
      </w:divBdr>
    </w:div>
    <w:div w:id="717051569">
      <w:bodyDiv w:val="1"/>
      <w:marLeft w:val="0"/>
      <w:marRight w:val="0"/>
      <w:marTop w:val="0"/>
      <w:marBottom w:val="0"/>
      <w:divBdr>
        <w:top w:val="none" w:sz="0" w:space="0" w:color="auto"/>
        <w:left w:val="none" w:sz="0" w:space="0" w:color="auto"/>
        <w:bottom w:val="none" w:sz="0" w:space="0" w:color="auto"/>
        <w:right w:val="none" w:sz="0" w:space="0" w:color="auto"/>
      </w:divBdr>
    </w:div>
    <w:div w:id="1021081032">
      <w:bodyDiv w:val="1"/>
      <w:marLeft w:val="0"/>
      <w:marRight w:val="0"/>
      <w:marTop w:val="0"/>
      <w:marBottom w:val="0"/>
      <w:divBdr>
        <w:top w:val="none" w:sz="0" w:space="0" w:color="auto"/>
        <w:left w:val="none" w:sz="0" w:space="0" w:color="auto"/>
        <w:bottom w:val="none" w:sz="0" w:space="0" w:color="auto"/>
        <w:right w:val="none" w:sz="0" w:space="0" w:color="auto"/>
      </w:divBdr>
    </w:div>
    <w:div w:id="1125854294">
      <w:bodyDiv w:val="1"/>
      <w:marLeft w:val="0"/>
      <w:marRight w:val="0"/>
      <w:marTop w:val="0"/>
      <w:marBottom w:val="0"/>
      <w:divBdr>
        <w:top w:val="none" w:sz="0" w:space="0" w:color="auto"/>
        <w:left w:val="none" w:sz="0" w:space="0" w:color="auto"/>
        <w:bottom w:val="none" w:sz="0" w:space="0" w:color="auto"/>
        <w:right w:val="none" w:sz="0" w:space="0" w:color="auto"/>
      </w:divBdr>
    </w:div>
    <w:div w:id="1159688294">
      <w:bodyDiv w:val="1"/>
      <w:marLeft w:val="0"/>
      <w:marRight w:val="0"/>
      <w:marTop w:val="0"/>
      <w:marBottom w:val="0"/>
      <w:divBdr>
        <w:top w:val="none" w:sz="0" w:space="0" w:color="auto"/>
        <w:left w:val="none" w:sz="0" w:space="0" w:color="auto"/>
        <w:bottom w:val="none" w:sz="0" w:space="0" w:color="auto"/>
        <w:right w:val="none" w:sz="0" w:space="0" w:color="auto"/>
      </w:divBdr>
    </w:div>
    <w:div w:id="1355424214">
      <w:bodyDiv w:val="1"/>
      <w:marLeft w:val="0"/>
      <w:marRight w:val="0"/>
      <w:marTop w:val="0"/>
      <w:marBottom w:val="0"/>
      <w:divBdr>
        <w:top w:val="none" w:sz="0" w:space="0" w:color="auto"/>
        <w:left w:val="none" w:sz="0" w:space="0" w:color="auto"/>
        <w:bottom w:val="none" w:sz="0" w:space="0" w:color="auto"/>
        <w:right w:val="none" w:sz="0" w:space="0" w:color="auto"/>
      </w:divBdr>
    </w:div>
    <w:div w:id="1679654363">
      <w:bodyDiv w:val="1"/>
      <w:marLeft w:val="0"/>
      <w:marRight w:val="0"/>
      <w:marTop w:val="0"/>
      <w:marBottom w:val="0"/>
      <w:divBdr>
        <w:top w:val="none" w:sz="0" w:space="0" w:color="auto"/>
        <w:left w:val="none" w:sz="0" w:space="0" w:color="auto"/>
        <w:bottom w:val="none" w:sz="0" w:space="0" w:color="auto"/>
        <w:right w:val="none" w:sz="0" w:space="0" w:color="auto"/>
      </w:divBdr>
    </w:div>
    <w:div w:id="1709331710">
      <w:bodyDiv w:val="1"/>
      <w:marLeft w:val="0"/>
      <w:marRight w:val="0"/>
      <w:marTop w:val="0"/>
      <w:marBottom w:val="0"/>
      <w:divBdr>
        <w:top w:val="none" w:sz="0" w:space="0" w:color="auto"/>
        <w:left w:val="none" w:sz="0" w:space="0" w:color="auto"/>
        <w:bottom w:val="none" w:sz="0" w:space="0" w:color="auto"/>
        <w:right w:val="none" w:sz="0" w:space="0" w:color="auto"/>
      </w:divBdr>
    </w:div>
    <w:div w:id="1820919054">
      <w:bodyDiv w:val="1"/>
      <w:marLeft w:val="0"/>
      <w:marRight w:val="0"/>
      <w:marTop w:val="0"/>
      <w:marBottom w:val="0"/>
      <w:divBdr>
        <w:top w:val="none" w:sz="0" w:space="0" w:color="auto"/>
        <w:left w:val="none" w:sz="0" w:space="0" w:color="auto"/>
        <w:bottom w:val="none" w:sz="0" w:space="0" w:color="auto"/>
        <w:right w:val="none" w:sz="0" w:space="0" w:color="auto"/>
      </w:divBdr>
    </w:div>
    <w:div w:id="1984845042">
      <w:bodyDiv w:val="1"/>
      <w:marLeft w:val="0"/>
      <w:marRight w:val="0"/>
      <w:marTop w:val="0"/>
      <w:marBottom w:val="0"/>
      <w:divBdr>
        <w:top w:val="none" w:sz="0" w:space="0" w:color="auto"/>
        <w:left w:val="none" w:sz="0" w:space="0" w:color="auto"/>
        <w:bottom w:val="none" w:sz="0" w:space="0" w:color="auto"/>
        <w:right w:val="none" w:sz="0" w:space="0" w:color="auto"/>
      </w:divBdr>
    </w:div>
    <w:div w:id="2023122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simplypsychology.org/operant-conditioning.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gov.wales/sites/default/files/publications/2018-03/successful-futures.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04AB74-1253-0E4E-8DA8-733759252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885</TotalTime>
  <Pages>22</Pages>
  <Words>3844</Words>
  <Characters>21917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SHELMERDINE</dc:creator>
  <cp:keywords/>
  <dc:description/>
  <cp:lastModifiedBy>Sarah Shelmerdine (2000383)</cp:lastModifiedBy>
  <cp:revision>83</cp:revision>
  <dcterms:created xsi:type="dcterms:W3CDTF">2020-10-05T07:25:00Z</dcterms:created>
  <dcterms:modified xsi:type="dcterms:W3CDTF">2020-10-26T15:41:00Z</dcterms:modified>
</cp:coreProperties>
</file>