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B13DE" w:rsidRDefault="000B13DE" w:rsidP="008E769A">
      <w:pPr>
        <w:pStyle w:val="Heading1"/>
        <w:tabs>
          <w:tab w:val="left" w:pos="2172"/>
        </w:tabs>
        <w:spacing w:before="0"/>
        <w:jc w:val="both"/>
        <w:rPr>
          <w:sz w:val="28"/>
          <w:szCs w:val="28"/>
        </w:rPr>
      </w:pPr>
      <w:bookmarkStart w:id="0" w:name="_Toc242226356"/>
    </w:p>
    <w:p w:rsidR="008E769A" w:rsidRPr="008E769A" w:rsidRDefault="008E769A" w:rsidP="008E769A">
      <w:pPr>
        <w:pStyle w:val="Heading1"/>
        <w:tabs>
          <w:tab w:val="left" w:pos="2172"/>
        </w:tabs>
        <w:spacing w:before="0"/>
        <w:jc w:val="both"/>
        <w:rPr>
          <w:sz w:val="28"/>
          <w:szCs w:val="28"/>
        </w:rPr>
      </w:pPr>
      <w:bookmarkStart w:id="1" w:name="_Toc242962107"/>
      <w:r w:rsidRPr="00515B99">
        <w:rPr>
          <w:noProof/>
        </w:rPr>
        <w:drawing>
          <wp:anchor distT="0" distB="0" distL="114300" distR="114300" simplePos="0" relativeHeight="251662336" behindDoc="0" locked="0" layoutInCell="1" allowOverlap="1" wp14:anchorId="61164D7C" wp14:editId="61164D7D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1706245" cy="589915"/>
            <wp:effectExtent l="0" t="0" r="8255" b="635"/>
            <wp:wrapTopAndBottom/>
            <wp:docPr id="16" name="Picture 16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6245" cy="589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1"/>
    </w:p>
    <w:p w:rsidR="008E769A" w:rsidRPr="00850247" w:rsidRDefault="008E769A" w:rsidP="008E769A">
      <w:pPr>
        <w:spacing w:before="80" w:after="60" w:line="360" w:lineRule="auto"/>
        <w:jc w:val="center"/>
        <w:rPr>
          <w:rFonts w:ascii="Arial" w:hAnsi="Arial" w:cs="Arial"/>
          <w:sz w:val="24"/>
          <w:szCs w:val="24"/>
        </w:rPr>
      </w:pPr>
      <w:r w:rsidRPr="00850247">
        <w:rPr>
          <w:rFonts w:ascii="Arial" w:hAnsi="Arial" w:cs="Arial"/>
          <w:b/>
          <w:bCs/>
          <w:color w:val="1F3864"/>
          <w:sz w:val="24"/>
          <w:szCs w:val="24"/>
        </w:rPr>
        <w:t>M</w:t>
      </w:r>
      <w:r w:rsidR="0077541F">
        <w:rPr>
          <w:rFonts w:ascii="Arial" w:hAnsi="Arial" w:cs="Arial"/>
          <w:b/>
          <w:bCs/>
          <w:color w:val="1F3864"/>
          <w:sz w:val="24"/>
          <w:szCs w:val="24"/>
        </w:rPr>
        <w:t>BA International Business</w:t>
      </w:r>
    </w:p>
    <w:p w:rsidR="008E769A" w:rsidRPr="00850247" w:rsidRDefault="008E769A" w:rsidP="008E769A">
      <w:pPr>
        <w:spacing w:before="60" w:after="60" w:line="360" w:lineRule="auto"/>
        <w:jc w:val="center"/>
        <w:rPr>
          <w:rFonts w:ascii="Arial" w:hAnsi="Arial" w:cs="Arial"/>
          <w:sz w:val="24"/>
          <w:szCs w:val="24"/>
        </w:rPr>
      </w:pPr>
      <w:r w:rsidRPr="00850247">
        <w:rPr>
          <w:rFonts w:ascii="Arial" w:hAnsi="Arial" w:cs="Arial"/>
          <w:color w:val="444444"/>
          <w:sz w:val="24"/>
          <w:szCs w:val="24"/>
        </w:rPr>
        <w:t>Marketing Management | Module Code: LCMB7024</w:t>
      </w:r>
    </w:p>
    <w:p w:rsidR="008E769A" w:rsidRPr="00850247" w:rsidRDefault="008E769A" w:rsidP="008E769A">
      <w:pPr>
        <w:spacing w:before="40" w:after="40" w:line="360" w:lineRule="auto"/>
        <w:rPr>
          <w:rFonts w:ascii="Arial" w:hAnsi="Arial" w:cs="Arial"/>
          <w:sz w:val="24"/>
          <w:szCs w:val="24"/>
        </w:rPr>
      </w:pPr>
    </w:p>
    <w:p w:rsidR="008E769A" w:rsidRPr="00850247" w:rsidRDefault="008E769A" w:rsidP="008E769A">
      <w:pPr>
        <w:spacing w:before="200" w:after="100" w:line="360" w:lineRule="auto"/>
        <w:jc w:val="center"/>
        <w:rPr>
          <w:rFonts w:ascii="Arial" w:hAnsi="Arial" w:cs="Arial"/>
          <w:sz w:val="24"/>
          <w:szCs w:val="24"/>
        </w:rPr>
      </w:pPr>
      <w:r w:rsidRPr="00850247">
        <w:rPr>
          <w:rFonts w:ascii="Arial" w:hAnsi="Arial" w:cs="Arial"/>
          <w:b/>
          <w:bCs/>
          <w:color w:val="1F3864"/>
          <w:sz w:val="24"/>
          <w:szCs w:val="24"/>
        </w:rPr>
        <w:t>Assessment Component 1: Individual Report</w:t>
      </w:r>
    </w:p>
    <w:p w:rsidR="008E769A" w:rsidRPr="00850247" w:rsidRDefault="008E769A" w:rsidP="008E769A">
      <w:pPr>
        <w:spacing w:before="100" w:after="60" w:line="360" w:lineRule="auto"/>
        <w:jc w:val="center"/>
        <w:rPr>
          <w:rFonts w:ascii="Arial" w:hAnsi="Arial" w:cs="Arial"/>
          <w:sz w:val="24"/>
          <w:szCs w:val="24"/>
        </w:rPr>
      </w:pPr>
      <w:r w:rsidRPr="00850247">
        <w:rPr>
          <w:rFonts w:ascii="Arial" w:hAnsi="Arial" w:cs="Arial"/>
          <w:i/>
          <w:iCs/>
          <w:color w:val="2E5496"/>
          <w:sz w:val="24"/>
          <w:szCs w:val="24"/>
        </w:rPr>
        <w:t>Marketing Environment Analysis</w:t>
      </w:r>
    </w:p>
    <w:p w:rsidR="008E769A" w:rsidRPr="0077541F" w:rsidRDefault="0077541F" w:rsidP="008E769A">
      <w:pPr>
        <w:spacing w:before="60" w:after="36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proofErr w:type="spellStart"/>
      <w:r w:rsidRPr="0077541F">
        <w:rPr>
          <w:rFonts w:ascii="Arial" w:hAnsi="Arial" w:cs="Arial"/>
          <w:b/>
          <w:bCs/>
          <w:i/>
          <w:iCs/>
          <w:color w:val="888888"/>
          <w:sz w:val="24"/>
          <w:szCs w:val="24"/>
        </w:rPr>
        <w:t>Codelco</w:t>
      </w:r>
      <w:proofErr w:type="spellEnd"/>
    </w:p>
    <w:p w:rsidR="008E769A" w:rsidRPr="00850247" w:rsidRDefault="008E769A" w:rsidP="008E769A">
      <w:pPr>
        <w:spacing w:before="40" w:after="40" w:line="360" w:lineRule="auto"/>
        <w:rPr>
          <w:rFonts w:ascii="Arial" w:hAnsi="Arial" w:cs="Arial"/>
          <w:sz w:val="24"/>
          <w:szCs w:val="24"/>
        </w:rPr>
      </w:pPr>
    </w:p>
    <w:tbl>
      <w:tblPr>
        <w:tblpPr w:leftFromText="180" w:rightFromText="180" w:vertAnchor="text" w:horzAnchor="margin" w:tblpXSpec="center" w:tblpY="132"/>
        <w:tblW w:w="680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723"/>
        <w:gridCol w:w="4084"/>
      </w:tblGrid>
      <w:tr w:rsidR="008E769A" w:rsidRPr="00850247" w:rsidTr="006A0B9D">
        <w:trPr>
          <w:trHeight w:val="772"/>
        </w:trPr>
        <w:tc>
          <w:tcPr>
            <w:tcW w:w="2723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shd w:val="clear" w:color="auto" w:fill="E8EEF7"/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8E769A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50247">
              <w:rPr>
                <w:rFonts w:ascii="Arial" w:hAnsi="Arial" w:cs="Arial"/>
                <w:b/>
                <w:bCs/>
                <w:sz w:val="24"/>
                <w:szCs w:val="24"/>
              </w:rPr>
              <w:t>Student Name:</w:t>
            </w:r>
          </w:p>
        </w:tc>
        <w:tc>
          <w:tcPr>
            <w:tcW w:w="4084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8E769A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50247">
              <w:rPr>
                <w:rFonts w:ascii="Arial" w:hAnsi="Arial" w:cs="Arial"/>
                <w:sz w:val="24"/>
                <w:szCs w:val="24"/>
              </w:rPr>
              <w:t>Hetvi</w:t>
            </w:r>
            <w:proofErr w:type="spellEnd"/>
            <w:r w:rsidRPr="00850247">
              <w:rPr>
                <w:rFonts w:ascii="Arial" w:hAnsi="Arial" w:cs="Arial"/>
                <w:sz w:val="24"/>
                <w:szCs w:val="24"/>
              </w:rPr>
              <w:t xml:space="preserve"> Patel</w:t>
            </w:r>
          </w:p>
        </w:tc>
      </w:tr>
      <w:tr w:rsidR="008E769A" w:rsidRPr="00850247" w:rsidTr="006A0B9D">
        <w:trPr>
          <w:trHeight w:val="733"/>
        </w:trPr>
        <w:tc>
          <w:tcPr>
            <w:tcW w:w="2723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shd w:val="clear" w:color="auto" w:fill="E8EEF7"/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8E769A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50247">
              <w:rPr>
                <w:rFonts w:ascii="Arial" w:hAnsi="Arial" w:cs="Arial"/>
                <w:b/>
                <w:bCs/>
                <w:sz w:val="24"/>
                <w:szCs w:val="24"/>
              </w:rPr>
              <w:t>Student ID Number:</w:t>
            </w:r>
          </w:p>
        </w:tc>
        <w:tc>
          <w:tcPr>
            <w:tcW w:w="4084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FA7390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2520131</w:t>
            </w:r>
          </w:p>
        </w:tc>
      </w:tr>
      <w:tr w:rsidR="008E769A" w:rsidRPr="00850247" w:rsidTr="006A0B9D">
        <w:trPr>
          <w:trHeight w:val="772"/>
        </w:trPr>
        <w:tc>
          <w:tcPr>
            <w:tcW w:w="2723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shd w:val="clear" w:color="auto" w:fill="E8EEF7"/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8E769A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50247">
              <w:rPr>
                <w:rFonts w:ascii="Arial" w:hAnsi="Arial" w:cs="Arial"/>
                <w:b/>
                <w:bCs/>
                <w:sz w:val="24"/>
                <w:szCs w:val="24"/>
              </w:rPr>
              <w:t>Programme:</w:t>
            </w:r>
          </w:p>
        </w:tc>
        <w:tc>
          <w:tcPr>
            <w:tcW w:w="4084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8E769A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50247">
              <w:rPr>
                <w:rFonts w:ascii="Arial" w:hAnsi="Arial" w:cs="Arial"/>
                <w:sz w:val="24"/>
                <w:szCs w:val="24"/>
              </w:rPr>
              <w:t>Master of Business Administration</w:t>
            </w:r>
          </w:p>
        </w:tc>
      </w:tr>
      <w:tr w:rsidR="008E769A" w:rsidRPr="00850247" w:rsidTr="006A0B9D">
        <w:trPr>
          <w:trHeight w:val="733"/>
        </w:trPr>
        <w:tc>
          <w:tcPr>
            <w:tcW w:w="2723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shd w:val="clear" w:color="auto" w:fill="E8EEF7"/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8E769A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50247">
              <w:rPr>
                <w:rFonts w:ascii="Arial" w:hAnsi="Arial" w:cs="Arial"/>
                <w:b/>
                <w:bCs/>
                <w:sz w:val="24"/>
                <w:szCs w:val="24"/>
              </w:rPr>
              <w:t>Module:</w:t>
            </w:r>
          </w:p>
        </w:tc>
        <w:tc>
          <w:tcPr>
            <w:tcW w:w="4084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8E769A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50247">
              <w:rPr>
                <w:rFonts w:ascii="Arial" w:hAnsi="Arial" w:cs="Arial"/>
                <w:sz w:val="24"/>
                <w:szCs w:val="24"/>
              </w:rPr>
              <w:t>Marketing Management</w:t>
            </w:r>
          </w:p>
        </w:tc>
      </w:tr>
      <w:tr w:rsidR="008E769A" w:rsidRPr="00850247" w:rsidTr="006A0B9D">
        <w:trPr>
          <w:trHeight w:val="772"/>
        </w:trPr>
        <w:tc>
          <w:tcPr>
            <w:tcW w:w="2723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shd w:val="clear" w:color="auto" w:fill="E8EEF7"/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8E769A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50247">
              <w:rPr>
                <w:rFonts w:ascii="Arial" w:hAnsi="Arial" w:cs="Arial"/>
                <w:b/>
                <w:bCs/>
                <w:sz w:val="24"/>
                <w:szCs w:val="24"/>
              </w:rPr>
              <w:t>Lecturer:</w:t>
            </w:r>
          </w:p>
        </w:tc>
        <w:tc>
          <w:tcPr>
            <w:tcW w:w="4084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8E769A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50247">
              <w:rPr>
                <w:rFonts w:ascii="Arial" w:hAnsi="Arial" w:cs="Arial"/>
                <w:sz w:val="24"/>
                <w:szCs w:val="24"/>
              </w:rPr>
              <w:t>Taonga</w:t>
            </w:r>
            <w:proofErr w:type="spellEnd"/>
            <w:r w:rsidRPr="0085024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50247">
              <w:rPr>
                <w:rFonts w:ascii="Arial" w:hAnsi="Arial" w:cs="Arial"/>
                <w:sz w:val="24"/>
                <w:szCs w:val="24"/>
              </w:rPr>
              <w:t>Kaonga</w:t>
            </w:r>
            <w:proofErr w:type="spellEnd"/>
            <w:r w:rsidRPr="0085024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50247">
              <w:rPr>
                <w:rFonts w:ascii="Arial" w:hAnsi="Arial" w:cs="Arial"/>
                <w:sz w:val="24"/>
                <w:szCs w:val="24"/>
              </w:rPr>
              <w:t>Sobere-Snithers</w:t>
            </w:r>
            <w:proofErr w:type="spellEnd"/>
          </w:p>
        </w:tc>
      </w:tr>
      <w:tr w:rsidR="008E769A" w:rsidRPr="00850247" w:rsidTr="006A0B9D">
        <w:trPr>
          <w:trHeight w:val="733"/>
        </w:trPr>
        <w:tc>
          <w:tcPr>
            <w:tcW w:w="2723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shd w:val="clear" w:color="auto" w:fill="E8EEF7"/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8E769A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50247">
              <w:rPr>
                <w:rFonts w:ascii="Arial" w:hAnsi="Arial" w:cs="Arial"/>
                <w:b/>
                <w:bCs/>
                <w:sz w:val="24"/>
                <w:szCs w:val="24"/>
              </w:rPr>
              <w:t>Word Count:</w:t>
            </w:r>
          </w:p>
        </w:tc>
        <w:tc>
          <w:tcPr>
            <w:tcW w:w="4084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0C3D13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2720</w:t>
            </w:r>
            <w:r w:rsidR="008E769A" w:rsidRPr="00850247">
              <w:rPr>
                <w:rFonts w:ascii="Arial" w:hAnsi="Arial" w:cs="Arial"/>
                <w:sz w:val="24"/>
                <w:szCs w:val="24"/>
              </w:rPr>
              <w:t xml:space="preserve"> words</w:t>
            </w:r>
          </w:p>
        </w:tc>
      </w:tr>
      <w:tr w:rsidR="008E769A" w:rsidRPr="00850247" w:rsidTr="006A0B9D">
        <w:trPr>
          <w:trHeight w:val="733"/>
        </w:trPr>
        <w:tc>
          <w:tcPr>
            <w:tcW w:w="2723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shd w:val="clear" w:color="auto" w:fill="E8EEF7"/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8E769A" w:rsidP="006A0B9D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50247">
              <w:rPr>
                <w:rFonts w:ascii="Arial" w:hAnsi="Arial" w:cs="Arial"/>
                <w:b/>
                <w:bCs/>
                <w:sz w:val="24"/>
                <w:szCs w:val="24"/>
              </w:rPr>
              <w:t>Submitted on:</w:t>
            </w:r>
          </w:p>
        </w:tc>
        <w:tc>
          <w:tcPr>
            <w:tcW w:w="4084" w:type="dxa"/>
            <w:tcBorders>
              <w:top w:val="single" w:sz="1" w:space="0" w:color="AAAAAA"/>
              <w:left w:val="single" w:sz="1" w:space="0" w:color="AAAAAA"/>
              <w:bottom w:val="single" w:sz="1" w:space="0" w:color="AAAAAA"/>
              <w:right w:val="single" w:sz="1" w:space="0" w:color="AAAAAA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:rsidR="008E769A" w:rsidRPr="00850247" w:rsidRDefault="007F5B17" w:rsidP="0085024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19</w:t>
            </w:r>
            <w:r w:rsidRPr="007F5B17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October 2026</w:t>
            </w:r>
          </w:p>
        </w:tc>
      </w:tr>
    </w:tbl>
    <w:p w:rsidR="008E769A" w:rsidRPr="00850247" w:rsidRDefault="008E769A" w:rsidP="008E769A">
      <w:pPr>
        <w:spacing w:before="40" w:after="40" w:line="360" w:lineRule="auto"/>
        <w:rPr>
          <w:sz w:val="24"/>
          <w:szCs w:val="24"/>
        </w:rPr>
      </w:pPr>
    </w:p>
    <w:p w:rsidR="008E769A" w:rsidRPr="00850247" w:rsidRDefault="008E769A" w:rsidP="008E769A">
      <w:pPr>
        <w:spacing w:line="360" w:lineRule="auto"/>
        <w:rPr>
          <w:sz w:val="24"/>
          <w:szCs w:val="24"/>
        </w:rPr>
      </w:pPr>
      <w:r w:rsidRPr="00850247">
        <w:rPr>
          <w:rFonts w:ascii="Arial" w:hAnsi="Arial" w:cs="Arial"/>
          <w:sz w:val="24"/>
          <w:szCs w:val="24"/>
        </w:rPr>
        <w:br w:type="page"/>
      </w:r>
    </w:p>
    <w:p w:rsidR="008C10EF" w:rsidRPr="00C32948" w:rsidRDefault="00C32948">
      <w:pPr>
        <w:pStyle w:val="Heading1"/>
        <w:rPr>
          <w:rFonts w:ascii="Arial" w:hAnsi="Arial" w:cs="Arial"/>
        </w:rPr>
      </w:pPr>
      <w:bookmarkStart w:id="2" w:name="_Toc242962108"/>
      <w:r w:rsidRPr="00C32948">
        <w:rPr>
          <w:rFonts w:ascii="Arial" w:hAnsi="Arial" w:cs="Arial"/>
        </w:rPr>
        <w:lastRenderedPageBreak/>
        <w:t>Contents</w:t>
      </w:r>
      <w:bookmarkEnd w:id="0"/>
      <w:bookmarkEnd w:id="2"/>
    </w:p>
    <w:sdt>
      <w:sdtPr>
        <w:rPr>
          <w:rFonts w:ascii="Arial" w:eastAsia="Calibri" w:hAnsi="Arial" w:cs="Arial"/>
          <w:color w:val="auto"/>
          <w:sz w:val="28"/>
          <w:szCs w:val="28"/>
          <w:lang w:val="en-IN" w:eastAsia="en-IN" w:bidi="gu-IN"/>
        </w:rPr>
        <w:id w:val="1169610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0C3D13" w:rsidRPr="00246FD7" w:rsidRDefault="000C3D13" w:rsidP="00246FD7">
          <w:pPr>
            <w:pStyle w:val="TOCHeading"/>
            <w:spacing w:line="360" w:lineRule="auto"/>
            <w:rPr>
              <w:rFonts w:ascii="Arial" w:hAnsi="Arial" w:cs="Arial"/>
              <w:noProof/>
              <w:sz w:val="28"/>
              <w:szCs w:val="28"/>
            </w:rPr>
          </w:pPr>
          <w:r w:rsidRPr="00246FD7">
            <w:rPr>
              <w:rFonts w:ascii="Arial" w:hAnsi="Arial" w:cs="Arial"/>
              <w:b/>
              <w:bCs/>
              <w:noProof/>
              <w:sz w:val="28"/>
              <w:szCs w:val="28"/>
            </w:rPr>
            <w:fldChar w:fldCharType="begin"/>
          </w:r>
          <w:r w:rsidRPr="00246FD7">
            <w:rPr>
              <w:rFonts w:ascii="Arial" w:hAnsi="Arial" w:cs="Arial"/>
              <w:b/>
              <w:bCs/>
              <w:noProof/>
              <w:sz w:val="28"/>
              <w:szCs w:val="28"/>
            </w:rPr>
            <w:instrText xml:space="preserve"> TOC \o "1-3" \h \z \u </w:instrText>
          </w:r>
          <w:r w:rsidRPr="00246FD7">
            <w:rPr>
              <w:rFonts w:ascii="Arial" w:hAnsi="Arial" w:cs="Arial"/>
              <w:b/>
              <w:bCs/>
              <w:noProof/>
              <w:sz w:val="28"/>
              <w:szCs w:val="28"/>
            </w:rPr>
            <w:fldChar w:fldCharType="separate"/>
          </w:r>
        </w:p>
        <w:p w:rsidR="000C3D13" w:rsidRPr="00246FD7" w:rsidRDefault="005D0964" w:rsidP="00246FD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09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List of Abbreviations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_Toc242962109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5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10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Task 1: Marketing Environment Analysis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_Toc242962110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7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11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1.1 Company context and analytical approach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_Toc242962111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7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12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1.2 Actor 1: The natural environment (primary focus)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_Toc242962112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8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13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1.3 Actor 2: The political-legal environment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_Toc242962113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11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14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1.4 Actor 3: The economic environment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_Toc242962114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12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15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1.5 Synthesis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_Toc242962115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13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16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Task 2: Strategic Growth and Competitive Positioning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_Toc242962116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14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18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2.1 Recommended growth direction: the Ansoff Matrix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_Toc242962118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14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19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2.2 Achieving competitive advantage: Porter’s generic strategies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_Toc242962119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15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20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2.3 Implementation and measurement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_Toc242962120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16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21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Task 3: Managerial and Professional Reflection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_Toc242962121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18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22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3.1 Key decisions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_Toc242962122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18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23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3.2 Limitations and further information required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_Toc242962123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19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24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References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_Toc242962124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20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25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Appendix A: Microenvironment analysis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_Toc242962125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25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26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A.1 Customers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_Toc242962126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25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Pr="00246FD7" w:rsidRDefault="005D0964" w:rsidP="00246FD7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8"/>
              <w:szCs w:val="28"/>
            </w:rPr>
          </w:pPr>
          <w:hyperlink w:anchor="_Toc242962127" w:history="1">
            <w:r w:rsidR="000C3D13" w:rsidRPr="00246FD7">
              <w:rPr>
                <w:rStyle w:val="Hyperlink"/>
                <w:rFonts w:ascii="Arial" w:hAnsi="Arial" w:cs="Arial"/>
                <w:noProof/>
                <w:sz w:val="28"/>
                <w:szCs w:val="28"/>
              </w:rPr>
              <w:t>A.2 Competitors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tab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begin"/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instrText xml:space="preserve"> PAGEREF _Toc242962127 \h </w:instrTex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separate"/>
            </w:r>
            <w:r w:rsidR="00E055F9">
              <w:rPr>
                <w:rFonts w:ascii="Arial" w:hAnsi="Arial" w:cs="Arial"/>
                <w:noProof/>
                <w:webHidden/>
                <w:sz w:val="28"/>
                <w:szCs w:val="28"/>
              </w:rPr>
              <w:t>25</w:t>
            </w:r>
            <w:r w:rsidR="000C3D13" w:rsidRPr="00246FD7">
              <w:rPr>
                <w:rFonts w:ascii="Arial" w:hAnsi="Arial" w:cs="Arial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="000C3D13" w:rsidRDefault="000C3D13" w:rsidP="00246FD7">
          <w:pPr>
            <w:spacing w:line="360" w:lineRule="auto"/>
          </w:pPr>
          <w:r w:rsidRPr="00246FD7">
            <w:rPr>
              <w:rFonts w:ascii="Arial" w:hAnsi="Arial" w:cs="Arial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:rsidR="008C10EF" w:rsidRPr="0077541F" w:rsidRDefault="008C10EF" w:rsidP="0077541F">
      <w:pPr>
        <w:spacing w:line="360" w:lineRule="auto"/>
        <w:rPr>
          <w:rFonts w:ascii="Arial" w:hAnsi="Arial" w:cs="Arial"/>
          <w:sz w:val="24"/>
          <w:szCs w:val="24"/>
        </w:rPr>
      </w:pPr>
    </w:p>
    <w:p w:rsidR="00C32948" w:rsidRPr="0077541F" w:rsidRDefault="00C32948" w:rsidP="0077541F">
      <w:pPr>
        <w:spacing w:before="200" w:line="360" w:lineRule="auto"/>
        <w:rPr>
          <w:rFonts w:ascii="Arial" w:hAnsi="Arial" w:cs="Arial"/>
          <w:sz w:val="24"/>
          <w:szCs w:val="24"/>
        </w:rPr>
      </w:pPr>
    </w:p>
    <w:p w:rsidR="008C10EF" w:rsidRPr="00C32948" w:rsidRDefault="00C32948" w:rsidP="00C32948">
      <w:pPr>
        <w:rPr>
          <w:rFonts w:ascii="Arial" w:hAnsi="Arial" w:cs="Arial"/>
        </w:rPr>
      </w:pPr>
      <w:r w:rsidRPr="00C32948">
        <w:rPr>
          <w:rFonts w:ascii="Arial" w:hAnsi="Arial" w:cs="Arial"/>
        </w:rPr>
        <w:br w:type="page"/>
      </w:r>
    </w:p>
    <w:p w:rsidR="008C10EF" w:rsidRPr="0077541F" w:rsidRDefault="00C32948" w:rsidP="00C32948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77541F">
        <w:rPr>
          <w:rFonts w:ascii="Arial" w:hAnsi="Arial" w:cs="Arial"/>
          <w:b/>
          <w:bCs/>
          <w:color w:val="1F3A5F"/>
          <w:sz w:val="28"/>
          <w:szCs w:val="28"/>
        </w:rPr>
        <w:lastRenderedPageBreak/>
        <w:t>List of tables</w:t>
      </w:r>
    </w:p>
    <w:p w:rsidR="008C10EF" w:rsidRPr="00C32948" w:rsidRDefault="00C32948" w:rsidP="007754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Table 1. </w:t>
      </w:r>
      <w:r w:rsidRPr="00C32948">
        <w:rPr>
          <w:rFonts w:ascii="Arial" w:hAnsi="Arial" w:cs="Arial"/>
          <w:sz w:val="24"/>
          <w:szCs w:val="24"/>
        </w:rPr>
        <w:t xml:space="preserve">Summary of the three </w:t>
      </w:r>
      <w:proofErr w:type="spellStart"/>
      <w:r w:rsidRPr="00C32948">
        <w:rPr>
          <w:rFonts w:ascii="Arial" w:hAnsi="Arial" w:cs="Arial"/>
          <w:sz w:val="24"/>
          <w:szCs w:val="24"/>
        </w:rPr>
        <w:t>macroenvironment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actors: opportunities and threats</w:t>
      </w:r>
    </w:p>
    <w:p w:rsidR="008C10EF" w:rsidRPr="00C32948" w:rsidRDefault="00C32948" w:rsidP="007754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Table 2. </w:t>
      </w:r>
      <w:r w:rsidRPr="00C32948">
        <w:rPr>
          <w:rFonts w:ascii="Arial" w:hAnsi="Arial" w:cs="Arial"/>
          <w:sz w:val="24"/>
          <w:szCs w:val="24"/>
        </w:rPr>
        <w:t>Proposed key performance indicators</w:t>
      </w:r>
    </w:p>
    <w:p w:rsidR="008C10EF" w:rsidRPr="00C32948" w:rsidRDefault="00C32948" w:rsidP="007754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Table A1. </w:t>
      </w:r>
      <w:r w:rsidRPr="00C32948">
        <w:rPr>
          <w:rFonts w:ascii="Arial" w:hAnsi="Arial" w:cs="Arial"/>
          <w:sz w:val="24"/>
          <w:szCs w:val="24"/>
        </w:rPr>
        <w:t>Competitor analysis: direct and indirect competitors in low-carbon copper</w:t>
      </w:r>
    </w:p>
    <w:p w:rsidR="0077541F" w:rsidRDefault="00C32948" w:rsidP="0077541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Table A2. </w:t>
      </w:r>
      <w:r w:rsidRPr="00C32948">
        <w:rPr>
          <w:rFonts w:ascii="Arial" w:hAnsi="Arial" w:cs="Arial"/>
          <w:sz w:val="24"/>
          <w:szCs w:val="24"/>
        </w:rPr>
        <w:t>Summary of the microenvironment actors: opportunities and threats</w:t>
      </w:r>
    </w:p>
    <w:p w:rsidR="0077541F" w:rsidRDefault="0077541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:rsidR="0077541F" w:rsidRPr="0077541F" w:rsidRDefault="0077541F" w:rsidP="0077541F">
      <w:pPr>
        <w:spacing w:line="480" w:lineRule="auto"/>
        <w:rPr>
          <w:rFonts w:ascii="Arial" w:hAnsi="Arial" w:cs="Arial"/>
          <w:b/>
          <w:bCs/>
          <w:color w:val="1F3A5F"/>
          <w:sz w:val="28"/>
          <w:szCs w:val="28"/>
        </w:rPr>
      </w:pPr>
      <w:r w:rsidRPr="0077541F">
        <w:rPr>
          <w:rFonts w:ascii="Arial" w:hAnsi="Arial" w:cs="Arial"/>
          <w:b/>
          <w:bCs/>
          <w:color w:val="1F3A5F"/>
          <w:sz w:val="28"/>
          <w:szCs w:val="28"/>
        </w:rPr>
        <w:lastRenderedPageBreak/>
        <w:t>List of figures</w:t>
      </w:r>
    </w:p>
    <w:p w:rsidR="0077541F" w:rsidRPr="00C32948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1. </w:t>
      </w:r>
      <w:proofErr w:type="spellStart"/>
      <w:r w:rsidRPr="00C32948">
        <w:rPr>
          <w:rFonts w:ascii="Arial" w:hAnsi="Arial" w:cs="Arial"/>
          <w:sz w:val="24"/>
          <w:szCs w:val="24"/>
        </w:rPr>
        <w:t>Codelco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copper production, 2021-2025, and 2030 target (</w:t>
      </w:r>
      <w:proofErr w:type="spellStart"/>
      <w:r w:rsidRPr="00C32948">
        <w:rPr>
          <w:rFonts w:ascii="Arial" w:hAnsi="Arial" w:cs="Arial"/>
          <w:sz w:val="24"/>
          <w:szCs w:val="24"/>
        </w:rPr>
        <w:t>kt</w:t>
      </w:r>
      <w:proofErr w:type="spellEnd"/>
      <w:r w:rsidRPr="00C32948">
        <w:rPr>
          <w:rFonts w:ascii="Arial" w:hAnsi="Arial" w:cs="Arial"/>
          <w:sz w:val="24"/>
          <w:szCs w:val="24"/>
        </w:rPr>
        <w:t>, including shares in partner mines)</w:t>
      </w:r>
    </w:p>
    <w:p w:rsidR="0077541F" w:rsidRPr="00C32948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2. </w:t>
      </w:r>
      <w:proofErr w:type="spellStart"/>
      <w:r w:rsidRPr="00C32948">
        <w:rPr>
          <w:rFonts w:ascii="Arial" w:hAnsi="Arial" w:cs="Arial"/>
          <w:sz w:val="24"/>
          <w:szCs w:val="24"/>
        </w:rPr>
        <w:t>Codelco’s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marketing environment, highlighting the four actors analysed</w:t>
      </w:r>
    </w:p>
    <w:p w:rsidR="0077541F" w:rsidRPr="00C32948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3. </w:t>
      </w:r>
      <w:proofErr w:type="spellStart"/>
      <w:r w:rsidRPr="00C32948">
        <w:rPr>
          <w:rFonts w:ascii="Arial" w:hAnsi="Arial" w:cs="Arial"/>
          <w:sz w:val="24"/>
          <w:szCs w:val="24"/>
        </w:rPr>
        <w:t>Codelco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Scope 1+2 emissions against the 2030 reduction target</w:t>
      </w:r>
    </w:p>
    <w:p w:rsidR="0077541F" w:rsidRPr="00C32948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4. </w:t>
      </w:r>
      <w:proofErr w:type="spellStart"/>
      <w:r w:rsidRPr="00C32948">
        <w:rPr>
          <w:rFonts w:ascii="Arial" w:hAnsi="Arial" w:cs="Arial"/>
          <w:sz w:val="24"/>
          <w:szCs w:val="24"/>
        </w:rPr>
        <w:t>Codelco’s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2024 greenhouse-gas footprint by scope and Scope 3 category</w:t>
      </w:r>
    </w:p>
    <w:p w:rsidR="0077541F" w:rsidRPr="00C32948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5. </w:t>
      </w:r>
      <w:r w:rsidRPr="00C32948">
        <w:rPr>
          <w:rFonts w:ascii="Arial" w:hAnsi="Arial" w:cs="Arial"/>
          <w:sz w:val="24"/>
          <w:szCs w:val="24"/>
        </w:rPr>
        <w:t xml:space="preserve">Renewable share of Chile’s electricity generation and </w:t>
      </w:r>
      <w:proofErr w:type="spellStart"/>
      <w:r w:rsidRPr="00C32948">
        <w:rPr>
          <w:rFonts w:ascii="Arial" w:hAnsi="Arial" w:cs="Arial"/>
          <w:sz w:val="24"/>
          <w:szCs w:val="24"/>
        </w:rPr>
        <w:t>Codelco’s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contracted renewable supply</w:t>
      </w:r>
    </w:p>
    <w:p w:rsidR="0077541F" w:rsidRPr="00C32948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6. </w:t>
      </w:r>
      <w:r w:rsidRPr="00C32948">
        <w:rPr>
          <w:rFonts w:ascii="Arial" w:hAnsi="Arial" w:cs="Arial"/>
          <w:sz w:val="24"/>
          <w:szCs w:val="24"/>
        </w:rPr>
        <w:t>Global copper demand outlook and 2025 mine-supply concentration</w:t>
      </w:r>
    </w:p>
    <w:p w:rsidR="0077541F" w:rsidRPr="00C32948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7. </w:t>
      </w:r>
      <w:r w:rsidRPr="00C32948">
        <w:rPr>
          <w:rFonts w:ascii="Arial" w:hAnsi="Arial" w:cs="Arial"/>
          <w:sz w:val="24"/>
          <w:szCs w:val="24"/>
        </w:rPr>
        <w:t xml:space="preserve">Political-legal pressures on </w:t>
      </w:r>
      <w:proofErr w:type="spellStart"/>
      <w:r w:rsidRPr="00C32948">
        <w:rPr>
          <w:rFonts w:ascii="Arial" w:hAnsi="Arial" w:cs="Arial"/>
          <w:sz w:val="24"/>
          <w:szCs w:val="24"/>
        </w:rPr>
        <w:t>Codelco’s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low-carbon transition, 2021-2030</w:t>
      </w:r>
    </w:p>
    <w:p w:rsidR="0077541F" w:rsidRPr="00C32948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8. </w:t>
      </w:r>
      <w:proofErr w:type="spellStart"/>
      <w:r w:rsidRPr="00C32948">
        <w:rPr>
          <w:rFonts w:ascii="Arial" w:hAnsi="Arial" w:cs="Arial"/>
          <w:sz w:val="24"/>
          <w:szCs w:val="24"/>
        </w:rPr>
        <w:t>Codelco’s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2025 financial position (US$ billion)</w:t>
      </w:r>
    </w:p>
    <w:p w:rsidR="0077541F" w:rsidRPr="00C32948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9. </w:t>
      </w:r>
      <w:r w:rsidRPr="00C32948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C32948">
        <w:rPr>
          <w:rFonts w:ascii="Arial" w:hAnsi="Arial" w:cs="Arial"/>
          <w:sz w:val="24"/>
          <w:szCs w:val="24"/>
        </w:rPr>
        <w:t>Ansoff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Matrix applied to </w:t>
      </w:r>
      <w:proofErr w:type="spellStart"/>
      <w:r w:rsidRPr="00C32948">
        <w:rPr>
          <w:rFonts w:ascii="Arial" w:hAnsi="Arial" w:cs="Arial"/>
          <w:sz w:val="24"/>
          <w:szCs w:val="24"/>
        </w:rPr>
        <w:t>Codelco’s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low-carbon transition</w:t>
      </w:r>
    </w:p>
    <w:p w:rsidR="0077541F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10. </w:t>
      </w:r>
      <w:r w:rsidRPr="00C32948">
        <w:rPr>
          <w:rFonts w:ascii="Arial" w:hAnsi="Arial" w:cs="Arial"/>
          <w:sz w:val="24"/>
          <w:szCs w:val="24"/>
        </w:rPr>
        <w:t>Recommended implementation roadmap, 2026-2030</w:t>
      </w:r>
    </w:p>
    <w:p w:rsidR="000C3D13" w:rsidRPr="000C3D13" w:rsidRDefault="000C3D13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160"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  <w:sz w:val="24"/>
          <w:szCs w:val="24"/>
        </w:rPr>
        <w:t>Figure 11</w:t>
      </w:r>
      <w:r>
        <w:rPr>
          <w:rFonts w:ascii="Arial" w:hAnsi="Arial" w:cs="Arial"/>
          <w:b/>
          <w:bCs/>
          <w:color w:val="1F3A5F"/>
          <w:sz w:val="20"/>
          <w:szCs w:val="20"/>
        </w:rPr>
        <w:t xml:space="preserve">. </w:t>
      </w:r>
      <w:r w:rsidRPr="000C3D13">
        <w:rPr>
          <w:rFonts w:ascii="Arial" w:hAnsi="Arial" w:cs="Arial"/>
          <w:sz w:val="24"/>
          <w:szCs w:val="24"/>
        </w:rPr>
        <w:t>Information gaps and How to close them</w:t>
      </w:r>
    </w:p>
    <w:p w:rsidR="0077541F" w:rsidRPr="00C32948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A1. </w:t>
      </w:r>
      <w:proofErr w:type="spellStart"/>
      <w:r w:rsidRPr="00C32948">
        <w:rPr>
          <w:rFonts w:ascii="Arial" w:hAnsi="Arial" w:cs="Arial"/>
          <w:sz w:val="24"/>
          <w:szCs w:val="24"/>
        </w:rPr>
        <w:t>Codelco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copper sales by destination, 2025 (% of sales)</w:t>
      </w:r>
    </w:p>
    <w:p w:rsidR="0077541F" w:rsidRPr="00C32948" w:rsidRDefault="0077541F" w:rsidP="000C3D1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40" w:line="36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b/>
          <w:bCs/>
          <w:sz w:val="24"/>
          <w:szCs w:val="24"/>
        </w:rPr>
        <w:t xml:space="preserve">Figure A2. </w:t>
      </w:r>
      <w:r w:rsidRPr="00C32948">
        <w:rPr>
          <w:rFonts w:ascii="Arial" w:hAnsi="Arial" w:cs="Arial"/>
          <w:sz w:val="24"/>
          <w:szCs w:val="24"/>
        </w:rPr>
        <w:t xml:space="preserve">Scope 1+2 reduction targets and reported progress: </w:t>
      </w:r>
      <w:proofErr w:type="spellStart"/>
      <w:r w:rsidRPr="00C32948">
        <w:rPr>
          <w:rFonts w:ascii="Arial" w:hAnsi="Arial" w:cs="Arial"/>
          <w:sz w:val="24"/>
          <w:szCs w:val="24"/>
        </w:rPr>
        <w:t>Codelco</w:t>
      </w:r>
      <w:proofErr w:type="spellEnd"/>
      <w:r w:rsidRPr="00C32948">
        <w:rPr>
          <w:rFonts w:ascii="Arial" w:hAnsi="Arial" w:cs="Arial"/>
          <w:sz w:val="24"/>
          <w:szCs w:val="24"/>
        </w:rPr>
        <w:t xml:space="preserve"> versus direct competitors</w:t>
      </w:r>
    </w:p>
    <w:p w:rsidR="008C10EF" w:rsidRPr="00C32948" w:rsidRDefault="008C10EF" w:rsidP="00C32948">
      <w:pPr>
        <w:spacing w:after="40" w:line="360" w:lineRule="auto"/>
        <w:rPr>
          <w:rFonts w:ascii="Arial" w:hAnsi="Arial" w:cs="Arial"/>
          <w:sz w:val="24"/>
          <w:szCs w:val="24"/>
        </w:rPr>
      </w:pPr>
    </w:p>
    <w:p w:rsidR="008C10EF" w:rsidRPr="00C32948" w:rsidRDefault="00C32948">
      <w:pPr>
        <w:pStyle w:val="Heading1"/>
        <w:pageBreakBefore/>
        <w:rPr>
          <w:rFonts w:ascii="Arial" w:hAnsi="Arial" w:cs="Arial"/>
        </w:rPr>
      </w:pPr>
      <w:bookmarkStart w:id="3" w:name="_Toc242226357"/>
      <w:bookmarkStart w:id="4" w:name="_Toc242962109"/>
      <w:r w:rsidRPr="00C32948">
        <w:rPr>
          <w:rFonts w:ascii="Arial" w:hAnsi="Arial" w:cs="Arial"/>
        </w:rPr>
        <w:lastRenderedPageBreak/>
        <w:t>List of Abbreviations</w:t>
      </w:r>
      <w:bookmarkEnd w:id="3"/>
      <w:bookmarkEnd w:id="4"/>
    </w:p>
    <w:tbl>
      <w:tblPr>
        <w:tblW w:w="92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955"/>
        <w:gridCol w:w="7334"/>
      </w:tblGrid>
      <w:tr w:rsidR="008C10EF" w:rsidRPr="0077541F" w:rsidTr="0077541F">
        <w:trPr>
          <w:trHeight w:val="288"/>
          <w:tblHeader/>
        </w:trPr>
        <w:tc>
          <w:tcPr>
            <w:tcW w:w="1955" w:type="dxa"/>
            <w:shd w:val="clear" w:color="auto" w:fill="1F3A5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Abbreviation</w:t>
            </w:r>
          </w:p>
        </w:tc>
        <w:tc>
          <w:tcPr>
            <w:tcW w:w="7334" w:type="dxa"/>
            <w:shd w:val="clear" w:color="auto" w:fill="1F3A5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Meaning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AI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Artificial intelligence</w:t>
            </w:r>
          </w:p>
        </w:tc>
      </w:tr>
      <w:tr w:rsidR="008C10EF" w:rsidRPr="0077541F" w:rsidTr="0077541F">
        <w:trPr>
          <w:cantSplit/>
          <w:trHeight w:val="302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Al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Aluminium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BHP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BHP Group Limited (formerly Broken Hill Proprietary)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C1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850247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C1 cash cost,</w:t>
            </w:r>
            <w:r w:rsidR="00C32948" w:rsidRPr="0077541F">
              <w:rPr>
                <w:rFonts w:ascii="Arial" w:hAnsi="Arial" w:cs="Arial"/>
                <w:color w:val="1A1A1A"/>
                <w:sz w:val="24"/>
                <w:szCs w:val="24"/>
              </w:rPr>
              <w:t xml:space="preserve"> direct cash cost of producing copper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CBAM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Carbon Border Adjustment Mechanism (EU)</w:t>
            </w:r>
          </w:p>
        </w:tc>
      </w:tr>
      <w:tr w:rsidR="008C10EF" w:rsidRPr="0077541F" w:rsidTr="0077541F">
        <w:trPr>
          <w:cantSplit/>
          <w:trHeight w:val="302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CO</w:t>
            </w:r>
            <w:r w:rsidRPr="0077541F">
              <w:rPr>
                <w:rFonts w:ascii="Cambria Math" w:hAnsi="Cambria Math" w:cs="Cambria Math"/>
                <w:b/>
                <w:bCs/>
                <w:color w:val="1F3A5F"/>
                <w:sz w:val="24"/>
                <w:szCs w:val="24"/>
              </w:rPr>
              <w:t>₂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Carbon dioxide</w:t>
            </w:r>
          </w:p>
        </w:tc>
      </w:tr>
      <w:tr w:rsidR="008C10EF" w:rsidRPr="0077541F" w:rsidTr="0077541F">
        <w:trPr>
          <w:cantSplit/>
          <w:trHeight w:val="302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CO</w:t>
            </w:r>
            <w:r w:rsidRPr="0077541F">
              <w:rPr>
                <w:rFonts w:ascii="Cambria Math" w:hAnsi="Cambria Math" w:cs="Cambria Math"/>
                <w:b/>
                <w:bCs/>
                <w:color w:val="1F3A5F"/>
                <w:sz w:val="24"/>
                <w:szCs w:val="24"/>
              </w:rPr>
              <w:t>₂</w:t>
            </w: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e</w:t>
            </w:r>
            <w:proofErr w:type="spellEnd"/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Carbon dioxide equivalent</w:t>
            </w:r>
          </w:p>
        </w:tc>
      </w:tr>
      <w:tr w:rsidR="008C10EF" w:rsidRPr="0077541F" w:rsidTr="0077541F">
        <w:trPr>
          <w:cantSplit/>
          <w:trHeight w:val="576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Codelco</w:t>
            </w:r>
            <w:proofErr w:type="spellEnd"/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Corporación</w:t>
            </w:r>
            <w:proofErr w:type="spellEnd"/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 xml:space="preserve"> Nacional del </w:t>
            </w:r>
            <w:proofErr w:type="spellStart"/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Cobre</w:t>
            </w:r>
            <w:proofErr w:type="spellEnd"/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 xml:space="preserve"> de Chile (National Copper Corporation of Chile)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CRMA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Critical Raw Materials Act (EU)</w:t>
            </w:r>
          </w:p>
        </w:tc>
      </w:tr>
      <w:tr w:rsidR="008C10EF" w:rsidRPr="0077541F" w:rsidTr="0077541F">
        <w:trPr>
          <w:cantSplit/>
          <w:trHeight w:val="302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Cu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Copper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DR Congo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Democratic Republic of the Congo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EBITDA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Earnings before interest, taxes, depreciation and amortisation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EU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European Union</w:t>
            </w:r>
          </w:p>
        </w:tc>
      </w:tr>
      <w:tr w:rsidR="008C10EF" w:rsidRPr="0077541F" w:rsidTr="0077541F">
        <w:trPr>
          <w:cantSplit/>
          <w:trHeight w:val="302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EV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Electric vehicle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FY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Financial year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ICMM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International Council on Mining and Metals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IEA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International Energy Agency</w:t>
            </w:r>
          </w:p>
        </w:tc>
      </w:tr>
      <w:tr w:rsidR="008C10EF" w:rsidRPr="0077541F" w:rsidTr="0077541F">
        <w:trPr>
          <w:cantSplit/>
          <w:trHeight w:val="302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JV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Joint venture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KPI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Key performance indicator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kt</w:t>
            </w:r>
            <w:proofErr w:type="spellEnd"/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Thousand tonnes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Mt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Million tonnes</w:t>
            </w:r>
          </w:p>
        </w:tc>
      </w:tr>
      <w:tr w:rsidR="008C10EF" w:rsidRPr="0077541F" w:rsidTr="0077541F">
        <w:trPr>
          <w:cantSplit/>
          <w:trHeight w:val="302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OEM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Original equipment manufacturer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PPA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Power purchase agreement</w:t>
            </w:r>
          </w:p>
        </w:tc>
      </w:tr>
      <w:tr w:rsidR="008C10E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lastRenderedPageBreak/>
              <w:t>S1+2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8C10EF" w:rsidRPr="0077541F" w:rsidRDefault="00C32948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Scope 1 and Scope 2 emissions combined</w:t>
            </w:r>
          </w:p>
        </w:tc>
      </w:tr>
      <w:tr w:rsidR="0077541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S&amp;P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Standard &amp; Poor’s (S&amp;P Global)</w:t>
            </w:r>
          </w:p>
        </w:tc>
      </w:tr>
      <w:tr w:rsidR="0077541F" w:rsidRPr="0077541F" w:rsidTr="0077541F">
        <w:trPr>
          <w:cantSplit/>
          <w:trHeight w:val="302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SQM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Sociedad</w:t>
            </w:r>
            <w:proofErr w:type="spellEnd"/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 xml:space="preserve"> </w:t>
            </w:r>
            <w:proofErr w:type="spellStart"/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Química</w:t>
            </w:r>
            <w:proofErr w:type="spellEnd"/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 xml:space="preserve"> y </w:t>
            </w:r>
            <w:proofErr w:type="spellStart"/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Minera</w:t>
            </w:r>
            <w:proofErr w:type="spellEnd"/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 xml:space="preserve"> de Chile</w:t>
            </w:r>
          </w:p>
        </w:tc>
      </w:tr>
      <w:tr w:rsidR="0077541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tCO</w:t>
            </w:r>
            <w:r w:rsidRPr="0077541F">
              <w:rPr>
                <w:rFonts w:ascii="Cambria Math" w:hAnsi="Cambria Math" w:cs="Cambria Math"/>
                <w:b/>
                <w:bCs/>
                <w:color w:val="1F3A5F"/>
                <w:sz w:val="24"/>
                <w:szCs w:val="24"/>
              </w:rPr>
              <w:t>₂</w:t>
            </w: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e</w:t>
            </w:r>
            <w:proofErr w:type="spellEnd"/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Tonnes of carbon dioxide equivalent</w:t>
            </w:r>
          </w:p>
        </w:tc>
      </w:tr>
      <w:tr w:rsidR="0077541F" w:rsidRPr="0077541F" w:rsidTr="0077541F">
        <w:trPr>
          <w:cantSplit/>
          <w:trHeight w:val="302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US / USA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United States of America</w:t>
            </w:r>
          </w:p>
        </w:tc>
      </w:tr>
      <w:tr w:rsidR="0077541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US$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United States dollar</w:t>
            </w:r>
          </w:p>
        </w:tc>
      </w:tr>
      <w:tr w:rsidR="0077541F" w:rsidRPr="0077541F" w:rsidTr="0077541F">
        <w:trPr>
          <w:cantSplit/>
          <w:trHeight w:val="288"/>
        </w:trPr>
        <w:tc>
          <w:tcPr>
            <w:tcW w:w="1955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USGS</w:t>
            </w:r>
          </w:p>
        </w:tc>
        <w:tc>
          <w:tcPr>
            <w:tcW w:w="7334" w:type="dxa"/>
            <w:shd w:val="clear" w:color="auto" w:fill="F4F2EE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United States Geological Survey</w:t>
            </w:r>
          </w:p>
        </w:tc>
      </w:tr>
      <w:tr w:rsidR="0077541F" w:rsidRPr="0077541F" w:rsidTr="0077541F">
        <w:trPr>
          <w:cantSplit/>
          <w:trHeight w:val="288"/>
        </w:trPr>
        <w:tc>
          <w:tcPr>
            <w:tcW w:w="1955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b/>
                <w:bCs/>
                <w:color w:val="1F3A5F"/>
                <w:sz w:val="24"/>
                <w:szCs w:val="24"/>
              </w:rPr>
              <w:t>y/y</w:t>
            </w:r>
          </w:p>
        </w:tc>
        <w:tc>
          <w:tcPr>
            <w:tcW w:w="7334" w:type="dxa"/>
            <w:shd w:val="clear" w:color="auto" w:fill="FFFFFF"/>
            <w:tcMar>
              <w:top w:w="50" w:type="dxa"/>
              <w:left w:w="100" w:type="dxa"/>
              <w:bottom w:w="50" w:type="dxa"/>
              <w:right w:w="100" w:type="dxa"/>
            </w:tcMar>
          </w:tcPr>
          <w:p w:rsidR="0077541F" w:rsidRPr="0077541F" w:rsidRDefault="0077541F" w:rsidP="0077541F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7541F">
              <w:rPr>
                <w:rFonts w:ascii="Arial" w:hAnsi="Arial" w:cs="Arial"/>
                <w:color w:val="1A1A1A"/>
                <w:sz w:val="24"/>
                <w:szCs w:val="24"/>
              </w:rPr>
              <w:t>Year on year</w:t>
            </w:r>
          </w:p>
        </w:tc>
      </w:tr>
    </w:tbl>
    <w:p w:rsidR="008C10EF" w:rsidRPr="00785957" w:rsidRDefault="00C32948">
      <w:pPr>
        <w:pStyle w:val="Heading1"/>
        <w:pageBreakBefore/>
        <w:rPr>
          <w:rFonts w:ascii="Arial" w:hAnsi="Arial" w:cs="Arial"/>
          <w:sz w:val="32"/>
          <w:szCs w:val="32"/>
        </w:rPr>
      </w:pPr>
      <w:bookmarkStart w:id="5" w:name="_Toc242226358"/>
      <w:bookmarkStart w:id="6" w:name="_Toc242962110"/>
      <w:r w:rsidRPr="00785957">
        <w:rPr>
          <w:rFonts w:ascii="Arial" w:hAnsi="Arial" w:cs="Arial"/>
          <w:sz w:val="32"/>
          <w:szCs w:val="32"/>
        </w:rPr>
        <w:lastRenderedPageBreak/>
        <w:t>Task 1: Marketing Environment Analysis</w:t>
      </w:r>
      <w:bookmarkEnd w:id="5"/>
      <w:bookmarkEnd w:id="6"/>
    </w:p>
    <w:p w:rsidR="008C10EF" w:rsidRPr="0077541F" w:rsidRDefault="00C32948" w:rsidP="0077541F">
      <w:pPr>
        <w:pStyle w:val="Heading2"/>
        <w:keepNext/>
        <w:spacing w:line="360" w:lineRule="auto"/>
        <w:rPr>
          <w:rFonts w:ascii="Arial" w:hAnsi="Arial" w:cs="Arial"/>
          <w:sz w:val="24"/>
          <w:szCs w:val="24"/>
        </w:rPr>
      </w:pPr>
      <w:r w:rsidRPr="0077541F">
        <w:rPr>
          <w:rFonts w:ascii="Arial" w:hAnsi="Arial" w:cs="Arial"/>
          <w:sz w:val="24"/>
          <w:szCs w:val="24"/>
        </w:rPr>
        <w:t>1</w:t>
      </w:r>
      <w:bookmarkStart w:id="7" w:name="_Toc242226359"/>
      <w:bookmarkStart w:id="8" w:name="_Toc242962111"/>
      <w:r w:rsidRPr="0077541F">
        <w:rPr>
          <w:rFonts w:ascii="Arial" w:hAnsi="Arial" w:cs="Arial"/>
          <w:sz w:val="24"/>
          <w:szCs w:val="24"/>
        </w:rPr>
        <w:t>.1 Company context and analytical approach</w:t>
      </w:r>
      <w:bookmarkEnd w:id="7"/>
      <w:bookmarkEnd w:id="8"/>
    </w:p>
    <w:p w:rsidR="008C10EF" w:rsidRPr="00C32948" w:rsidRDefault="00785957" w:rsidP="00785957">
      <w:pPr>
        <w:keepNext/>
        <w:spacing w:after="60" w:line="360" w:lineRule="auto"/>
        <w:jc w:val="both"/>
        <w:rPr>
          <w:rFonts w:ascii="Arial" w:hAnsi="Arial" w:cs="Arial"/>
        </w:rPr>
      </w:pPr>
      <w:proofErr w:type="spellStart"/>
      <w:r w:rsidRPr="00785957">
        <w:rPr>
          <w:rFonts w:ascii="Arial" w:hAnsi="Arial" w:cs="Arial"/>
          <w:sz w:val="24"/>
          <w:szCs w:val="24"/>
        </w:rPr>
        <w:t>Codelco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85957">
        <w:rPr>
          <w:rFonts w:ascii="Arial" w:hAnsi="Arial" w:cs="Arial"/>
          <w:sz w:val="24"/>
          <w:szCs w:val="24"/>
        </w:rPr>
        <w:t>Corporación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Nacional </w:t>
      </w:r>
      <w:proofErr w:type="gramStart"/>
      <w:r w:rsidRPr="00785957">
        <w:rPr>
          <w:rFonts w:ascii="Arial" w:hAnsi="Arial" w:cs="Arial"/>
          <w:sz w:val="24"/>
          <w:szCs w:val="24"/>
        </w:rPr>
        <w:t>del</w:t>
      </w:r>
      <w:proofErr w:type="gramEnd"/>
      <w:r w:rsidRPr="007859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5957">
        <w:rPr>
          <w:rFonts w:ascii="Arial" w:hAnsi="Arial" w:cs="Arial"/>
          <w:sz w:val="24"/>
          <w:szCs w:val="24"/>
        </w:rPr>
        <w:t>Cobre</w:t>
      </w:r>
      <w:proofErr w:type="spellEnd"/>
      <w:r w:rsidR="00E955CC">
        <w:rPr>
          <w:rFonts w:ascii="Arial" w:hAnsi="Arial" w:cs="Arial"/>
          <w:sz w:val="24"/>
          <w:szCs w:val="24"/>
        </w:rPr>
        <w:t xml:space="preserve"> de Chile) is a</w:t>
      </w:r>
      <w:r w:rsidRPr="00785957">
        <w:rPr>
          <w:rFonts w:ascii="Arial" w:hAnsi="Arial" w:cs="Arial"/>
          <w:sz w:val="24"/>
          <w:szCs w:val="24"/>
        </w:rPr>
        <w:t xml:space="preserve"> state-owned world leader in copper, narrowly ahead of BHP in 2024 (Mining Weekly, 2025b). In 2025 it produced </w:t>
      </w:r>
      <w:bookmarkStart w:id="9" w:name="_GoBack"/>
      <w:r w:rsidRPr="00785957">
        <w:rPr>
          <w:rFonts w:ascii="Arial" w:hAnsi="Arial" w:cs="Arial"/>
          <w:sz w:val="24"/>
          <w:szCs w:val="24"/>
        </w:rPr>
        <w:t xml:space="preserve">1.44 million tonnes (Mt), earned US$19.6 billion and paid US$1.78 billion to the </w:t>
      </w:r>
      <w:bookmarkEnd w:id="9"/>
      <w:r w:rsidRPr="00785957">
        <w:rPr>
          <w:rFonts w:ascii="Arial" w:hAnsi="Arial" w:cs="Arial"/>
          <w:sz w:val="24"/>
          <w:szCs w:val="24"/>
        </w:rPr>
        <w:t>Chilean Treasury (</w:t>
      </w:r>
      <w:proofErr w:type="spellStart"/>
      <w:r w:rsidRPr="00785957">
        <w:rPr>
          <w:rFonts w:ascii="Arial" w:hAnsi="Arial" w:cs="Arial"/>
          <w:sz w:val="24"/>
          <w:szCs w:val="24"/>
        </w:rPr>
        <w:t>Codelco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, 2026a). Yet output has fallen 17% since 2021 (Figure 1), a fatal accident at El </w:t>
      </w:r>
      <w:proofErr w:type="spellStart"/>
      <w:r w:rsidRPr="00785957">
        <w:rPr>
          <w:rFonts w:ascii="Arial" w:hAnsi="Arial" w:cs="Arial"/>
          <w:sz w:val="24"/>
          <w:szCs w:val="24"/>
        </w:rPr>
        <w:t>Teniente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cost about 33,000 tonnes (Mining Weekly, 2025a), and net debt reached roughly US$24.7 billion (Mining Reporters, 2026). As copper is vital to electrification (IEA, 2021), lower-carbon copper is both a necessity and an opportunity.</w:t>
      </w:r>
      <w:r w:rsidR="00C32948" w:rsidRPr="00C32948">
        <w:rPr>
          <w:rFonts w:ascii="Arial" w:hAnsi="Arial" w:cs="Arial"/>
          <w:noProof/>
        </w:rPr>
        <w:drawing>
          <wp:inline distT="0" distB="0" distL="0" distR="0" wp14:anchorId="61164D7E" wp14:editId="61164D7F">
            <wp:extent cx="5334000" cy="2790825"/>
            <wp:effectExtent l="0" t="0" r="0" b="0"/>
            <wp:docPr id="1" name="f5" descr="Codelco copper production, 2021–2025, and 2030 target (kt, including shares in partner mines)" title="Codelco copper production, 2021–2025, and 2030 target (kt, including shares in partner mines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10EF" w:rsidRPr="0077541F" w:rsidRDefault="00C32948" w:rsidP="007343B1">
      <w:pPr>
        <w:keepNext/>
        <w:spacing w:before="40" w:after="40" w:line="360" w:lineRule="auto"/>
        <w:jc w:val="center"/>
        <w:rPr>
          <w:rFonts w:ascii="Arial" w:hAnsi="Arial" w:cs="Arial"/>
          <w:sz w:val="20"/>
          <w:szCs w:val="20"/>
        </w:rPr>
      </w:pPr>
      <w:r w:rsidRPr="0077541F">
        <w:rPr>
          <w:rFonts w:ascii="Arial" w:hAnsi="Arial" w:cs="Arial"/>
          <w:b/>
          <w:bCs/>
          <w:color w:val="1F3A5F"/>
          <w:sz w:val="20"/>
          <w:szCs w:val="20"/>
        </w:rPr>
        <w:t xml:space="preserve">Figure 1. </w:t>
      </w:r>
      <w:proofErr w:type="spellStart"/>
      <w:r w:rsidRPr="0077541F">
        <w:rPr>
          <w:rFonts w:ascii="Arial" w:hAnsi="Arial" w:cs="Arial"/>
          <w:b/>
          <w:bCs/>
          <w:color w:val="222222"/>
          <w:sz w:val="20"/>
          <w:szCs w:val="20"/>
        </w:rPr>
        <w:t>Codelco</w:t>
      </w:r>
      <w:proofErr w:type="spellEnd"/>
      <w:r w:rsidRPr="0077541F">
        <w:rPr>
          <w:rFonts w:ascii="Arial" w:hAnsi="Arial" w:cs="Arial"/>
          <w:b/>
          <w:bCs/>
          <w:color w:val="222222"/>
          <w:sz w:val="20"/>
          <w:szCs w:val="20"/>
        </w:rPr>
        <w:t xml:space="preserve"> copper production, 2021-2025, and 2030 target (</w:t>
      </w:r>
      <w:proofErr w:type="spellStart"/>
      <w:r w:rsidRPr="0077541F">
        <w:rPr>
          <w:rFonts w:ascii="Arial" w:hAnsi="Arial" w:cs="Arial"/>
          <w:b/>
          <w:bCs/>
          <w:color w:val="222222"/>
          <w:sz w:val="20"/>
          <w:szCs w:val="20"/>
        </w:rPr>
        <w:t>kt</w:t>
      </w:r>
      <w:proofErr w:type="spellEnd"/>
      <w:r w:rsidRPr="0077541F">
        <w:rPr>
          <w:rFonts w:ascii="Arial" w:hAnsi="Arial" w:cs="Arial"/>
          <w:b/>
          <w:bCs/>
          <w:color w:val="222222"/>
          <w:sz w:val="20"/>
          <w:szCs w:val="20"/>
        </w:rPr>
        <w:t>, including shares in partner mines)</w:t>
      </w:r>
    </w:p>
    <w:p w:rsidR="002D7E02" w:rsidRPr="00E055F9" w:rsidRDefault="0077541F" w:rsidP="00E055F9">
      <w:pPr>
        <w:spacing w:after="240" w:line="360" w:lineRule="auto"/>
        <w:jc w:val="center"/>
        <w:rPr>
          <w:rFonts w:ascii="Arial" w:hAnsi="Arial" w:cs="Arial"/>
          <w:sz w:val="20"/>
          <w:szCs w:val="20"/>
        </w:rPr>
      </w:pPr>
      <w:r w:rsidRPr="00E055F9">
        <w:rPr>
          <w:rFonts w:ascii="Arial" w:hAnsi="Arial" w:cs="Arial"/>
          <w:i/>
          <w:iCs/>
          <w:color w:val="52514E"/>
          <w:sz w:val="20"/>
          <w:szCs w:val="20"/>
        </w:rPr>
        <w:t>Source: D</w:t>
      </w:r>
      <w:r w:rsidR="00C32948" w:rsidRPr="00E055F9">
        <w:rPr>
          <w:rFonts w:ascii="Arial" w:hAnsi="Arial" w:cs="Arial"/>
          <w:i/>
          <w:iCs/>
          <w:color w:val="52514E"/>
          <w:sz w:val="20"/>
          <w:szCs w:val="20"/>
        </w:rPr>
        <w:t xml:space="preserve">ata from </w:t>
      </w:r>
      <w:proofErr w:type="spellStart"/>
      <w:r w:rsidR="00C32948" w:rsidRPr="00E055F9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="00C32948" w:rsidRPr="00E055F9">
        <w:rPr>
          <w:rFonts w:ascii="Arial" w:hAnsi="Arial" w:cs="Arial"/>
          <w:i/>
          <w:iCs/>
          <w:color w:val="52514E"/>
          <w:sz w:val="20"/>
          <w:szCs w:val="20"/>
        </w:rPr>
        <w:t xml:space="preserve"> (2026a); Mining Weekly (2025a); Reuters (2026); Mining Reporters (2026).</w:t>
      </w:r>
    </w:p>
    <w:p w:rsidR="002D7E02" w:rsidRPr="00E055F9" w:rsidRDefault="00785957" w:rsidP="00E055F9">
      <w:pPr>
        <w:spacing w:after="240" w:line="360" w:lineRule="auto"/>
        <w:jc w:val="both"/>
        <w:rPr>
          <w:rFonts w:ascii="Arial" w:hAnsi="Arial" w:cs="Arial"/>
          <w:sz w:val="24"/>
          <w:szCs w:val="24"/>
        </w:rPr>
      </w:pPr>
      <w:r w:rsidRPr="00E055F9">
        <w:rPr>
          <w:rFonts w:ascii="Arial" w:hAnsi="Arial" w:cs="Arial"/>
          <w:sz w:val="24"/>
          <w:szCs w:val="24"/>
        </w:rPr>
        <w:t xml:space="preserve">Kotler et al.’s (2020; 2024) model divides the marketing environment into the microenvironment and the </w:t>
      </w:r>
      <w:proofErr w:type="spellStart"/>
      <w:r w:rsidRPr="00E055F9">
        <w:rPr>
          <w:rFonts w:ascii="Arial" w:hAnsi="Arial" w:cs="Arial"/>
          <w:sz w:val="24"/>
          <w:szCs w:val="24"/>
        </w:rPr>
        <w:t>macroenvironment</w:t>
      </w:r>
      <w:proofErr w:type="spellEnd"/>
      <w:r w:rsidRPr="00E055F9">
        <w:rPr>
          <w:rFonts w:ascii="Arial" w:hAnsi="Arial" w:cs="Arial"/>
          <w:sz w:val="24"/>
          <w:szCs w:val="24"/>
        </w:rPr>
        <w:t xml:space="preserve">. This analysis examines three </w:t>
      </w:r>
      <w:proofErr w:type="spellStart"/>
      <w:r w:rsidRPr="00E055F9">
        <w:rPr>
          <w:rFonts w:ascii="Arial" w:hAnsi="Arial" w:cs="Arial"/>
          <w:sz w:val="24"/>
          <w:szCs w:val="24"/>
        </w:rPr>
        <w:t>macroenvironment</w:t>
      </w:r>
      <w:proofErr w:type="spellEnd"/>
      <w:r w:rsidRPr="00E055F9">
        <w:rPr>
          <w:rFonts w:ascii="Arial" w:hAnsi="Arial" w:cs="Arial"/>
          <w:sz w:val="24"/>
          <w:szCs w:val="24"/>
        </w:rPr>
        <w:t xml:space="preserve"> actors (Figure 2): the natural environment (primary focus), the political-legal environment and the economic environment. The microenvironment (customers and competitors) is in Appendix A. The findings feed Task 2, which uses the </w:t>
      </w:r>
      <w:proofErr w:type="spellStart"/>
      <w:r w:rsidRPr="00E055F9">
        <w:rPr>
          <w:rFonts w:ascii="Arial" w:hAnsi="Arial" w:cs="Arial"/>
          <w:sz w:val="24"/>
          <w:szCs w:val="24"/>
        </w:rPr>
        <w:t>Ansoff</w:t>
      </w:r>
      <w:proofErr w:type="spellEnd"/>
      <w:r w:rsidRPr="00E055F9">
        <w:rPr>
          <w:rFonts w:ascii="Arial" w:hAnsi="Arial" w:cs="Arial"/>
          <w:sz w:val="24"/>
          <w:szCs w:val="24"/>
        </w:rPr>
        <w:t xml:space="preserve"> Matrix (</w:t>
      </w:r>
      <w:proofErr w:type="spellStart"/>
      <w:r w:rsidRPr="00E055F9">
        <w:rPr>
          <w:rFonts w:ascii="Arial" w:hAnsi="Arial" w:cs="Arial"/>
          <w:sz w:val="24"/>
          <w:szCs w:val="24"/>
        </w:rPr>
        <w:t>Ansoff</w:t>
      </w:r>
      <w:proofErr w:type="spellEnd"/>
      <w:r w:rsidRPr="00E055F9">
        <w:rPr>
          <w:rFonts w:ascii="Arial" w:hAnsi="Arial" w:cs="Arial"/>
          <w:sz w:val="24"/>
          <w:szCs w:val="24"/>
        </w:rPr>
        <w:t>, 1957) and Porter’s (1985) generic strategies.</w:t>
      </w:r>
    </w:p>
    <w:p w:rsidR="008C10EF" w:rsidRPr="00C32948" w:rsidRDefault="002D7E02" w:rsidP="007343B1">
      <w:pPr>
        <w:keepNext/>
        <w:spacing w:before="40" w:after="40" w:line="360" w:lineRule="auto"/>
        <w:jc w:val="center"/>
        <w:rPr>
          <w:rFonts w:ascii="Arial" w:hAnsi="Arial" w:cs="Arial"/>
        </w:rPr>
      </w:pPr>
      <w:r w:rsidRPr="00C32948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211</wp:posOffset>
            </wp:positionV>
            <wp:extent cx="5143500" cy="3335020"/>
            <wp:effectExtent l="0" t="0" r="0" b="0"/>
            <wp:wrapTopAndBottom/>
            <wp:docPr id="2" name="f1" descr="Codelco's marketing environment: macroenvironment actors analysed (natural, political-legal, economic); microenvironment greyed out and covered in Appendix A" title="Codelco's marketing environment: macroenvironment actors analysed (natural, political-legal, economic); microenvironment greyed out and covered in Appendix 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33350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32948" w:rsidRPr="00C32948">
        <w:rPr>
          <w:rFonts w:ascii="Arial" w:hAnsi="Arial" w:cs="Arial"/>
          <w:b/>
          <w:bCs/>
          <w:color w:val="1F3A5F"/>
          <w:sz w:val="20"/>
          <w:szCs w:val="20"/>
        </w:rPr>
        <w:t xml:space="preserve">Figure 2. </w:t>
      </w:r>
      <w:proofErr w:type="spellStart"/>
      <w:r w:rsidR="00C32948" w:rsidRPr="00C32948">
        <w:rPr>
          <w:rFonts w:ascii="Arial" w:hAnsi="Arial" w:cs="Arial"/>
          <w:b/>
          <w:bCs/>
          <w:color w:val="222222"/>
          <w:sz w:val="20"/>
          <w:szCs w:val="20"/>
        </w:rPr>
        <w:t>Codelco’s</w:t>
      </w:r>
      <w:proofErr w:type="spellEnd"/>
      <w:r w:rsidR="00C32948" w:rsidRPr="00C32948">
        <w:rPr>
          <w:rFonts w:ascii="Arial" w:hAnsi="Arial" w:cs="Arial"/>
          <w:b/>
          <w:bCs/>
          <w:color w:val="222222"/>
          <w:sz w:val="20"/>
          <w:szCs w:val="20"/>
        </w:rPr>
        <w:t xml:space="preserve"> marketing environment, highlighting the four actors analysed</w:t>
      </w:r>
    </w:p>
    <w:p w:rsidR="008C10EF" w:rsidRPr="00A72624" w:rsidRDefault="00C32948" w:rsidP="007343B1">
      <w:pPr>
        <w:spacing w:after="240" w:line="360" w:lineRule="auto"/>
        <w:jc w:val="center"/>
        <w:rPr>
          <w:rFonts w:ascii="Arial" w:hAnsi="Arial" w:cs="Arial"/>
          <w:sz w:val="28"/>
          <w:szCs w:val="28"/>
        </w:rPr>
      </w:pPr>
      <w:r w:rsidRPr="00A72624">
        <w:rPr>
          <w:rFonts w:ascii="Arial" w:hAnsi="Arial" w:cs="Arial"/>
          <w:i/>
          <w:iCs/>
          <w:color w:val="52514E"/>
          <w:sz w:val="20"/>
          <w:szCs w:val="20"/>
        </w:rPr>
        <w:t>Source: author, adapted from Kotler et al. (2020; 2024). Note: the microenvironment is shown greyed out for context only; see Appendix A.</w:t>
      </w:r>
    </w:p>
    <w:p w:rsidR="008C10EF" w:rsidRPr="007343B1" w:rsidRDefault="00C32948" w:rsidP="007343B1">
      <w:pPr>
        <w:pStyle w:val="Heading2"/>
        <w:keepNext/>
        <w:spacing w:line="360" w:lineRule="auto"/>
        <w:rPr>
          <w:rFonts w:ascii="Arial" w:hAnsi="Arial" w:cs="Arial"/>
          <w:sz w:val="24"/>
          <w:szCs w:val="24"/>
        </w:rPr>
      </w:pPr>
      <w:bookmarkStart w:id="10" w:name="_Toc242226360"/>
      <w:bookmarkStart w:id="11" w:name="_Toc242962112"/>
      <w:r w:rsidRPr="007343B1">
        <w:rPr>
          <w:rFonts w:ascii="Arial" w:hAnsi="Arial" w:cs="Arial"/>
          <w:sz w:val="24"/>
          <w:szCs w:val="24"/>
        </w:rPr>
        <w:t>1.2 Actor 1: The natural environment (primary focus)</w:t>
      </w:r>
      <w:bookmarkEnd w:id="10"/>
      <w:bookmarkEnd w:id="11"/>
    </w:p>
    <w:p w:rsidR="008C10EF" w:rsidRPr="007343B1" w:rsidRDefault="00C32948" w:rsidP="007343B1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sz w:val="24"/>
          <w:szCs w:val="24"/>
        </w:rPr>
        <w:t xml:space="preserve">Kotler et al. (2024, pp. 115-117) describe the natural environment as the physical resources used or affected by marketing, stressing raw-material shortages, pollution and growing government intervention. For </w:t>
      </w:r>
      <w:proofErr w:type="spellStart"/>
      <w:r w:rsidRPr="007343B1">
        <w:rPr>
          <w:rFonts w:ascii="Arial" w:hAnsi="Arial" w:cs="Arial"/>
          <w:sz w:val="24"/>
          <w:szCs w:val="24"/>
        </w:rPr>
        <w:t>Codelco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it acts through three linked constraints: carbon, water and resource availability.</w:t>
      </w:r>
    </w:p>
    <w:p w:rsidR="008C10EF" w:rsidRPr="00E055F9" w:rsidRDefault="00C32948" w:rsidP="007343B1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E055F9">
        <w:rPr>
          <w:rFonts w:ascii="Arial" w:hAnsi="Arial" w:cs="Arial"/>
          <w:b/>
          <w:bCs/>
          <w:color w:val="1F3A5F"/>
          <w:sz w:val="24"/>
          <w:szCs w:val="24"/>
        </w:rPr>
        <w:t>Carbon footprint.</w:t>
      </w:r>
      <w:r w:rsidRPr="00E055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055F9">
        <w:rPr>
          <w:rFonts w:ascii="Arial" w:hAnsi="Arial" w:cs="Arial"/>
          <w:sz w:val="24"/>
          <w:szCs w:val="24"/>
        </w:rPr>
        <w:t>Codelco</w:t>
      </w:r>
      <w:proofErr w:type="spellEnd"/>
      <w:r w:rsidRPr="00E055F9">
        <w:rPr>
          <w:rFonts w:ascii="Arial" w:hAnsi="Arial" w:cs="Arial"/>
          <w:sz w:val="24"/>
          <w:szCs w:val="24"/>
        </w:rPr>
        <w:t xml:space="preserve"> emitted 7.35 Mt </w:t>
      </w:r>
      <w:proofErr w:type="spellStart"/>
      <w:r w:rsidRPr="00E055F9">
        <w:rPr>
          <w:rFonts w:ascii="Arial" w:hAnsi="Arial" w:cs="Arial"/>
          <w:sz w:val="24"/>
          <w:szCs w:val="24"/>
        </w:rPr>
        <w:t>CO</w:t>
      </w:r>
      <w:r w:rsidRPr="00E055F9">
        <w:rPr>
          <w:rFonts w:ascii="Cambria Math" w:hAnsi="Cambria Math" w:cs="Cambria Math"/>
          <w:sz w:val="24"/>
          <w:szCs w:val="24"/>
        </w:rPr>
        <w:t>₂</w:t>
      </w:r>
      <w:r w:rsidRPr="00E055F9">
        <w:rPr>
          <w:rFonts w:ascii="Arial" w:hAnsi="Arial" w:cs="Arial"/>
          <w:sz w:val="24"/>
          <w:szCs w:val="24"/>
        </w:rPr>
        <w:t>e</w:t>
      </w:r>
      <w:proofErr w:type="spellEnd"/>
      <w:r w:rsidRPr="00E055F9">
        <w:rPr>
          <w:rFonts w:ascii="Arial" w:hAnsi="Arial" w:cs="Arial"/>
          <w:sz w:val="24"/>
          <w:szCs w:val="24"/>
        </w:rPr>
        <w:t xml:space="preserve"> in 2024: 1.84 Mt Scope 1, 1.35 Mt Scope 2 and 4.16 Mt Scope 3 (Figure 4; </w:t>
      </w:r>
      <w:proofErr w:type="spellStart"/>
      <w:r w:rsidRPr="00E055F9">
        <w:rPr>
          <w:rFonts w:ascii="Arial" w:hAnsi="Arial" w:cs="Arial"/>
          <w:sz w:val="24"/>
          <w:szCs w:val="24"/>
        </w:rPr>
        <w:t>Codelco</w:t>
      </w:r>
      <w:proofErr w:type="spellEnd"/>
      <w:r w:rsidRPr="00E055F9">
        <w:rPr>
          <w:rFonts w:ascii="Arial" w:hAnsi="Arial" w:cs="Arial"/>
          <w:sz w:val="24"/>
          <w:szCs w:val="24"/>
        </w:rPr>
        <w:t xml:space="preserve">, 2025a). Scope 1+2 emissions fell 27% against 2019, but almost entirely through Scope </w:t>
      </w:r>
      <w:r w:rsidR="00A51030" w:rsidRPr="00E055F9">
        <w:rPr>
          <w:rFonts w:ascii="Arial" w:hAnsi="Arial" w:cs="Arial"/>
          <w:sz w:val="24"/>
          <w:szCs w:val="24"/>
        </w:rPr>
        <w:t>2 as Chile’s grid decarbonised,</w:t>
      </w:r>
      <w:r w:rsidRPr="00E055F9">
        <w:rPr>
          <w:rFonts w:ascii="Arial" w:hAnsi="Arial" w:cs="Arial"/>
          <w:sz w:val="24"/>
          <w:szCs w:val="24"/>
        </w:rPr>
        <w:t xml:space="preserve"> renewables supplied 68% of generation in 2024, up from 56% in 2022 (Figure 5; </w:t>
      </w:r>
      <w:proofErr w:type="spellStart"/>
      <w:r w:rsidRPr="00E055F9">
        <w:rPr>
          <w:rFonts w:ascii="Arial" w:hAnsi="Arial" w:cs="Arial"/>
          <w:sz w:val="24"/>
          <w:szCs w:val="24"/>
        </w:rPr>
        <w:t>InvestChile</w:t>
      </w:r>
      <w:proofErr w:type="spellEnd"/>
      <w:r w:rsidRPr="00E055F9">
        <w:rPr>
          <w:rFonts w:ascii="Arial" w:hAnsi="Arial" w:cs="Arial"/>
          <w:sz w:val="24"/>
          <w:szCs w:val="24"/>
        </w:rPr>
        <w:t xml:space="preserve">, 2026). Scope 1 emissions from diesel haulage and smelting actually rose 14% (Figure 3). Meeting the 70% target for 2030 (Mining.com, 2020; </w:t>
      </w:r>
      <w:proofErr w:type="spellStart"/>
      <w:r w:rsidRPr="00E055F9">
        <w:rPr>
          <w:rFonts w:ascii="Arial" w:hAnsi="Arial" w:cs="Arial"/>
          <w:sz w:val="24"/>
          <w:szCs w:val="24"/>
        </w:rPr>
        <w:t>Codelco</w:t>
      </w:r>
      <w:proofErr w:type="spellEnd"/>
      <w:r w:rsidRPr="00E055F9">
        <w:rPr>
          <w:rFonts w:ascii="Arial" w:hAnsi="Arial" w:cs="Arial"/>
          <w:sz w:val="24"/>
          <w:szCs w:val="24"/>
        </w:rPr>
        <w:t>, 2025a) therefore requires a further 59% cut within six years. With renewable contracts from 2026 removing most Scope 2 emissions (</w:t>
      </w:r>
      <w:proofErr w:type="spellStart"/>
      <w:r w:rsidRPr="00E055F9">
        <w:rPr>
          <w:rFonts w:ascii="Arial" w:hAnsi="Arial" w:cs="Arial"/>
          <w:sz w:val="24"/>
          <w:szCs w:val="24"/>
        </w:rPr>
        <w:t>Codelco</w:t>
      </w:r>
      <w:proofErr w:type="spellEnd"/>
      <w:r w:rsidRPr="00E055F9">
        <w:rPr>
          <w:rFonts w:ascii="Arial" w:hAnsi="Arial" w:cs="Arial"/>
          <w:sz w:val="24"/>
          <w:szCs w:val="24"/>
        </w:rPr>
        <w:t xml:space="preserve">, 2025b), fleet electrification (40% by 2030) is the harder task. At 2.40 </w:t>
      </w:r>
      <w:proofErr w:type="spellStart"/>
      <w:r w:rsidRPr="00E055F9">
        <w:rPr>
          <w:rFonts w:ascii="Arial" w:hAnsi="Arial" w:cs="Arial"/>
          <w:sz w:val="24"/>
          <w:szCs w:val="24"/>
        </w:rPr>
        <w:t>tCO</w:t>
      </w:r>
      <w:r w:rsidRPr="00E055F9">
        <w:rPr>
          <w:rFonts w:ascii="Cambria Math" w:hAnsi="Cambria Math" w:cs="Cambria Math"/>
          <w:sz w:val="24"/>
          <w:szCs w:val="24"/>
        </w:rPr>
        <w:t>₂</w:t>
      </w:r>
      <w:r w:rsidRPr="00E055F9">
        <w:rPr>
          <w:rFonts w:ascii="Arial" w:hAnsi="Arial" w:cs="Arial"/>
          <w:sz w:val="24"/>
          <w:szCs w:val="24"/>
        </w:rPr>
        <w:t>e</w:t>
      </w:r>
      <w:proofErr w:type="spellEnd"/>
      <w:r w:rsidRPr="00E055F9">
        <w:rPr>
          <w:rFonts w:ascii="Arial" w:hAnsi="Arial" w:cs="Arial"/>
          <w:sz w:val="24"/>
          <w:szCs w:val="24"/>
        </w:rPr>
        <w:t xml:space="preserve"> per tonne, </w:t>
      </w:r>
      <w:proofErr w:type="spellStart"/>
      <w:r w:rsidRPr="00E055F9">
        <w:rPr>
          <w:rFonts w:ascii="Arial" w:hAnsi="Arial" w:cs="Arial"/>
          <w:sz w:val="24"/>
          <w:szCs w:val="24"/>
        </w:rPr>
        <w:t>Codelco’s</w:t>
      </w:r>
      <w:proofErr w:type="spellEnd"/>
      <w:r w:rsidRPr="00E055F9">
        <w:rPr>
          <w:rFonts w:ascii="Arial" w:hAnsi="Arial" w:cs="Arial"/>
          <w:sz w:val="24"/>
          <w:szCs w:val="24"/>
        </w:rPr>
        <w:t xml:space="preserve"> intensity is marginally above the 2.37 t average for primary copper mines (</w:t>
      </w:r>
      <w:proofErr w:type="spellStart"/>
      <w:r w:rsidRPr="00E055F9">
        <w:rPr>
          <w:rFonts w:ascii="Arial" w:hAnsi="Arial" w:cs="Arial"/>
          <w:sz w:val="24"/>
          <w:szCs w:val="24"/>
        </w:rPr>
        <w:t>Liwanag</w:t>
      </w:r>
      <w:proofErr w:type="spellEnd"/>
      <w:r w:rsidRPr="00E055F9">
        <w:rPr>
          <w:rFonts w:ascii="Arial" w:hAnsi="Arial" w:cs="Arial"/>
          <w:sz w:val="24"/>
          <w:szCs w:val="24"/>
        </w:rPr>
        <w:t>, 2025), so it cannot yet claim carbon leadership.</w:t>
      </w:r>
    </w:p>
    <w:p w:rsidR="008C10EF" w:rsidRPr="007343B1" w:rsidRDefault="00C32948" w:rsidP="007343B1">
      <w:pPr>
        <w:keepNext/>
        <w:spacing w:after="60" w:line="360" w:lineRule="auto"/>
        <w:jc w:val="center"/>
        <w:rPr>
          <w:rFonts w:ascii="Arial" w:hAnsi="Arial" w:cs="Arial"/>
        </w:rPr>
      </w:pPr>
      <w:r w:rsidRPr="007343B1">
        <w:rPr>
          <w:rFonts w:ascii="Arial" w:hAnsi="Arial" w:cs="Arial"/>
          <w:noProof/>
        </w:rPr>
        <w:lastRenderedPageBreak/>
        <w:drawing>
          <wp:inline distT="0" distB="0" distL="0" distR="0" wp14:anchorId="61164D82" wp14:editId="61164D83">
            <wp:extent cx="5334000" cy="3095625"/>
            <wp:effectExtent l="0" t="0" r="0" b="0"/>
            <wp:docPr id="3" name="f2" descr="Codelco Scope 1+2 emissions against the 2030 reduction target" title="Codelco Scope 1+2 emissions against the 2030 reduction targ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10EF" w:rsidRPr="00A72624" w:rsidRDefault="00C32948" w:rsidP="007343B1">
      <w:pPr>
        <w:keepNext/>
        <w:spacing w:before="40" w:after="40" w:line="360" w:lineRule="auto"/>
        <w:jc w:val="center"/>
        <w:rPr>
          <w:rFonts w:ascii="Arial" w:hAnsi="Arial" w:cs="Arial"/>
          <w:sz w:val="16"/>
          <w:szCs w:val="16"/>
        </w:rPr>
      </w:pPr>
      <w:r w:rsidRPr="007343B1">
        <w:rPr>
          <w:rFonts w:ascii="Arial" w:hAnsi="Arial" w:cs="Arial"/>
          <w:b/>
          <w:bCs/>
          <w:color w:val="1F3A5F"/>
          <w:sz w:val="20"/>
          <w:szCs w:val="20"/>
        </w:rPr>
        <w:t xml:space="preserve">Figure 3. </w:t>
      </w:r>
      <w:proofErr w:type="spellStart"/>
      <w:r w:rsidRPr="007343B1">
        <w:rPr>
          <w:rFonts w:ascii="Arial" w:hAnsi="Arial" w:cs="Arial"/>
          <w:b/>
          <w:bCs/>
          <w:color w:val="222222"/>
          <w:sz w:val="20"/>
          <w:szCs w:val="20"/>
        </w:rPr>
        <w:t>Codelco</w:t>
      </w:r>
      <w:proofErr w:type="spellEnd"/>
      <w:r w:rsidRPr="007343B1">
        <w:rPr>
          <w:rFonts w:ascii="Arial" w:hAnsi="Arial" w:cs="Arial"/>
          <w:b/>
          <w:bCs/>
          <w:color w:val="222222"/>
          <w:sz w:val="20"/>
          <w:szCs w:val="20"/>
        </w:rPr>
        <w:t xml:space="preserve"> Scope 1+2 emissions against the 2030 reduction target</w:t>
      </w:r>
    </w:p>
    <w:p w:rsidR="008C10EF" w:rsidRPr="00A72624" w:rsidRDefault="00C32948" w:rsidP="007343B1">
      <w:pPr>
        <w:spacing w:after="240" w:line="360" w:lineRule="auto"/>
        <w:jc w:val="center"/>
        <w:rPr>
          <w:rFonts w:ascii="Arial" w:hAnsi="Arial" w:cs="Arial"/>
          <w:sz w:val="20"/>
          <w:szCs w:val="20"/>
        </w:rPr>
      </w:pPr>
      <w:r w:rsidRPr="00A72624">
        <w:rPr>
          <w:rFonts w:ascii="Arial" w:hAnsi="Arial" w:cs="Arial"/>
          <w:i/>
          <w:iCs/>
          <w:color w:val="52514E"/>
          <w:sz w:val="20"/>
          <w:szCs w:val="20"/>
        </w:rPr>
        <w:t xml:space="preserve">Source: author, data from </w:t>
      </w:r>
      <w:proofErr w:type="spellStart"/>
      <w:r w:rsidRPr="00A72624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Pr="00A72624">
        <w:rPr>
          <w:rFonts w:ascii="Arial" w:hAnsi="Arial" w:cs="Arial"/>
          <w:i/>
          <w:iCs/>
          <w:color w:val="52514E"/>
          <w:sz w:val="20"/>
          <w:szCs w:val="20"/>
        </w:rPr>
        <w:t xml:space="preserve"> (2025a); target from Mining.com (2020) and </w:t>
      </w:r>
      <w:proofErr w:type="spellStart"/>
      <w:r w:rsidRPr="00A72624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Pr="00A72624">
        <w:rPr>
          <w:rFonts w:ascii="Arial" w:hAnsi="Arial" w:cs="Arial"/>
          <w:i/>
          <w:iCs/>
          <w:color w:val="52514E"/>
          <w:sz w:val="20"/>
          <w:szCs w:val="20"/>
        </w:rPr>
        <w:t xml:space="preserve"> (2025a).</w:t>
      </w:r>
    </w:p>
    <w:p w:rsidR="008C10EF" w:rsidRPr="007343B1" w:rsidRDefault="00C32948" w:rsidP="007343B1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sz w:val="24"/>
          <w:szCs w:val="24"/>
        </w:rPr>
        <w:t xml:space="preserve">Moreover, 57% of the footprint lies in Scope 3, led by customers’ processing of </w:t>
      </w:r>
      <w:proofErr w:type="spellStart"/>
      <w:r w:rsidRPr="007343B1">
        <w:rPr>
          <w:rFonts w:ascii="Arial" w:hAnsi="Arial" w:cs="Arial"/>
          <w:sz w:val="24"/>
          <w:szCs w:val="24"/>
        </w:rPr>
        <w:t>Codelco’s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products (1.54 Mt), so its ‘green’ credentials depend on the va</w:t>
      </w:r>
      <w:r w:rsidR="00A51030" w:rsidRPr="007343B1">
        <w:rPr>
          <w:rFonts w:ascii="Arial" w:hAnsi="Arial" w:cs="Arial"/>
          <w:sz w:val="24"/>
          <w:szCs w:val="24"/>
        </w:rPr>
        <w:t>lue chain;</w:t>
      </w:r>
      <w:r w:rsidRPr="007343B1">
        <w:rPr>
          <w:rFonts w:ascii="Arial" w:hAnsi="Arial" w:cs="Arial"/>
          <w:sz w:val="24"/>
          <w:szCs w:val="24"/>
        </w:rPr>
        <w:t xml:space="preserve"> for example, </w:t>
      </w:r>
      <w:proofErr w:type="spellStart"/>
      <w:r w:rsidRPr="007343B1">
        <w:rPr>
          <w:rFonts w:ascii="Arial" w:hAnsi="Arial" w:cs="Arial"/>
          <w:sz w:val="24"/>
          <w:szCs w:val="24"/>
        </w:rPr>
        <w:t>Enaex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explosives with a 40% lower manufacturing footprint (International Mining, 2025).</w:t>
      </w:r>
    </w:p>
    <w:p w:rsidR="008C10EF" w:rsidRPr="007343B1" w:rsidRDefault="00C32948" w:rsidP="007343B1">
      <w:pPr>
        <w:keepNext/>
        <w:spacing w:after="60" w:line="360" w:lineRule="auto"/>
        <w:jc w:val="center"/>
        <w:rPr>
          <w:rFonts w:ascii="Arial" w:hAnsi="Arial" w:cs="Arial"/>
        </w:rPr>
      </w:pPr>
      <w:r w:rsidRPr="007343B1">
        <w:rPr>
          <w:rFonts w:ascii="Arial" w:hAnsi="Arial" w:cs="Arial"/>
          <w:noProof/>
        </w:rPr>
        <w:drawing>
          <wp:inline distT="0" distB="0" distL="0" distR="0" wp14:anchorId="61164D84" wp14:editId="61164D85">
            <wp:extent cx="5715000" cy="2305050"/>
            <wp:effectExtent l="0" t="0" r="0" b="0"/>
            <wp:docPr id="4" name="f3" descr="Codelco’s 2024 greenhouse-gas footprint by scope and Scope 3 category" title="Codelco’s 2024 greenhouse-gas footprint by scope and Scope 3 catego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10EF" w:rsidRPr="00A72624" w:rsidRDefault="00C32948" w:rsidP="007343B1">
      <w:pPr>
        <w:keepNext/>
        <w:spacing w:before="40" w:after="40" w:line="360" w:lineRule="auto"/>
        <w:jc w:val="center"/>
        <w:rPr>
          <w:rFonts w:ascii="Arial" w:hAnsi="Arial" w:cs="Arial"/>
          <w:sz w:val="20"/>
          <w:szCs w:val="20"/>
        </w:rPr>
      </w:pPr>
      <w:r w:rsidRPr="00A72624">
        <w:rPr>
          <w:rFonts w:ascii="Arial" w:hAnsi="Arial" w:cs="Arial"/>
          <w:b/>
          <w:bCs/>
          <w:color w:val="1F3A5F"/>
          <w:sz w:val="20"/>
          <w:szCs w:val="20"/>
        </w:rPr>
        <w:t xml:space="preserve">Figure 4. </w:t>
      </w:r>
      <w:proofErr w:type="spellStart"/>
      <w:r w:rsidRPr="00A72624">
        <w:rPr>
          <w:rFonts w:ascii="Arial" w:hAnsi="Arial" w:cs="Arial"/>
          <w:b/>
          <w:bCs/>
          <w:color w:val="222222"/>
          <w:sz w:val="20"/>
          <w:szCs w:val="20"/>
        </w:rPr>
        <w:t>Codelco’s</w:t>
      </w:r>
      <w:proofErr w:type="spellEnd"/>
      <w:r w:rsidRPr="00A72624">
        <w:rPr>
          <w:rFonts w:ascii="Arial" w:hAnsi="Arial" w:cs="Arial"/>
          <w:b/>
          <w:bCs/>
          <w:color w:val="222222"/>
          <w:sz w:val="20"/>
          <w:szCs w:val="20"/>
        </w:rPr>
        <w:t xml:space="preserve"> 2024 greenhouse-gas footprint by scope and Scope 3 category</w:t>
      </w:r>
    </w:p>
    <w:p w:rsidR="008C10EF" w:rsidRPr="00A72624" w:rsidRDefault="00C32948" w:rsidP="007343B1">
      <w:pPr>
        <w:tabs>
          <w:tab w:val="left" w:pos="3672"/>
        </w:tabs>
        <w:spacing w:after="240" w:line="360" w:lineRule="auto"/>
        <w:jc w:val="center"/>
        <w:rPr>
          <w:rFonts w:ascii="Arial" w:hAnsi="Arial" w:cs="Arial"/>
          <w:sz w:val="20"/>
          <w:szCs w:val="20"/>
        </w:rPr>
      </w:pPr>
      <w:r w:rsidRPr="00A72624">
        <w:rPr>
          <w:rFonts w:ascii="Arial" w:hAnsi="Arial" w:cs="Arial"/>
          <w:i/>
          <w:iCs/>
          <w:color w:val="52514E"/>
          <w:sz w:val="20"/>
          <w:szCs w:val="20"/>
        </w:rPr>
        <w:t xml:space="preserve">Source: author, data from </w:t>
      </w:r>
      <w:proofErr w:type="spellStart"/>
      <w:r w:rsidRPr="00A72624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Pr="00A72624">
        <w:rPr>
          <w:rFonts w:ascii="Arial" w:hAnsi="Arial" w:cs="Arial"/>
          <w:i/>
          <w:iCs/>
          <w:color w:val="52514E"/>
          <w:sz w:val="20"/>
          <w:szCs w:val="20"/>
        </w:rPr>
        <w:t xml:space="preserve"> (2025a).</w:t>
      </w:r>
    </w:p>
    <w:p w:rsidR="008C10EF" w:rsidRPr="007343B1" w:rsidRDefault="00C32948" w:rsidP="007343B1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b/>
          <w:bCs/>
          <w:color w:val="1F3A5F"/>
          <w:sz w:val="24"/>
          <w:szCs w:val="24"/>
        </w:rPr>
        <w:t>Water.</w:t>
      </w:r>
      <w:r w:rsidRPr="007343B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43B1">
        <w:rPr>
          <w:rFonts w:ascii="Arial" w:hAnsi="Arial" w:cs="Arial"/>
          <w:sz w:val="24"/>
          <w:szCs w:val="24"/>
        </w:rPr>
        <w:t>Codelco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operates in the Atacama, and central Chile has endured a ‘</w:t>
      </w:r>
      <w:proofErr w:type="spellStart"/>
      <w:r w:rsidRPr="007343B1">
        <w:rPr>
          <w:rFonts w:ascii="Arial" w:hAnsi="Arial" w:cs="Arial"/>
          <w:sz w:val="24"/>
          <w:szCs w:val="24"/>
        </w:rPr>
        <w:t>megadrought</w:t>
      </w:r>
      <w:proofErr w:type="spellEnd"/>
      <w:r w:rsidRPr="007343B1">
        <w:rPr>
          <w:rFonts w:ascii="Arial" w:hAnsi="Arial" w:cs="Arial"/>
          <w:sz w:val="24"/>
          <w:szCs w:val="24"/>
        </w:rPr>
        <w:t>’ since 2010 (</w:t>
      </w:r>
      <w:proofErr w:type="spellStart"/>
      <w:r w:rsidRPr="007343B1">
        <w:rPr>
          <w:rFonts w:ascii="Arial" w:hAnsi="Arial" w:cs="Arial"/>
          <w:sz w:val="24"/>
          <w:szCs w:val="24"/>
        </w:rPr>
        <w:t>Garreaud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et al., 2020). Continental water use fell only 12% by 2024 against a 60% target (</w:t>
      </w:r>
      <w:proofErr w:type="spellStart"/>
      <w:r w:rsidRPr="007343B1">
        <w:rPr>
          <w:rFonts w:ascii="Arial" w:hAnsi="Arial" w:cs="Arial"/>
          <w:sz w:val="24"/>
          <w:szCs w:val="24"/>
        </w:rPr>
        <w:t>Codelco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, 2025a). A US$1 billion desalination plant with </w:t>
      </w:r>
      <w:r w:rsidRPr="007343B1">
        <w:rPr>
          <w:rFonts w:ascii="Arial" w:hAnsi="Arial" w:cs="Arial"/>
          <w:sz w:val="24"/>
          <w:szCs w:val="24"/>
        </w:rPr>
        <w:lastRenderedPageBreak/>
        <w:t xml:space="preserve">an initial 840 litres per second should replace up to 81% of continental water in the northern district (Smart Water Magazine, 2022; </w:t>
      </w:r>
      <w:proofErr w:type="spellStart"/>
      <w:r w:rsidRPr="007343B1">
        <w:rPr>
          <w:rFonts w:ascii="Arial" w:hAnsi="Arial" w:cs="Arial"/>
          <w:sz w:val="24"/>
          <w:szCs w:val="24"/>
        </w:rPr>
        <w:t>Codelco</w:t>
      </w:r>
      <w:proofErr w:type="spellEnd"/>
      <w:r w:rsidRPr="007343B1">
        <w:rPr>
          <w:rFonts w:ascii="Arial" w:hAnsi="Arial" w:cs="Arial"/>
          <w:sz w:val="24"/>
          <w:szCs w:val="24"/>
        </w:rPr>
        <w:t>, 2025a), yet pumping seawater above 3,000 metres raises electricity demand – a trade-off between water and carbon goals.</w:t>
      </w:r>
    </w:p>
    <w:p w:rsidR="008C10EF" w:rsidRPr="007343B1" w:rsidRDefault="00C32948" w:rsidP="007343B1">
      <w:pPr>
        <w:keepNext/>
        <w:spacing w:after="60" w:line="360" w:lineRule="auto"/>
        <w:jc w:val="center"/>
        <w:rPr>
          <w:rFonts w:ascii="Arial" w:hAnsi="Arial" w:cs="Arial"/>
        </w:rPr>
      </w:pPr>
      <w:r w:rsidRPr="007343B1">
        <w:rPr>
          <w:rFonts w:ascii="Arial" w:hAnsi="Arial" w:cs="Arial"/>
          <w:noProof/>
        </w:rPr>
        <w:drawing>
          <wp:inline distT="0" distB="0" distL="0" distR="0" wp14:anchorId="61164D86" wp14:editId="61164D87">
            <wp:extent cx="4953000" cy="2428875"/>
            <wp:effectExtent l="0" t="0" r="0" b="0"/>
            <wp:docPr id="5" name="f4" descr="Renewable share of Chile’s electricity generation and Codelco’s contracted renewable supply" title="Renewable share of Chile’s electricity generation and Codelco’s contracted renewable suppl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3000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10EF" w:rsidRPr="007343B1" w:rsidRDefault="00C32948" w:rsidP="007343B1">
      <w:pPr>
        <w:keepNext/>
        <w:spacing w:before="40" w:after="40" w:line="360" w:lineRule="auto"/>
        <w:jc w:val="center"/>
        <w:rPr>
          <w:rFonts w:ascii="Arial" w:hAnsi="Arial" w:cs="Arial"/>
          <w:sz w:val="20"/>
          <w:szCs w:val="20"/>
        </w:rPr>
      </w:pPr>
      <w:r w:rsidRPr="007343B1">
        <w:rPr>
          <w:rFonts w:ascii="Arial" w:hAnsi="Arial" w:cs="Arial"/>
          <w:b/>
          <w:bCs/>
          <w:color w:val="1F3A5F"/>
          <w:sz w:val="20"/>
          <w:szCs w:val="20"/>
        </w:rPr>
        <w:t xml:space="preserve">Figure 5. </w:t>
      </w:r>
      <w:r w:rsidRPr="007343B1">
        <w:rPr>
          <w:rFonts w:ascii="Arial" w:hAnsi="Arial" w:cs="Arial"/>
          <w:b/>
          <w:bCs/>
          <w:color w:val="222222"/>
          <w:sz w:val="20"/>
          <w:szCs w:val="20"/>
        </w:rPr>
        <w:t xml:space="preserve">Renewable share of Chile’s electricity generation and </w:t>
      </w:r>
      <w:proofErr w:type="spellStart"/>
      <w:r w:rsidRPr="007343B1">
        <w:rPr>
          <w:rFonts w:ascii="Arial" w:hAnsi="Arial" w:cs="Arial"/>
          <w:b/>
          <w:bCs/>
          <w:color w:val="222222"/>
          <w:sz w:val="20"/>
          <w:szCs w:val="20"/>
        </w:rPr>
        <w:t>Codelco’s</w:t>
      </w:r>
      <w:proofErr w:type="spellEnd"/>
      <w:r w:rsidRPr="007343B1">
        <w:rPr>
          <w:rFonts w:ascii="Arial" w:hAnsi="Arial" w:cs="Arial"/>
          <w:b/>
          <w:bCs/>
          <w:color w:val="222222"/>
          <w:sz w:val="20"/>
          <w:szCs w:val="20"/>
        </w:rPr>
        <w:t xml:space="preserve"> contracted renewable supply</w:t>
      </w:r>
    </w:p>
    <w:p w:rsidR="008C10EF" w:rsidRPr="00A72624" w:rsidRDefault="00C32948" w:rsidP="007343B1">
      <w:pPr>
        <w:spacing w:after="240" w:line="360" w:lineRule="auto"/>
        <w:jc w:val="center"/>
        <w:rPr>
          <w:rFonts w:ascii="Arial" w:hAnsi="Arial" w:cs="Arial"/>
          <w:sz w:val="20"/>
          <w:szCs w:val="20"/>
        </w:rPr>
      </w:pPr>
      <w:r w:rsidRPr="00A72624">
        <w:rPr>
          <w:rFonts w:ascii="Arial" w:hAnsi="Arial" w:cs="Arial"/>
          <w:i/>
          <w:iCs/>
          <w:color w:val="52514E"/>
          <w:sz w:val="20"/>
          <w:szCs w:val="20"/>
        </w:rPr>
        <w:t xml:space="preserve">Source: author, data from </w:t>
      </w:r>
      <w:proofErr w:type="spellStart"/>
      <w:r w:rsidRPr="00A72624">
        <w:rPr>
          <w:rFonts w:ascii="Arial" w:hAnsi="Arial" w:cs="Arial"/>
          <w:i/>
          <w:iCs/>
          <w:color w:val="52514E"/>
          <w:sz w:val="20"/>
          <w:szCs w:val="20"/>
        </w:rPr>
        <w:t>InvestChile</w:t>
      </w:r>
      <w:proofErr w:type="spellEnd"/>
      <w:r w:rsidRPr="00A72624">
        <w:rPr>
          <w:rFonts w:ascii="Arial" w:hAnsi="Arial" w:cs="Arial"/>
          <w:i/>
          <w:iCs/>
          <w:color w:val="52514E"/>
          <w:sz w:val="20"/>
          <w:szCs w:val="20"/>
        </w:rPr>
        <w:t xml:space="preserve"> (2026); </w:t>
      </w:r>
      <w:proofErr w:type="spellStart"/>
      <w:r w:rsidRPr="00A72624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Pr="00A72624">
        <w:rPr>
          <w:rFonts w:ascii="Arial" w:hAnsi="Arial" w:cs="Arial"/>
          <w:i/>
          <w:iCs/>
          <w:color w:val="52514E"/>
          <w:sz w:val="20"/>
          <w:szCs w:val="20"/>
        </w:rPr>
        <w:t xml:space="preserve"> (2025a; 2025b).</w:t>
      </w:r>
    </w:p>
    <w:p w:rsidR="002D7E02" w:rsidRDefault="002D7E02" w:rsidP="002D7E02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noProof/>
        </w:rPr>
        <w:drawing>
          <wp:anchor distT="0" distB="0" distL="114300" distR="114300" simplePos="0" relativeHeight="251667456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1366097</wp:posOffset>
            </wp:positionV>
            <wp:extent cx="5715000" cy="2319655"/>
            <wp:effectExtent l="0" t="0" r="0" b="4445"/>
            <wp:wrapTopAndBottom/>
            <wp:docPr id="6" name="f6" descr="Global copper demand outlook and 2025 mine-supply concentration" title="Global copper demand outlook and 2025 mine-supply concent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878" cy="23250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32948" w:rsidRPr="007343B1">
        <w:rPr>
          <w:rFonts w:ascii="Arial" w:hAnsi="Arial" w:cs="Arial"/>
          <w:b/>
          <w:bCs/>
          <w:color w:val="1F3A5F"/>
          <w:sz w:val="24"/>
          <w:szCs w:val="24"/>
        </w:rPr>
        <w:t>Resource availability.</w:t>
      </w:r>
      <w:r w:rsidR="00C32948" w:rsidRPr="007343B1">
        <w:rPr>
          <w:rFonts w:ascii="Arial" w:hAnsi="Arial" w:cs="Arial"/>
          <w:sz w:val="24"/>
          <w:szCs w:val="24"/>
        </w:rPr>
        <w:t xml:space="preserve"> Falling ore grades raise energy use and cost; </w:t>
      </w:r>
      <w:proofErr w:type="spellStart"/>
      <w:r w:rsidR="00C32948" w:rsidRPr="007343B1">
        <w:rPr>
          <w:rFonts w:ascii="Arial" w:hAnsi="Arial" w:cs="Arial"/>
          <w:sz w:val="24"/>
          <w:szCs w:val="24"/>
        </w:rPr>
        <w:t>Codelco’s</w:t>
      </w:r>
      <w:proofErr w:type="spellEnd"/>
      <w:r w:rsidR="00C32948" w:rsidRPr="007343B1">
        <w:rPr>
          <w:rFonts w:ascii="Arial" w:hAnsi="Arial" w:cs="Arial"/>
          <w:sz w:val="24"/>
          <w:szCs w:val="24"/>
        </w:rPr>
        <w:t xml:space="preserve"> C1 cash cost rose 4.8% in 2025 to 208.6 US cents per pound (</w:t>
      </w:r>
      <w:proofErr w:type="spellStart"/>
      <w:r w:rsidR="00C32948" w:rsidRPr="007343B1">
        <w:rPr>
          <w:rFonts w:ascii="Arial" w:hAnsi="Arial" w:cs="Arial"/>
          <w:sz w:val="24"/>
          <w:szCs w:val="24"/>
        </w:rPr>
        <w:t>Codelco</w:t>
      </w:r>
      <w:proofErr w:type="spellEnd"/>
      <w:r w:rsidR="00C32948" w:rsidRPr="007343B1">
        <w:rPr>
          <w:rFonts w:ascii="Arial" w:hAnsi="Arial" w:cs="Arial"/>
          <w:sz w:val="24"/>
          <w:szCs w:val="24"/>
        </w:rPr>
        <w:t>, 2026a). Meanwhile, demand is projected to rise 50% to 42 Mt by 2040, leaving a 10 Mt shortfall (S&amp;P Global, 2026), and the IEA (2025) expects a 30% deficit by 2035 (Figure 6). Scarcity strengthens pricing power even as extraction costs rise.</w:t>
      </w:r>
    </w:p>
    <w:p w:rsidR="00E055F9" w:rsidRDefault="00C32948" w:rsidP="00E055F9">
      <w:pPr>
        <w:spacing w:after="160" w:line="360" w:lineRule="auto"/>
        <w:jc w:val="center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b/>
          <w:bCs/>
          <w:color w:val="1F3A5F"/>
          <w:sz w:val="20"/>
          <w:szCs w:val="20"/>
        </w:rPr>
        <w:t xml:space="preserve">Figure 6. </w:t>
      </w:r>
      <w:r w:rsidRPr="007343B1">
        <w:rPr>
          <w:rFonts w:ascii="Arial" w:hAnsi="Arial" w:cs="Arial"/>
          <w:b/>
          <w:bCs/>
          <w:color w:val="222222"/>
          <w:sz w:val="20"/>
          <w:szCs w:val="20"/>
        </w:rPr>
        <w:t>Global copper demand outlook and 2025 mine-supply concentration</w:t>
      </w:r>
    </w:p>
    <w:p w:rsidR="008C10EF" w:rsidRPr="002D7E02" w:rsidRDefault="00C32948" w:rsidP="00E055F9">
      <w:pPr>
        <w:spacing w:after="160" w:line="360" w:lineRule="auto"/>
        <w:jc w:val="center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i/>
          <w:iCs/>
          <w:color w:val="52514E"/>
          <w:sz w:val="20"/>
          <w:szCs w:val="20"/>
        </w:rPr>
        <w:t xml:space="preserve">Source: author, data from S&amp;P Global (2026); USGS (2026); </w:t>
      </w:r>
      <w:proofErr w:type="spellStart"/>
      <w:r w:rsidRPr="007343B1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Pr="007343B1">
        <w:rPr>
          <w:rFonts w:ascii="Arial" w:hAnsi="Arial" w:cs="Arial"/>
          <w:i/>
          <w:iCs/>
          <w:color w:val="52514E"/>
          <w:sz w:val="20"/>
          <w:szCs w:val="20"/>
        </w:rPr>
        <w:t xml:space="preserve"> (2026a).</w:t>
      </w:r>
    </w:p>
    <w:p w:rsidR="008C10EF" w:rsidRPr="007343B1" w:rsidRDefault="00C32948" w:rsidP="007343B1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b/>
          <w:bCs/>
          <w:color w:val="1F3A5F"/>
          <w:sz w:val="24"/>
          <w:szCs w:val="24"/>
        </w:rPr>
        <w:lastRenderedPageBreak/>
        <w:t>Critical assessment.</w:t>
      </w:r>
      <w:r w:rsidRPr="007343B1">
        <w:rPr>
          <w:rFonts w:ascii="Arial" w:hAnsi="Arial" w:cs="Arial"/>
          <w:sz w:val="24"/>
          <w:szCs w:val="24"/>
        </w:rPr>
        <w:t xml:space="preserve"> The natural environment is both </w:t>
      </w:r>
      <w:proofErr w:type="spellStart"/>
      <w:r w:rsidRPr="007343B1">
        <w:rPr>
          <w:rFonts w:ascii="Arial" w:hAnsi="Arial" w:cs="Arial"/>
          <w:sz w:val="24"/>
          <w:szCs w:val="24"/>
        </w:rPr>
        <w:t>Codelco’s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greatest threat and opportunity: metals essential to decarbonisation are extracted through carbon- and water-intensive processes (</w:t>
      </w:r>
      <w:proofErr w:type="spellStart"/>
      <w:r w:rsidRPr="007343B1">
        <w:rPr>
          <w:rFonts w:ascii="Arial" w:hAnsi="Arial" w:cs="Arial"/>
          <w:sz w:val="24"/>
          <w:szCs w:val="24"/>
        </w:rPr>
        <w:t>Sovacool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et al., 2020). Hart’s (1995) natural-resource-based view suggests that mastering pollution prevention builds hard-to-imitate capabilities. </w:t>
      </w:r>
      <w:proofErr w:type="spellStart"/>
      <w:r w:rsidRPr="007343B1">
        <w:rPr>
          <w:rFonts w:ascii="Arial" w:hAnsi="Arial" w:cs="Arial"/>
          <w:sz w:val="24"/>
          <w:szCs w:val="24"/>
        </w:rPr>
        <w:t>Codelco’s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strength is its renewab</w:t>
      </w:r>
      <w:r w:rsidR="00A51030" w:rsidRPr="007343B1">
        <w:rPr>
          <w:rFonts w:ascii="Arial" w:hAnsi="Arial" w:cs="Arial"/>
          <w:sz w:val="24"/>
          <w:szCs w:val="24"/>
        </w:rPr>
        <w:t>le grid access; its weaknesses Scope 1 and water,</w:t>
      </w:r>
      <w:r w:rsidRPr="007343B1">
        <w:rPr>
          <w:rFonts w:ascii="Arial" w:hAnsi="Arial" w:cs="Arial"/>
          <w:sz w:val="24"/>
          <w:szCs w:val="24"/>
        </w:rPr>
        <w:t xml:space="preserve"> are where delivery lags, so premature environmental claims would risk greenwashing (</w:t>
      </w:r>
      <w:proofErr w:type="spellStart"/>
      <w:r w:rsidRPr="007343B1">
        <w:rPr>
          <w:rFonts w:ascii="Arial" w:hAnsi="Arial" w:cs="Arial"/>
          <w:sz w:val="24"/>
          <w:szCs w:val="24"/>
        </w:rPr>
        <w:t>Delmas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343B1">
        <w:rPr>
          <w:rFonts w:ascii="Arial" w:hAnsi="Arial" w:cs="Arial"/>
          <w:sz w:val="24"/>
          <w:szCs w:val="24"/>
        </w:rPr>
        <w:t>Burbano</w:t>
      </w:r>
      <w:proofErr w:type="spellEnd"/>
      <w:r w:rsidRPr="007343B1">
        <w:rPr>
          <w:rFonts w:ascii="Arial" w:hAnsi="Arial" w:cs="Arial"/>
          <w:sz w:val="24"/>
          <w:szCs w:val="24"/>
        </w:rPr>
        <w:t>, 2011). Industry net-zero commitments also make carbon performance a baseline expectation, not a differentiator (ICMM, 2021).</w:t>
      </w:r>
    </w:p>
    <w:p w:rsidR="008C10EF" w:rsidRPr="007343B1" w:rsidRDefault="00A51030" w:rsidP="007343B1">
      <w:pPr>
        <w:pStyle w:val="Heading2"/>
        <w:keepNext/>
        <w:spacing w:line="360" w:lineRule="auto"/>
        <w:rPr>
          <w:rFonts w:ascii="Arial" w:hAnsi="Arial" w:cs="Arial"/>
          <w:sz w:val="24"/>
          <w:szCs w:val="24"/>
        </w:rPr>
      </w:pPr>
      <w:bookmarkStart w:id="12" w:name="_Toc242226361"/>
      <w:bookmarkStart w:id="13" w:name="_Toc242962113"/>
      <w:r w:rsidRPr="007343B1">
        <w:rPr>
          <w:rFonts w:ascii="Arial" w:hAnsi="Arial" w:cs="Arial"/>
          <w:sz w:val="24"/>
          <w:szCs w:val="24"/>
        </w:rPr>
        <w:t>1.3 Actor 2:</w:t>
      </w:r>
      <w:r w:rsidR="00C32948" w:rsidRPr="007343B1">
        <w:rPr>
          <w:rFonts w:ascii="Arial" w:hAnsi="Arial" w:cs="Arial"/>
          <w:sz w:val="24"/>
          <w:szCs w:val="24"/>
        </w:rPr>
        <w:t xml:space="preserve"> The political-legal environment</w:t>
      </w:r>
      <w:bookmarkEnd w:id="12"/>
      <w:bookmarkEnd w:id="13"/>
    </w:p>
    <w:p w:rsidR="008C10EF" w:rsidRPr="002D7E02" w:rsidRDefault="002D7E02" w:rsidP="002D7E02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noProof/>
        </w:rPr>
        <w:drawing>
          <wp:anchor distT="0" distB="0" distL="114300" distR="114300" simplePos="0" relativeHeight="251668480" behindDoc="0" locked="0" layoutInCell="1" allowOverlap="1">
            <wp:simplePos x="0" y="0"/>
            <wp:positionH relativeFrom="column">
              <wp:posOffset>33655</wp:posOffset>
            </wp:positionH>
            <wp:positionV relativeFrom="paragraph">
              <wp:posOffset>3797300</wp:posOffset>
            </wp:positionV>
            <wp:extent cx="5905500" cy="2421255"/>
            <wp:effectExtent l="0" t="0" r="0" b="0"/>
            <wp:wrapTopAndBottom/>
            <wp:docPr id="7" name="f8" descr="Political-legal pressures on Codelco’s low-carbon transition, 2021–2030" title="Political-legal pressures on Codelco’s low-carbon transition, 2021–20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2421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32948" w:rsidRPr="007343B1">
        <w:rPr>
          <w:rFonts w:ascii="Arial" w:hAnsi="Arial" w:cs="Arial"/>
          <w:sz w:val="24"/>
          <w:szCs w:val="24"/>
        </w:rPr>
        <w:t>Political actors convert natural-environment pressures into binding obligations (Figure 7). Chile’s Framework Law on Climate Change (Law 21.455) legislates carbon neutrality by 2050 (</w:t>
      </w:r>
      <w:proofErr w:type="spellStart"/>
      <w:r w:rsidR="00C32948" w:rsidRPr="007343B1">
        <w:rPr>
          <w:rFonts w:ascii="Arial" w:hAnsi="Arial" w:cs="Arial"/>
          <w:sz w:val="24"/>
          <w:szCs w:val="24"/>
        </w:rPr>
        <w:t>Gobierno</w:t>
      </w:r>
      <w:proofErr w:type="spellEnd"/>
      <w:r w:rsidR="00C32948" w:rsidRPr="007343B1">
        <w:rPr>
          <w:rFonts w:ascii="Arial" w:hAnsi="Arial" w:cs="Arial"/>
          <w:sz w:val="24"/>
          <w:szCs w:val="24"/>
        </w:rPr>
        <w:t xml:space="preserve"> de Chile, 2022), and its US$5/</w:t>
      </w:r>
      <w:proofErr w:type="spellStart"/>
      <w:r w:rsidR="00C32948" w:rsidRPr="007343B1">
        <w:rPr>
          <w:rFonts w:ascii="Arial" w:hAnsi="Arial" w:cs="Arial"/>
          <w:sz w:val="24"/>
          <w:szCs w:val="24"/>
        </w:rPr>
        <w:t>tCO</w:t>
      </w:r>
      <w:proofErr w:type="spellEnd"/>
      <w:r w:rsidR="00C32948" w:rsidRPr="007343B1">
        <w:rPr>
          <w:rFonts w:ascii="Cambria Math" w:hAnsi="Cambria Math" w:cs="Cambria Math"/>
          <w:sz w:val="24"/>
          <w:szCs w:val="24"/>
        </w:rPr>
        <w:t>₂</w:t>
      </w:r>
      <w:r w:rsidR="00C32948" w:rsidRPr="007343B1">
        <w:rPr>
          <w:rFonts w:ascii="Arial" w:hAnsi="Arial" w:cs="Arial"/>
          <w:sz w:val="24"/>
          <w:szCs w:val="24"/>
        </w:rPr>
        <w:t xml:space="preserve"> carbon tax, which applies to installations emitting over 25,000 </w:t>
      </w:r>
      <w:proofErr w:type="spellStart"/>
      <w:r w:rsidR="00C32948" w:rsidRPr="007343B1">
        <w:rPr>
          <w:rFonts w:ascii="Arial" w:hAnsi="Arial" w:cs="Arial"/>
          <w:sz w:val="24"/>
          <w:szCs w:val="24"/>
        </w:rPr>
        <w:t>tCO</w:t>
      </w:r>
      <w:proofErr w:type="spellEnd"/>
      <w:r w:rsidR="00C32948" w:rsidRPr="007343B1">
        <w:rPr>
          <w:rFonts w:ascii="Cambria Math" w:hAnsi="Cambria Math" w:cs="Cambria Math"/>
          <w:sz w:val="24"/>
          <w:szCs w:val="24"/>
        </w:rPr>
        <w:t>₂</w:t>
      </w:r>
      <w:r w:rsidR="00A51030" w:rsidRPr="007343B1">
        <w:rPr>
          <w:rFonts w:ascii="Arial" w:hAnsi="Arial" w:cs="Arial"/>
          <w:sz w:val="24"/>
          <w:szCs w:val="24"/>
        </w:rPr>
        <w:t xml:space="preserve"> a year, may rise towards US$35-</w:t>
      </w:r>
      <w:r w:rsidR="00C32948" w:rsidRPr="007343B1">
        <w:rPr>
          <w:rFonts w:ascii="Arial" w:hAnsi="Arial" w:cs="Arial"/>
          <w:sz w:val="24"/>
          <w:szCs w:val="24"/>
        </w:rPr>
        <w:t xml:space="preserve">40 (IEA, 2024). As a state-owned enterprise, </w:t>
      </w:r>
      <w:proofErr w:type="spellStart"/>
      <w:r w:rsidR="00C32948" w:rsidRPr="007343B1">
        <w:rPr>
          <w:rFonts w:ascii="Arial" w:hAnsi="Arial" w:cs="Arial"/>
          <w:sz w:val="24"/>
          <w:szCs w:val="24"/>
        </w:rPr>
        <w:t>Codelco</w:t>
      </w:r>
      <w:proofErr w:type="spellEnd"/>
      <w:r w:rsidR="00C32948" w:rsidRPr="007343B1">
        <w:rPr>
          <w:rFonts w:ascii="Arial" w:hAnsi="Arial" w:cs="Arial"/>
          <w:sz w:val="24"/>
          <w:szCs w:val="24"/>
        </w:rPr>
        <w:t xml:space="preserve"> is also exposed to political cycles. In the EU, the Critical Raw Materials Act names copper a strategic raw material and caps dependence on any single third country at 65% (European Union, 2024; Jones Day, 2026); the Carbon Border Adjustment Mechanism entered its definitive phase in 2026 and may extend to around 180 downstream products from 2028 (European Union, 2023a; Mayer Brown, 2025); and the Battery Regulation requires carbon-footprint declarations and battery passports from 2027 (European Union, 2023b). Conversely, the US 50% tariff on semi-finished copper exempts cathodes (S&amp;P Global Commodity Insights, 2025). Regulation therefore rewards producers that can verify low-carbon performance and penalises opaque ones.</w:t>
      </w:r>
    </w:p>
    <w:p w:rsidR="008C10EF" w:rsidRPr="007343B1" w:rsidRDefault="00C32948" w:rsidP="007343B1">
      <w:pPr>
        <w:keepNext/>
        <w:spacing w:before="40" w:after="40" w:line="360" w:lineRule="auto"/>
        <w:jc w:val="center"/>
        <w:rPr>
          <w:rFonts w:ascii="Arial" w:hAnsi="Arial" w:cs="Arial"/>
          <w:sz w:val="20"/>
          <w:szCs w:val="20"/>
        </w:rPr>
      </w:pPr>
      <w:r w:rsidRPr="007343B1">
        <w:rPr>
          <w:rFonts w:ascii="Arial" w:hAnsi="Arial" w:cs="Arial"/>
          <w:b/>
          <w:bCs/>
          <w:color w:val="1F3A5F"/>
          <w:sz w:val="20"/>
          <w:szCs w:val="20"/>
        </w:rPr>
        <w:lastRenderedPageBreak/>
        <w:t xml:space="preserve">Figure 7. </w:t>
      </w:r>
      <w:r w:rsidRPr="007343B1">
        <w:rPr>
          <w:rFonts w:ascii="Arial" w:hAnsi="Arial" w:cs="Arial"/>
          <w:b/>
          <w:bCs/>
          <w:color w:val="222222"/>
          <w:sz w:val="20"/>
          <w:szCs w:val="20"/>
        </w:rPr>
        <w:t xml:space="preserve">Political-legal pressures on </w:t>
      </w:r>
      <w:proofErr w:type="spellStart"/>
      <w:r w:rsidRPr="007343B1">
        <w:rPr>
          <w:rFonts w:ascii="Arial" w:hAnsi="Arial" w:cs="Arial"/>
          <w:b/>
          <w:bCs/>
          <w:color w:val="222222"/>
          <w:sz w:val="20"/>
          <w:szCs w:val="20"/>
        </w:rPr>
        <w:t>Codelco’s</w:t>
      </w:r>
      <w:proofErr w:type="spellEnd"/>
      <w:r w:rsidRPr="007343B1">
        <w:rPr>
          <w:rFonts w:ascii="Arial" w:hAnsi="Arial" w:cs="Arial"/>
          <w:b/>
          <w:bCs/>
          <w:color w:val="222222"/>
          <w:sz w:val="20"/>
          <w:szCs w:val="20"/>
        </w:rPr>
        <w:t xml:space="preserve"> low-carb</w:t>
      </w:r>
      <w:r w:rsidR="00A51030" w:rsidRPr="007343B1">
        <w:rPr>
          <w:rFonts w:ascii="Arial" w:hAnsi="Arial" w:cs="Arial"/>
          <w:b/>
          <w:bCs/>
          <w:color w:val="222222"/>
          <w:sz w:val="20"/>
          <w:szCs w:val="20"/>
        </w:rPr>
        <w:t>on transition, 2021-</w:t>
      </w:r>
      <w:r w:rsidRPr="007343B1">
        <w:rPr>
          <w:rFonts w:ascii="Arial" w:hAnsi="Arial" w:cs="Arial"/>
          <w:b/>
          <w:bCs/>
          <w:color w:val="222222"/>
          <w:sz w:val="20"/>
          <w:szCs w:val="20"/>
        </w:rPr>
        <w:t>2030</w:t>
      </w:r>
    </w:p>
    <w:p w:rsidR="008C10EF" w:rsidRPr="007343B1" w:rsidRDefault="00A51030" w:rsidP="007343B1">
      <w:pPr>
        <w:spacing w:after="240" w:line="360" w:lineRule="auto"/>
        <w:jc w:val="center"/>
        <w:rPr>
          <w:rFonts w:ascii="Arial" w:hAnsi="Arial" w:cs="Arial"/>
          <w:sz w:val="20"/>
          <w:szCs w:val="20"/>
        </w:rPr>
      </w:pPr>
      <w:r w:rsidRPr="007343B1">
        <w:rPr>
          <w:rFonts w:ascii="Arial" w:hAnsi="Arial" w:cs="Arial"/>
          <w:i/>
          <w:iCs/>
          <w:color w:val="52514E"/>
          <w:sz w:val="20"/>
          <w:szCs w:val="20"/>
        </w:rPr>
        <w:t>Source: c</w:t>
      </w:r>
      <w:r w:rsidR="00C32948" w:rsidRPr="007343B1">
        <w:rPr>
          <w:rFonts w:ascii="Arial" w:hAnsi="Arial" w:cs="Arial"/>
          <w:i/>
          <w:iCs/>
          <w:color w:val="52514E"/>
          <w:sz w:val="20"/>
          <w:szCs w:val="20"/>
        </w:rPr>
        <w:t xml:space="preserve">ompiled from ICMM (2021); </w:t>
      </w:r>
      <w:proofErr w:type="spellStart"/>
      <w:r w:rsidR="00C32948" w:rsidRPr="007343B1">
        <w:rPr>
          <w:rFonts w:ascii="Arial" w:hAnsi="Arial" w:cs="Arial"/>
          <w:i/>
          <w:iCs/>
          <w:color w:val="52514E"/>
          <w:sz w:val="20"/>
          <w:szCs w:val="20"/>
        </w:rPr>
        <w:t>Gobierno</w:t>
      </w:r>
      <w:proofErr w:type="spellEnd"/>
      <w:r w:rsidR="00C32948" w:rsidRPr="007343B1">
        <w:rPr>
          <w:rFonts w:ascii="Arial" w:hAnsi="Arial" w:cs="Arial"/>
          <w:i/>
          <w:iCs/>
          <w:color w:val="52514E"/>
          <w:sz w:val="20"/>
          <w:szCs w:val="20"/>
        </w:rPr>
        <w:t xml:space="preserve"> de Chile (2022); IEA (2024); European Union (2023a; 2023b; 2024); Mayer Brown (2025); S&amp;P Global Commodity Insights (2025).</w:t>
      </w:r>
    </w:p>
    <w:p w:rsidR="008C10EF" w:rsidRPr="007343B1" w:rsidRDefault="00A51030" w:rsidP="007343B1">
      <w:pPr>
        <w:pStyle w:val="Heading2"/>
        <w:keepNext/>
        <w:spacing w:line="360" w:lineRule="auto"/>
        <w:rPr>
          <w:rFonts w:ascii="Arial" w:hAnsi="Arial" w:cs="Arial"/>
          <w:sz w:val="24"/>
          <w:szCs w:val="24"/>
        </w:rPr>
      </w:pPr>
      <w:bookmarkStart w:id="14" w:name="_Toc242226380"/>
      <w:bookmarkStart w:id="15" w:name="_Toc242962114"/>
      <w:r w:rsidRPr="007343B1">
        <w:rPr>
          <w:rFonts w:ascii="Arial" w:hAnsi="Arial" w:cs="Arial"/>
          <w:sz w:val="24"/>
          <w:szCs w:val="24"/>
        </w:rPr>
        <w:t>1.4 Actor 3: The economic environment</w:t>
      </w:r>
      <w:bookmarkEnd w:id="14"/>
      <w:bookmarkEnd w:id="15"/>
    </w:p>
    <w:p w:rsidR="006B466C" w:rsidRPr="007343B1" w:rsidRDefault="00FD3A77" w:rsidP="007343B1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sz w:val="24"/>
          <w:szCs w:val="24"/>
        </w:rPr>
        <w:t xml:space="preserve">For a commodity exporter the economic environment (Kotler et al., 2024) acts mainly through price, demand, costs and finance, and for </w:t>
      </w:r>
      <w:proofErr w:type="spellStart"/>
      <w:r w:rsidRPr="007343B1">
        <w:rPr>
          <w:rFonts w:ascii="Arial" w:hAnsi="Arial" w:cs="Arial"/>
          <w:sz w:val="24"/>
          <w:szCs w:val="24"/>
        </w:rPr>
        <w:t>Codelco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it is both generous and constraining.</w:t>
      </w:r>
    </w:p>
    <w:p w:rsidR="006B466C" w:rsidRPr="007343B1" w:rsidRDefault="00FD3A77" w:rsidP="007343B1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b/>
          <w:bCs/>
          <w:color w:val="1F3A5F"/>
          <w:sz w:val="24"/>
          <w:szCs w:val="24"/>
        </w:rPr>
        <w:t xml:space="preserve">Copper price and demand. </w:t>
      </w:r>
      <w:r w:rsidRPr="007343B1">
        <w:rPr>
          <w:rFonts w:ascii="Arial" w:hAnsi="Arial" w:cs="Arial"/>
          <w:sz w:val="24"/>
          <w:szCs w:val="24"/>
        </w:rPr>
        <w:t>Copper hit a record US$11,771 per tonne on 8 December 2025, but Goldman Sachs (2025) expects prices to ease to US$10,000-11,000 in 2026 as a surplus persists and Chinese demand weakens (down 8% year on year in late 2025). Longer term, demand is expected to exceed supply from 2029, with US$15,000 per tonne forecast by 2035 (Goldman Sachs, 2025). High prices therefore support revenue, but they are cyclical.</w:t>
      </w:r>
    </w:p>
    <w:p w:rsidR="006B466C" w:rsidRPr="007343B1" w:rsidRDefault="002D7E02" w:rsidP="007343B1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noProof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1613747</wp:posOffset>
            </wp:positionV>
            <wp:extent cx="5723255" cy="2795270"/>
            <wp:effectExtent l="0" t="0" r="0" b="5080"/>
            <wp:wrapTopAndBottom/>
            <wp:docPr id="100" name="f8" descr="Codelco's 2025 financial position (US$ billion)" title="Codelco's 2025 financial position (US$ billion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2795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FD3A77" w:rsidRPr="007343B1">
        <w:rPr>
          <w:rFonts w:ascii="Arial" w:hAnsi="Arial" w:cs="Arial"/>
          <w:b/>
          <w:bCs/>
          <w:color w:val="1F3A5F"/>
          <w:sz w:val="24"/>
          <w:szCs w:val="24"/>
        </w:rPr>
        <w:t xml:space="preserve">Costs, profitability and debt. </w:t>
      </w:r>
      <w:proofErr w:type="spellStart"/>
      <w:r w:rsidR="00FD3A77" w:rsidRPr="007343B1">
        <w:rPr>
          <w:rFonts w:ascii="Arial" w:hAnsi="Arial" w:cs="Arial"/>
          <w:sz w:val="24"/>
          <w:szCs w:val="24"/>
        </w:rPr>
        <w:t>Codelco</w:t>
      </w:r>
      <w:proofErr w:type="spellEnd"/>
      <w:r w:rsidR="00FD3A77" w:rsidRPr="007343B1">
        <w:rPr>
          <w:rFonts w:ascii="Arial" w:hAnsi="Arial" w:cs="Arial"/>
          <w:sz w:val="24"/>
          <w:szCs w:val="24"/>
        </w:rPr>
        <w:t xml:space="preserve"> earned EBITDA of US$6.67 billion in 2025 and paid US$1.78 billion to the Treasury (Figure 8; </w:t>
      </w:r>
      <w:proofErr w:type="spellStart"/>
      <w:r w:rsidR="00FD3A77" w:rsidRPr="007343B1">
        <w:rPr>
          <w:rFonts w:ascii="Arial" w:hAnsi="Arial" w:cs="Arial"/>
          <w:sz w:val="24"/>
          <w:szCs w:val="24"/>
        </w:rPr>
        <w:t>Codelco</w:t>
      </w:r>
      <w:proofErr w:type="spellEnd"/>
      <w:r w:rsidR="00FD3A77" w:rsidRPr="007343B1">
        <w:rPr>
          <w:rFonts w:ascii="Arial" w:hAnsi="Arial" w:cs="Arial"/>
          <w:sz w:val="24"/>
          <w:szCs w:val="24"/>
        </w:rPr>
        <w:t>, 2026a; Engineering News, 2026). Yet profit rests on price, not efficiency: C1 cost rose 4.8% and net debt reached roughly US$24.7 billion, with further increases expected (Mining Reporters, 2026). Capital for electrification and desalination must therefore compete with debt service.</w:t>
      </w:r>
    </w:p>
    <w:p w:rsidR="006B466C" w:rsidRPr="007343B1" w:rsidRDefault="00FD3A77" w:rsidP="002D7E02">
      <w:pPr>
        <w:keepNext/>
        <w:spacing w:before="40" w:after="40" w:line="360" w:lineRule="auto"/>
        <w:jc w:val="center"/>
        <w:rPr>
          <w:rFonts w:ascii="Arial" w:hAnsi="Arial" w:cs="Arial"/>
          <w:sz w:val="20"/>
          <w:szCs w:val="20"/>
        </w:rPr>
      </w:pPr>
      <w:r w:rsidRPr="007343B1">
        <w:rPr>
          <w:rFonts w:ascii="Arial" w:hAnsi="Arial" w:cs="Arial"/>
          <w:b/>
          <w:bCs/>
          <w:color w:val="1F3A5F"/>
          <w:sz w:val="20"/>
          <w:szCs w:val="20"/>
        </w:rPr>
        <w:t xml:space="preserve">Figure 8. </w:t>
      </w:r>
      <w:proofErr w:type="spellStart"/>
      <w:r w:rsidRPr="007343B1">
        <w:rPr>
          <w:rFonts w:ascii="Arial" w:hAnsi="Arial" w:cs="Arial"/>
          <w:b/>
          <w:bCs/>
          <w:color w:val="222222"/>
          <w:sz w:val="20"/>
          <w:szCs w:val="20"/>
        </w:rPr>
        <w:t>Codelco’s</w:t>
      </w:r>
      <w:proofErr w:type="spellEnd"/>
      <w:r w:rsidRPr="007343B1">
        <w:rPr>
          <w:rFonts w:ascii="Arial" w:hAnsi="Arial" w:cs="Arial"/>
          <w:b/>
          <w:bCs/>
          <w:color w:val="222222"/>
          <w:sz w:val="20"/>
          <w:szCs w:val="20"/>
        </w:rPr>
        <w:t xml:space="preserve"> 2025 financial position (US$ billion)</w:t>
      </w:r>
    </w:p>
    <w:p w:rsidR="006B466C" w:rsidRPr="007343B1" w:rsidRDefault="00FD3A77" w:rsidP="007343B1">
      <w:pPr>
        <w:spacing w:before="60" w:after="240" w:line="360" w:lineRule="auto"/>
        <w:jc w:val="center"/>
        <w:rPr>
          <w:rFonts w:ascii="Arial" w:hAnsi="Arial" w:cs="Arial"/>
          <w:sz w:val="20"/>
          <w:szCs w:val="20"/>
        </w:rPr>
      </w:pPr>
      <w:r w:rsidRPr="007343B1">
        <w:rPr>
          <w:rFonts w:ascii="Arial" w:hAnsi="Arial" w:cs="Arial"/>
          <w:i/>
          <w:iCs/>
          <w:color w:val="52514E"/>
          <w:sz w:val="20"/>
          <w:szCs w:val="20"/>
        </w:rPr>
        <w:t xml:space="preserve">Source: author, data from </w:t>
      </w:r>
      <w:proofErr w:type="spellStart"/>
      <w:r w:rsidRPr="007343B1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Pr="007343B1">
        <w:rPr>
          <w:rFonts w:ascii="Arial" w:hAnsi="Arial" w:cs="Arial"/>
          <w:i/>
          <w:iCs/>
          <w:color w:val="52514E"/>
          <w:sz w:val="20"/>
          <w:szCs w:val="20"/>
        </w:rPr>
        <w:t xml:space="preserve"> (2026a); Engineering News (2026); Mining Reporters (2026). Net debt is approximate.</w:t>
      </w:r>
    </w:p>
    <w:p w:rsidR="006B466C" w:rsidRPr="007343B1" w:rsidRDefault="00FD3A77" w:rsidP="007343B1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b/>
          <w:bCs/>
          <w:color w:val="1F3A5F"/>
          <w:sz w:val="24"/>
          <w:szCs w:val="24"/>
        </w:rPr>
        <w:lastRenderedPageBreak/>
        <w:t xml:space="preserve">Trade conditions. </w:t>
      </w:r>
      <w:r w:rsidRPr="007343B1">
        <w:rPr>
          <w:rFonts w:ascii="Arial" w:hAnsi="Arial" w:cs="Arial"/>
          <w:sz w:val="24"/>
          <w:szCs w:val="24"/>
        </w:rPr>
        <w:t>US tariffs currently exempt cathodes (S&amp;P Global Commodity Insights, 2025), but Goldman Sachs (2025) flagged the risk of a tariff on refined copper, which could distort trade flows.</w:t>
      </w:r>
    </w:p>
    <w:p w:rsidR="006B466C" w:rsidRPr="007343B1" w:rsidRDefault="00FD3A77" w:rsidP="007343B1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b/>
          <w:bCs/>
          <w:color w:val="1F3A5F"/>
          <w:sz w:val="24"/>
          <w:szCs w:val="24"/>
        </w:rPr>
        <w:t xml:space="preserve">Critical assessment. </w:t>
      </w:r>
      <w:r w:rsidRPr="007343B1">
        <w:rPr>
          <w:rFonts w:ascii="Arial" w:hAnsi="Arial" w:cs="Arial"/>
          <w:sz w:val="24"/>
          <w:szCs w:val="24"/>
        </w:rPr>
        <w:t xml:space="preserve">The economy gives </w:t>
      </w:r>
      <w:proofErr w:type="spellStart"/>
      <w:r w:rsidRPr="007343B1">
        <w:rPr>
          <w:rFonts w:ascii="Arial" w:hAnsi="Arial" w:cs="Arial"/>
          <w:sz w:val="24"/>
          <w:szCs w:val="24"/>
        </w:rPr>
        <w:t>Codelco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the means but not the margin: strong prices fund the transition only while they last, while costs and debt limit investment. Task 2 should therefore favour options that use existing assets and earn revenue early.</w:t>
      </w:r>
    </w:p>
    <w:p w:rsidR="008C10EF" w:rsidRPr="007343B1" w:rsidRDefault="00C32948" w:rsidP="007343B1">
      <w:pPr>
        <w:pStyle w:val="Heading2"/>
        <w:keepNext/>
        <w:spacing w:line="360" w:lineRule="auto"/>
        <w:rPr>
          <w:rFonts w:ascii="Arial" w:hAnsi="Arial" w:cs="Arial"/>
          <w:sz w:val="24"/>
          <w:szCs w:val="24"/>
        </w:rPr>
      </w:pPr>
      <w:bookmarkStart w:id="16" w:name="_Toc242226364"/>
      <w:bookmarkStart w:id="17" w:name="_Toc242962115"/>
      <w:r w:rsidRPr="007343B1">
        <w:rPr>
          <w:rFonts w:ascii="Arial" w:hAnsi="Arial" w:cs="Arial"/>
          <w:sz w:val="24"/>
          <w:szCs w:val="24"/>
        </w:rPr>
        <w:t>1.5 Synthesis</w:t>
      </w:r>
      <w:bookmarkEnd w:id="16"/>
      <w:bookmarkEnd w:id="17"/>
    </w:p>
    <w:p w:rsidR="002D7E02" w:rsidRDefault="00FD3A77" w:rsidP="002D7E02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343B1">
        <w:rPr>
          <w:rFonts w:ascii="Arial" w:hAnsi="Arial" w:cs="Arial"/>
          <w:sz w:val="24"/>
          <w:szCs w:val="24"/>
        </w:rPr>
        <w:t xml:space="preserve">Together, the three </w:t>
      </w:r>
      <w:proofErr w:type="spellStart"/>
      <w:r w:rsidRPr="007343B1">
        <w:rPr>
          <w:rFonts w:ascii="Arial" w:hAnsi="Arial" w:cs="Arial"/>
          <w:sz w:val="24"/>
          <w:szCs w:val="24"/>
        </w:rPr>
        <w:t>macroenvironment</w:t>
      </w:r>
      <w:proofErr w:type="spellEnd"/>
      <w:r w:rsidRPr="007343B1">
        <w:rPr>
          <w:rFonts w:ascii="Arial" w:hAnsi="Arial" w:cs="Arial"/>
          <w:sz w:val="24"/>
          <w:szCs w:val="24"/>
        </w:rPr>
        <w:t xml:space="preserve"> actors reveal a clear tension: the natural environment raises costs and reputational risk, regulation makes verified low-carbon performance a condition of premium market access, and the economic environment offers strong prices but limited financial headroom to fund the transition. Table 1 summarises the implications. The microenvironment actors (customers and competitors) are summarised in Appendix A.</w:t>
      </w:r>
    </w:p>
    <w:p w:rsidR="007343B1" w:rsidRPr="002D7E02" w:rsidRDefault="002D7E02" w:rsidP="002D7E02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85957">
        <w:rPr>
          <w:rFonts w:ascii="Arial" w:hAnsi="Arial" w:cs="Arial"/>
          <w:i/>
          <w:iCs/>
          <w:noProof/>
          <w:color w:val="52514E"/>
          <w:sz w:val="20"/>
          <w:szCs w:val="20"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146262</wp:posOffset>
            </wp:positionV>
            <wp:extent cx="5172710" cy="4072890"/>
            <wp:effectExtent l="0" t="0" r="8890" b="381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710" cy="4072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3A77" w:rsidRPr="007343B1">
        <w:rPr>
          <w:rFonts w:ascii="Arial" w:hAnsi="Arial" w:cs="Arial"/>
          <w:b/>
          <w:bCs/>
          <w:color w:val="1F3A5F"/>
          <w:sz w:val="20"/>
          <w:szCs w:val="20"/>
        </w:rPr>
        <w:t xml:space="preserve">Table 1. </w:t>
      </w:r>
      <w:r w:rsidR="00FD3A77" w:rsidRPr="007343B1">
        <w:rPr>
          <w:rFonts w:ascii="Arial" w:hAnsi="Arial" w:cs="Arial"/>
          <w:b/>
          <w:bCs/>
          <w:color w:val="222222"/>
          <w:sz w:val="20"/>
          <w:szCs w:val="20"/>
        </w:rPr>
        <w:t xml:space="preserve">Summary of the three </w:t>
      </w:r>
      <w:r w:rsidRPr="007343B1">
        <w:rPr>
          <w:rFonts w:ascii="Arial" w:hAnsi="Arial" w:cs="Arial"/>
          <w:b/>
          <w:bCs/>
          <w:color w:val="222222"/>
          <w:sz w:val="20"/>
          <w:szCs w:val="20"/>
        </w:rPr>
        <w:t>macro environment</w:t>
      </w:r>
      <w:r w:rsidR="00FD3A77" w:rsidRPr="007343B1">
        <w:rPr>
          <w:rFonts w:ascii="Arial" w:hAnsi="Arial" w:cs="Arial"/>
          <w:b/>
          <w:bCs/>
          <w:color w:val="222222"/>
          <w:sz w:val="20"/>
          <w:szCs w:val="20"/>
        </w:rPr>
        <w:t xml:space="preserve"> actors: opportunities and threats</w:t>
      </w:r>
    </w:p>
    <w:p w:rsidR="006B466C" w:rsidRPr="007343B1" w:rsidRDefault="00FD3A77" w:rsidP="007343B1">
      <w:pPr>
        <w:spacing w:before="60" w:after="240" w:line="360" w:lineRule="auto"/>
        <w:jc w:val="center"/>
        <w:rPr>
          <w:rFonts w:ascii="Arial" w:hAnsi="Arial" w:cs="Arial"/>
          <w:sz w:val="20"/>
          <w:szCs w:val="20"/>
        </w:rPr>
      </w:pPr>
      <w:r w:rsidRPr="007343B1">
        <w:rPr>
          <w:rFonts w:ascii="Arial" w:hAnsi="Arial" w:cs="Arial"/>
          <w:i/>
          <w:iCs/>
          <w:color w:val="52514E"/>
          <w:sz w:val="20"/>
          <w:szCs w:val="20"/>
        </w:rPr>
        <w:t>Source: autho</w:t>
      </w:r>
      <w:r w:rsidR="007343B1">
        <w:rPr>
          <w:rFonts w:ascii="Arial" w:hAnsi="Arial" w:cs="Arial"/>
          <w:i/>
          <w:iCs/>
          <w:color w:val="52514E"/>
          <w:sz w:val="20"/>
          <w:szCs w:val="20"/>
        </w:rPr>
        <w:t>r, synthesising sections 1.2-</w:t>
      </w:r>
      <w:r w:rsidRPr="007343B1">
        <w:rPr>
          <w:rFonts w:ascii="Arial" w:hAnsi="Arial" w:cs="Arial"/>
          <w:i/>
          <w:iCs/>
          <w:color w:val="52514E"/>
          <w:sz w:val="20"/>
          <w:szCs w:val="20"/>
        </w:rPr>
        <w:t>1.4. The microenvironment (customers and competitors) is summarised in Appendix A.</w:t>
      </w:r>
    </w:p>
    <w:p w:rsidR="008C10EF" w:rsidRPr="00785957" w:rsidRDefault="00C32948">
      <w:pPr>
        <w:pStyle w:val="Heading1"/>
        <w:pageBreakBefore/>
        <w:rPr>
          <w:rFonts w:ascii="Arial" w:hAnsi="Arial" w:cs="Arial"/>
          <w:sz w:val="32"/>
          <w:szCs w:val="32"/>
        </w:rPr>
      </w:pPr>
      <w:bookmarkStart w:id="18" w:name="_Toc242226365"/>
      <w:bookmarkStart w:id="19" w:name="_Toc242962116"/>
      <w:r w:rsidRPr="00785957">
        <w:rPr>
          <w:rFonts w:ascii="Arial" w:hAnsi="Arial" w:cs="Arial"/>
          <w:sz w:val="32"/>
          <w:szCs w:val="32"/>
        </w:rPr>
        <w:lastRenderedPageBreak/>
        <w:t>Task 2: Strategic Growth and Competitive Positioning</w:t>
      </w:r>
      <w:bookmarkEnd w:id="18"/>
      <w:bookmarkEnd w:id="19"/>
    </w:p>
    <w:p w:rsidR="00CD69BC" w:rsidRPr="00CD69BC" w:rsidRDefault="00CD69BC" w:rsidP="00CD69BC">
      <w:pPr>
        <w:pStyle w:val="Heading2"/>
        <w:keepNext/>
        <w:spacing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bookmarkStart w:id="20" w:name="_Toc242962117"/>
      <w:bookmarkStart w:id="21" w:name="_Toc242226366"/>
      <w:r w:rsidRPr="00CD69BC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Task 2 uses two frameworks: the </w:t>
      </w:r>
      <w:proofErr w:type="spellStart"/>
      <w:r w:rsidRPr="00CD69BC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Ansoff</w:t>
      </w:r>
      <w:proofErr w:type="spellEnd"/>
      <w:r w:rsidRPr="00CD69BC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 Matrix (1957) to show where </w:t>
      </w:r>
      <w:proofErr w:type="spellStart"/>
      <w:r w:rsidRPr="00CD69BC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odelco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should grow and Porter’s</w:t>
      </w:r>
      <w:r w:rsidRPr="00CD69BC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(1985) strategies to show how it should compete, building on Task 1 and Appendix A.</w:t>
      </w:r>
      <w:bookmarkEnd w:id="20"/>
    </w:p>
    <w:p w:rsidR="008C10EF" w:rsidRPr="00785957" w:rsidRDefault="00C32948" w:rsidP="00785957">
      <w:pPr>
        <w:pStyle w:val="Heading2"/>
        <w:keepNext/>
        <w:spacing w:line="360" w:lineRule="auto"/>
        <w:rPr>
          <w:rFonts w:ascii="Arial" w:hAnsi="Arial" w:cs="Arial"/>
          <w:sz w:val="24"/>
          <w:szCs w:val="24"/>
        </w:rPr>
      </w:pPr>
      <w:bookmarkStart w:id="22" w:name="_Toc242962118"/>
      <w:r w:rsidRPr="00785957">
        <w:rPr>
          <w:rFonts w:ascii="Arial" w:hAnsi="Arial" w:cs="Arial"/>
          <w:sz w:val="24"/>
          <w:szCs w:val="24"/>
        </w:rPr>
        <w:t xml:space="preserve">2.1 Recommended growth direction: the </w:t>
      </w:r>
      <w:proofErr w:type="spellStart"/>
      <w:r w:rsidRPr="00785957">
        <w:rPr>
          <w:rFonts w:ascii="Arial" w:hAnsi="Arial" w:cs="Arial"/>
          <w:sz w:val="24"/>
          <w:szCs w:val="24"/>
        </w:rPr>
        <w:t>Ansoff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Matrix</w:t>
      </w:r>
      <w:bookmarkEnd w:id="21"/>
      <w:bookmarkEnd w:id="22"/>
    </w:p>
    <w:p w:rsidR="008C10EF" w:rsidRPr="00785957" w:rsidRDefault="00CD69BC" w:rsidP="00CD69BC">
      <w:pPr>
        <w:keepNext/>
        <w:spacing w:after="6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D69BC">
        <w:rPr>
          <w:rFonts w:ascii="Arial" w:hAnsi="Arial" w:cs="Arial"/>
          <w:sz w:val="24"/>
          <w:szCs w:val="24"/>
        </w:rPr>
        <w:t>Ansoff’s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 (1957) matrix (Hooley et al., 2020) classifies growth options by whether products and markets are new or existing (Figure 9). For </w:t>
      </w:r>
      <w:proofErr w:type="spellStart"/>
      <w:r w:rsidRPr="00CD69BC">
        <w:rPr>
          <w:rFonts w:ascii="Arial" w:hAnsi="Arial" w:cs="Arial"/>
          <w:sz w:val="24"/>
          <w:szCs w:val="24"/>
        </w:rPr>
        <w:t>Codelco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, the recommended </w:t>
      </w:r>
      <w:proofErr w:type="spellStart"/>
      <w:r w:rsidRPr="00CD69BC">
        <w:rPr>
          <w:rFonts w:ascii="Arial" w:hAnsi="Arial" w:cs="Arial"/>
          <w:sz w:val="24"/>
          <w:szCs w:val="24"/>
        </w:rPr>
        <w:t>Ansoff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 growth strategy is product development as the main route, with targeted market development, supported by market penetration and only selective diversification.</w:t>
      </w:r>
      <w:r w:rsidR="00C32948" w:rsidRPr="0078595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1164D94" wp14:editId="61164D95">
            <wp:extent cx="4953000" cy="3535680"/>
            <wp:effectExtent l="0" t="0" r="0" b="7620"/>
            <wp:docPr id="10" name="f9" descr="The Ansoff Matrix applied to Codelco’s low-carbon transition" title="The Ansoff Matrix applied to Codelco’s low-carbon transi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 rotWithShape="1">
                    <a:blip r:embed="rId19"/>
                    <a:srcRect t="3478" b="1587"/>
                    <a:stretch/>
                  </pic:blipFill>
                  <pic:spPr bwMode="auto">
                    <a:xfrm>
                      <a:off x="0" y="0"/>
                      <a:ext cx="4953000" cy="3535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C10EF" w:rsidRPr="001A6FF0" w:rsidRDefault="00C32948" w:rsidP="001A6FF0">
      <w:pPr>
        <w:keepNext/>
        <w:spacing w:before="40" w:after="40" w:line="360" w:lineRule="auto"/>
        <w:jc w:val="center"/>
        <w:rPr>
          <w:rFonts w:ascii="Arial" w:hAnsi="Arial" w:cs="Arial"/>
          <w:sz w:val="20"/>
          <w:szCs w:val="20"/>
        </w:rPr>
      </w:pPr>
      <w:r w:rsidRPr="001A6FF0">
        <w:rPr>
          <w:rFonts w:ascii="Arial" w:hAnsi="Arial" w:cs="Arial"/>
          <w:b/>
          <w:bCs/>
          <w:color w:val="1F3A5F"/>
          <w:sz w:val="20"/>
          <w:szCs w:val="20"/>
        </w:rPr>
        <w:t xml:space="preserve">Figure 9. </w:t>
      </w:r>
      <w:r w:rsidRPr="001A6FF0">
        <w:rPr>
          <w:rFonts w:ascii="Arial" w:hAnsi="Arial" w:cs="Arial"/>
          <w:b/>
          <w:bCs/>
          <w:color w:val="222222"/>
          <w:sz w:val="20"/>
          <w:szCs w:val="20"/>
        </w:rPr>
        <w:t xml:space="preserve">The </w:t>
      </w:r>
      <w:proofErr w:type="spellStart"/>
      <w:r w:rsidRPr="001A6FF0">
        <w:rPr>
          <w:rFonts w:ascii="Arial" w:hAnsi="Arial" w:cs="Arial"/>
          <w:b/>
          <w:bCs/>
          <w:color w:val="222222"/>
          <w:sz w:val="20"/>
          <w:szCs w:val="20"/>
        </w:rPr>
        <w:t>Ansoff</w:t>
      </w:r>
      <w:proofErr w:type="spellEnd"/>
      <w:r w:rsidRPr="001A6FF0">
        <w:rPr>
          <w:rFonts w:ascii="Arial" w:hAnsi="Arial" w:cs="Arial"/>
          <w:b/>
          <w:bCs/>
          <w:color w:val="222222"/>
          <w:sz w:val="20"/>
          <w:szCs w:val="20"/>
        </w:rPr>
        <w:t xml:space="preserve"> Matrix applied to </w:t>
      </w:r>
      <w:proofErr w:type="spellStart"/>
      <w:r w:rsidRPr="001A6FF0">
        <w:rPr>
          <w:rFonts w:ascii="Arial" w:hAnsi="Arial" w:cs="Arial"/>
          <w:b/>
          <w:bCs/>
          <w:color w:val="222222"/>
          <w:sz w:val="20"/>
          <w:szCs w:val="20"/>
        </w:rPr>
        <w:t>Codelco’s</w:t>
      </w:r>
      <w:proofErr w:type="spellEnd"/>
      <w:r w:rsidRPr="001A6FF0">
        <w:rPr>
          <w:rFonts w:ascii="Arial" w:hAnsi="Arial" w:cs="Arial"/>
          <w:b/>
          <w:bCs/>
          <w:color w:val="222222"/>
          <w:sz w:val="20"/>
          <w:szCs w:val="20"/>
        </w:rPr>
        <w:t xml:space="preserve"> low-carbon transition</w:t>
      </w:r>
    </w:p>
    <w:p w:rsidR="008C10EF" w:rsidRPr="001A6FF0" w:rsidRDefault="00C32948" w:rsidP="001A6FF0">
      <w:pPr>
        <w:spacing w:after="240" w:line="360" w:lineRule="auto"/>
        <w:jc w:val="center"/>
        <w:rPr>
          <w:rFonts w:ascii="Arial" w:hAnsi="Arial" w:cs="Arial"/>
          <w:sz w:val="20"/>
          <w:szCs w:val="20"/>
        </w:rPr>
      </w:pPr>
      <w:r w:rsidRPr="001A6FF0">
        <w:rPr>
          <w:rFonts w:ascii="Arial" w:hAnsi="Arial" w:cs="Arial"/>
          <w:i/>
          <w:iCs/>
          <w:color w:val="52514E"/>
          <w:sz w:val="20"/>
          <w:szCs w:val="20"/>
        </w:rPr>
        <w:t xml:space="preserve">Source: author, framework from </w:t>
      </w:r>
      <w:proofErr w:type="spellStart"/>
      <w:r w:rsidRPr="001A6FF0">
        <w:rPr>
          <w:rFonts w:ascii="Arial" w:hAnsi="Arial" w:cs="Arial"/>
          <w:i/>
          <w:iCs/>
          <w:color w:val="52514E"/>
          <w:sz w:val="20"/>
          <w:szCs w:val="20"/>
        </w:rPr>
        <w:t>Ansoff</w:t>
      </w:r>
      <w:proofErr w:type="spellEnd"/>
      <w:r w:rsidRPr="001A6FF0">
        <w:rPr>
          <w:rFonts w:ascii="Arial" w:hAnsi="Arial" w:cs="Arial"/>
          <w:i/>
          <w:iCs/>
          <w:color w:val="52514E"/>
          <w:sz w:val="20"/>
          <w:szCs w:val="20"/>
        </w:rPr>
        <w:t xml:space="preserve"> (1957); data from </w:t>
      </w:r>
      <w:proofErr w:type="spellStart"/>
      <w:r w:rsidRPr="001A6FF0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Pr="001A6FF0">
        <w:rPr>
          <w:rFonts w:ascii="Arial" w:hAnsi="Arial" w:cs="Arial"/>
          <w:i/>
          <w:iCs/>
          <w:color w:val="52514E"/>
          <w:sz w:val="20"/>
          <w:szCs w:val="20"/>
        </w:rPr>
        <w:t xml:space="preserve"> (2025a; 2025c); Reuters (2025a); Anglo American (2026).</w:t>
      </w:r>
    </w:p>
    <w:p w:rsidR="008C10EF" w:rsidRPr="00785957" w:rsidRDefault="00905438" w:rsidP="00785957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85957">
        <w:rPr>
          <w:rFonts w:ascii="Arial" w:hAnsi="Arial" w:cs="Arial"/>
          <w:b/>
          <w:bCs/>
          <w:color w:val="1F3A5F"/>
          <w:sz w:val="24"/>
          <w:szCs w:val="24"/>
        </w:rPr>
        <w:t>Product development,</w:t>
      </w:r>
      <w:r w:rsidR="00C32948" w:rsidRPr="00785957">
        <w:rPr>
          <w:rFonts w:ascii="Arial" w:hAnsi="Arial" w:cs="Arial"/>
          <w:b/>
          <w:bCs/>
          <w:color w:val="1F3A5F"/>
          <w:sz w:val="24"/>
          <w:szCs w:val="24"/>
        </w:rPr>
        <w:t xml:space="preserve"> a certified low-carbon cathode.</w:t>
      </w:r>
      <w:r w:rsidR="00C32948" w:rsidRPr="007859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2948" w:rsidRPr="00785957">
        <w:rPr>
          <w:rFonts w:ascii="Arial" w:hAnsi="Arial" w:cs="Arial"/>
          <w:sz w:val="24"/>
          <w:szCs w:val="24"/>
        </w:rPr>
        <w:t>Codelco’s</w:t>
      </w:r>
      <w:proofErr w:type="spellEnd"/>
      <w:r w:rsidR="00C32948" w:rsidRPr="00785957">
        <w:rPr>
          <w:rFonts w:ascii="Arial" w:hAnsi="Arial" w:cs="Arial"/>
          <w:sz w:val="24"/>
          <w:szCs w:val="24"/>
        </w:rPr>
        <w:t xml:space="preserve"> core product, Grade A cathode, is a commodity. Task 1 showed that the scarce attribute is not copper itself but </w:t>
      </w:r>
      <w:r w:rsidR="00C32948" w:rsidRPr="00785957">
        <w:rPr>
          <w:rFonts w:ascii="Arial" w:hAnsi="Arial" w:cs="Arial"/>
          <w:i/>
          <w:iCs/>
          <w:sz w:val="24"/>
          <w:szCs w:val="24"/>
        </w:rPr>
        <w:t>verifiable</w:t>
      </w:r>
      <w:r w:rsidR="00C32948" w:rsidRPr="00785957">
        <w:rPr>
          <w:rFonts w:ascii="Arial" w:hAnsi="Arial" w:cs="Arial"/>
          <w:sz w:val="24"/>
          <w:szCs w:val="24"/>
        </w:rPr>
        <w:t xml:space="preserve"> low-carbon copper. </w:t>
      </w:r>
      <w:proofErr w:type="spellStart"/>
      <w:r w:rsidR="00C32948" w:rsidRPr="00785957">
        <w:rPr>
          <w:rFonts w:ascii="Arial" w:hAnsi="Arial" w:cs="Arial"/>
          <w:sz w:val="24"/>
          <w:szCs w:val="24"/>
        </w:rPr>
        <w:t>Codelco</w:t>
      </w:r>
      <w:proofErr w:type="spellEnd"/>
      <w:r w:rsidR="00C32948" w:rsidRPr="00785957">
        <w:rPr>
          <w:rFonts w:ascii="Arial" w:hAnsi="Arial" w:cs="Arial"/>
          <w:sz w:val="24"/>
          <w:szCs w:val="24"/>
        </w:rPr>
        <w:t xml:space="preserve"> should therefore offer a tiered range: standard cathodes alongside a low-carbon cathode backed by product-level carbon footprints, The Copper Mark at all eight divisions and digital traceability compatible with the EU battery passport. This is product development: a new, certified </w:t>
      </w:r>
      <w:r w:rsidR="00C32948" w:rsidRPr="00785957">
        <w:rPr>
          <w:rFonts w:ascii="Arial" w:hAnsi="Arial" w:cs="Arial"/>
          <w:sz w:val="24"/>
          <w:szCs w:val="24"/>
        </w:rPr>
        <w:lastRenderedPageBreak/>
        <w:t xml:space="preserve">offer for existing customers. The same logic extends to by-products: </w:t>
      </w:r>
      <w:proofErr w:type="spellStart"/>
      <w:r w:rsidR="00C32948" w:rsidRPr="00785957">
        <w:rPr>
          <w:rFonts w:ascii="Arial" w:hAnsi="Arial" w:cs="Arial"/>
          <w:sz w:val="24"/>
          <w:szCs w:val="24"/>
        </w:rPr>
        <w:t>Codelco</w:t>
      </w:r>
      <w:proofErr w:type="spellEnd"/>
      <w:r w:rsidR="00C32948" w:rsidRPr="00785957">
        <w:rPr>
          <w:rFonts w:ascii="Arial" w:hAnsi="Arial" w:cs="Arial"/>
          <w:sz w:val="24"/>
          <w:szCs w:val="24"/>
        </w:rPr>
        <w:t xml:space="preserve"> has already certified the carbon footprint of its sulphuric acid as well as its cathodes (</w:t>
      </w:r>
      <w:proofErr w:type="spellStart"/>
      <w:r w:rsidR="00C32948" w:rsidRPr="00785957">
        <w:rPr>
          <w:rFonts w:ascii="Arial" w:hAnsi="Arial" w:cs="Arial"/>
          <w:sz w:val="24"/>
          <w:szCs w:val="24"/>
        </w:rPr>
        <w:t>Codelco</w:t>
      </w:r>
      <w:proofErr w:type="spellEnd"/>
      <w:r w:rsidR="00C32948" w:rsidRPr="00785957">
        <w:rPr>
          <w:rFonts w:ascii="Arial" w:hAnsi="Arial" w:cs="Arial"/>
          <w:sz w:val="24"/>
          <w:szCs w:val="24"/>
        </w:rPr>
        <w:t xml:space="preserve">, 2025a), and El </w:t>
      </w:r>
      <w:proofErr w:type="spellStart"/>
      <w:r w:rsidR="00C32948" w:rsidRPr="00785957">
        <w:rPr>
          <w:rFonts w:ascii="Arial" w:hAnsi="Arial" w:cs="Arial"/>
          <w:sz w:val="24"/>
          <w:szCs w:val="24"/>
        </w:rPr>
        <w:t>Teniente’s</w:t>
      </w:r>
      <w:proofErr w:type="spellEnd"/>
      <w:r w:rsidR="00C32948" w:rsidRPr="00785957">
        <w:rPr>
          <w:rFonts w:ascii="Arial" w:hAnsi="Arial" w:cs="Arial"/>
          <w:sz w:val="24"/>
          <w:szCs w:val="24"/>
        </w:rPr>
        <w:t xml:space="preserve"> molybdenum now carries The Molybdenum Mark (International Mining, 2026).</w:t>
      </w:r>
    </w:p>
    <w:p w:rsidR="008C10EF" w:rsidRPr="00785957" w:rsidRDefault="00905438" w:rsidP="00785957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85957">
        <w:rPr>
          <w:rFonts w:ascii="Arial" w:hAnsi="Arial" w:cs="Arial"/>
          <w:b/>
          <w:bCs/>
          <w:color w:val="1F3A5F"/>
          <w:sz w:val="24"/>
          <w:szCs w:val="24"/>
        </w:rPr>
        <w:t xml:space="preserve">Market development, </w:t>
      </w:r>
      <w:r w:rsidR="00C32948" w:rsidRPr="00785957">
        <w:rPr>
          <w:rFonts w:ascii="Arial" w:hAnsi="Arial" w:cs="Arial"/>
          <w:b/>
          <w:bCs/>
          <w:color w:val="1F3A5F"/>
          <w:sz w:val="24"/>
          <w:szCs w:val="24"/>
        </w:rPr>
        <w:t>new segments.</w:t>
      </w:r>
      <w:r w:rsidR="00C32948" w:rsidRPr="007859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2948" w:rsidRPr="00785957">
        <w:rPr>
          <w:rFonts w:ascii="Arial" w:hAnsi="Arial" w:cs="Arial"/>
          <w:sz w:val="24"/>
          <w:szCs w:val="24"/>
        </w:rPr>
        <w:t>Codelco</w:t>
      </w:r>
      <w:proofErr w:type="spellEnd"/>
      <w:r w:rsidR="00C32948" w:rsidRPr="00785957">
        <w:rPr>
          <w:rFonts w:ascii="Arial" w:hAnsi="Arial" w:cs="Arial"/>
          <w:sz w:val="24"/>
          <w:szCs w:val="24"/>
        </w:rPr>
        <w:t xml:space="preserve"> should then take this product into segments that monetise low-carbon attributes (see Appendix A for the customer analysis): EU battery and electric-vehicle manufacturers subject to the Battery Regulation; cable and grid manufacturers serving data centres; and US refiners and fabricators that benefit from the tariff exemption on cathodes. The Critical Raw Materials Act creates strategic-partnership channels with European buyers seeking to diversify supply. As Asia-Pacific will drive about 60% of demand growth to 2040 (S&amp;P Global, 2026), Asian battery makers exporting to Europe are a further target.</w:t>
      </w:r>
    </w:p>
    <w:p w:rsidR="008C10EF" w:rsidRPr="00785957" w:rsidRDefault="00C32948" w:rsidP="00785957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85957">
        <w:rPr>
          <w:rFonts w:ascii="Arial" w:hAnsi="Arial" w:cs="Arial"/>
          <w:b/>
          <w:bCs/>
          <w:color w:val="1F3A5F"/>
          <w:sz w:val="24"/>
          <w:szCs w:val="24"/>
        </w:rPr>
        <w:t>Market penetration and diversification.</w:t>
      </w:r>
      <w:r w:rsidRPr="00785957">
        <w:rPr>
          <w:rFonts w:ascii="Arial" w:hAnsi="Arial" w:cs="Arial"/>
          <w:sz w:val="24"/>
          <w:szCs w:val="24"/>
        </w:rPr>
        <w:t xml:space="preserve"> Penetration remains necessary becaus</w:t>
      </w:r>
      <w:r w:rsidR="00905438" w:rsidRPr="00785957">
        <w:rPr>
          <w:rFonts w:ascii="Arial" w:hAnsi="Arial" w:cs="Arial"/>
          <w:sz w:val="24"/>
          <w:szCs w:val="24"/>
        </w:rPr>
        <w:t xml:space="preserve">e volume has fallen; the </w:t>
      </w:r>
      <w:proofErr w:type="spellStart"/>
      <w:r w:rsidR="00905438" w:rsidRPr="00785957">
        <w:rPr>
          <w:rFonts w:ascii="Arial" w:hAnsi="Arial" w:cs="Arial"/>
          <w:sz w:val="24"/>
          <w:szCs w:val="24"/>
        </w:rPr>
        <w:t>Andina</w:t>
      </w:r>
      <w:proofErr w:type="spellEnd"/>
      <w:r w:rsidR="00905438" w:rsidRPr="00785957">
        <w:rPr>
          <w:rFonts w:ascii="Arial" w:hAnsi="Arial" w:cs="Arial"/>
          <w:sz w:val="24"/>
          <w:szCs w:val="24"/>
        </w:rPr>
        <w:t xml:space="preserve">, </w:t>
      </w:r>
      <w:r w:rsidRPr="00785957">
        <w:rPr>
          <w:rFonts w:ascii="Arial" w:hAnsi="Arial" w:cs="Arial"/>
          <w:sz w:val="24"/>
          <w:szCs w:val="24"/>
        </w:rPr>
        <w:t xml:space="preserve">Los </w:t>
      </w:r>
      <w:proofErr w:type="spellStart"/>
      <w:r w:rsidRPr="00785957">
        <w:rPr>
          <w:rFonts w:ascii="Arial" w:hAnsi="Arial" w:cs="Arial"/>
          <w:sz w:val="24"/>
          <w:szCs w:val="24"/>
        </w:rPr>
        <w:t>Bronces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joint mine plan with Anglo American is expected to add 120,000 tonnes a year, shared equally, from around 2030 (Anglo American, 2026). Diversification into lithium through </w:t>
      </w:r>
      <w:proofErr w:type="spellStart"/>
      <w:r w:rsidRPr="00785957">
        <w:rPr>
          <w:rFonts w:ascii="Arial" w:hAnsi="Arial" w:cs="Arial"/>
          <w:sz w:val="24"/>
          <w:szCs w:val="24"/>
        </w:rPr>
        <w:t>NovaAndino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5957">
        <w:rPr>
          <w:rFonts w:ascii="Arial" w:hAnsi="Arial" w:cs="Arial"/>
          <w:sz w:val="24"/>
          <w:szCs w:val="24"/>
        </w:rPr>
        <w:t>Litio</w:t>
      </w:r>
      <w:proofErr w:type="spellEnd"/>
      <w:r w:rsidRPr="00785957">
        <w:rPr>
          <w:rFonts w:ascii="Arial" w:hAnsi="Arial" w:cs="Arial"/>
          <w:sz w:val="24"/>
          <w:szCs w:val="24"/>
        </w:rPr>
        <w:t>, a 50:50 venture with SQM running to 2060 (</w:t>
      </w:r>
      <w:proofErr w:type="spellStart"/>
      <w:r w:rsidRPr="00785957">
        <w:rPr>
          <w:rFonts w:ascii="Arial" w:hAnsi="Arial" w:cs="Arial"/>
          <w:sz w:val="24"/>
          <w:szCs w:val="24"/>
        </w:rPr>
        <w:t>Codelco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, 2025c), is related diversification because it serves the same electrification customers. It provides option value but should stay selective, given water risks and Indigenous communities’ demands for greater say over the </w:t>
      </w:r>
      <w:proofErr w:type="spellStart"/>
      <w:r w:rsidRPr="00785957">
        <w:rPr>
          <w:rFonts w:ascii="Arial" w:hAnsi="Arial" w:cs="Arial"/>
          <w:sz w:val="24"/>
          <w:szCs w:val="24"/>
        </w:rPr>
        <w:t>Salar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de Atacama (Reuters, 2025b).</w:t>
      </w:r>
    </w:p>
    <w:p w:rsidR="008C10EF" w:rsidRPr="00785957" w:rsidRDefault="00C32948" w:rsidP="00785957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85957">
        <w:rPr>
          <w:rFonts w:ascii="Arial" w:hAnsi="Arial" w:cs="Arial"/>
          <w:b/>
          <w:bCs/>
          <w:color w:val="1F3A5F"/>
          <w:sz w:val="24"/>
          <w:szCs w:val="24"/>
        </w:rPr>
        <w:t>Why this combination?</w:t>
      </w:r>
      <w:r w:rsidRPr="00785957">
        <w:rPr>
          <w:rFonts w:ascii="Arial" w:hAnsi="Arial" w:cs="Arial"/>
          <w:sz w:val="24"/>
          <w:szCs w:val="24"/>
        </w:rPr>
        <w:t xml:space="preserve"> It balances risk and reward. Product and market d</w:t>
      </w:r>
      <w:r w:rsidR="00905438" w:rsidRPr="00785957">
        <w:rPr>
          <w:rFonts w:ascii="Arial" w:hAnsi="Arial" w:cs="Arial"/>
          <w:sz w:val="24"/>
          <w:szCs w:val="24"/>
        </w:rPr>
        <w:t>evelopment use existing assets;</w:t>
      </w:r>
      <w:r w:rsidRPr="00785957">
        <w:rPr>
          <w:rFonts w:ascii="Arial" w:hAnsi="Arial" w:cs="Arial"/>
          <w:sz w:val="24"/>
          <w:szCs w:val="24"/>
        </w:rPr>
        <w:t xml:space="preserve"> mines, customer relationships and ac</w:t>
      </w:r>
      <w:r w:rsidR="00905438" w:rsidRPr="00785957">
        <w:rPr>
          <w:rFonts w:ascii="Arial" w:hAnsi="Arial" w:cs="Arial"/>
          <w:sz w:val="24"/>
          <w:szCs w:val="24"/>
        </w:rPr>
        <w:t>cess to Chile’s renewable grid,</w:t>
      </w:r>
      <w:r w:rsidRPr="00785957">
        <w:rPr>
          <w:rFonts w:ascii="Arial" w:hAnsi="Arial" w:cs="Arial"/>
          <w:sz w:val="24"/>
          <w:szCs w:val="24"/>
        </w:rPr>
        <w:t xml:space="preserve"> whereas unrelated diversification would stretch a debt-constrained organisation that is still recovering from a fatal accident. The chosen mix therefore converts the environmental pressures identified in Task 1 from a source of cost into a source of revenue.</w:t>
      </w:r>
    </w:p>
    <w:p w:rsidR="008C10EF" w:rsidRPr="00785957" w:rsidRDefault="00C32948" w:rsidP="00785957">
      <w:pPr>
        <w:pStyle w:val="Heading2"/>
        <w:keepNext/>
        <w:spacing w:line="360" w:lineRule="auto"/>
        <w:rPr>
          <w:rFonts w:ascii="Arial" w:hAnsi="Arial" w:cs="Arial"/>
          <w:sz w:val="24"/>
          <w:szCs w:val="24"/>
        </w:rPr>
      </w:pPr>
      <w:bookmarkStart w:id="23" w:name="_Toc242226367"/>
      <w:bookmarkStart w:id="24" w:name="_Toc242962119"/>
      <w:r w:rsidRPr="00785957">
        <w:rPr>
          <w:rFonts w:ascii="Arial" w:hAnsi="Arial" w:cs="Arial"/>
          <w:sz w:val="24"/>
          <w:szCs w:val="24"/>
        </w:rPr>
        <w:t>2.2 Achieving competitive advantage: Porter’s generic strategies</w:t>
      </w:r>
      <w:bookmarkEnd w:id="23"/>
      <w:bookmarkEnd w:id="24"/>
    </w:p>
    <w:p w:rsidR="006B466C" w:rsidRPr="00785957" w:rsidRDefault="00FD3A77" w:rsidP="00785957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85957">
        <w:rPr>
          <w:rFonts w:ascii="Arial" w:hAnsi="Arial" w:cs="Arial"/>
          <w:sz w:val="24"/>
          <w:szCs w:val="24"/>
        </w:rPr>
        <w:t>Porter’s (198</w:t>
      </w:r>
      <w:r w:rsidR="00E955CC">
        <w:rPr>
          <w:rFonts w:ascii="Arial" w:hAnsi="Arial" w:cs="Arial"/>
          <w:sz w:val="24"/>
          <w:szCs w:val="24"/>
        </w:rPr>
        <w:t>5) generic strategies (</w:t>
      </w:r>
      <w:r w:rsidRPr="00785957">
        <w:rPr>
          <w:rFonts w:ascii="Arial" w:hAnsi="Arial" w:cs="Arial"/>
          <w:sz w:val="24"/>
          <w:szCs w:val="24"/>
        </w:rPr>
        <w:t xml:space="preserve">Whittington et al., 2023) hold that sustainable competitive advantage derives from one of three strategies: </w:t>
      </w:r>
      <w:r w:rsidRPr="00785957">
        <w:rPr>
          <w:rFonts w:ascii="Arial" w:hAnsi="Arial" w:cs="Arial"/>
          <w:b/>
          <w:bCs/>
          <w:color w:val="1F3A5F"/>
          <w:sz w:val="24"/>
          <w:szCs w:val="24"/>
        </w:rPr>
        <w:t>cost leadership</w:t>
      </w:r>
      <w:r w:rsidRPr="00785957">
        <w:rPr>
          <w:rFonts w:ascii="Arial" w:hAnsi="Arial" w:cs="Arial"/>
          <w:sz w:val="24"/>
          <w:szCs w:val="24"/>
        </w:rPr>
        <w:t xml:space="preserve">, </w:t>
      </w:r>
      <w:r w:rsidRPr="00785957">
        <w:rPr>
          <w:rFonts w:ascii="Arial" w:hAnsi="Arial" w:cs="Arial"/>
          <w:b/>
          <w:bCs/>
          <w:color w:val="1F3A5F"/>
          <w:sz w:val="24"/>
          <w:szCs w:val="24"/>
        </w:rPr>
        <w:t>differentiation</w:t>
      </w:r>
      <w:r w:rsidRPr="00785957">
        <w:rPr>
          <w:rFonts w:ascii="Arial" w:hAnsi="Arial" w:cs="Arial"/>
          <w:sz w:val="24"/>
          <w:szCs w:val="24"/>
        </w:rPr>
        <w:t xml:space="preserve"> or </w:t>
      </w:r>
      <w:r w:rsidRPr="00785957">
        <w:rPr>
          <w:rFonts w:ascii="Arial" w:hAnsi="Arial" w:cs="Arial"/>
          <w:b/>
          <w:bCs/>
          <w:color w:val="1F3A5F"/>
          <w:sz w:val="24"/>
          <w:szCs w:val="24"/>
        </w:rPr>
        <w:t>focus</w:t>
      </w:r>
      <w:r w:rsidRPr="00785957">
        <w:rPr>
          <w:rFonts w:ascii="Arial" w:hAnsi="Arial" w:cs="Arial"/>
          <w:sz w:val="24"/>
          <w:szCs w:val="24"/>
        </w:rPr>
        <w:t xml:space="preserve">, where focus means serving a narrow segment through either a cost or a differentiation advantage. Applying them to </w:t>
      </w:r>
      <w:proofErr w:type="spellStart"/>
      <w:r w:rsidRPr="00785957">
        <w:rPr>
          <w:rFonts w:ascii="Arial" w:hAnsi="Arial" w:cs="Arial"/>
          <w:sz w:val="24"/>
          <w:szCs w:val="24"/>
        </w:rPr>
        <w:t>Codelco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, Porter’s cost </w:t>
      </w:r>
      <w:r w:rsidRPr="00785957">
        <w:rPr>
          <w:rFonts w:ascii="Arial" w:hAnsi="Arial" w:cs="Arial"/>
          <w:sz w:val="24"/>
          <w:szCs w:val="24"/>
        </w:rPr>
        <w:lastRenderedPageBreak/>
        <w:t xml:space="preserve">leadership strategy is unrealistic: cash costs are rising, ore grades are falling and debt is high (Section 1.4). The more credible route is Porter’s </w:t>
      </w:r>
      <w:r w:rsidRPr="00785957">
        <w:rPr>
          <w:rFonts w:ascii="Arial" w:hAnsi="Arial" w:cs="Arial"/>
          <w:b/>
          <w:bCs/>
          <w:color w:val="1F3A5F"/>
          <w:sz w:val="24"/>
          <w:szCs w:val="24"/>
        </w:rPr>
        <w:t>differentiation focus</w:t>
      </w:r>
      <w:r w:rsidRPr="00785957">
        <w:rPr>
          <w:rFonts w:ascii="Arial" w:hAnsi="Arial" w:cs="Arial"/>
          <w:sz w:val="24"/>
          <w:szCs w:val="24"/>
        </w:rPr>
        <w:t xml:space="preserve"> strategy: a premium, verified low-carbon product for disclosure-sensitive segments, while running the commodity business efficiently for price-driven Asian buyers (see Appendix A).</w:t>
      </w:r>
    </w:p>
    <w:p w:rsidR="00E955CC" w:rsidRDefault="00C32948" w:rsidP="00785957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85957">
        <w:rPr>
          <w:rFonts w:ascii="Arial" w:hAnsi="Arial" w:cs="Arial"/>
          <w:sz w:val="24"/>
          <w:szCs w:val="24"/>
        </w:rPr>
        <w:t xml:space="preserve">Porter’s differentiation focus strategy is sustainable only if it rests on resources that rivals cannot easily copy (Barney, 1991). </w:t>
      </w:r>
      <w:proofErr w:type="spellStart"/>
      <w:r w:rsidRPr="00785957">
        <w:rPr>
          <w:rFonts w:ascii="Arial" w:hAnsi="Arial" w:cs="Arial"/>
          <w:sz w:val="24"/>
          <w:szCs w:val="24"/>
        </w:rPr>
        <w:t>Codelco’s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distinctive resources are its scale within Chile’s 180 Mt of reserves (USGS, 2026), state backing that supports long-term offtake agreements, and access to a grid that is already 68% renewable. </w:t>
      </w:r>
    </w:p>
    <w:p w:rsidR="008C10EF" w:rsidRPr="00785957" w:rsidRDefault="00C32948" w:rsidP="00785957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85957">
        <w:rPr>
          <w:rFonts w:ascii="Arial" w:hAnsi="Arial" w:cs="Arial"/>
          <w:sz w:val="24"/>
          <w:szCs w:val="24"/>
        </w:rPr>
        <w:t xml:space="preserve">However, as the competitor analysis in Appendix A showed, BHP has moved first and already reports exceeding its FY2030 operational-emissions target (BHP, 2026). </w:t>
      </w:r>
      <w:proofErr w:type="spellStart"/>
      <w:r w:rsidRPr="00785957">
        <w:rPr>
          <w:rFonts w:ascii="Arial" w:hAnsi="Arial" w:cs="Arial"/>
          <w:sz w:val="24"/>
          <w:szCs w:val="24"/>
        </w:rPr>
        <w:t>Codelco’s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edge must therefore come from combining scale with transparency rather than from renewable electricity alone. Porter and van der Linde (1995) argue that well-designed regulation can trigger innovation that offsets compliance costs; </w:t>
      </w:r>
      <w:proofErr w:type="spellStart"/>
      <w:r w:rsidRPr="00785957">
        <w:rPr>
          <w:rFonts w:ascii="Arial" w:hAnsi="Arial" w:cs="Arial"/>
          <w:sz w:val="24"/>
          <w:szCs w:val="24"/>
        </w:rPr>
        <w:t>Codelco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can use EU rules as a lever to set the standard for product-level carbon disclosure in copper. The main risk is imitation: if most Chilean producers approach zero Scope 2 emissions by 2030, the premium may erode, so </w:t>
      </w:r>
      <w:proofErr w:type="spellStart"/>
      <w:r w:rsidRPr="00785957">
        <w:rPr>
          <w:rFonts w:ascii="Arial" w:hAnsi="Arial" w:cs="Arial"/>
          <w:sz w:val="24"/>
          <w:szCs w:val="24"/>
        </w:rPr>
        <w:t>Codelco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must keep advancing on Scope 1 abatement and traceability to stay ahead.</w:t>
      </w:r>
    </w:p>
    <w:p w:rsidR="008C10EF" w:rsidRPr="00785957" w:rsidRDefault="00C32948" w:rsidP="00785957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85957">
        <w:rPr>
          <w:rFonts w:ascii="Arial" w:hAnsi="Arial" w:cs="Arial"/>
          <w:sz w:val="24"/>
          <w:szCs w:val="24"/>
        </w:rPr>
        <w:t xml:space="preserve">Consistent with Kotler et al. (2024) and with Porter’s differentiation focus strategy, </w:t>
      </w:r>
      <w:proofErr w:type="spellStart"/>
      <w:r w:rsidRPr="00785957">
        <w:rPr>
          <w:rFonts w:ascii="Arial" w:hAnsi="Arial" w:cs="Arial"/>
          <w:sz w:val="24"/>
          <w:szCs w:val="24"/>
        </w:rPr>
        <w:t>Codelco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should position itself as the supplier of ‘responsibly produced copper for the energy transition’, using third-party assurance and evidence-based claims to avoid greenwashing (</w:t>
      </w:r>
      <w:proofErr w:type="spellStart"/>
      <w:r w:rsidRPr="00785957">
        <w:rPr>
          <w:rFonts w:ascii="Arial" w:hAnsi="Arial" w:cs="Arial"/>
          <w:sz w:val="24"/>
          <w:szCs w:val="24"/>
        </w:rPr>
        <w:t>Delmas</w:t>
      </w:r>
      <w:proofErr w:type="spellEnd"/>
      <w:r w:rsidRPr="00785957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85957">
        <w:rPr>
          <w:rFonts w:ascii="Arial" w:hAnsi="Arial" w:cs="Arial"/>
          <w:sz w:val="24"/>
          <w:szCs w:val="24"/>
        </w:rPr>
        <w:t>Burbano</w:t>
      </w:r>
      <w:proofErr w:type="spellEnd"/>
      <w:r w:rsidRPr="00785957">
        <w:rPr>
          <w:rFonts w:ascii="Arial" w:hAnsi="Arial" w:cs="Arial"/>
          <w:sz w:val="24"/>
          <w:szCs w:val="24"/>
        </w:rPr>
        <w:t>, 2011). Pricing should reflect the triple bottom line of economic, environmental and social value (Elkington, 1997), with the low-carbon premium reinvested in Scope 1 abatement.</w:t>
      </w:r>
    </w:p>
    <w:p w:rsidR="008C10EF" w:rsidRPr="00785957" w:rsidRDefault="00C32948" w:rsidP="00785957">
      <w:pPr>
        <w:pStyle w:val="Heading2"/>
        <w:keepNext/>
        <w:spacing w:line="360" w:lineRule="auto"/>
        <w:rPr>
          <w:rFonts w:ascii="Arial" w:hAnsi="Arial" w:cs="Arial"/>
          <w:sz w:val="24"/>
          <w:szCs w:val="24"/>
        </w:rPr>
      </w:pPr>
      <w:bookmarkStart w:id="25" w:name="_Toc242226368"/>
      <w:bookmarkStart w:id="26" w:name="_Toc242962120"/>
      <w:r w:rsidRPr="00785957">
        <w:rPr>
          <w:rFonts w:ascii="Arial" w:hAnsi="Arial" w:cs="Arial"/>
          <w:sz w:val="24"/>
          <w:szCs w:val="24"/>
        </w:rPr>
        <w:t>2.3 Implementation and measurement</w:t>
      </w:r>
      <w:bookmarkEnd w:id="25"/>
      <w:bookmarkEnd w:id="26"/>
    </w:p>
    <w:p w:rsidR="008C10EF" w:rsidRPr="00785957" w:rsidRDefault="00C32948" w:rsidP="00785957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785957">
        <w:rPr>
          <w:rFonts w:ascii="Arial" w:hAnsi="Arial" w:cs="Arial"/>
          <w:sz w:val="24"/>
          <w:szCs w:val="24"/>
        </w:rPr>
        <w:t>Figure 10 sets out a three-phase roadmap and Table 2 proposes key performance indicators, so that leadership can track whether the strategy delivers both commercial and environmental value. A cross-functional team should own the premium and report quarterly to the board.</w:t>
      </w:r>
    </w:p>
    <w:p w:rsidR="008C10EF" w:rsidRPr="00CD69BC" w:rsidRDefault="00C32948" w:rsidP="00CD69BC">
      <w:pPr>
        <w:keepNext/>
        <w:spacing w:after="60" w:line="360" w:lineRule="auto"/>
        <w:jc w:val="center"/>
        <w:rPr>
          <w:rFonts w:ascii="Arial" w:hAnsi="Arial" w:cs="Arial"/>
          <w:sz w:val="24"/>
          <w:szCs w:val="24"/>
        </w:rPr>
      </w:pPr>
      <w:r w:rsidRPr="00785957"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posOffset>-238125</wp:posOffset>
            </wp:positionH>
            <wp:positionV relativeFrom="paragraph">
              <wp:posOffset>0</wp:posOffset>
            </wp:positionV>
            <wp:extent cx="6209665" cy="2304893"/>
            <wp:effectExtent l="0" t="0" r="635" b="635"/>
            <wp:wrapTopAndBottom/>
            <wp:docPr id="11" name="f10" descr="Recommended implementation roadmap, 2026–2030" title="Recommended implementation roadmap, 2026–20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864" b="6173"/>
                    <a:stretch/>
                  </pic:blipFill>
                  <pic:spPr bwMode="auto">
                    <a:xfrm>
                      <a:off x="0" y="0"/>
                      <a:ext cx="6225138" cy="23106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01A6FF0">
        <w:rPr>
          <w:rFonts w:ascii="Arial" w:hAnsi="Arial" w:cs="Arial"/>
          <w:b/>
          <w:bCs/>
          <w:color w:val="1F3A5F"/>
          <w:sz w:val="20"/>
          <w:szCs w:val="20"/>
        </w:rPr>
        <w:t xml:space="preserve">Figure 10. </w:t>
      </w:r>
      <w:r w:rsidRPr="001A6FF0">
        <w:rPr>
          <w:rFonts w:ascii="Arial" w:hAnsi="Arial" w:cs="Arial"/>
          <w:b/>
          <w:bCs/>
          <w:color w:val="222222"/>
          <w:sz w:val="20"/>
          <w:szCs w:val="20"/>
        </w:rPr>
        <w:t>Recommend</w:t>
      </w:r>
      <w:r w:rsidR="008E769A" w:rsidRPr="001A6FF0">
        <w:rPr>
          <w:rFonts w:ascii="Arial" w:hAnsi="Arial" w:cs="Arial"/>
          <w:b/>
          <w:bCs/>
          <w:color w:val="222222"/>
          <w:sz w:val="20"/>
          <w:szCs w:val="20"/>
        </w:rPr>
        <w:t>ed implementation roadmap, 2026-</w:t>
      </w:r>
      <w:r w:rsidRPr="001A6FF0">
        <w:rPr>
          <w:rFonts w:ascii="Arial" w:hAnsi="Arial" w:cs="Arial"/>
          <w:b/>
          <w:bCs/>
          <w:color w:val="222222"/>
          <w:sz w:val="20"/>
          <w:szCs w:val="20"/>
        </w:rPr>
        <w:t>2030</w:t>
      </w:r>
    </w:p>
    <w:p w:rsidR="00850247" w:rsidRPr="001A6FF0" w:rsidRDefault="00C32948" w:rsidP="001A6FF0">
      <w:pPr>
        <w:spacing w:after="240" w:line="360" w:lineRule="auto"/>
        <w:jc w:val="center"/>
        <w:rPr>
          <w:rFonts w:ascii="Arial" w:hAnsi="Arial" w:cs="Arial"/>
          <w:sz w:val="20"/>
          <w:szCs w:val="20"/>
        </w:rPr>
      </w:pPr>
      <w:r w:rsidRPr="001A6FF0">
        <w:rPr>
          <w:rFonts w:ascii="Arial" w:hAnsi="Arial" w:cs="Arial"/>
          <w:i/>
          <w:iCs/>
          <w:color w:val="52514E"/>
          <w:sz w:val="20"/>
          <w:szCs w:val="20"/>
        </w:rPr>
        <w:t>Source</w:t>
      </w:r>
      <w:r w:rsidR="00850247" w:rsidRPr="001A6FF0">
        <w:rPr>
          <w:rFonts w:ascii="Arial" w:hAnsi="Arial" w:cs="Arial"/>
          <w:i/>
          <w:iCs/>
          <w:color w:val="52514E"/>
          <w:sz w:val="20"/>
          <w:szCs w:val="20"/>
        </w:rPr>
        <w:t xml:space="preserve">: </w:t>
      </w:r>
      <w:r w:rsidRPr="001A6FF0">
        <w:rPr>
          <w:rFonts w:ascii="Arial" w:hAnsi="Arial" w:cs="Arial"/>
          <w:i/>
          <w:iCs/>
          <w:color w:val="52514E"/>
          <w:sz w:val="20"/>
          <w:szCs w:val="20"/>
        </w:rPr>
        <w:t xml:space="preserve">milestones from </w:t>
      </w:r>
      <w:proofErr w:type="spellStart"/>
      <w:r w:rsidRPr="001A6FF0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Pr="001A6FF0">
        <w:rPr>
          <w:rFonts w:ascii="Arial" w:hAnsi="Arial" w:cs="Arial"/>
          <w:i/>
          <w:iCs/>
          <w:color w:val="52514E"/>
          <w:sz w:val="20"/>
          <w:szCs w:val="20"/>
        </w:rPr>
        <w:t xml:space="preserve"> (2025a) and European Union (2023b).</w:t>
      </w:r>
    </w:p>
    <w:p w:rsidR="008C10EF" w:rsidRPr="000C3D13" w:rsidRDefault="00CD69BC" w:rsidP="000C3D13">
      <w:pPr>
        <w:keepNext/>
        <w:spacing w:before="200" w:after="80" w:line="360" w:lineRule="auto"/>
        <w:jc w:val="center"/>
      </w:pPr>
      <w:r w:rsidRPr="000C3D13">
        <w:rPr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248920</wp:posOffset>
            </wp:positionV>
            <wp:extent cx="6666230" cy="4829175"/>
            <wp:effectExtent l="0" t="0" r="1270" b="9525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6230" cy="4829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3A77" w:rsidRPr="000C3D13">
        <w:rPr>
          <w:rFonts w:ascii="Arial" w:hAnsi="Arial" w:cs="Arial"/>
          <w:b/>
          <w:bCs/>
          <w:color w:val="1F3A5F"/>
        </w:rPr>
        <w:t xml:space="preserve">Table 2. </w:t>
      </w:r>
      <w:r w:rsidR="00FD3A77" w:rsidRPr="000C3D13">
        <w:rPr>
          <w:rFonts w:ascii="Arial" w:hAnsi="Arial" w:cs="Arial"/>
          <w:b/>
          <w:bCs/>
          <w:color w:val="222222"/>
        </w:rPr>
        <w:t>Proposed key performance indicators</w:t>
      </w:r>
    </w:p>
    <w:p w:rsidR="00905438" w:rsidRPr="001A6FF0" w:rsidRDefault="00850247" w:rsidP="001A6FF0">
      <w:pPr>
        <w:spacing w:before="60" w:after="240" w:line="360" w:lineRule="auto"/>
        <w:jc w:val="center"/>
        <w:rPr>
          <w:rFonts w:ascii="Arial" w:hAnsi="Arial" w:cs="Arial"/>
          <w:sz w:val="20"/>
          <w:szCs w:val="20"/>
        </w:rPr>
      </w:pPr>
      <w:r w:rsidRPr="001A6FF0">
        <w:rPr>
          <w:rFonts w:ascii="Arial" w:hAnsi="Arial" w:cs="Arial"/>
          <w:i/>
          <w:iCs/>
          <w:color w:val="52514E"/>
          <w:sz w:val="20"/>
          <w:szCs w:val="20"/>
        </w:rPr>
        <w:t xml:space="preserve">Source: milestones from </w:t>
      </w:r>
      <w:proofErr w:type="spellStart"/>
      <w:r w:rsidRPr="001A6FF0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Pr="001A6FF0">
        <w:rPr>
          <w:rFonts w:ascii="Arial" w:hAnsi="Arial" w:cs="Arial"/>
          <w:i/>
          <w:iCs/>
          <w:color w:val="52514E"/>
          <w:sz w:val="20"/>
          <w:szCs w:val="20"/>
        </w:rPr>
        <w:t xml:space="preserve"> (2025a)</w:t>
      </w:r>
    </w:p>
    <w:p w:rsidR="008C10EF" w:rsidRPr="00C32948" w:rsidRDefault="00C32948">
      <w:pPr>
        <w:pStyle w:val="Heading1"/>
        <w:pageBreakBefore/>
        <w:rPr>
          <w:rFonts w:ascii="Arial" w:hAnsi="Arial" w:cs="Arial"/>
        </w:rPr>
      </w:pPr>
      <w:bookmarkStart w:id="27" w:name="_Toc242226369"/>
      <w:bookmarkStart w:id="28" w:name="_Toc242962121"/>
      <w:r w:rsidRPr="00CD69BC">
        <w:rPr>
          <w:rFonts w:ascii="Arial" w:hAnsi="Arial" w:cs="Arial"/>
          <w:sz w:val="32"/>
          <w:szCs w:val="32"/>
        </w:rPr>
        <w:lastRenderedPageBreak/>
        <w:t>Task 3: Managerial and Professional Reflection</w:t>
      </w:r>
      <w:bookmarkEnd w:id="27"/>
      <w:bookmarkEnd w:id="28"/>
    </w:p>
    <w:p w:rsidR="008C10EF" w:rsidRPr="00CD69BC" w:rsidRDefault="00C32948" w:rsidP="00CD69BC">
      <w:pPr>
        <w:pStyle w:val="Heading2"/>
        <w:keepNext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9" w:name="_Toc242226370"/>
      <w:bookmarkStart w:id="30" w:name="_Toc242962122"/>
      <w:r w:rsidRPr="00CD69BC">
        <w:rPr>
          <w:rFonts w:ascii="Arial" w:hAnsi="Arial" w:cs="Arial"/>
          <w:sz w:val="24"/>
          <w:szCs w:val="24"/>
        </w:rPr>
        <w:t>3.1 Key decisions</w:t>
      </w:r>
      <w:bookmarkEnd w:id="29"/>
      <w:bookmarkEnd w:id="30"/>
    </w:p>
    <w:p w:rsidR="008C10EF" w:rsidRPr="00CD69BC" w:rsidRDefault="00C32948" w:rsidP="00CD69BC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CD69BC">
        <w:rPr>
          <w:rFonts w:ascii="Arial" w:hAnsi="Arial" w:cs="Arial"/>
          <w:b/>
          <w:bCs/>
          <w:color w:val="1F3A5F"/>
          <w:sz w:val="24"/>
          <w:szCs w:val="24"/>
        </w:rPr>
        <w:t>Choice of company.</w:t>
      </w:r>
      <w:r w:rsidRPr="00CD69BC">
        <w:rPr>
          <w:rFonts w:ascii="Arial" w:hAnsi="Arial" w:cs="Arial"/>
          <w:sz w:val="24"/>
          <w:szCs w:val="24"/>
        </w:rPr>
        <w:t xml:space="preserve"> I selected </w:t>
      </w:r>
      <w:proofErr w:type="spellStart"/>
      <w:r w:rsidRPr="00CD69BC">
        <w:rPr>
          <w:rFonts w:ascii="Arial" w:hAnsi="Arial" w:cs="Arial"/>
          <w:sz w:val="24"/>
          <w:szCs w:val="24"/>
        </w:rPr>
        <w:t>Codelco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 because it is the world’s largest copper producer and its product sits at the heart of electrification, making the low-carbon transition central to its commercial future rather than peripheral. State ownership also creates a tension between commercial and political objectives that BHP or Tata Steel face to a lesser degree, which made it a demanding test of environmental analysis.</w:t>
      </w:r>
    </w:p>
    <w:p w:rsidR="00E955CC" w:rsidRDefault="00FD3A77" w:rsidP="00CD69BC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CD69BC">
        <w:rPr>
          <w:rFonts w:ascii="Arial" w:hAnsi="Arial" w:cs="Arial"/>
          <w:b/>
          <w:bCs/>
          <w:color w:val="1F3A5F"/>
          <w:sz w:val="24"/>
          <w:szCs w:val="24"/>
        </w:rPr>
        <w:t xml:space="preserve">Choice of actors. </w:t>
      </w:r>
      <w:r w:rsidRPr="00CD69BC">
        <w:rPr>
          <w:rFonts w:ascii="Arial" w:hAnsi="Arial" w:cs="Arial"/>
          <w:sz w:val="24"/>
          <w:szCs w:val="24"/>
        </w:rPr>
        <w:t xml:space="preserve">The brief required a strong focus on the natural environment, which I analysed through carbon, water and resource availability because these are the channels through which Chile’s geography shapes </w:t>
      </w:r>
      <w:proofErr w:type="spellStart"/>
      <w:r w:rsidRPr="00CD69BC">
        <w:rPr>
          <w:rFonts w:ascii="Arial" w:hAnsi="Arial" w:cs="Arial"/>
          <w:sz w:val="24"/>
          <w:szCs w:val="24"/>
        </w:rPr>
        <w:t>Codelco’s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 costs. I balanced it with two further </w:t>
      </w:r>
      <w:r w:rsidR="00E955CC" w:rsidRPr="00CD69BC">
        <w:rPr>
          <w:rFonts w:ascii="Arial" w:hAnsi="Arial" w:cs="Arial"/>
          <w:sz w:val="24"/>
          <w:szCs w:val="24"/>
        </w:rPr>
        <w:t>macro environment</w:t>
      </w:r>
      <w:r w:rsidRPr="00CD69BC">
        <w:rPr>
          <w:rFonts w:ascii="Arial" w:hAnsi="Arial" w:cs="Arial"/>
          <w:sz w:val="24"/>
          <w:szCs w:val="24"/>
        </w:rPr>
        <w:t xml:space="preserve"> actors: the political-legal environment, which turns environmental pressure into market-access rules, and the economic environment, which determines whether decarbonisation is affordable for a debt-constrained state-owned producer. </w:t>
      </w:r>
    </w:p>
    <w:p w:rsidR="006B466C" w:rsidRPr="00CD69BC" w:rsidRDefault="00FD3A77" w:rsidP="00CD69BC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CD69BC">
        <w:rPr>
          <w:rFonts w:ascii="Arial" w:hAnsi="Arial" w:cs="Arial"/>
          <w:sz w:val="24"/>
          <w:szCs w:val="24"/>
        </w:rPr>
        <w:t>Customers and competitors belong to the microenvironment (Kotler et al., 2024), so I placed them in Appendix A, where they inform Task 2. I treated publics, particularly Indigenous communities, within the strategy to respect the word limit, yet they deserve fuller treatment: social licence can halt projects regardless of demand (</w:t>
      </w:r>
      <w:proofErr w:type="spellStart"/>
      <w:r w:rsidRPr="00CD69BC">
        <w:rPr>
          <w:rFonts w:ascii="Arial" w:hAnsi="Arial" w:cs="Arial"/>
          <w:sz w:val="24"/>
          <w:szCs w:val="24"/>
        </w:rPr>
        <w:t>Prno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CD69BC">
        <w:rPr>
          <w:rFonts w:ascii="Arial" w:hAnsi="Arial" w:cs="Arial"/>
          <w:sz w:val="24"/>
          <w:szCs w:val="24"/>
        </w:rPr>
        <w:t>Slocombe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, 2012), and stakeholder-salience thinking (Freeman, 1984; Mitchell, </w:t>
      </w:r>
      <w:proofErr w:type="spellStart"/>
      <w:r w:rsidRPr="00CD69BC">
        <w:rPr>
          <w:rFonts w:ascii="Arial" w:hAnsi="Arial" w:cs="Arial"/>
          <w:sz w:val="24"/>
          <w:szCs w:val="24"/>
        </w:rPr>
        <w:t>Agle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 and Wood, 1997) suggests communities hold growing power.</w:t>
      </w:r>
    </w:p>
    <w:p w:rsidR="008C10EF" w:rsidRPr="00CD69BC" w:rsidRDefault="00C32948" w:rsidP="00CD69BC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CD69BC">
        <w:rPr>
          <w:rFonts w:ascii="Arial" w:hAnsi="Arial" w:cs="Arial"/>
          <w:b/>
          <w:bCs/>
          <w:color w:val="1F3A5F"/>
          <w:sz w:val="24"/>
          <w:szCs w:val="24"/>
        </w:rPr>
        <w:t>Choice of strategy.</w:t>
      </w:r>
      <w:r w:rsidRPr="00CD69BC">
        <w:rPr>
          <w:rFonts w:ascii="Arial" w:hAnsi="Arial" w:cs="Arial"/>
          <w:sz w:val="24"/>
          <w:szCs w:val="24"/>
        </w:rPr>
        <w:t xml:space="preserve"> I recommended product and market development rather than aggressive diversification because they build on existing capabilities and customer relationships at lower risk (</w:t>
      </w:r>
      <w:proofErr w:type="spellStart"/>
      <w:r w:rsidRPr="00CD69BC">
        <w:rPr>
          <w:rFonts w:ascii="Arial" w:hAnsi="Arial" w:cs="Arial"/>
          <w:sz w:val="24"/>
          <w:szCs w:val="24"/>
        </w:rPr>
        <w:t>Ansoff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, 1957). I rejected Porter’s cost leadership strategy because the evidence on costs, ore grades and debt did not support it, and chose Porter’s differentiation focus strategy instead (Porter, 1985). Throughout, I prioritised evidence over assertion: I used </w:t>
      </w:r>
      <w:proofErr w:type="spellStart"/>
      <w:r w:rsidRPr="00CD69BC">
        <w:rPr>
          <w:rFonts w:ascii="Arial" w:hAnsi="Arial" w:cs="Arial"/>
          <w:sz w:val="24"/>
          <w:szCs w:val="24"/>
        </w:rPr>
        <w:t>Codelco’s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 disclosed figures but triangulated them with independent sources such as the IEA, USGS and S&amp;P Global, and highlighted where </w:t>
      </w:r>
      <w:proofErr w:type="spellStart"/>
      <w:r w:rsidRPr="00CD69BC">
        <w:rPr>
          <w:rFonts w:ascii="Arial" w:hAnsi="Arial" w:cs="Arial"/>
          <w:sz w:val="24"/>
          <w:szCs w:val="24"/>
        </w:rPr>
        <w:t>Codelco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 lags industry benchmarks rather than presenting only favourable data.</w:t>
      </w:r>
    </w:p>
    <w:p w:rsidR="008C10EF" w:rsidRPr="00CD69BC" w:rsidRDefault="00C32948" w:rsidP="00CD69BC">
      <w:pPr>
        <w:pStyle w:val="Heading2"/>
        <w:keepNext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31" w:name="_Toc242226371"/>
      <w:bookmarkStart w:id="32" w:name="_Toc242962123"/>
      <w:r w:rsidRPr="00CD69BC">
        <w:rPr>
          <w:rFonts w:ascii="Arial" w:hAnsi="Arial" w:cs="Arial"/>
          <w:sz w:val="24"/>
          <w:szCs w:val="24"/>
        </w:rPr>
        <w:lastRenderedPageBreak/>
        <w:t>3.2 Limitations and further information required</w:t>
      </w:r>
      <w:bookmarkEnd w:id="31"/>
      <w:bookmarkEnd w:id="32"/>
    </w:p>
    <w:p w:rsidR="00E955CC" w:rsidRDefault="00C32948" w:rsidP="00CD69BC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CD69BC">
        <w:rPr>
          <w:rFonts w:ascii="Arial" w:hAnsi="Arial" w:cs="Arial"/>
          <w:sz w:val="24"/>
          <w:szCs w:val="24"/>
        </w:rPr>
        <w:t xml:space="preserve">First, the analysis relies on secondary data, much of it published by </w:t>
      </w:r>
      <w:proofErr w:type="spellStart"/>
      <w:r w:rsidRPr="00CD69BC">
        <w:rPr>
          <w:rFonts w:ascii="Arial" w:hAnsi="Arial" w:cs="Arial"/>
          <w:sz w:val="24"/>
          <w:szCs w:val="24"/>
        </w:rPr>
        <w:t>Codelco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 itself, which may present an optimistic picture; independent assurance would be needed before relying on it. Second, evidence on green premiums is thin: the record European premium largely reflects supply tightness rather than carbon attributes, so willingness to pay for low-carbon copper remains unproven. Third, there is a time lag: emissions data runs only to 2024, while </w:t>
      </w:r>
      <w:r w:rsidR="00905438" w:rsidRPr="00CD69BC">
        <w:rPr>
          <w:rFonts w:ascii="Arial" w:hAnsi="Arial" w:cs="Arial"/>
          <w:sz w:val="24"/>
          <w:szCs w:val="24"/>
        </w:rPr>
        <w:t>operations deteriorated in 2025-</w:t>
      </w:r>
      <w:r w:rsidRPr="00CD69BC">
        <w:rPr>
          <w:rFonts w:ascii="Arial" w:hAnsi="Arial" w:cs="Arial"/>
          <w:sz w:val="24"/>
          <w:szCs w:val="24"/>
        </w:rPr>
        <w:t xml:space="preserve">26. </w:t>
      </w:r>
    </w:p>
    <w:p w:rsidR="008C10EF" w:rsidRPr="00CD69BC" w:rsidRDefault="00C32948" w:rsidP="00CD69BC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CD69BC">
        <w:rPr>
          <w:rFonts w:ascii="Arial" w:hAnsi="Arial" w:cs="Arial"/>
          <w:sz w:val="24"/>
          <w:szCs w:val="24"/>
        </w:rPr>
        <w:t xml:space="preserve">Fourth, the </w:t>
      </w:r>
      <w:proofErr w:type="spellStart"/>
      <w:r w:rsidRPr="00CD69BC">
        <w:rPr>
          <w:rFonts w:ascii="Arial" w:hAnsi="Arial" w:cs="Arial"/>
          <w:sz w:val="24"/>
          <w:szCs w:val="24"/>
        </w:rPr>
        <w:t>Ansoff</w:t>
      </w:r>
      <w:proofErr w:type="spellEnd"/>
      <w:r w:rsidRPr="00CD69BC">
        <w:rPr>
          <w:rFonts w:ascii="Arial" w:hAnsi="Arial" w:cs="Arial"/>
          <w:sz w:val="24"/>
          <w:szCs w:val="24"/>
        </w:rPr>
        <w:t xml:space="preserve"> Matrix, Porter’s generic strategies and Kotler’s actor model are static and simplify interdependencies, such as the water–energy trade-off in desalination; scenario planning would better capture uncertainty in copper prices and regulation. Fifth, I could not cost the strategy: the capital required for fleet electrification and traceability systems, and the revenue from premiums, would require financial modelling that public sources cannot support.</w:t>
      </w:r>
    </w:p>
    <w:p w:rsidR="006B466C" w:rsidRDefault="002D7E02" w:rsidP="002466B0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2466B0">
        <w:rPr>
          <w:rFonts w:ascii="Arial" w:hAnsi="Arial" w:cs="Arial"/>
          <w:i/>
          <w:iCs/>
          <w:noProof/>
          <w:color w:val="595959" w:themeColor="text1" w:themeTint="A6"/>
          <w:sz w:val="20"/>
          <w:szCs w:val="20"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margin">
              <wp:posOffset>801794</wp:posOffset>
            </wp:positionH>
            <wp:positionV relativeFrom="paragraph">
              <wp:posOffset>1645285</wp:posOffset>
            </wp:positionV>
            <wp:extent cx="4131310" cy="2753995"/>
            <wp:effectExtent l="0" t="0" r="2540" b="8255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Information Gap Visualisation Flowchart.pn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1310" cy="2753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32948" w:rsidRPr="00CD69BC">
        <w:rPr>
          <w:rFonts w:ascii="Arial" w:hAnsi="Arial" w:cs="Arial"/>
          <w:sz w:val="24"/>
          <w:szCs w:val="24"/>
        </w:rPr>
        <w:t xml:space="preserve">Before finalising, a consultant would seek the information in Table 3, notably primary customer research, division-level abatement costs and </w:t>
      </w:r>
      <w:proofErr w:type="spellStart"/>
      <w:r w:rsidR="00C32948" w:rsidRPr="00CD69BC">
        <w:rPr>
          <w:rFonts w:ascii="Arial" w:hAnsi="Arial" w:cs="Arial"/>
          <w:sz w:val="24"/>
          <w:szCs w:val="24"/>
        </w:rPr>
        <w:t>Codelco’s</w:t>
      </w:r>
      <w:proofErr w:type="spellEnd"/>
      <w:r w:rsidR="00C32948" w:rsidRPr="00CD69BC">
        <w:rPr>
          <w:rFonts w:ascii="Arial" w:hAnsi="Arial" w:cs="Arial"/>
          <w:sz w:val="24"/>
          <w:szCs w:val="24"/>
        </w:rPr>
        <w:t xml:space="preserve"> internal financial model. These would turn directional recommendations into a costed business case that senior leadership could approve with confidence. When presenting to leadership, I would therefore frame the recommendations as a staged hypothesis </w:t>
      </w:r>
      <w:r w:rsidR="00905438" w:rsidRPr="00CD69BC">
        <w:rPr>
          <w:rFonts w:ascii="Arial" w:hAnsi="Arial" w:cs="Arial"/>
          <w:sz w:val="24"/>
          <w:szCs w:val="24"/>
        </w:rPr>
        <w:t>to be validated during the 2026-</w:t>
      </w:r>
      <w:r w:rsidR="00C32948" w:rsidRPr="00CD69BC">
        <w:rPr>
          <w:rFonts w:ascii="Arial" w:hAnsi="Arial" w:cs="Arial"/>
          <w:sz w:val="24"/>
          <w:szCs w:val="24"/>
        </w:rPr>
        <w:t>27 ‘prove’ phase, rather than as a final commitment.</w:t>
      </w:r>
    </w:p>
    <w:p w:rsidR="0087518C" w:rsidRPr="0087518C" w:rsidRDefault="002466B0" w:rsidP="0087518C">
      <w:pPr>
        <w:spacing w:after="160" w:line="276" w:lineRule="auto"/>
        <w:jc w:val="center"/>
        <w:rPr>
          <w:rFonts w:ascii="Arial" w:hAnsi="Arial" w:cs="Arial"/>
          <w:color w:val="595959" w:themeColor="text1" w:themeTint="A6"/>
          <w:sz w:val="20"/>
          <w:szCs w:val="20"/>
        </w:rPr>
      </w:pPr>
      <w:r w:rsidRPr="0087518C">
        <w:rPr>
          <w:rFonts w:ascii="Arial" w:hAnsi="Arial" w:cs="Arial"/>
          <w:b/>
          <w:bCs/>
          <w:color w:val="1F3A5F"/>
          <w:sz w:val="20"/>
          <w:szCs w:val="20"/>
        </w:rPr>
        <w:t>Figure 11</w:t>
      </w:r>
      <w:r w:rsidR="0087518C" w:rsidRPr="0087518C">
        <w:rPr>
          <w:rFonts w:ascii="Arial" w:hAnsi="Arial" w:cs="Arial"/>
          <w:b/>
          <w:bCs/>
          <w:color w:val="1F3A5F"/>
          <w:sz w:val="20"/>
          <w:szCs w:val="20"/>
        </w:rPr>
        <w:t xml:space="preserve">. </w:t>
      </w:r>
      <w:r w:rsidR="0087518C" w:rsidRPr="0087518C">
        <w:rPr>
          <w:rFonts w:ascii="Arial" w:hAnsi="Arial" w:cs="Arial"/>
          <w:b/>
          <w:bCs/>
          <w:color w:val="595959" w:themeColor="text1" w:themeTint="A6"/>
          <w:sz w:val="20"/>
          <w:szCs w:val="20"/>
        </w:rPr>
        <w:t>Information gaps and How to close them</w:t>
      </w:r>
    </w:p>
    <w:p w:rsidR="008C10EF" w:rsidRPr="000C3D13" w:rsidRDefault="0087518C" w:rsidP="0087518C">
      <w:pPr>
        <w:spacing w:after="160" w:line="276" w:lineRule="auto"/>
        <w:jc w:val="center"/>
        <w:rPr>
          <w:rFonts w:ascii="Arial" w:hAnsi="Arial" w:cs="Arial"/>
          <w:i/>
          <w:iCs/>
          <w:sz w:val="20"/>
          <w:szCs w:val="20"/>
        </w:rPr>
      </w:pPr>
      <w:r w:rsidRPr="000C3D13">
        <w:rPr>
          <w:rFonts w:ascii="Arial" w:hAnsi="Arial" w:cs="Arial"/>
          <w:i/>
          <w:iCs/>
          <w:sz w:val="20"/>
          <w:szCs w:val="20"/>
        </w:rPr>
        <w:t>(</w:t>
      </w:r>
      <w:r w:rsidR="002466B0" w:rsidRPr="000C3D13">
        <w:rPr>
          <w:rFonts w:ascii="Arial" w:hAnsi="Arial" w:cs="Arial"/>
          <w:i/>
          <w:iCs/>
          <w:color w:val="595959" w:themeColor="text1" w:themeTint="A6"/>
          <w:sz w:val="20"/>
          <w:szCs w:val="20"/>
        </w:rPr>
        <w:t>Source: Self-made, based on the analysis in Task 1, Task 2 and the limitations discussed in section</w:t>
      </w:r>
      <w:r w:rsidRPr="000C3D13">
        <w:rPr>
          <w:rFonts w:ascii="Arial" w:hAnsi="Arial" w:cs="Arial"/>
          <w:i/>
          <w:iCs/>
          <w:color w:val="595959" w:themeColor="text1" w:themeTint="A6"/>
          <w:sz w:val="20"/>
          <w:szCs w:val="20"/>
        </w:rPr>
        <w:t xml:space="preserve"> </w:t>
      </w:r>
      <w:r w:rsidR="002466B0" w:rsidRPr="000C3D13">
        <w:rPr>
          <w:rFonts w:ascii="Arial" w:hAnsi="Arial" w:cs="Arial"/>
          <w:i/>
          <w:iCs/>
          <w:color w:val="595959" w:themeColor="text1" w:themeTint="A6"/>
          <w:sz w:val="20"/>
          <w:szCs w:val="20"/>
        </w:rPr>
        <w:t>3.2.</w:t>
      </w:r>
      <w:r w:rsidRPr="000C3D13">
        <w:rPr>
          <w:rFonts w:ascii="Arial" w:hAnsi="Arial" w:cs="Arial"/>
          <w:i/>
          <w:iCs/>
          <w:color w:val="595959" w:themeColor="text1" w:themeTint="A6"/>
          <w:sz w:val="20"/>
          <w:szCs w:val="20"/>
        </w:rPr>
        <w:t>)</w:t>
      </w:r>
    </w:p>
    <w:p w:rsidR="008C10EF" w:rsidRPr="00CE0AFC" w:rsidRDefault="00C32948">
      <w:pPr>
        <w:pStyle w:val="Heading1"/>
        <w:pageBreakBefore/>
        <w:rPr>
          <w:rFonts w:ascii="Arial" w:hAnsi="Arial" w:cs="Arial"/>
          <w:sz w:val="32"/>
          <w:szCs w:val="32"/>
        </w:rPr>
      </w:pPr>
      <w:bookmarkStart w:id="33" w:name="_Toc242226372"/>
      <w:bookmarkStart w:id="34" w:name="_Toc242962124"/>
      <w:r w:rsidRPr="00CE0AFC">
        <w:rPr>
          <w:rFonts w:ascii="Arial" w:hAnsi="Arial" w:cs="Arial"/>
          <w:sz w:val="32"/>
          <w:szCs w:val="32"/>
        </w:rPr>
        <w:lastRenderedPageBreak/>
        <w:t>References</w:t>
      </w:r>
      <w:bookmarkEnd w:id="33"/>
      <w:bookmarkEnd w:id="34"/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AL Circle (2026) ‘Ferrari, BMW, Tesla and Chinese EV makers increase aluminium wiring adoption amid rising copper costs’, </w:t>
      </w:r>
      <w:r w:rsidRPr="008E769A">
        <w:rPr>
          <w:rFonts w:ascii="Arial" w:hAnsi="Arial" w:cs="Arial"/>
          <w:i/>
          <w:iCs/>
          <w:sz w:val="24"/>
          <w:szCs w:val="24"/>
        </w:rPr>
        <w:t>AL Circle</w:t>
      </w:r>
      <w:r w:rsidRPr="008E769A">
        <w:rPr>
          <w:rFonts w:ascii="Arial" w:hAnsi="Arial" w:cs="Arial"/>
          <w:sz w:val="24"/>
          <w:szCs w:val="24"/>
        </w:rPr>
        <w:t>, 2 July. Available at: https://www.alcircle.com/news/ferrari-bmw-tesla-and-chinese-ev-makers-increase-aluminium-wiring-adoption-amid-rising-copper-costs-120146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Anglo American (2026) </w:t>
      </w:r>
      <w:r w:rsidRPr="008E769A">
        <w:rPr>
          <w:rFonts w:ascii="Arial" w:hAnsi="Arial" w:cs="Arial"/>
          <w:i/>
          <w:iCs/>
          <w:sz w:val="24"/>
          <w:szCs w:val="24"/>
        </w:rPr>
        <w:t xml:space="preserve">Anglo American and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 xml:space="preserve"> complete Los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Bronces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>–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Andina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 xml:space="preserve"> agreement, to deliver 2.7 million tonnes of copper</w:t>
      </w:r>
      <w:r w:rsidRPr="008E769A">
        <w:rPr>
          <w:rFonts w:ascii="Arial" w:hAnsi="Arial" w:cs="Arial"/>
          <w:sz w:val="24"/>
          <w:szCs w:val="24"/>
        </w:rPr>
        <w:t>. Press release, 24 June. Available at: https://www.angloamerican.com/media/press-releases/2026/24-06-2026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Ansoff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H.I. (1957) ‘Strategies for diversification’, </w:t>
      </w:r>
      <w:r w:rsidRPr="008E769A">
        <w:rPr>
          <w:rFonts w:ascii="Arial" w:hAnsi="Arial" w:cs="Arial"/>
          <w:i/>
          <w:iCs/>
          <w:sz w:val="24"/>
          <w:szCs w:val="24"/>
        </w:rPr>
        <w:t>Harvard Business Review</w:t>
      </w:r>
      <w:r w:rsidRPr="008E769A">
        <w:rPr>
          <w:rFonts w:ascii="Arial" w:hAnsi="Arial" w:cs="Arial"/>
          <w:sz w:val="24"/>
          <w:szCs w:val="24"/>
        </w:rPr>
        <w:t>, 35(5), pp. 113–124.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Barney, J. (1991) ‘Firm resources and sustained competitive advantage’, </w:t>
      </w:r>
      <w:r w:rsidRPr="008E769A">
        <w:rPr>
          <w:rFonts w:ascii="Arial" w:hAnsi="Arial" w:cs="Arial"/>
          <w:i/>
          <w:iCs/>
          <w:sz w:val="24"/>
          <w:szCs w:val="24"/>
        </w:rPr>
        <w:t>Journal of Management</w:t>
      </w:r>
      <w:r w:rsidRPr="008E769A">
        <w:rPr>
          <w:rFonts w:ascii="Arial" w:hAnsi="Arial" w:cs="Arial"/>
          <w:sz w:val="24"/>
          <w:szCs w:val="24"/>
        </w:rPr>
        <w:t xml:space="preserve">, 17(1), pp. 99–120. </w:t>
      </w:r>
      <w:proofErr w:type="gramStart"/>
      <w:r w:rsidRPr="008E769A">
        <w:rPr>
          <w:rFonts w:ascii="Arial" w:hAnsi="Arial" w:cs="Arial"/>
          <w:sz w:val="24"/>
          <w:szCs w:val="24"/>
        </w:rPr>
        <w:t>doi:</w:t>
      </w:r>
      <w:proofErr w:type="gramEnd"/>
      <w:r w:rsidRPr="008E769A">
        <w:rPr>
          <w:rFonts w:ascii="Arial" w:hAnsi="Arial" w:cs="Arial"/>
          <w:sz w:val="24"/>
          <w:szCs w:val="24"/>
        </w:rPr>
        <w:t>10.1177/014920639101700108.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BHP (2026) </w:t>
      </w:r>
      <w:r w:rsidRPr="008E769A">
        <w:rPr>
          <w:rFonts w:ascii="Arial" w:hAnsi="Arial" w:cs="Arial"/>
          <w:i/>
          <w:iCs/>
          <w:sz w:val="24"/>
          <w:szCs w:val="24"/>
        </w:rPr>
        <w:t>Annual Report 2026</w:t>
      </w:r>
      <w:r w:rsidRPr="008E769A">
        <w:rPr>
          <w:rFonts w:ascii="Arial" w:hAnsi="Arial" w:cs="Arial"/>
          <w:sz w:val="24"/>
          <w:szCs w:val="24"/>
        </w:rPr>
        <w:t>. Melbourne: BHP Group Limited, 18 August. Available at: https://www.sec.gov/Archives/edgar/data/0000811809/000119312526355840/d54971d6k.htm (Accessed: 6 October 2026).</w:t>
      </w:r>
    </w:p>
    <w:p w:rsidR="008C10EF" w:rsidRPr="008E769A" w:rsidRDefault="00C32948" w:rsidP="00E055F9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(2025a) </w:t>
      </w:r>
      <w:r w:rsidRPr="008E769A">
        <w:rPr>
          <w:rFonts w:ascii="Arial" w:hAnsi="Arial" w:cs="Arial"/>
          <w:i/>
          <w:iCs/>
          <w:sz w:val="24"/>
          <w:szCs w:val="24"/>
        </w:rPr>
        <w:t>Climate Change Report 2025</w:t>
      </w:r>
      <w:r w:rsidRPr="008E769A">
        <w:rPr>
          <w:rFonts w:ascii="Arial" w:hAnsi="Arial" w:cs="Arial"/>
          <w:sz w:val="24"/>
          <w:szCs w:val="24"/>
        </w:rPr>
        <w:t xml:space="preserve">. Santiago: </w:t>
      </w:r>
      <w:proofErr w:type="spellStart"/>
      <w:r w:rsidRPr="008E769A">
        <w:rPr>
          <w:rFonts w:ascii="Arial" w:hAnsi="Arial" w:cs="Arial"/>
          <w:sz w:val="24"/>
          <w:szCs w:val="24"/>
        </w:rPr>
        <w:t>Corporación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Nacional </w:t>
      </w:r>
      <w:proofErr w:type="gramStart"/>
      <w:r w:rsidRPr="008E769A">
        <w:rPr>
          <w:rFonts w:ascii="Arial" w:hAnsi="Arial" w:cs="Arial"/>
          <w:sz w:val="24"/>
          <w:szCs w:val="24"/>
        </w:rPr>
        <w:t>del</w:t>
      </w:r>
      <w:proofErr w:type="gramEnd"/>
      <w:r w:rsidRPr="008E76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769A">
        <w:rPr>
          <w:rFonts w:ascii="Arial" w:hAnsi="Arial" w:cs="Arial"/>
          <w:sz w:val="24"/>
          <w:szCs w:val="24"/>
        </w:rPr>
        <w:t>Cobre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de Chile. Available at: https://www.codelco.com/prontus_codelco/site/docs/20251002/20251002120038/climate_change_report.pdf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(2025b)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 xml:space="preserve"> launches its 2024 Sustainability Report</w:t>
      </w:r>
      <w:r w:rsidRPr="008E769A">
        <w:rPr>
          <w:rFonts w:ascii="Arial" w:hAnsi="Arial" w:cs="Arial"/>
          <w:sz w:val="24"/>
          <w:szCs w:val="24"/>
        </w:rPr>
        <w:t>. Press release, 12 June. Available at: https://www.codelco.com/en/codelco-lanza-su-reporte-de-sustentabilidad-2024-y-refuerza-su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(2025c) </w:t>
      </w:r>
      <w:r w:rsidRPr="008E769A">
        <w:rPr>
          <w:rFonts w:ascii="Arial" w:hAnsi="Arial" w:cs="Arial"/>
          <w:i/>
          <w:iCs/>
          <w:sz w:val="24"/>
          <w:szCs w:val="24"/>
        </w:rPr>
        <w:t xml:space="preserve">Chile takes historic step: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NovaAndino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Litio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 xml:space="preserve">, the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>–SQM joint venture, materialises</w:t>
      </w:r>
      <w:r w:rsidRPr="008E769A">
        <w:rPr>
          <w:rFonts w:ascii="Arial" w:hAnsi="Arial" w:cs="Arial"/>
          <w:sz w:val="24"/>
          <w:szCs w:val="24"/>
        </w:rPr>
        <w:t>. Press release, 29 December. Available at: https://www.codelco.com/en/prensa/2025/chile-da-un-paso-historico-se-materializa-novaandino-litio-la-sociedad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(2026a)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 xml:space="preserve"> at a Glance: December 31, 2025</w:t>
      </w:r>
      <w:r w:rsidRPr="008E769A">
        <w:rPr>
          <w:rFonts w:ascii="Arial" w:hAnsi="Arial" w:cs="Arial"/>
          <w:sz w:val="24"/>
          <w:szCs w:val="24"/>
        </w:rPr>
        <w:t xml:space="preserve">. Santiago: </w:t>
      </w:r>
      <w:proofErr w:type="spellStart"/>
      <w:r w:rsidRPr="008E769A">
        <w:rPr>
          <w:rFonts w:ascii="Arial" w:hAnsi="Arial" w:cs="Arial"/>
          <w:sz w:val="24"/>
          <w:szCs w:val="24"/>
        </w:rPr>
        <w:t>Corporación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Nacional </w:t>
      </w:r>
      <w:proofErr w:type="gramStart"/>
      <w:r w:rsidRPr="008E769A">
        <w:rPr>
          <w:rFonts w:ascii="Arial" w:hAnsi="Arial" w:cs="Arial"/>
          <w:sz w:val="24"/>
          <w:szCs w:val="24"/>
        </w:rPr>
        <w:t>del</w:t>
      </w:r>
      <w:proofErr w:type="gramEnd"/>
      <w:r w:rsidRPr="008E76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769A">
        <w:rPr>
          <w:rFonts w:ascii="Arial" w:hAnsi="Arial" w:cs="Arial"/>
          <w:sz w:val="24"/>
          <w:szCs w:val="24"/>
        </w:rPr>
        <w:t>Cobre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de Chile. Available at: https://codelco.com/sites/site/docs/20260330/20260330113940/codelco_at_a_glance_december_31_2025_.pdf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Delmas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M.A. and </w:t>
      </w:r>
      <w:proofErr w:type="spellStart"/>
      <w:r w:rsidRPr="008E769A">
        <w:rPr>
          <w:rFonts w:ascii="Arial" w:hAnsi="Arial" w:cs="Arial"/>
          <w:sz w:val="24"/>
          <w:szCs w:val="24"/>
        </w:rPr>
        <w:t>Burbano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V.C. (2011) ‘The drivers of greenwashing’, </w:t>
      </w:r>
      <w:r w:rsidRPr="008E769A">
        <w:rPr>
          <w:rFonts w:ascii="Arial" w:hAnsi="Arial" w:cs="Arial"/>
          <w:i/>
          <w:iCs/>
          <w:sz w:val="24"/>
          <w:szCs w:val="24"/>
        </w:rPr>
        <w:t>California Management Review</w:t>
      </w:r>
      <w:r w:rsidRPr="008E769A">
        <w:rPr>
          <w:rFonts w:ascii="Arial" w:hAnsi="Arial" w:cs="Arial"/>
          <w:sz w:val="24"/>
          <w:szCs w:val="24"/>
        </w:rPr>
        <w:t>, 54(1), pp. 64–87. doi:10.1525/cmr.2011.54.1.64.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Elkington, J. (1997) </w:t>
      </w:r>
      <w:r w:rsidRPr="008E769A">
        <w:rPr>
          <w:rFonts w:ascii="Arial" w:hAnsi="Arial" w:cs="Arial"/>
          <w:i/>
          <w:iCs/>
          <w:sz w:val="24"/>
          <w:szCs w:val="24"/>
        </w:rPr>
        <w:t>Cannibals with Forks: The Triple Bottom Line of 21st Century Business</w:t>
      </w:r>
      <w:r w:rsidRPr="008E769A">
        <w:rPr>
          <w:rFonts w:ascii="Arial" w:hAnsi="Arial" w:cs="Arial"/>
          <w:sz w:val="24"/>
          <w:szCs w:val="24"/>
        </w:rPr>
        <w:t>. Oxford: Capstone.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lastRenderedPageBreak/>
        <w:t xml:space="preserve">Engineering News (2019) ‘BHP aims for 100% renewables in Chile’, </w:t>
      </w:r>
      <w:r w:rsidRPr="008E769A">
        <w:rPr>
          <w:rFonts w:ascii="Arial" w:hAnsi="Arial" w:cs="Arial"/>
          <w:i/>
          <w:iCs/>
          <w:sz w:val="24"/>
          <w:szCs w:val="24"/>
        </w:rPr>
        <w:t>Engineering News</w:t>
      </w:r>
      <w:r w:rsidRPr="008E769A">
        <w:rPr>
          <w:rFonts w:ascii="Arial" w:hAnsi="Arial" w:cs="Arial"/>
          <w:sz w:val="24"/>
          <w:szCs w:val="24"/>
        </w:rPr>
        <w:t>, 21 October. Available at: https://www.engineeringnews.co.za/article/bhp-aims-for-100-renewables-in-chile-2019-10-21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>Engineering News (2026) ‘</w:t>
      </w: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logs $4.85bn pre-tax profit in “very difficult” 2025’, </w:t>
      </w:r>
      <w:r w:rsidRPr="008E769A">
        <w:rPr>
          <w:rFonts w:ascii="Arial" w:hAnsi="Arial" w:cs="Arial"/>
          <w:i/>
          <w:iCs/>
          <w:sz w:val="24"/>
          <w:szCs w:val="24"/>
        </w:rPr>
        <w:t>Engineering News</w:t>
      </w:r>
      <w:r w:rsidRPr="008E769A">
        <w:rPr>
          <w:rFonts w:ascii="Arial" w:hAnsi="Arial" w:cs="Arial"/>
          <w:sz w:val="24"/>
          <w:szCs w:val="24"/>
        </w:rPr>
        <w:t>, 27 March. Available at: https://www.engineeringnews.co.za/article/codelco-logs-485bn-pre-tax-profit-in-very-difficult-2025-2026-03-27 (Accessed: 15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European Union (2023a) ‘Regulation (EU) 2023/956 of the European Parliament and of the Council of 10 May 2023 establishing a carbon border adjustment mechanism’, </w:t>
      </w:r>
      <w:r w:rsidRPr="008E769A">
        <w:rPr>
          <w:rFonts w:ascii="Arial" w:hAnsi="Arial" w:cs="Arial"/>
          <w:i/>
          <w:iCs/>
          <w:sz w:val="24"/>
          <w:szCs w:val="24"/>
        </w:rPr>
        <w:t>Official Journal of the European Union</w:t>
      </w:r>
      <w:r w:rsidRPr="008E769A">
        <w:rPr>
          <w:rFonts w:ascii="Arial" w:hAnsi="Arial" w:cs="Arial"/>
          <w:sz w:val="24"/>
          <w:szCs w:val="24"/>
        </w:rPr>
        <w:t>, L 130, 16 May, pp. 52–104.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European Union (2023b) ‘Regulation (EU) 2023/1542 of the European Parliament and of the Council of 12 July 2023 concerning batteries and waste batteries’, </w:t>
      </w:r>
      <w:r w:rsidRPr="008E769A">
        <w:rPr>
          <w:rFonts w:ascii="Arial" w:hAnsi="Arial" w:cs="Arial"/>
          <w:i/>
          <w:iCs/>
          <w:sz w:val="24"/>
          <w:szCs w:val="24"/>
        </w:rPr>
        <w:t>Official Journal of the European Union</w:t>
      </w:r>
      <w:r w:rsidRPr="008E769A">
        <w:rPr>
          <w:rFonts w:ascii="Arial" w:hAnsi="Arial" w:cs="Arial"/>
          <w:sz w:val="24"/>
          <w:szCs w:val="24"/>
        </w:rPr>
        <w:t>, L 191, 28 July, pp. 1–117.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European Union (2024) ‘Regulation (EU) 2024/1252 of the European Parliament and of the Council of 11 April 2024 establishing a framework for ensuring a secure and sustainable supply of critical raw materials’, </w:t>
      </w:r>
      <w:r w:rsidRPr="008E769A">
        <w:rPr>
          <w:rFonts w:ascii="Arial" w:hAnsi="Arial" w:cs="Arial"/>
          <w:i/>
          <w:iCs/>
          <w:sz w:val="24"/>
          <w:szCs w:val="24"/>
        </w:rPr>
        <w:t>Official Journal of the European Union</w:t>
      </w:r>
      <w:r w:rsidRPr="008E769A">
        <w:rPr>
          <w:rFonts w:ascii="Arial" w:hAnsi="Arial" w:cs="Arial"/>
          <w:sz w:val="24"/>
          <w:szCs w:val="24"/>
        </w:rPr>
        <w:t>, L series, 3 May.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Freeman, R.E. (1984) </w:t>
      </w:r>
      <w:r w:rsidRPr="008E769A">
        <w:rPr>
          <w:rFonts w:ascii="Arial" w:hAnsi="Arial" w:cs="Arial"/>
          <w:i/>
          <w:iCs/>
          <w:sz w:val="24"/>
          <w:szCs w:val="24"/>
        </w:rPr>
        <w:t>Strategic Management: A Stakeholder Approach</w:t>
      </w:r>
      <w:r w:rsidRPr="008E769A">
        <w:rPr>
          <w:rFonts w:ascii="Arial" w:hAnsi="Arial" w:cs="Arial"/>
          <w:sz w:val="24"/>
          <w:szCs w:val="24"/>
        </w:rPr>
        <w:t>. Boston, MA: Pitman.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Garreaud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R.D., </w:t>
      </w:r>
      <w:proofErr w:type="spellStart"/>
      <w:r w:rsidRPr="008E769A">
        <w:rPr>
          <w:rFonts w:ascii="Arial" w:hAnsi="Arial" w:cs="Arial"/>
          <w:sz w:val="24"/>
          <w:szCs w:val="24"/>
        </w:rPr>
        <w:t>Boisier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J.P., </w:t>
      </w:r>
      <w:proofErr w:type="spellStart"/>
      <w:r w:rsidRPr="008E769A">
        <w:rPr>
          <w:rFonts w:ascii="Arial" w:hAnsi="Arial" w:cs="Arial"/>
          <w:sz w:val="24"/>
          <w:szCs w:val="24"/>
        </w:rPr>
        <w:t>Rondanelli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8E769A">
        <w:rPr>
          <w:rFonts w:ascii="Arial" w:hAnsi="Arial" w:cs="Arial"/>
          <w:sz w:val="24"/>
          <w:szCs w:val="24"/>
        </w:rPr>
        <w:t>Montecinos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8E769A">
        <w:rPr>
          <w:rFonts w:ascii="Arial" w:hAnsi="Arial" w:cs="Arial"/>
          <w:sz w:val="24"/>
          <w:szCs w:val="24"/>
        </w:rPr>
        <w:t>Sepúlveda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H.H. and </w:t>
      </w:r>
      <w:proofErr w:type="spellStart"/>
      <w:r w:rsidRPr="008E769A">
        <w:rPr>
          <w:rFonts w:ascii="Arial" w:hAnsi="Arial" w:cs="Arial"/>
          <w:sz w:val="24"/>
          <w:szCs w:val="24"/>
        </w:rPr>
        <w:t>Veloso-Aguila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D. (2020) ‘The Central Chile Mega Drought (2010–2018): a climate dynamics perspective’, </w:t>
      </w:r>
      <w:r w:rsidRPr="008E769A">
        <w:rPr>
          <w:rFonts w:ascii="Arial" w:hAnsi="Arial" w:cs="Arial"/>
          <w:i/>
          <w:iCs/>
          <w:sz w:val="24"/>
          <w:szCs w:val="24"/>
        </w:rPr>
        <w:t>International Journal of Climatology</w:t>
      </w:r>
      <w:r w:rsidRPr="008E769A">
        <w:rPr>
          <w:rFonts w:ascii="Arial" w:hAnsi="Arial" w:cs="Arial"/>
          <w:sz w:val="24"/>
          <w:szCs w:val="24"/>
        </w:rPr>
        <w:t>, 40(1), pp. 421–439. doi:10.1002/joc.6219.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Gobierno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de Chile (2022) </w:t>
      </w:r>
      <w:r w:rsidRPr="008E769A">
        <w:rPr>
          <w:rFonts w:ascii="Arial" w:hAnsi="Arial" w:cs="Arial"/>
          <w:i/>
          <w:iCs/>
          <w:sz w:val="24"/>
          <w:szCs w:val="24"/>
        </w:rPr>
        <w:t xml:space="preserve">Ley N° 21.455: Ley Marco de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Cambio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Climático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. Santiago: </w:t>
      </w:r>
      <w:proofErr w:type="spellStart"/>
      <w:r w:rsidRPr="008E769A">
        <w:rPr>
          <w:rFonts w:ascii="Arial" w:hAnsi="Arial" w:cs="Arial"/>
          <w:sz w:val="24"/>
          <w:szCs w:val="24"/>
        </w:rPr>
        <w:t>Ministerio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8E769A">
        <w:rPr>
          <w:rFonts w:ascii="Arial" w:hAnsi="Arial" w:cs="Arial"/>
          <w:sz w:val="24"/>
          <w:szCs w:val="24"/>
        </w:rPr>
        <w:t>del</w:t>
      </w:r>
      <w:proofErr w:type="gramEnd"/>
      <w:r w:rsidRPr="008E769A">
        <w:rPr>
          <w:rFonts w:ascii="Arial" w:hAnsi="Arial" w:cs="Arial"/>
          <w:sz w:val="24"/>
          <w:szCs w:val="24"/>
        </w:rPr>
        <w:t xml:space="preserve"> Medio </w:t>
      </w:r>
      <w:proofErr w:type="spellStart"/>
      <w:r w:rsidRPr="008E769A">
        <w:rPr>
          <w:rFonts w:ascii="Arial" w:hAnsi="Arial" w:cs="Arial"/>
          <w:sz w:val="24"/>
          <w:szCs w:val="24"/>
        </w:rPr>
        <w:t>Ambiente</w:t>
      </w:r>
      <w:proofErr w:type="spellEnd"/>
      <w:r w:rsidRPr="008E769A">
        <w:rPr>
          <w:rFonts w:ascii="Arial" w:hAnsi="Arial" w:cs="Arial"/>
          <w:sz w:val="24"/>
          <w:szCs w:val="24"/>
        </w:rPr>
        <w:t>. Available at: https://leap.unep.org/en/countries/cl/national-legislation/ley-no-21455-ley-marco-de-cambio-climatico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Goldman Sachs (2025) ‘Copper prices are forecast to decline somewhat from record highs in 2026’, </w:t>
      </w:r>
      <w:r w:rsidRPr="008E769A">
        <w:rPr>
          <w:rFonts w:ascii="Arial" w:hAnsi="Arial" w:cs="Arial"/>
          <w:i/>
          <w:iCs/>
          <w:sz w:val="24"/>
          <w:szCs w:val="24"/>
        </w:rPr>
        <w:t>Goldman Sachs Research</w:t>
      </w:r>
      <w:r w:rsidRPr="008E769A">
        <w:rPr>
          <w:rFonts w:ascii="Arial" w:hAnsi="Arial" w:cs="Arial"/>
          <w:sz w:val="24"/>
          <w:szCs w:val="24"/>
        </w:rPr>
        <w:t>, 11 December. Available at: https://www.goldmansachs.com/insights/articles/copper-prices-forecast-to-decline-from-record-highs-in-2026 (Accessed: 15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Hart, S.L. (1995) ‘A natural-resource-based view of the firm’, </w:t>
      </w:r>
      <w:r w:rsidRPr="008E769A">
        <w:rPr>
          <w:rFonts w:ascii="Arial" w:hAnsi="Arial" w:cs="Arial"/>
          <w:i/>
          <w:iCs/>
          <w:sz w:val="24"/>
          <w:szCs w:val="24"/>
        </w:rPr>
        <w:t>Academy of Management Review</w:t>
      </w:r>
      <w:r w:rsidRPr="008E769A">
        <w:rPr>
          <w:rFonts w:ascii="Arial" w:hAnsi="Arial" w:cs="Arial"/>
          <w:sz w:val="24"/>
          <w:szCs w:val="24"/>
        </w:rPr>
        <w:t>, 20(4), pp. 986–1014. doi:10.5465/amr.1995.9512280033.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Hooley, G., </w:t>
      </w:r>
      <w:proofErr w:type="spellStart"/>
      <w:r w:rsidRPr="008E769A">
        <w:rPr>
          <w:rFonts w:ascii="Arial" w:hAnsi="Arial" w:cs="Arial"/>
          <w:sz w:val="24"/>
          <w:szCs w:val="24"/>
        </w:rPr>
        <w:t>Nicoulaud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B., Rudd, J.M. and Lee, N. (2020) </w:t>
      </w:r>
      <w:r w:rsidRPr="008E769A">
        <w:rPr>
          <w:rFonts w:ascii="Arial" w:hAnsi="Arial" w:cs="Arial"/>
          <w:i/>
          <w:iCs/>
          <w:sz w:val="24"/>
          <w:szCs w:val="24"/>
        </w:rPr>
        <w:t>Marketing Strategy and Competitive Positioning</w:t>
      </w:r>
      <w:r w:rsidRPr="008E769A">
        <w:rPr>
          <w:rFonts w:ascii="Arial" w:hAnsi="Arial" w:cs="Arial"/>
          <w:sz w:val="24"/>
          <w:szCs w:val="24"/>
        </w:rPr>
        <w:t xml:space="preserve">. 7th </w:t>
      </w:r>
      <w:proofErr w:type="spellStart"/>
      <w:r w:rsidRPr="008E769A">
        <w:rPr>
          <w:rFonts w:ascii="Arial" w:hAnsi="Arial" w:cs="Arial"/>
          <w:sz w:val="24"/>
          <w:szCs w:val="24"/>
        </w:rPr>
        <w:t>edn</w:t>
      </w:r>
      <w:proofErr w:type="spellEnd"/>
      <w:r w:rsidRPr="008E769A">
        <w:rPr>
          <w:rFonts w:ascii="Arial" w:hAnsi="Arial" w:cs="Arial"/>
          <w:sz w:val="24"/>
          <w:szCs w:val="24"/>
        </w:rPr>
        <w:t>. Harlow: Pearson.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ICMM (International Council on Mining and Metals) (2021) </w:t>
      </w:r>
      <w:r w:rsidRPr="008E769A">
        <w:rPr>
          <w:rFonts w:ascii="Arial" w:hAnsi="Arial" w:cs="Arial"/>
          <w:i/>
          <w:iCs/>
          <w:sz w:val="24"/>
          <w:szCs w:val="24"/>
        </w:rPr>
        <w:t>ICMM makes landmark climate commitment to net zero by 2050 or sooner</w:t>
      </w:r>
      <w:r w:rsidRPr="008E769A">
        <w:rPr>
          <w:rFonts w:ascii="Arial" w:hAnsi="Arial" w:cs="Arial"/>
          <w:sz w:val="24"/>
          <w:szCs w:val="24"/>
        </w:rPr>
        <w:t>. 5 October. Available at: https://www.icmm.com/en-gb/news/2021/net-zero-commitment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lastRenderedPageBreak/>
        <w:t xml:space="preserve">IEA (International Energy Agency) (2021) </w:t>
      </w:r>
      <w:proofErr w:type="gramStart"/>
      <w:r w:rsidRPr="008E769A">
        <w:rPr>
          <w:rFonts w:ascii="Arial" w:hAnsi="Arial" w:cs="Arial"/>
          <w:i/>
          <w:iCs/>
          <w:sz w:val="24"/>
          <w:szCs w:val="24"/>
        </w:rPr>
        <w:t>The</w:t>
      </w:r>
      <w:proofErr w:type="gramEnd"/>
      <w:r w:rsidRPr="008E769A">
        <w:rPr>
          <w:rFonts w:ascii="Arial" w:hAnsi="Arial" w:cs="Arial"/>
          <w:i/>
          <w:iCs/>
          <w:sz w:val="24"/>
          <w:szCs w:val="24"/>
        </w:rPr>
        <w:t xml:space="preserve"> Role of Critical Minerals in Clean Energy Transitions</w:t>
      </w:r>
      <w:r w:rsidRPr="008E769A">
        <w:rPr>
          <w:rFonts w:ascii="Arial" w:hAnsi="Arial" w:cs="Arial"/>
          <w:sz w:val="24"/>
          <w:szCs w:val="24"/>
        </w:rPr>
        <w:t>. Paris: IEA. Available at: https://www.iea.org/reports/the-role-of-critical-minerals-in-clean-energy-transitions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IEA (International Energy Agency) (2024) </w:t>
      </w:r>
      <w:r w:rsidRPr="008E769A">
        <w:rPr>
          <w:rFonts w:ascii="Arial" w:hAnsi="Arial" w:cs="Arial"/>
          <w:i/>
          <w:iCs/>
          <w:sz w:val="24"/>
          <w:szCs w:val="24"/>
        </w:rPr>
        <w:t>Law 20780 on incorporating tax measures – Chile carbon tax</w:t>
      </w:r>
      <w:r w:rsidRPr="008E769A">
        <w:rPr>
          <w:rFonts w:ascii="Arial" w:hAnsi="Arial" w:cs="Arial"/>
          <w:sz w:val="24"/>
          <w:szCs w:val="24"/>
        </w:rPr>
        <w:t>. Policies database. Available at: https://www.iea.org/policies/19279-law-20780-on-incorporating-tax-measures-chile-carbon-tax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IEA (International Energy Agency) (2025) </w:t>
      </w:r>
      <w:r w:rsidRPr="008E769A">
        <w:rPr>
          <w:rFonts w:ascii="Arial" w:hAnsi="Arial" w:cs="Arial"/>
          <w:i/>
          <w:iCs/>
          <w:sz w:val="24"/>
          <w:szCs w:val="24"/>
        </w:rPr>
        <w:t>Global Critical Minerals Outlook 2025</w:t>
      </w:r>
      <w:r w:rsidRPr="008E769A">
        <w:rPr>
          <w:rFonts w:ascii="Arial" w:hAnsi="Arial" w:cs="Arial"/>
          <w:sz w:val="24"/>
          <w:szCs w:val="24"/>
        </w:rPr>
        <w:t>. Paris: IEA. Available at: https://www.iea.org/reports/global-critical-minerals-outlook-2025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>International Mining (2025) ‘</w:t>
      </w: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sets specific goal to reduce Scope 3 emissions and advances value chain decarbonisation’, </w:t>
      </w:r>
      <w:r w:rsidRPr="008E769A">
        <w:rPr>
          <w:rFonts w:ascii="Arial" w:hAnsi="Arial" w:cs="Arial"/>
          <w:i/>
          <w:iCs/>
          <w:sz w:val="24"/>
          <w:szCs w:val="24"/>
        </w:rPr>
        <w:t>International Mining</w:t>
      </w:r>
      <w:r w:rsidRPr="008E769A">
        <w:rPr>
          <w:rFonts w:ascii="Arial" w:hAnsi="Arial" w:cs="Arial"/>
          <w:sz w:val="24"/>
          <w:szCs w:val="24"/>
        </w:rPr>
        <w:t>, 28 January. Available at: https://im-mining.com/2025/01/28/codelco-sets-specific-goal-to-reduce-scope-3-emissions-and-advances-value-chain-decarbonisation/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International </w:t>
      </w:r>
      <w:proofErr w:type="gramStart"/>
      <w:r w:rsidRPr="008E769A">
        <w:rPr>
          <w:rFonts w:ascii="Arial" w:hAnsi="Arial" w:cs="Arial"/>
          <w:sz w:val="24"/>
          <w:szCs w:val="24"/>
        </w:rPr>
        <w:t>Mining</w:t>
      </w:r>
      <w:proofErr w:type="gramEnd"/>
      <w:r w:rsidRPr="008E769A">
        <w:rPr>
          <w:rFonts w:ascii="Arial" w:hAnsi="Arial" w:cs="Arial"/>
          <w:sz w:val="24"/>
          <w:szCs w:val="24"/>
        </w:rPr>
        <w:t xml:space="preserve"> (2026) ‘</w:t>
      </w:r>
      <w:proofErr w:type="spellStart"/>
      <w:r w:rsidRPr="008E769A">
        <w:rPr>
          <w:rFonts w:ascii="Arial" w:hAnsi="Arial" w:cs="Arial"/>
          <w:sz w:val="24"/>
          <w:szCs w:val="24"/>
        </w:rPr>
        <w:t>Codelco’s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El </w:t>
      </w:r>
      <w:proofErr w:type="spellStart"/>
      <w:r w:rsidRPr="008E769A">
        <w:rPr>
          <w:rFonts w:ascii="Arial" w:hAnsi="Arial" w:cs="Arial"/>
          <w:sz w:val="24"/>
          <w:szCs w:val="24"/>
        </w:rPr>
        <w:t>Teniente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obtains The Copper Mark &amp; The Molybdenum Mark’, </w:t>
      </w:r>
      <w:r w:rsidRPr="008E769A">
        <w:rPr>
          <w:rFonts w:ascii="Arial" w:hAnsi="Arial" w:cs="Arial"/>
          <w:i/>
          <w:iCs/>
          <w:sz w:val="24"/>
          <w:szCs w:val="24"/>
        </w:rPr>
        <w:t>International Mining</w:t>
      </w:r>
      <w:r w:rsidRPr="008E769A">
        <w:rPr>
          <w:rFonts w:ascii="Arial" w:hAnsi="Arial" w:cs="Arial"/>
          <w:sz w:val="24"/>
          <w:szCs w:val="24"/>
        </w:rPr>
        <w:t>, 5 June. Available at: https://im-mining.com/2026/06/05/codelcos-el-teniente-obtains-the-copper-mark-the-molybdenum-mark/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InvestChile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(2026) ‘Electricity generation in Chile 2024: 68% originated from renewables’,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InvestChile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 xml:space="preserve"> Blog</w:t>
      </w:r>
      <w:r w:rsidRPr="008E769A">
        <w:rPr>
          <w:rFonts w:ascii="Arial" w:hAnsi="Arial" w:cs="Arial"/>
          <w:sz w:val="24"/>
          <w:szCs w:val="24"/>
        </w:rPr>
        <w:t>. Available at: https://blog.investchile.gob.cl/en/2026/electricity-generation-chile-2024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Jobber, D. and Ellis-Chadwick, F. (2023) </w:t>
      </w:r>
      <w:r w:rsidRPr="008E769A">
        <w:rPr>
          <w:rFonts w:ascii="Arial" w:hAnsi="Arial" w:cs="Arial"/>
          <w:i/>
          <w:iCs/>
          <w:sz w:val="24"/>
          <w:szCs w:val="24"/>
        </w:rPr>
        <w:t>Principles and Practice of Marketing</w:t>
      </w:r>
      <w:r w:rsidRPr="008E769A">
        <w:rPr>
          <w:rFonts w:ascii="Arial" w:hAnsi="Arial" w:cs="Arial"/>
          <w:sz w:val="24"/>
          <w:szCs w:val="24"/>
        </w:rPr>
        <w:t xml:space="preserve">. 10th </w:t>
      </w:r>
      <w:proofErr w:type="spellStart"/>
      <w:r w:rsidRPr="008E769A">
        <w:rPr>
          <w:rFonts w:ascii="Arial" w:hAnsi="Arial" w:cs="Arial"/>
          <w:sz w:val="24"/>
          <w:szCs w:val="24"/>
        </w:rPr>
        <w:t>edn</w:t>
      </w:r>
      <w:proofErr w:type="spellEnd"/>
      <w:r w:rsidRPr="008E769A">
        <w:rPr>
          <w:rFonts w:ascii="Arial" w:hAnsi="Arial" w:cs="Arial"/>
          <w:sz w:val="24"/>
          <w:szCs w:val="24"/>
        </w:rPr>
        <w:t>. London: McGraw Hill.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Jones Day (2026) </w:t>
      </w:r>
      <w:r w:rsidRPr="008E769A">
        <w:rPr>
          <w:rFonts w:ascii="Arial" w:hAnsi="Arial" w:cs="Arial"/>
          <w:i/>
          <w:iCs/>
          <w:sz w:val="24"/>
          <w:szCs w:val="24"/>
        </w:rPr>
        <w:t>The EU Critical Raw Materials Act and its impact on the mining sector: strategic opportunities for industry stakeholders</w:t>
      </w:r>
      <w:r w:rsidRPr="008E769A">
        <w:rPr>
          <w:rFonts w:ascii="Arial" w:hAnsi="Arial" w:cs="Arial"/>
          <w:sz w:val="24"/>
          <w:szCs w:val="24"/>
        </w:rPr>
        <w:t>. May. Available at: https://www.jonesday.com/en/insights/2026/05/the-eu-critical-raw-materials-act-and-its-impact-on-the-mining-sector-strategic-opportunities-for-industry-stakeholders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Kotler, P., Armstrong, G., Harris, L.C. and Piercy, N. (2020) </w:t>
      </w:r>
      <w:r w:rsidRPr="008E769A">
        <w:rPr>
          <w:rFonts w:ascii="Arial" w:hAnsi="Arial" w:cs="Arial"/>
          <w:i/>
          <w:iCs/>
          <w:sz w:val="24"/>
          <w:szCs w:val="24"/>
        </w:rPr>
        <w:t>Principles of Marketing</w:t>
      </w:r>
      <w:r w:rsidRPr="008E769A">
        <w:rPr>
          <w:rFonts w:ascii="Arial" w:hAnsi="Arial" w:cs="Arial"/>
          <w:sz w:val="24"/>
          <w:szCs w:val="24"/>
        </w:rPr>
        <w:t xml:space="preserve">. 8th European </w:t>
      </w:r>
      <w:proofErr w:type="spellStart"/>
      <w:r w:rsidRPr="008E769A">
        <w:rPr>
          <w:rFonts w:ascii="Arial" w:hAnsi="Arial" w:cs="Arial"/>
          <w:sz w:val="24"/>
          <w:szCs w:val="24"/>
        </w:rPr>
        <w:t>edn</w:t>
      </w:r>
      <w:proofErr w:type="spellEnd"/>
      <w:r w:rsidRPr="008E769A">
        <w:rPr>
          <w:rFonts w:ascii="Arial" w:hAnsi="Arial" w:cs="Arial"/>
          <w:sz w:val="24"/>
          <w:szCs w:val="24"/>
        </w:rPr>
        <w:t>. Harlow: Pearson.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Kotler, P., Armstrong, G., Harris, L.C. and He, H. (2024) </w:t>
      </w:r>
      <w:r w:rsidRPr="008E769A">
        <w:rPr>
          <w:rFonts w:ascii="Arial" w:hAnsi="Arial" w:cs="Arial"/>
          <w:i/>
          <w:iCs/>
          <w:sz w:val="24"/>
          <w:szCs w:val="24"/>
        </w:rPr>
        <w:t>Principles of Marketing</w:t>
      </w:r>
      <w:r w:rsidRPr="008E769A">
        <w:rPr>
          <w:rFonts w:ascii="Arial" w:hAnsi="Arial" w:cs="Arial"/>
          <w:sz w:val="24"/>
          <w:szCs w:val="24"/>
        </w:rPr>
        <w:t xml:space="preserve">. 19th </w:t>
      </w:r>
      <w:proofErr w:type="spellStart"/>
      <w:r w:rsidRPr="008E769A">
        <w:rPr>
          <w:rFonts w:ascii="Arial" w:hAnsi="Arial" w:cs="Arial"/>
          <w:sz w:val="24"/>
          <w:szCs w:val="24"/>
        </w:rPr>
        <w:t>edn</w:t>
      </w:r>
      <w:proofErr w:type="spellEnd"/>
      <w:r w:rsidRPr="008E769A">
        <w:rPr>
          <w:rFonts w:ascii="Arial" w:hAnsi="Arial" w:cs="Arial"/>
          <w:sz w:val="24"/>
          <w:szCs w:val="24"/>
        </w:rPr>
        <w:t>. Harlow: Pearson.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Liwanag</w:t>
      </w:r>
      <w:proofErr w:type="spellEnd"/>
      <w:r w:rsidRPr="008E769A">
        <w:rPr>
          <w:rFonts w:ascii="Arial" w:hAnsi="Arial" w:cs="Arial"/>
          <w:sz w:val="24"/>
          <w:szCs w:val="24"/>
        </w:rPr>
        <w:t>, A. (2025) ‘</w:t>
      </w:r>
      <w:proofErr w:type="gramStart"/>
      <w:r w:rsidRPr="008E769A">
        <w:rPr>
          <w:rFonts w:ascii="Arial" w:hAnsi="Arial" w:cs="Arial"/>
          <w:sz w:val="24"/>
          <w:szCs w:val="24"/>
        </w:rPr>
        <w:t>Beyond</w:t>
      </w:r>
      <w:proofErr w:type="gramEnd"/>
      <w:r w:rsidRPr="008E769A">
        <w:rPr>
          <w:rFonts w:ascii="Arial" w:hAnsi="Arial" w:cs="Arial"/>
          <w:sz w:val="24"/>
          <w:szCs w:val="24"/>
        </w:rPr>
        <w:t xml:space="preserve"> the grid: copper’s </w:t>
      </w:r>
      <w:proofErr w:type="spellStart"/>
      <w:r w:rsidRPr="008E769A">
        <w:rPr>
          <w:rFonts w:ascii="Arial" w:hAnsi="Arial" w:cs="Arial"/>
          <w:sz w:val="24"/>
          <w:szCs w:val="24"/>
        </w:rPr>
        <w:t>decarbonization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focus shifts toward mines’, </w:t>
      </w:r>
      <w:r w:rsidRPr="008E769A">
        <w:rPr>
          <w:rFonts w:ascii="Arial" w:hAnsi="Arial" w:cs="Arial"/>
          <w:i/>
          <w:iCs/>
          <w:sz w:val="24"/>
          <w:szCs w:val="24"/>
        </w:rPr>
        <w:t>S&amp;P Global Market Intelligence</w:t>
      </w:r>
      <w:r w:rsidRPr="008E769A">
        <w:rPr>
          <w:rFonts w:ascii="Arial" w:hAnsi="Arial" w:cs="Arial"/>
          <w:sz w:val="24"/>
          <w:szCs w:val="24"/>
        </w:rPr>
        <w:t>, 11 September. Available at: https://www.spglobal.com/market-intelligence/en/news-insights/research/2025/09/beyond-the-grid-coppers-decarbonization-focus-shifts-toward-mines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lastRenderedPageBreak/>
        <w:t xml:space="preserve">Mayer Brown (2025) </w:t>
      </w:r>
      <w:r w:rsidRPr="008E769A">
        <w:rPr>
          <w:rFonts w:ascii="Arial" w:hAnsi="Arial" w:cs="Arial"/>
          <w:i/>
          <w:iCs/>
          <w:sz w:val="24"/>
          <w:szCs w:val="24"/>
        </w:rPr>
        <w:t>European Commission issues CBAM operational rules and proposes downstream extension of the CBAM scope</w:t>
      </w:r>
      <w:r w:rsidRPr="008E769A">
        <w:rPr>
          <w:rFonts w:ascii="Arial" w:hAnsi="Arial" w:cs="Arial"/>
          <w:sz w:val="24"/>
          <w:szCs w:val="24"/>
        </w:rPr>
        <w:t>. December. Available at: https://www.mayerbrown.com/ja/insights/publications/2025/12/european-commission-issues-cbam-operational-rules-and-proposes-downstream-extension-of-the-cbam-scope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Mining Reporters (2024) ‘Chile: Antofagasta Minerals will halve its emissions by 2035’, </w:t>
      </w:r>
      <w:r w:rsidRPr="008E769A">
        <w:rPr>
          <w:rFonts w:ascii="Arial" w:hAnsi="Arial" w:cs="Arial"/>
          <w:i/>
          <w:iCs/>
          <w:sz w:val="24"/>
          <w:szCs w:val="24"/>
        </w:rPr>
        <w:t>Mining Reporters</w:t>
      </w:r>
      <w:r w:rsidRPr="008E769A">
        <w:rPr>
          <w:rFonts w:ascii="Arial" w:hAnsi="Arial" w:cs="Arial"/>
          <w:sz w:val="24"/>
          <w:szCs w:val="24"/>
        </w:rPr>
        <w:t>, 23 February. Available at: https://miningreporters.com/noticia/news/2024/02/chile-antofagasta-minerals-will-halve-its-emissions-by-2035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>Mining Reporters (2026) ‘</w:t>
      </w: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expects debt to rise as investments pressure cash flow’, </w:t>
      </w:r>
      <w:r w:rsidRPr="008E769A">
        <w:rPr>
          <w:rFonts w:ascii="Arial" w:hAnsi="Arial" w:cs="Arial"/>
          <w:i/>
          <w:iCs/>
          <w:sz w:val="24"/>
          <w:szCs w:val="24"/>
        </w:rPr>
        <w:t>Mining Reporters</w:t>
      </w:r>
      <w:r w:rsidRPr="008E769A">
        <w:rPr>
          <w:rFonts w:ascii="Arial" w:hAnsi="Arial" w:cs="Arial"/>
          <w:sz w:val="24"/>
          <w:szCs w:val="24"/>
        </w:rPr>
        <w:t>, April. Available at: https://www.miningreporters.com/noticia/news/2026/04/codelco-expects-debt-to-rise-as-investments-pressure-cash-flow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>Mining Weekly (2025a) ‘</w:t>
      </w: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to lower 2025 copper target after El </w:t>
      </w:r>
      <w:proofErr w:type="spellStart"/>
      <w:r w:rsidRPr="008E769A">
        <w:rPr>
          <w:rFonts w:ascii="Arial" w:hAnsi="Arial" w:cs="Arial"/>
          <w:sz w:val="24"/>
          <w:szCs w:val="24"/>
        </w:rPr>
        <w:t>Teniente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accident’, </w:t>
      </w:r>
      <w:proofErr w:type="gramStart"/>
      <w:r w:rsidRPr="008E769A">
        <w:rPr>
          <w:rFonts w:ascii="Arial" w:hAnsi="Arial" w:cs="Arial"/>
          <w:i/>
          <w:iCs/>
          <w:sz w:val="24"/>
          <w:szCs w:val="24"/>
        </w:rPr>
        <w:t>Mining</w:t>
      </w:r>
      <w:proofErr w:type="gramEnd"/>
      <w:r w:rsidRPr="008E769A">
        <w:rPr>
          <w:rFonts w:ascii="Arial" w:hAnsi="Arial" w:cs="Arial"/>
          <w:i/>
          <w:iCs/>
          <w:sz w:val="24"/>
          <w:szCs w:val="24"/>
        </w:rPr>
        <w:t xml:space="preserve"> Weekly</w:t>
      </w:r>
      <w:r w:rsidRPr="008E769A">
        <w:rPr>
          <w:rFonts w:ascii="Arial" w:hAnsi="Arial" w:cs="Arial"/>
          <w:sz w:val="24"/>
          <w:szCs w:val="24"/>
        </w:rPr>
        <w:t>, 21 August. Available at: https://www.miningweekly.com/article/codelco-to-lower-2025-copper-target-after-el-teniente-accident-2025-08-21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>Mining Weekly (2025b) ‘</w:t>
      </w: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extends reign as top copper producer as BHP challenges’, </w:t>
      </w:r>
      <w:r w:rsidRPr="008E769A">
        <w:rPr>
          <w:rFonts w:ascii="Arial" w:hAnsi="Arial" w:cs="Arial"/>
          <w:i/>
          <w:iCs/>
          <w:sz w:val="24"/>
          <w:szCs w:val="24"/>
        </w:rPr>
        <w:t>Mining Weekly</w:t>
      </w:r>
      <w:r w:rsidRPr="008E769A">
        <w:rPr>
          <w:rFonts w:ascii="Arial" w:hAnsi="Arial" w:cs="Arial"/>
          <w:sz w:val="24"/>
          <w:szCs w:val="24"/>
        </w:rPr>
        <w:t>, 31 March. Available at: https://www.miningweekly.com/article/codelco-extends-reign-as-top-copper-producer-as-bhp-challenges-2025-03-31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Mining.com (2020) ‘World’s largest copper miner to cut 70% of emissions by 2030’, </w:t>
      </w:r>
      <w:r w:rsidRPr="008E769A">
        <w:rPr>
          <w:rFonts w:ascii="Arial" w:hAnsi="Arial" w:cs="Arial"/>
          <w:i/>
          <w:iCs/>
          <w:sz w:val="24"/>
          <w:szCs w:val="24"/>
        </w:rPr>
        <w:t>Mining.com</w:t>
      </w:r>
      <w:r w:rsidRPr="008E769A">
        <w:rPr>
          <w:rFonts w:ascii="Arial" w:hAnsi="Arial" w:cs="Arial"/>
          <w:sz w:val="24"/>
          <w:szCs w:val="24"/>
        </w:rPr>
        <w:t>, 14 December. Available at: https://www.mining.com/worlds-largest-copper-miner-to-cut-70-of-emissions-by-2030/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Mitchell, R.K., </w:t>
      </w:r>
      <w:proofErr w:type="spellStart"/>
      <w:r w:rsidRPr="008E769A">
        <w:rPr>
          <w:rFonts w:ascii="Arial" w:hAnsi="Arial" w:cs="Arial"/>
          <w:sz w:val="24"/>
          <w:szCs w:val="24"/>
        </w:rPr>
        <w:t>Agle</w:t>
      </w:r>
      <w:proofErr w:type="spellEnd"/>
      <w:r w:rsidRPr="008E769A">
        <w:rPr>
          <w:rFonts w:ascii="Arial" w:hAnsi="Arial" w:cs="Arial"/>
          <w:sz w:val="24"/>
          <w:szCs w:val="24"/>
        </w:rPr>
        <w:t>, B.R. and Wood, D.J. (1997) ‘</w:t>
      </w:r>
      <w:proofErr w:type="gramStart"/>
      <w:r w:rsidRPr="008E769A">
        <w:rPr>
          <w:rFonts w:ascii="Arial" w:hAnsi="Arial" w:cs="Arial"/>
          <w:sz w:val="24"/>
          <w:szCs w:val="24"/>
        </w:rPr>
        <w:t>Toward</w:t>
      </w:r>
      <w:proofErr w:type="gramEnd"/>
      <w:r w:rsidRPr="008E769A">
        <w:rPr>
          <w:rFonts w:ascii="Arial" w:hAnsi="Arial" w:cs="Arial"/>
          <w:sz w:val="24"/>
          <w:szCs w:val="24"/>
        </w:rPr>
        <w:t xml:space="preserve"> a theory of stakeholder identification and salience: defining the principle of who and what really counts’, </w:t>
      </w:r>
      <w:r w:rsidRPr="008E769A">
        <w:rPr>
          <w:rFonts w:ascii="Arial" w:hAnsi="Arial" w:cs="Arial"/>
          <w:i/>
          <w:iCs/>
          <w:sz w:val="24"/>
          <w:szCs w:val="24"/>
        </w:rPr>
        <w:t>Academy of Management Review</w:t>
      </w:r>
      <w:r w:rsidRPr="008E769A">
        <w:rPr>
          <w:rFonts w:ascii="Arial" w:hAnsi="Arial" w:cs="Arial"/>
          <w:sz w:val="24"/>
          <w:szCs w:val="24"/>
        </w:rPr>
        <w:t>, 22(4), pp. 853–886.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Porter, M.E. (1985) </w:t>
      </w:r>
      <w:r w:rsidRPr="008E769A">
        <w:rPr>
          <w:rFonts w:ascii="Arial" w:hAnsi="Arial" w:cs="Arial"/>
          <w:i/>
          <w:iCs/>
          <w:sz w:val="24"/>
          <w:szCs w:val="24"/>
        </w:rPr>
        <w:t>Competitive Advantage: Creating and Sustaining Superior Performance</w:t>
      </w:r>
      <w:r w:rsidRPr="008E769A">
        <w:rPr>
          <w:rFonts w:ascii="Arial" w:hAnsi="Arial" w:cs="Arial"/>
          <w:sz w:val="24"/>
          <w:szCs w:val="24"/>
        </w:rPr>
        <w:t>. New York: Free Press.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Porter, M.E. and van der Linde, C. (1995) ‘Toward a new conception of the environment–competitiveness relationship’, </w:t>
      </w:r>
      <w:r w:rsidRPr="008E769A">
        <w:rPr>
          <w:rFonts w:ascii="Arial" w:hAnsi="Arial" w:cs="Arial"/>
          <w:i/>
          <w:iCs/>
          <w:sz w:val="24"/>
          <w:szCs w:val="24"/>
        </w:rPr>
        <w:t>Journal of Economic Perspectives</w:t>
      </w:r>
      <w:r w:rsidRPr="008E769A">
        <w:rPr>
          <w:rFonts w:ascii="Arial" w:hAnsi="Arial" w:cs="Arial"/>
          <w:sz w:val="24"/>
          <w:szCs w:val="24"/>
        </w:rPr>
        <w:t>, 9(4), pp. 97–118.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Prno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J. and </w:t>
      </w:r>
      <w:proofErr w:type="spellStart"/>
      <w:r w:rsidRPr="008E769A">
        <w:rPr>
          <w:rFonts w:ascii="Arial" w:hAnsi="Arial" w:cs="Arial"/>
          <w:sz w:val="24"/>
          <w:szCs w:val="24"/>
        </w:rPr>
        <w:t>Slocombe</w:t>
      </w:r>
      <w:proofErr w:type="spellEnd"/>
      <w:r w:rsidRPr="008E769A">
        <w:rPr>
          <w:rFonts w:ascii="Arial" w:hAnsi="Arial" w:cs="Arial"/>
          <w:sz w:val="24"/>
          <w:szCs w:val="24"/>
        </w:rPr>
        <w:t>, D.S. (2012) ‘</w:t>
      </w:r>
      <w:proofErr w:type="gramStart"/>
      <w:r w:rsidRPr="008E769A">
        <w:rPr>
          <w:rFonts w:ascii="Arial" w:hAnsi="Arial" w:cs="Arial"/>
          <w:sz w:val="24"/>
          <w:szCs w:val="24"/>
        </w:rPr>
        <w:t>Exploring</w:t>
      </w:r>
      <w:proofErr w:type="gramEnd"/>
      <w:r w:rsidRPr="008E769A">
        <w:rPr>
          <w:rFonts w:ascii="Arial" w:hAnsi="Arial" w:cs="Arial"/>
          <w:sz w:val="24"/>
          <w:szCs w:val="24"/>
        </w:rPr>
        <w:t xml:space="preserve"> the origins of “social license to operate” in the mining sector: perspectives from governance and sustainability theories’, </w:t>
      </w:r>
      <w:r w:rsidRPr="008E769A">
        <w:rPr>
          <w:rFonts w:ascii="Arial" w:hAnsi="Arial" w:cs="Arial"/>
          <w:i/>
          <w:iCs/>
          <w:sz w:val="24"/>
          <w:szCs w:val="24"/>
        </w:rPr>
        <w:t>Resources Policy</w:t>
      </w:r>
      <w:r w:rsidRPr="008E769A">
        <w:rPr>
          <w:rFonts w:ascii="Arial" w:hAnsi="Arial" w:cs="Arial"/>
          <w:sz w:val="24"/>
          <w:szCs w:val="24"/>
        </w:rPr>
        <w:t>, 37(3), pp. 346–357.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>Reuters (2025a) ‘</w:t>
      </w: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hikes 2026 European copper premium to record’,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Kitco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 xml:space="preserve"> News</w:t>
      </w:r>
      <w:r w:rsidRPr="008E769A">
        <w:rPr>
          <w:rFonts w:ascii="Arial" w:hAnsi="Arial" w:cs="Arial"/>
          <w:sz w:val="24"/>
          <w:szCs w:val="24"/>
        </w:rPr>
        <w:t>, 16 October. Available at: https://www.kitco.com/news/off-the-wire/2025-10-16/codelco-hikes-2026-european-copper-premium-record-345-tonne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lastRenderedPageBreak/>
        <w:t xml:space="preserve">Reuters (2025b) ‘As Chile revs up lithium plans, Indigenous people demand more control’, </w:t>
      </w:r>
      <w:r w:rsidRPr="008E769A">
        <w:rPr>
          <w:rFonts w:ascii="Arial" w:hAnsi="Arial" w:cs="Arial"/>
          <w:i/>
          <w:iCs/>
          <w:sz w:val="24"/>
          <w:szCs w:val="24"/>
        </w:rPr>
        <w:t>Mining.com</w:t>
      </w:r>
      <w:r w:rsidRPr="008E769A">
        <w:rPr>
          <w:rFonts w:ascii="Arial" w:hAnsi="Arial" w:cs="Arial"/>
          <w:sz w:val="24"/>
          <w:szCs w:val="24"/>
        </w:rPr>
        <w:t>, 7 April. Available at: https://www.mining.com/web/as-chile-revs-up-lithium-plans-indigenous-people-demand-more-control/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>Reuters (2026) ‘</w:t>
      </w: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posts stronger profit on copper rally as mine disruptions drag on output’, </w:t>
      </w:r>
      <w:proofErr w:type="spellStart"/>
      <w:r w:rsidRPr="008E769A">
        <w:rPr>
          <w:rFonts w:ascii="Arial" w:hAnsi="Arial" w:cs="Arial"/>
          <w:i/>
          <w:iCs/>
          <w:sz w:val="24"/>
          <w:szCs w:val="24"/>
        </w:rPr>
        <w:t>Kitco</w:t>
      </w:r>
      <w:proofErr w:type="spellEnd"/>
      <w:r w:rsidRPr="008E769A">
        <w:rPr>
          <w:rFonts w:ascii="Arial" w:hAnsi="Arial" w:cs="Arial"/>
          <w:i/>
          <w:iCs/>
          <w:sz w:val="24"/>
          <w:szCs w:val="24"/>
        </w:rPr>
        <w:t xml:space="preserve"> News</w:t>
      </w:r>
      <w:r w:rsidRPr="008E769A">
        <w:rPr>
          <w:rFonts w:ascii="Arial" w:hAnsi="Arial" w:cs="Arial"/>
          <w:sz w:val="24"/>
          <w:szCs w:val="24"/>
        </w:rPr>
        <w:t>, 28 August. Available at: https://www.kitco.com/news/off-the-wire/2026-08-28/codelco-posts-stronger-profit-copper-rally-mine-disruptions-drag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S&amp;P Global (2026) </w:t>
      </w:r>
      <w:r w:rsidRPr="008E769A">
        <w:rPr>
          <w:rFonts w:ascii="Arial" w:hAnsi="Arial" w:cs="Arial"/>
          <w:i/>
          <w:iCs/>
          <w:sz w:val="24"/>
          <w:szCs w:val="24"/>
        </w:rPr>
        <w:t>Copper in the Age of AI: Challenges of Electrification</w:t>
      </w:r>
      <w:r w:rsidRPr="008E769A">
        <w:rPr>
          <w:rFonts w:ascii="Arial" w:hAnsi="Arial" w:cs="Arial"/>
          <w:sz w:val="24"/>
          <w:szCs w:val="24"/>
        </w:rPr>
        <w:t>. 8 January. Available at: https://www.spglobal.com/market-intelligence/en/news-insights/research/2026/01/the-copper-conundrum-why-meeting-ai-era-electrification-demands-is-a-race-against-time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S&amp;P Global Commodity Insights (2025) ‘US to impose sweeping 50% tariff on imports of semi-finished copper products’, </w:t>
      </w:r>
      <w:r w:rsidRPr="008E769A">
        <w:rPr>
          <w:rFonts w:ascii="Arial" w:hAnsi="Arial" w:cs="Arial"/>
          <w:i/>
          <w:iCs/>
          <w:sz w:val="24"/>
          <w:szCs w:val="24"/>
        </w:rPr>
        <w:t>S&amp;P Global Commodity Insights</w:t>
      </w:r>
      <w:r w:rsidRPr="008E769A">
        <w:rPr>
          <w:rFonts w:ascii="Arial" w:hAnsi="Arial" w:cs="Arial"/>
          <w:sz w:val="24"/>
          <w:szCs w:val="24"/>
        </w:rPr>
        <w:t>, 30 July. Available at: https://www.spglobal.com/commodity-insights/en/news-research/latest-news/metals/073025-us-to-impose-sweeping-50-tariff-on-imports-of-semi-finished-copper-products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>Smart Water Magazine (2022) ‘</w:t>
      </w: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will begin construction of a US$1 billion desalination plant’, </w:t>
      </w:r>
      <w:r w:rsidRPr="008E769A">
        <w:rPr>
          <w:rFonts w:ascii="Arial" w:hAnsi="Arial" w:cs="Arial"/>
          <w:i/>
          <w:iCs/>
          <w:sz w:val="24"/>
          <w:szCs w:val="24"/>
        </w:rPr>
        <w:t>Smart Water Magazine</w:t>
      </w:r>
      <w:r w:rsidRPr="008E769A">
        <w:rPr>
          <w:rFonts w:ascii="Arial" w:hAnsi="Arial" w:cs="Arial"/>
          <w:sz w:val="24"/>
          <w:szCs w:val="24"/>
        </w:rPr>
        <w:t>, 8 July. Available at: https://smartwatermagazine.com/news/smart-water-magazine/codelco-will-begin-construction-us1-billion-desalination-plant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proofErr w:type="spellStart"/>
      <w:r w:rsidRPr="008E769A">
        <w:rPr>
          <w:rFonts w:ascii="Arial" w:hAnsi="Arial" w:cs="Arial"/>
          <w:sz w:val="24"/>
          <w:szCs w:val="24"/>
        </w:rPr>
        <w:t>Sovacool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B.K., Ali, S.H., </w:t>
      </w:r>
      <w:proofErr w:type="spellStart"/>
      <w:r w:rsidRPr="008E769A">
        <w:rPr>
          <w:rFonts w:ascii="Arial" w:hAnsi="Arial" w:cs="Arial"/>
          <w:sz w:val="24"/>
          <w:szCs w:val="24"/>
        </w:rPr>
        <w:t>Bazilian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M., Radley, B., </w:t>
      </w:r>
      <w:proofErr w:type="spellStart"/>
      <w:r w:rsidRPr="008E769A">
        <w:rPr>
          <w:rFonts w:ascii="Arial" w:hAnsi="Arial" w:cs="Arial"/>
          <w:sz w:val="24"/>
          <w:szCs w:val="24"/>
        </w:rPr>
        <w:t>Nemery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B., </w:t>
      </w:r>
      <w:proofErr w:type="spellStart"/>
      <w:r w:rsidRPr="008E769A">
        <w:rPr>
          <w:rFonts w:ascii="Arial" w:hAnsi="Arial" w:cs="Arial"/>
          <w:sz w:val="24"/>
          <w:szCs w:val="24"/>
        </w:rPr>
        <w:t>Okatz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J. and </w:t>
      </w:r>
      <w:proofErr w:type="spellStart"/>
      <w:r w:rsidRPr="008E769A">
        <w:rPr>
          <w:rFonts w:ascii="Arial" w:hAnsi="Arial" w:cs="Arial"/>
          <w:sz w:val="24"/>
          <w:szCs w:val="24"/>
        </w:rPr>
        <w:t>Mulvaney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D. (2020) ‘Sustainable minerals and metals for a low-carbon future’, </w:t>
      </w:r>
      <w:r w:rsidRPr="008E769A">
        <w:rPr>
          <w:rFonts w:ascii="Arial" w:hAnsi="Arial" w:cs="Arial"/>
          <w:i/>
          <w:iCs/>
          <w:sz w:val="24"/>
          <w:szCs w:val="24"/>
        </w:rPr>
        <w:t>Science</w:t>
      </w:r>
      <w:r w:rsidRPr="008E769A">
        <w:rPr>
          <w:rFonts w:ascii="Arial" w:hAnsi="Arial" w:cs="Arial"/>
          <w:sz w:val="24"/>
          <w:szCs w:val="24"/>
        </w:rPr>
        <w:t>, 367(6473), pp. 30–33. doi:10.1126/science.aaz6003.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USGS (United States Geological Survey) (2026) </w:t>
      </w:r>
      <w:r w:rsidRPr="008E769A">
        <w:rPr>
          <w:rFonts w:ascii="Arial" w:hAnsi="Arial" w:cs="Arial"/>
          <w:i/>
          <w:iCs/>
          <w:sz w:val="24"/>
          <w:szCs w:val="24"/>
        </w:rPr>
        <w:t>Mineral Commodity Summaries 2026: Copper</w:t>
      </w:r>
      <w:r w:rsidRPr="008E769A">
        <w:rPr>
          <w:rFonts w:ascii="Arial" w:hAnsi="Arial" w:cs="Arial"/>
          <w:sz w:val="24"/>
          <w:szCs w:val="24"/>
        </w:rPr>
        <w:t>. Reston, VA: USGS. Available at: https://pubs.usgs.gov/periodicals/mcs2026/mcs2026-copper.pdf (Accessed: 6 October 2026).</w:t>
      </w:r>
    </w:p>
    <w:p w:rsidR="008C10EF" w:rsidRPr="008E769A" w:rsidRDefault="00C32948" w:rsidP="008E769A">
      <w:pPr>
        <w:spacing w:after="120" w:line="276" w:lineRule="auto"/>
        <w:ind w:left="567" w:hanging="567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Whittington, R., </w:t>
      </w:r>
      <w:proofErr w:type="spellStart"/>
      <w:r w:rsidRPr="008E769A">
        <w:rPr>
          <w:rFonts w:ascii="Arial" w:hAnsi="Arial" w:cs="Arial"/>
          <w:sz w:val="24"/>
          <w:szCs w:val="24"/>
        </w:rPr>
        <w:t>Regnér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P., </w:t>
      </w:r>
      <w:proofErr w:type="spellStart"/>
      <w:r w:rsidRPr="008E769A">
        <w:rPr>
          <w:rFonts w:ascii="Arial" w:hAnsi="Arial" w:cs="Arial"/>
          <w:sz w:val="24"/>
          <w:szCs w:val="24"/>
        </w:rPr>
        <w:t>Angwin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, D., Johnson, G. and Scholes, K. (2023) </w:t>
      </w:r>
      <w:r w:rsidRPr="008E769A">
        <w:rPr>
          <w:rFonts w:ascii="Arial" w:hAnsi="Arial" w:cs="Arial"/>
          <w:i/>
          <w:iCs/>
          <w:sz w:val="24"/>
          <w:szCs w:val="24"/>
        </w:rPr>
        <w:t>Exploring Strategy: Text and Cases</w:t>
      </w:r>
      <w:r w:rsidRPr="008E769A">
        <w:rPr>
          <w:rFonts w:ascii="Arial" w:hAnsi="Arial" w:cs="Arial"/>
          <w:sz w:val="24"/>
          <w:szCs w:val="24"/>
        </w:rPr>
        <w:t xml:space="preserve">. 13th </w:t>
      </w:r>
      <w:proofErr w:type="spellStart"/>
      <w:r w:rsidRPr="008E769A">
        <w:rPr>
          <w:rFonts w:ascii="Arial" w:hAnsi="Arial" w:cs="Arial"/>
          <w:sz w:val="24"/>
          <w:szCs w:val="24"/>
        </w:rPr>
        <w:t>edn</w:t>
      </w:r>
      <w:proofErr w:type="spellEnd"/>
      <w:r w:rsidRPr="008E769A">
        <w:rPr>
          <w:rFonts w:ascii="Arial" w:hAnsi="Arial" w:cs="Arial"/>
          <w:sz w:val="24"/>
          <w:szCs w:val="24"/>
        </w:rPr>
        <w:t>. Harlow: Pearson.</w:t>
      </w:r>
    </w:p>
    <w:p w:rsidR="008C10EF" w:rsidRPr="00E055F9" w:rsidRDefault="00C32948">
      <w:pPr>
        <w:pStyle w:val="Heading1"/>
        <w:pageBreakBefore/>
        <w:rPr>
          <w:rFonts w:ascii="Arial" w:hAnsi="Arial" w:cs="Arial"/>
          <w:sz w:val="32"/>
          <w:szCs w:val="32"/>
        </w:rPr>
      </w:pPr>
      <w:bookmarkStart w:id="35" w:name="_Toc242226381"/>
      <w:bookmarkStart w:id="36" w:name="_Toc242962125"/>
      <w:r w:rsidRPr="00E055F9">
        <w:rPr>
          <w:rFonts w:ascii="Arial" w:hAnsi="Arial" w:cs="Arial"/>
          <w:sz w:val="32"/>
          <w:szCs w:val="32"/>
        </w:rPr>
        <w:lastRenderedPageBreak/>
        <w:t>Appendix A: Microenvironment analysis</w:t>
      </w:r>
      <w:bookmarkEnd w:id="35"/>
      <w:bookmarkEnd w:id="36"/>
    </w:p>
    <w:p w:rsidR="006B466C" w:rsidRDefault="00FD3A77">
      <w:pPr>
        <w:spacing w:after="160" w:line="30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Customers and competitors are microenvironment actors (Kotler et al., 2020; 2024) and therefore sit outside the </w:t>
      </w:r>
      <w:r w:rsidR="00E055F9">
        <w:rPr>
          <w:rFonts w:ascii="Arial" w:hAnsi="Arial" w:cs="Arial"/>
          <w:sz w:val="24"/>
          <w:szCs w:val="24"/>
        </w:rPr>
        <w:t>macro environment</w:t>
      </w:r>
      <w:r>
        <w:rPr>
          <w:rFonts w:ascii="Arial" w:hAnsi="Arial" w:cs="Arial"/>
          <w:sz w:val="24"/>
          <w:szCs w:val="24"/>
        </w:rPr>
        <w:t xml:space="preserve"> analysis in Task 1. They are included here because they inform the strategic choices in Task 2: Section 2.1 (market development) draws on A.1, and Section 2.2 (competitive advantage) draws on A.2. Table A2 summarises both actors.</w:t>
      </w:r>
    </w:p>
    <w:p w:rsidR="008C10EF" w:rsidRPr="008E769A" w:rsidRDefault="00A51030">
      <w:pPr>
        <w:pStyle w:val="Heading2"/>
        <w:keepNext/>
        <w:rPr>
          <w:rFonts w:ascii="Arial" w:hAnsi="Arial" w:cs="Arial"/>
          <w:sz w:val="24"/>
          <w:szCs w:val="24"/>
        </w:rPr>
      </w:pPr>
      <w:bookmarkStart w:id="37" w:name="_Toc242226362"/>
      <w:bookmarkStart w:id="38" w:name="_Toc242962126"/>
      <w:r w:rsidRPr="008E769A">
        <w:rPr>
          <w:rFonts w:ascii="Arial" w:hAnsi="Arial" w:cs="Arial"/>
          <w:sz w:val="24"/>
          <w:szCs w:val="24"/>
        </w:rPr>
        <w:t>A.1 Customers</w:t>
      </w:r>
      <w:bookmarkEnd w:id="37"/>
      <w:bookmarkEnd w:id="38"/>
    </w:p>
    <w:p w:rsidR="008C10EF" w:rsidRPr="008E769A" w:rsidRDefault="00CE0AFC">
      <w:pPr>
        <w:spacing w:after="160" w:line="300" w:lineRule="auto"/>
        <w:jc w:val="both"/>
        <w:rPr>
          <w:rFonts w:ascii="Arial" w:hAnsi="Arial" w:cs="Arial"/>
          <w:sz w:val="24"/>
          <w:szCs w:val="24"/>
        </w:rPr>
      </w:pPr>
      <w:r w:rsidRPr="00C32948">
        <w:rPr>
          <w:rFonts w:ascii="Arial" w:hAnsi="Arial" w:cs="Arial"/>
          <w:noProof/>
        </w:rPr>
        <w:drawing>
          <wp:anchor distT="0" distB="0" distL="114300" distR="114300" simplePos="0" relativeHeight="251671552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2392045</wp:posOffset>
            </wp:positionV>
            <wp:extent cx="5143500" cy="2200275"/>
            <wp:effectExtent l="0" t="0" r="0" b="9525"/>
            <wp:wrapTopAndBottom/>
            <wp:docPr id="8" name="f7" descr="Codelco copper sales by destination, 2025 (% of sales)" title="Codelco copper sales by destination, 2025 (% of sales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 w:rsidR="00C32948" w:rsidRPr="008E769A">
        <w:rPr>
          <w:rFonts w:ascii="Arial" w:hAnsi="Arial" w:cs="Arial"/>
          <w:sz w:val="24"/>
          <w:szCs w:val="24"/>
        </w:rPr>
        <w:t>Codelco’s</w:t>
      </w:r>
      <w:proofErr w:type="spellEnd"/>
      <w:r w:rsidR="00C32948" w:rsidRPr="008E769A">
        <w:rPr>
          <w:rFonts w:ascii="Arial" w:hAnsi="Arial" w:cs="Arial"/>
          <w:sz w:val="24"/>
          <w:szCs w:val="24"/>
        </w:rPr>
        <w:t xml:space="preserve"> customers are busin</w:t>
      </w:r>
      <w:r w:rsidR="00A51030" w:rsidRPr="008E769A">
        <w:rPr>
          <w:rFonts w:ascii="Arial" w:hAnsi="Arial" w:cs="Arial"/>
          <w:sz w:val="24"/>
          <w:szCs w:val="24"/>
        </w:rPr>
        <w:t>ess buyers;</w:t>
      </w:r>
      <w:r w:rsidR="00C32948" w:rsidRPr="008E769A">
        <w:rPr>
          <w:rFonts w:ascii="Arial" w:hAnsi="Arial" w:cs="Arial"/>
          <w:sz w:val="24"/>
          <w:szCs w:val="24"/>
        </w:rPr>
        <w:t xml:space="preserve"> sme</w:t>
      </w:r>
      <w:r w:rsidR="00A51030" w:rsidRPr="008E769A">
        <w:rPr>
          <w:rFonts w:ascii="Arial" w:hAnsi="Arial" w:cs="Arial"/>
          <w:sz w:val="24"/>
          <w:szCs w:val="24"/>
        </w:rPr>
        <w:t>lters, fabricators and traders,</w:t>
      </w:r>
      <w:r w:rsidR="00C32948" w:rsidRPr="008E769A">
        <w:rPr>
          <w:rFonts w:ascii="Arial" w:hAnsi="Arial" w:cs="Arial"/>
          <w:sz w:val="24"/>
          <w:szCs w:val="24"/>
        </w:rPr>
        <w:t xml:space="preserve"> who increasingly pass sustainability requirements up the supply chain. In 2025 China took 37.5% of sales, South America 22.5%, North America 20.1%, the rest of Asia 10.7% and Europe 9.1% (Figure A1; </w:t>
      </w:r>
      <w:proofErr w:type="spellStart"/>
      <w:r w:rsidR="00C32948" w:rsidRPr="008E769A">
        <w:rPr>
          <w:rFonts w:ascii="Arial" w:hAnsi="Arial" w:cs="Arial"/>
          <w:sz w:val="24"/>
          <w:szCs w:val="24"/>
        </w:rPr>
        <w:t>Codelco</w:t>
      </w:r>
      <w:proofErr w:type="spellEnd"/>
      <w:r w:rsidR="00C32948" w:rsidRPr="008E769A">
        <w:rPr>
          <w:rFonts w:ascii="Arial" w:hAnsi="Arial" w:cs="Arial"/>
          <w:sz w:val="24"/>
          <w:szCs w:val="24"/>
        </w:rPr>
        <w:t xml:space="preserve">, 2026a). Europe is small by volume but faces the strictest disclosure rules, and buyers already pay a record 2026 premium of US$325 per tonne, 39% above 2025 (Reuters, 2025a). Automotive, battery and data-centre clients need verified product footprints for their own Scope 3 targets; </w:t>
      </w:r>
      <w:proofErr w:type="spellStart"/>
      <w:r w:rsidR="00C32948" w:rsidRPr="008E769A">
        <w:rPr>
          <w:rFonts w:ascii="Arial" w:hAnsi="Arial" w:cs="Arial"/>
          <w:sz w:val="24"/>
          <w:szCs w:val="24"/>
        </w:rPr>
        <w:t>Codelco</w:t>
      </w:r>
      <w:proofErr w:type="spellEnd"/>
      <w:r w:rsidR="00C32948" w:rsidRPr="008E769A">
        <w:rPr>
          <w:rFonts w:ascii="Arial" w:hAnsi="Arial" w:cs="Arial"/>
          <w:sz w:val="24"/>
          <w:szCs w:val="24"/>
        </w:rPr>
        <w:t xml:space="preserve"> has responded with The Copper Mark (International Mining, 2026) and certified cathode footprints (</w:t>
      </w:r>
      <w:proofErr w:type="spellStart"/>
      <w:r w:rsidR="00C32948" w:rsidRPr="008E769A">
        <w:rPr>
          <w:rFonts w:ascii="Arial" w:hAnsi="Arial" w:cs="Arial"/>
          <w:sz w:val="24"/>
          <w:szCs w:val="24"/>
        </w:rPr>
        <w:t>Codelco</w:t>
      </w:r>
      <w:proofErr w:type="spellEnd"/>
      <w:r w:rsidR="00C32948" w:rsidRPr="008E769A">
        <w:rPr>
          <w:rFonts w:ascii="Arial" w:hAnsi="Arial" w:cs="Arial"/>
          <w:sz w:val="24"/>
          <w:szCs w:val="24"/>
        </w:rPr>
        <w:t>, 2025a). However, Chinese buyers remain price-driven, so one ‘green’ proposition will not suit every segment (Jobber and Ellis-Chadwick, 2023).</w:t>
      </w:r>
    </w:p>
    <w:p w:rsidR="008C10EF" w:rsidRPr="00CE0AFC" w:rsidRDefault="00C32948" w:rsidP="00CE0AFC">
      <w:pPr>
        <w:keepNext/>
        <w:spacing w:before="40" w:after="40"/>
        <w:jc w:val="center"/>
        <w:rPr>
          <w:rFonts w:ascii="Arial" w:hAnsi="Arial" w:cs="Arial"/>
          <w:i/>
          <w:iCs/>
          <w:sz w:val="20"/>
          <w:szCs w:val="20"/>
        </w:rPr>
      </w:pPr>
      <w:r w:rsidRPr="00CE0AFC">
        <w:rPr>
          <w:rFonts w:ascii="Arial" w:hAnsi="Arial" w:cs="Arial"/>
          <w:b/>
          <w:bCs/>
          <w:i/>
          <w:iCs/>
          <w:color w:val="1F3A5F"/>
          <w:sz w:val="20"/>
          <w:szCs w:val="20"/>
        </w:rPr>
        <w:t xml:space="preserve">Figure A1. </w:t>
      </w:r>
      <w:proofErr w:type="spellStart"/>
      <w:r w:rsidRPr="00CE0AFC">
        <w:rPr>
          <w:rFonts w:ascii="Arial" w:hAnsi="Arial" w:cs="Arial"/>
          <w:b/>
          <w:bCs/>
          <w:i/>
          <w:iCs/>
          <w:color w:val="222222"/>
          <w:sz w:val="20"/>
          <w:szCs w:val="20"/>
        </w:rPr>
        <w:t>Codelco</w:t>
      </w:r>
      <w:proofErr w:type="spellEnd"/>
      <w:r w:rsidRPr="00CE0AFC">
        <w:rPr>
          <w:rFonts w:ascii="Arial" w:hAnsi="Arial" w:cs="Arial"/>
          <w:b/>
          <w:bCs/>
          <w:i/>
          <w:iCs/>
          <w:color w:val="222222"/>
          <w:sz w:val="20"/>
          <w:szCs w:val="20"/>
        </w:rPr>
        <w:t xml:space="preserve"> copper sales by destination, 2025 (% of sales)</w:t>
      </w:r>
    </w:p>
    <w:p w:rsidR="008C10EF" w:rsidRPr="00CE0AFC" w:rsidRDefault="00A51030" w:rsidP="00CE0AFC">
      <w:pPr>
        <w:spacing w:after="240"/>
        <w:jc w:val="center"/>
        <w:rPr>
          <w:rFonts w:ascii="Arial" w:hAnsi="Arial" w:cs="Arial"/>
          <w:i/>
          <w:iCs/>
          <w:sz w:val="20"/>
          <w:szCs w:val="20"/>
        </w:rPr>
      </w:pPr>
      <w:r w:rsidRPr="00CE0AFC">
        <w:rPr>
          <w:rFonts w:ascii="Arial" w:hAnsi="Arial" w:cs="Arial"/>
          <w:i/>
          <w:iCs/>
          <w:color w:val="52514E"/>
          <w:sz w:val="20"/>
          <w:szCs w:val="20"/>
        </w:rPr>
        <w:t xml:space="preserve">Source: </w:t>
      </w:r>
      <w:proofErr w:type="spellStart"/>
      <w:r w:rsidR="00C32948" w:rsidRPr="00CE0AFC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="00C32948" w:rsidRPr="00CE0AFC">
        <w:rPr>
          <w:rFonts w:ascii="Arial" w:hAnsi="Arial" w:cs="Arial"/>
          <w:i/>
          <w:iCs/>
          <w:color w:val="52514E"/>
          <w:sz w:val="20"/>
          <w:szCs w:val="20"/>
        </w:rPr>
        <w:t xml:space="preserve"> (2026a).</w:t>
      </w:r>
    </w:p>
    <w:p w:rsidR="008C10EF" w:rsidRPr="008E769A" w:rsidRDefault="002C2825">
      <w:pPr>
        <w:pStyle w:val="Heading2"/>
        <w:keepNext/>
        <w:rPr>
          <w:rFonts w:ascii="Arial" w:hAnsi="Arial" w:cs="Arial"/>
          <w:sz w:val="24"/>
          <w:szCs w:val="24"/>
        </w:rPr>
      </w:pPr>
      <w:bookmarkStart w:id="39" w:name="_Toc242226363"/>
      <w:bookmarkStart w:id="40" w:name="_Toc242962127"/>
      <w:r w:rsidRPr="008E769A">
        <w:rPr>
          <w:rFonts w:ascii="Arial" w:hAnsi="Arial" w:cs="Arial"/>
          <w:sz w:val="24"/>
          <w:szCs w:val="24"/>
        </w:rPr>
        <w:t>A.2 Competitors</w:t>
      </w:r>
      <w:bookmarkEnd w:id="39"/>
      <w:bookmarkEnd w:id="40"/>
    </w:p>
    <w:p w:rsidR="008C10EF" w:rsidRPr="008E769A" w:rsidRDefault="00C32948">
      <w:pPr>
        <w:spacing w:after="160" w:line="300" w:lineRule="auto"/>
        <w:jc w:val="both"/>
        <w:rPr>
          <w:rFonts w:ascii="Arial" w:hAnsi="Arial" w:cs="Arial"/>
          <w:sz w:val="24"/>
          <w:szCs w:val="24"/>
        </w:rPr>
      </w:pPr>
      <w:r w:rsidRPr="008E769A">
        <w:rPr>
          <w:rFonts w:ascii="Arial" w:hAnsi="Arial" w:cs="Arial"/>
          <w:sz w:val="24"/>
          <w:szCs w:val="24"/>
        </w:rPr>
        <w:t xml:space="preserve">Kotler et al. (2020) distinguish direct from indirect competitors. Directly, BHP has overtaken </w:t>
      </w: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in low-carbon credibility: it contracted fully renewable power for </w:t>
      </w:r>
      <w:proofErr w:type="spellStart"/>
      <w:r w:rsidRPr="008E769A">
        <w:rPr>
          <w:rFonts w:ascii="Arial" w:hAnsi="Arial" w:cs="Arial"/>
          <w:sz w:val="24"/>
          <w:szCs w:val="24"/>
        </w:rPr>
        <w:t>Escondida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and Spence in 2019 (Engineering News, 2019) and reports a 33% cut in operational emissions against FY2020, beyond its FY2030 target (BHP, 2026). Antofagasta aims to halve Scope 1+2 emissions by 2035 (Mining Reporters, 2024), while Freeport-McMoRan’s 2025 force majeure at Grasberg tightened supply and lifted prices for all producers (Reuters, 2025a). </w:t>
      </w:r>
      <w:proofErr w:type="spellStart"/>
      <w:r w:rsidRPr="008E769A">
        <w:rPr>
          <w:rFonts w:ascii="Arial" w:hAnsi="Arial" w:cs="Arial"/>
          <w:sz w:val="24"/>
          <w:szCs w:val="24"/>
        </w:rPr>
        <w:t>Codelco</w:t>
      </w:r>
      <w:proofErr w:type="spellEnd"/>
      <w:r w:rsidRPr="008E769A">
        <w:rPr>
          <w:rFonts w:ascii="Arial" w:hAnsi="Arial" w:cs="Arial"/>
          <w:sz w:val="24"/>
          <w:szCs w:val="24"/>
        </w:rPr>
        <w:t xml:space="preserve"> has the most ambitious target but </w:t>
      </w:r>
      <w:r w:rsidRPr="008E769A">
        <w:rPr>
          <w:rFonts w:ascii="Arial" w:hAnsi="Arial" w:cs="Arial"/>
          <w:sz w:val="24"/>
          <w:szCs w:val="24"/>
        </w:rPr>
        <w:lastRenderedPageBreak/>
        <w:t xml:space="preserve">the weakest progress (Figure A2; Table A1), so it is a market leader by volume but a follower in decarbonisation; as leader, it must protect its share by closing this credibility gap (Kotler et al., 2020). Indirectly, aluminium threatens copper as prices rise: automakers including Tesla and BMW use aluminium wiring, and substitution could </w:t>
      </w:r>
      <w:r w:rsidR="00CE0AFC" w:rsidRPr="00C32948">
        <w:rPr>
          <w:rFonts w:ascii="Arial" w:hAnsi="Arial" w:cs="Arial"/>
          <w:noProof/>
        </w:rPr>
        <w:drawing>
          <wp:anchor distT="0" distB="0" distL="114300" distR="114300" simplePos="0" relativeHeight="251672576" behindDoc="0" locked="0" layoutInCell="1" allowOverlap="1">
            <wp:simplePos x="0" y="0"/>
            <wp:positionH relativeFrom="column">
              <wp:posOffset>53340</wp:posOffset>
            </wp:positionH>
            <wp:positionV relativeFrom="paragraph">
              <wp:posOffset>1196340</wp:posOffset>
            </wp:positionV>
            <wp:extent cx="5334000" cy="2143125"/>
            <wp:effectExtent l="0" t="0" r="0" b="9525"/>
            <wp:wrapTopAndBottom/>
            <wp:docPr id="9" name="f11" descr="Scope 1+2 reduction targets and reported progress: Codelco versus direct competitors" title="Scope 1+2 reduction targets and reported progress: Codelco versus direct competito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8E769A">
        <w:rPr>
          <w:rFonts w:ascii="Arial" w:hAnsi="Arial" w:cs="Arial"/>
          <w:sz w:val="24"/>
          <w:szCs w:val="24"/>
        </w:rPr>
        <w:t>affect 6% of copper demand by 2030 (AL Circle, 2026).</w:t>
      </w:r>
    </w:p>
    <w:p w:rsidR="008C10EF" w:rsidRPr="00CE0AFC" w:rsidRDefault="00C32948" w:rsidP="00CE0AFC">
      <w:pPr>
        <w:keepNext/>
        <w:spacing w:before="40" w:after="40"/>
        <w:jc w:val="center"/>
        <w:rPr>
          <w:rFonts w:ascii="Arial" w:hAnsi="Arial" w:cs="Arial"/>
          <w:sz w:val="20"/>
          <w:szCs w:val="20"/>
        </w:rPr>
      </w:pPr>
      <w:r w:rsidRPr="00CE0AFC">
        <w:rPr>
          <w:rFonts w:ascii="Arial" w:hAnsi="Arial" w:cs="Arial"/>
          <w:b/>
          <w:bCs/>
          <w:color w:val="1F3A5F"/>
          <w:sz w:val="20"/>
          <w:szCs w:val="20"/>
        </w:rPr>
        <w:t xml:space="preserve">Figure A2. </w:t>
      </w:r>
      <w:r w:rsidRPr="00CE0AFC">
        <w:rPr>
          <w:rFonts w:ascii="Arial" w:hAnsi="Arial" w:cs="Arial"/>
          <w:b/>
          <w:bCs/>
          <w:color w:val="222222"/>
          <w:sz w:val="20"/>
          <w:szCs w:val="20"/>
        </w:rPr>
        <w:t xml:space="preserve">Scope 1+2 reduction targets and reported progress: </w:t>
      </w:r>
      <w:proofErr w:type="spellStart"/>
      <w:r w:rsidRPr="00CE0AFC">
        <w:rPr>
          <w:rFonts w:ascii="Arial" w:hAnsi="Arial" w:cs="Arial"/>
          <w:b/>
          <w:bCs/>
          <w:color w:val="222222"/>
          <w:sz w:val="20"/>
          <w:szCs w:val="20"/>
        </w:rPr>
        <w:t>Codelco</w:t>
      </w:r>
      <w:proofErr w:type="spellEnd"/>
      <w:r w:rsidRPr="00CE0AFC">
        <w:rPr>
          <w:rFonts w:ascii="Arial" w:hAnsi="Arial" w:cs="Arial"/>
          <w:b/>
          <w:bCs/>
          <w:color w:val="222222"/>
          <w:sz w:val="20"/>
          <w:szCs w:val="20"/>
        </w:rPr>
        <w:t xml:space="preserve"> versus direct competitors</w:t>
      </w:r>
    </w:p>
    <w:p w:rsidR="008C10EF" w:rsidRPr="00883FFF" w:rsidRDefault="00A51030" w:rsidP="00CE0AFC">
      <w:pPr>
        <w:spacing w:after="240"/>
        <w:jc w:val="center"/>
        <w:rPr>
          <w:rFonts w:ascii="Arial" w:hAnsi="Arial" w:cs="Arial"/>
          <w:sz w:val="28"/>
          <w:szCs w:val="28"/>
        </w:rPr>
      </w:pPr>
      <w:r w:rsidRPr="00883FFF">
        <w:rPr>
          <w:rFonts w:ascii="Arial" w:hAnsi="Arial" w:cs="Arial"/>
          <w:i/>
          <w:iCs/>
          <w:color w:val="52514E"/>
          <w:sz w:val="20"/>
          <w:szCs w:val="20"/>
        </w:rPr>
        <w:t xml:space="preserve">Source: </w:t>
      </w:r>
      <w:r w:rsidR="00C32948" w:rsidRPr="00883FFF">
        <w:rPr>
          <w:rFonts w:ascii="Arial" w:hAnsi="Arial" w:cs="Arial"/>
          <w:i/>
          <w:iCs/>
          <w:color w:val="52514E"/>
          <w:sz w:val="20"/>
          <w:szCs w:val="20"/>
        </w:rPr>
        <w:t xml:space="preserve">data from </w:t>
      </w:r>
      <w:proofErr w:type="spellStart"/>
      <w:r w:rsidR="00C32948" w:rsidRPr="00883FFF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="00C32948" w:rsidRPr="00883FFF">
        <w:rPr>
          <w:rFonts w:ascii="Arial" w:hAnsi="Arial" w:cs="Arial"/>
          <w:i/>
          <w:iCs/>
          <w:color w:val="52514E"/>
          <w:sz w:val="20"/>
          <w:szCs w:val="20"/>
        </w:rPr>
        <w:t xml:space="preserve"> (2025a); BHP (2026); Mining Reporters (2024). Baselines differ: </w:t>
      </w:r>
      <w:proofErr w:type="spellStart"/>
      <w:r w:rsidR="00C32948" w:rsidRPr="00883FFF">
        <w:rPr>
          <w:rFonts w:ascii="Arial" w:hAnsi="Arial" w:cs="Arial"/>
          <w:i/>
          <w:iCs/>
          <w:color w:val="52514E"/>
          <w:sz w:val="20"/>
          <w:szCs w:val="20"/>
        </w:rPr>
        <w:t>Codelco</w:t>
      </w:r>
      <w:proofErr w:type="spellEnd"/>
      <w:r w:rsidR="00C32948" w:rsidRPr="00883FFF">
        <w:rPr>
          <w:rFonts w:ascii="Arial" w:hAnsi="Arial" w:cs="Arial"/>
          <w:i/>
          <w:iCs/>
          <w:color w:val="52514E"/>
          <w:sz w:val="20"/>
          <w:szCs w:val="20"/>
        </w:rPr>
        <w:t xml:space="preserve"> 2019, BHP FY2020, </w:t>
      </w:r>
      <w:proofErr w:type="gramStart"/>
      <w:r w:rsidR="00C32948" w:rsidRPr="00883FFF">
        <w:rPr>
          <w:rFonts w:ascii="Arial" w:hAnsi="Arial" w:cs="Arial"/>
          <w:i/>
          <w:iCs/>
          <w:color w:val="52514E"/>
          <w:sz w:val="20"/>
          <w:szCs w:val="20"/>
        </w:rPr>
        <w:t>Antofagasta</w:t>
      </w:r>
      <w:proofErr w:type="gramEnd"/>
      <w:r w:rsidR="00C32948" w:rsidRPr="00883FFF">
        <w:rPr>
          <w:rFonts w:ascii="Arial" w:hAnsi="Arial" w:cs="Arial"/>
          <w:i/>
          <w:iCs/>
          <w:color w:val="52514E"/>
          <w:sz w:val="20"/>
          <w:szCs w:val="20"/>
        </w:rPr>
        <w:t xml:space="preserve"> 2020.</w:t>
      </w:r>
    </w:p>
    <w:p w:rsidR="008C10EF" w:rsidRPr="008E769A" w:rsidRDefault="00C32948">
      <w:pPr>
        <w:keepNext/>
        <w:spacing w:before="200" w:after="80"/>
        <w:rPr>
          <w:rFonts w:ascii="Arial" w:hAnsi="Arial" w:cs="Arial"/>
          <w:sz w:val="28"/>
          <w:szCs w:val="28"/>
        </w:rPr>
      </w:pPr>
      <w:r w:rsidRPr="008E769A">
        <w:rPr>
          <w:rFonts w:ascii="Arial" w:hAnsi="Arial" w:cs="Arial"/>
          <w:b/>
          <w:bCs/>
          <w:color w:val="1F3A5F"/>
          <w:sz w:val="24"/>
          <w:szCs w:val="24"/>
        </w:rPr>
        <w:lastRenderedPageBreak/>
        <w:t xml:space="preserve">Table A1. </w:t>
      </w:r>
      <w:r w:rsidRPr="008E769A">
        <w:rPr>
          <w:rFonts w:ascii="Arial" w:hAnsi="Arial" w:cs="Arial"/>
          <w:b/>
          <w:bCs/>
          <w:color w:val="222222"/>
          <w:sz w:val="24"/>
          <w:szCs w:val="24"/>
        </w:rPr>
        <w:t>Competitor analysis: direct and indirect competitors in low-carbon copper</w:t>
      </w:r>
    </w:p>
    <w:p w:rsidR="00A51030" w:rsidRDefault="002C2825">
      <w:pPr>
        <w:spacing w:before="60" w:after="240"/>
        <w:rPr>
          <w:rFonts w:ascii="Arial" w:hAnsi="Arial" w:cs="Arial"/>
          <w:i/>
          <w:iCs/>
          <w:color w:val="52514E"/>
          <w:sz w:val="17"/>
          <w:szCs w:val="17"/>
        </w:rPr>
      </w:pPr>
      <w:r w:rsidRPr="002C2825">
        <w:rPr>
          <w:rFonts w:ascii="Arial" w:hAnsi="Arial" w:cs="Arial"/>
          <w:i/>
          <w:iCs/>
          <w:noProof/>
          <w:color w:val="52514E"/>
          <w:sz w:val="17"/>
          <w:szCs w:val="17"/>
        </w:rPr>
        <w:drawing>
          <wp:anchor distT="0" distB="0" distL="114300" distR="114300" simplePos="0" relativeHeight="251658240" behindDoc="0" locked="0" layoutInCell="1" allowOverlap="1" wp14:anchorId="61164D90" wp14:editId="61164D91">
            <wp:simplePos x="0" y="0"/>
            <wp:positionH relativeFrom="margin">
              <wp:align>center</wp:align>
            </wp:positionH>
            <wp:positionV relativeFrom="paragraph">
              <wp:posOffset>170180</wp:posOffset>
            </wp:positionV>
            <wp:extent cx="5295900" cy="5033010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5033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8C10EF" w:rsidRPr="00883FFF" w:rsidRDefault="00C32948" w:rsidP="00883FFF">
      <w:pPr>
        <w:spacing w:before="60" w:after="240"/>
        <w:jc w:val="center"/>
        <w:rPr>
          <w:rFonts w:ascii="Arial" w:hAnsi="Arial" w:cs="Arial"/>
          <w:sz w:val="24"/>
          <w:szCs w:val="24"/>
        </w:rPr>
      </w:pPr>
      <w:r w:rsidRPr="00883FFF">
        <w:rPr>
          <w:rFonts w:ascii="Arial" w:hAnsi="Arial" w:cs="Arial"/>
          <w:i/>
          <w:iCs/>
          <w:color w:val="52514E"/>
          <w:sz w:val="20"/>
          <w:szCs w:val="20"/>
        </w:rPr>
        <w:t>Source: author, data from Engineering News (2019); Mining Weekly (2025b); Mining Reporters (2024); Reuters (2025a); BHP (2026); AL Circle (2026).</w:t>
      </w:r>
    </w:p>
    <w:p w:rsidR="006B466C" w:rsidRDefault="00FD3A77">
      <w:pPr>
        <w:keepNext/>
        <w:spacing w:before="200" w:after="80"/>
      </w:pPr>
      <w:r>
        <w:rPr>
          <w:rFonts w:ascii="Arial" w:hAnsi="Arial" w:cs="Arial"/>
          <w:b/>
          <w:bCs/>
          <w:color w:val="1F3A5F"/>
        </w:rPr>
        <w:t xml:space="preserve">Table A2. </w:t>
      </w:r>
      <w:r>
        <w:rPr>
          <w:rFonts w:ascii="Arial" w:hAnsi="Arial" w:cs="Arial"/>
          <w:b/>
          <w:bCs/>
          <w:color w:val="222222"/>
        </w:rPr>
        <w:t>Summary of the microenvironment actors: opportunities and threats</w:t>
      </w:r>
    </w:p>
    <w:tbl>
      <w:tblPr>
        <w:tblW w:w="9026" w:type="dxa"/>
        <w:tblBorders>
          <w:top w:val="single" w:sz="4" w:space="0" w:color="BFBFBF"/>
          <w:left w:val="single" w:sz="4" w:space="0" w:color="BFBFBF"/>
          <w:bottom w:val="single" w:sz="4" w:space="0" w:color="BFBFBF"/>
          <w:right w:val="single" w:sz="4" w:space="0" w:color="BFBFBF"/>
          <w:insideH w:val="single" w:sz="4" w:space="0" w:color="BFBFBF"/>
          <w:insideV w:val="single" w:sz="4" w:space="0" w:color="BFBFBF"/>
        </w:tblBorders>
        <w:tblLayout w:type="fixed"/>
        <w:tblCellMar>
          <w:left w:w="100" w:type="dxa"/>
          <w:right w:w="100" w:type="dxa"/>
        </w:tblCellMar>
        <w:tblLook w:val="04A0" w:firstRow="1" w:lastRow="0" w:firstColumn="1" w:lastColumn="0" w:noHBand="0" w:noVBand="1"/>
      </w:tblPr>
      <w:tblGrid>
        <w:gridCol w:w="1500"/>
        <w:gridCol w:w="2700"/>
        <w:gridCol w:w="2400"/>
        <w:gridCol w:w="2426"/>
      </w:tblGrid>
      <w:tr w:rsidR="006B466C">
        <w:trPr>
          <w:cantSplit/>
          <w:tblHeader/>
        </w:trPr>
        <w:tc>
          <w:tcPr>
            <w:tcW w:w="1500" w:type="dxa"/>
            <w:shd w:val="clear" w:color="auto" w:fill="1F3A5F"/>
          </w:tcPr>
          <w:p w:rsidR="006B466C" w:rsidRDefault="00FD3A77">
            <w:pPr>
              <w:spacing w:before="40" w:after="40"/>
            </w:pPr>
            <w:r>
              <w:rPr>
                <w:rFonts w:ascii="Arial" w:hAnsi="Arial" w:cs="Arial"/>
                <w:b/>
                <w:bCs/>
                <w:color w:val="FFFFFF"/>
                <w:sz w:val="18"/>
                <w:szCs w:val="18"/>
              </w:rPr>
              <w:t>Actor</w:t>
            </w:r>
          </w:p>
        </w:tc>
        <w:tc>
          <w:tcPr>
            <w:tcW w:w="2700" w:type="dxa"/>
            <w:shd w:val="clear" w:color="auto" w:fill="1F3A5F"/>
          </w:tcPr>
          <w:p w:rsidR="006B466C" w:rsidRDefault="00FD3A77">
            <w:pPr>
              <w:spacing w:before="40" w:after="40"/>
            </w:pPr>
            <w:r>
              <w:rPr>
                <w:rFonts w:ascii="Arial" w:hAnsi="Arial" w:cs="Arial"/>
                <w:b/>
                <w:bCs/>
                <w:color w:val="FFFFFF"/>
                <w:sz w:val="18"/>
                <w:szCs w:val="18"/>
              </w:rPr>
              <w:t>Key evidence</w:t>
            </w:r>
          </w:p>
        </w:tc>
        <w:tc>
          <w:tcPr>
            <w:tcW w:w="2400" w:type="dxa"/>
            <w:shd w:val="clear" w:color="auto" w:fill="1F3A5F"/>
          </w:tcPr>
          <w:p w:rsidR="006B466C" w:rsidRDefault="00FD3A77">
            <w:pPr>
              <w:spacing w:before="40" w:after="40"/>
            </w:pPr>
            <w:r>
              <w:rPr>
                <w:rFonts w:ascii="Arial" w:hAnsi="Arial" w:cs="Arial"/>
                <w:b/>
                <w:bCs/>
                <w:color w:val="FFFFFF"/>
                <w:sz w:val="18"/>
                <w:szCs w:val="18"/>
              </w:rPr>
              <w:t>Opportunities</w:t>
            </w:r>
          </w:p>
        </w:tc>
        <w:tc>
          <w:tcPr>
            <w:tcW w:w="2426" w:type="dxa"/>
            <w:shd w:val="clear" w:color="auto" w:fill="1F3A5F"/>
          </w:tcPr>
          <w:p w:rsidR="006B466C" w:rsidRDefault="00FD3A77">
            <w:pPr>
              <w:spacing w:before="40" w:after="40"/>
            </w:pPr>
            <w:r>
              <w:rPr>
                <w:rFonts w:ascii="Arial" w:hAnsi="Arial" w:cs="Arial"/>
                <w:b/>
                <w:bCs/>
                <w:color w:val="FFFFFF"/>
                <w:sz w:val="18"/>
                <w:szCs w:val="18"/>
              </w:rPr>
              <w:t>Threats</w:t>
            </w:r>
          </w:p>
        </w:tc>
      </w:tr>
      <w:tr w:rsidR="006B466C">
        <w:trPr>
          <w:cantSplit/>
        </w:trPr>
        <w:tc>
          <w:tcPr>
            <w:tcW w:w="1500" w:type="dxa"/>
            <w:shd w:val="clear" w:color="auto" w:fill="F2F4F7"/>
          </w:tcPr>
          <w:p w:rsidR="006B466C" w:rsidRDefault="00FD3A77">
            <w:pPr>
              <w:spacing w:before="40" w:after="40"/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Customers</w:t>
            </w:r>
          </w:p>
        </w:tc>
        <w:tc>
          <w:tcPr>
            <w:tcW w:w="2700" w:type="dxa"/>
          </w:tcPr>
          <w:p w:rsidR="006B466C" w:rsidRDefault="00FD3A77">
            <w:pPr>
              <w:spacing w:before="40" w:after="40"/>
            </w:pPr>
            <w:r>
              <w:rPr>
                <w:rFonts w:ascii="Arial" w:hAnsi="Arial" w:cs="Arial"/>
                <w:sz w:val="18"/>
                <w:szCs w:val="18"/>
              </w:rPr>
              <w:t xml:space="preserve">China 37.5% of sales, Europe 9.1%; record EU premium US$325/t; Copper Mark and </w:t>
            </w:r>
            <w:proofErr w:type="spellStart"/>
            <w:r>
              <w:rPr>
                <w:rFonts w:ascii="Arial" w:hAnsi="Arial" w:cs="Arial"/>
                <w:sz w:val="18"/>
                <w:szCs w:val="18"/>
              </w:rPr>
              <w:t>HuellaChile</w:t>
            </w:r>
            <w:proofErr w:type="spellEnd"/>
            <w:r>
              <w:rPr>
                <w:rFonts w:ascii="Arial" w:hAnsi="Arial" w:cs="Arial"/>
                <w:sz w:val="18"/>
                <w:szCs w:val="18"/>
              </w:rPr>
              <w:t xml:space="preserve"> certification</w:t>
            </w:r>
          </w:p>
        </w:tc>
        <w:tc>
          <w:tcPr>
            <w:tcW w:w="2400" w:type="dxa"/>
          </w:tcPr>
          <w:p w:rsidR="006B466C" w:rsidRDefault="00FD3A77">
            <w:pPr>
              <w:spacing w:before="40" w:after="40"/>
            </w:pPr>
            <w:r>
              <w:rPr>
                <w:rFonts w:ascii="Arial" w:hAnsi="Arial" w:cs="Arial"/>
                <w:sz w:val="18"/>
                <w:szCs w:val="18"/>
              </w:rPr>
              <w:t>Premium segments (EV, battery, data-centre, grid OEMs) need certified low-carbon copper</w:t>
            </w:r>
          </w:p>
        </w:tc>
        <w:tc>
          <w:tcPr>
            <w:tcW w:w="2426" w:type="dxa"/>
          </w:tcPr>
          <w:p w:rsidR="006B466C" w:rsidRDefault="00FD3A77">
            <w:pPr>
              <w:spacing w:before="40" w:after="40"/>
            </w:pPr>
            <w:r>
              <w:rPr>
                <w:rFonts w:ascii="Arial" w:hAnsi="Arial" w:cs="Arial"/>
                <w:sz w:val="18"/>
                <w:szCs w:val="18"/>
              </w:rPr>
              <w:t>Price-driven Chinese buyers; uncertain willingness to pay specifically for carbon attributes</w:t>
            </w:r>
          </w:p>
        </w:tc>
      </w:tr>
      <w:tr w:rsidR="006B466C">
        <w:trPr>
          <w:cantSplit/>
        </w:trPr>
        <w:tc>
          <w:tcPr>
            <w:tcW w:w="1500" w:type="dxa"/>
            <w:shd w:val="clear" w:color="auto" w:fill="F2F4F7"/>
          </w:tcPr>
          <w:p w:rsidR="006B466C" w:rsidRDefault="00FD3A77">
            <w:pPr>
              <w:spacing w:before="40" w:after="40"/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Competitors</w:t>
            </w:r>
          </w:p>
        </w:tc>
        <w:tc>
          <w:tcPr>
            <w:tcW w:w="2700" w:type="dxa"/>
          </w:tcPr>
          <w:p w:rsidR="006B466C" w:rsidRDefault="00FD3A77">
            <w:pPr>
              <w:spacing w:before="40" w:after="40"/>
            </w:pPr>
            <w:r>
              <w:rPr>
                <w:rFonts w:ascii="Arial" w:hAnsi="Arial" w:cs="Arial"/>
                <w:sz w:val="18"/>
                <w:szCs w:val="18"/>
              </w:rPr>
              <w:t xml:space="preserve">BHP 33% operational-emissions cut (FY2026) vs </w:t>
            </w:r>
            <w:proofErr w:type="spellStart"/>
            <w:r>
              <w:rPr>
                <w:rFonts w:ascii="Arial" w:hAnsi="Arial" w:cs="Arial"/>
                <w:sz w:val="18"/>
                <w:szCs w:val="18"/>
              </w:rPr>
              <w:t>Codelco</w:t>
            </w:r>
            <w:proofErr w:type="spellEnd"/>
            <w:r>
              <w:rPr>
                <w:rFonts w:ascii="Arial" w:hAnsi="Arial" w:cs="Arial"/>
                <w:sz w:val="18"/>
                <w:szCs w:val="18"/>
              </w:rPr>
              <w:t xml:space="preserve"> 27%; Antofagasta -50% by 2035; aluminium substitution up to 6% of Cu demand by 2030</w:t>
            </w:r>
          </w:p>
        </w:tc>
        <w:tc>
          <w:tcPr>
            <w:tcW w:w="2400" w:type="dxa"/>
          </w:tcPr>
          <w:p w:rsidR="006B466C" w:rsidRDefault="00FD3A77">
            <w:pPr>
              <w:spacing w:before="40" w:after="40"/>
            </w:pPr>
            <w:r>
              <w:rPr>
                <w:rFonts w:ascii="Arial" w:hAnsi="Arial" w:cs="Arial"/>
                <w:sz w:val="18"/>
                <w:szCs w:val="18"/>
              </w:rPr>
              <w:t>Leader scale and state backing to set a copper carbon-disclosure standard; tight supply limits rivals’ ability to take share</w:t>
            </w:r>
          </w:p>
        </w:tc>
        <w:tc>
          <w:tcPr>
            <w:tcW w:w="2426" w:type="dxa"/>
          </w:tcPr>
          <w:p w:rsidR="006B466C" w:rsidRDefault="00FD3A77">
            <w:pPr>
              <w:spacing w:before="40" w:after="40"/>
            </w:pPr>
            <w:proofErr w:type="spellStart"/>
            <w:r>
              <w:rPr>
                <w:rFonts w:ascii="Arial" w:hAnsi="Arial" w:cs="Arial"/>
                <w:sz w:val="18"/>
                <w:szCs w:val="18"/>
              </w:rPr>
              <w:t>Codelco</w:t>
            </w:r>
            <w:proofErr w:type="spellEnd"/>
            <w:r>
              <w:rPr>
                <w:rFonts w:ascii="Arial" w:hAnsi="Arial" w:cs="Arial"/>
                <w:sz w:val="18"/>
                <w:szCs w:val="18"/>
              </w:rPr>
              <w:t xml:space="preserve"> seen as a decarbonisation follower; green premium may erode as rivals decarbonise; substitution by aluminium</w:t>
            </w:r>
          </w:p>
        </w:tc>
      </w:tr>
    </w:tbl>
    <w:p w:rsidR="006B466C" w:rsidRPr="00883FFF" w:rsidRDefault="00FD3A77" w:rsidP="00883FFF">
      <w:pPr>
        <w:spacing w:before="60" w:after="240"/>
        <w:jc w:val="center"/>
        <w:rPr>
          <w:sz w:val="24"/>
          <w:szCs w:val="24"/>
        </w:rPr>
      </w:pPr>
      <w:r w:rsidRPr="00883FFF">
        <w:rPr>
          <w:rFonts w:ascii="Arial" w:hAnsi="Arial" w:cs="Arial"/>
          <w:i/>
          <w:iCs/>
          <w:color w:val="52514E"/>
          <w:sz w:val="20"/>
          <w:szCs w:val="20"/>
        </w:rPr>
        <w:t>Source: author, synthesising sections A.1-A.2.</w:t>
      </w:r>
    </w:p>
    <w:sectPr w:rsidR="006B466C" w:rsidRPr="00883FFF" w:rsidSect="00850247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D0964" w:rsidRDefault="005D0964">
      <w:r>
        <w:separator/>
      </w:r>
    </w:p>
  </w:endnote>
  <w:endnote w:type="continuationSeparator" w:id="0">
    <w:p w:rsidR="005D0964" w:rsidRDefault="005D09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altName w:val="Cambria Math"/>
    <w:panose1 w:val="02000500000000000000"/>
    <w:charset w:val="01"/>
    <w:family w:val="roman"/>
    <w:notTrueType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32948" w:rsidRDefault="00C32948">
    <w:pPr>
      <w:jc w:val="center"/>
    </w:pPr>
    <w:r>
      <w:rPr>
        <w:color w:val="52514E"/>
        <w:sz w:val="18"/>
        <w:szCs w:val="18"/>
      </w:rPr>
      <w:fldChar w:fldCharType="begin"/>
    </w:r>
    <w:r>
      <w:rPr>
        <w:color w:val="52514E"/>
        <w:sz w:val="18"/>
        <w:szCs w:val="18"/>
      </w:rPr>
      <w:instrText>PAGE</w:instrText>
    </w:r>
    <w:r>
      <w:rPr>
        <w:color w:val="52514E"/>
        <w:sz w:val="18"/>
        <w:szCs w:val="18"/>
      </w:rPr>
      <w:fldChar w:fldCharType="separate"/>
    </w:r>
    <w:r w:rsidR="00CE0AFC">
      <w:rPr>
        <w:noProof/>
        <w:color w:val="52514E"/>
        <w:sz w:val="18"/>
        <w:szCs w:val="18"/>
      </w:rPr>
      <w:t>7</w:t>
    </w:r>
    <w:r>
      <w:rPr>
        <w:color w:val="52514E"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D0964" w:rsidRDefault="005D0964">
      <w:r>
        <w:separator/>
      </w:r>
    </w:p>
  </w:footnote>
  <w:footnote w:type="continuationSeparator" w:id="0">
    <w:p w:rsidR="005D0964" w:rsidRDefault="005D096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32948" w:rsidRPr="00C32948" w:rsidRDefault="00C32948">
    <w:pPr>
      <w:jc w:val="right"/>
      <w:rPr>
        <w:lang w:val="en-US"/>
      </w:rPr>
    </w:pPr>
    <w:proofErr w:type="spellStart"/>
    <w:r>
      <w:rPr>
        <w:color w:val="52514E"/>
        <w:sz w:val="16"/>
        <w:szCs w:val="16"/>
        <w:lang w:val="en-US"/>
      </w:rPr>
      <w:t>Hetvi</w:t>
    </w:r>
    <w:proofErr w:type="spellEnd"/>
    <w:r>
      <w:rPr>
        <w:color w:val="52514E"/>
        <w:sz w:val="16"/>
        <w:szCs w:val="16"/>
        <w:lang w:val="en-US"/>
      </w:rPr>
      <w:t xml:space="preserve"> Patel                                                                                                                            MBA INTERNATIONAL BUSINESS | Marketing Management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F560AB1"/>
    <w:multiLevelType w:val="hybridMultilevel"/>
    <w:tmpl w:val="C47435C0"/>
    <w:lvl w:ilvl="0" w:tplc="7DDCC3CC">
      <w:start w:val="1"/>
      <w:numFmt w:val="bullet"/>
      <w:lvlText w:val="●"/>
      <w:lvlJc w:val="left"/>
      <w:pPr>
        <w:ind w:left="720" w:hanging="360"/>
      </w:pPr>
    </w:lvl>
    <w:lvl w:ilvl="1" w:tplc="FD124A40">
      <w:start w:val="1"/>
      <w:numFmt w:val="bullet"/>
      <w:lvlText w:val="○"/>
      <w:lvlJc w:val="left"/>
      <w:pPr>
        <w:ind w:left="1440" w:hanging="360"/>
      </w:pPr>
    </w:lvl>
    <w:lvl w:ilvl="2" w:tplc="08E0BD8E">
      <w:start w:val="1"/>
      <w:numFmt w:val="bullet"/>
      <w:lvlText w:val="■"/>
      <w:lvlJc w:val="left"/>
      <w:pPr>
        <w:ind w:left="2160" w:hanging="360"/>
      </w:pPr>
    </w:lvl>
    <w:lvl w:ilvl="3" w:tplc="7C485E40">
      <w:start w:val="1"/>
      <w:numFmt w:val="bullet"/>
      <w:lvlText w:val="●"/>
      <w:lvlJc w:val="left"/>
      <w:pPr>
        <w:ind w:left="2880" w:hanging="360"/>
      </w:pPr>
    </w:lvl>
    <w:lvl w:ilvl="4" w:tplc="1AC2F672">
      <w:start w:val="1"/>
      <w:numFmt w:val="bullet"/>
      <w:lvlText w:val="○"/>
      <w:lvlJc w:val="left"/>
      <w:pPr>
        <w:ind w:left="3600" w:hanging="360"/>
      </w:pPr>
    </w:lvl>
    <w:lvl w:ilvl="5" w:tplc="371C767E">
      <w:start w:val="1"/>
      <w:numFmt w:val="bullet"/>
      <w:lvlText w:val="■"/>
      <w:lvlJc w:val="left"/>
      <w:pPr>
        <w:ind w:left="4320" w:hanging="360"/>
      </w:pPr>
    </w:lvl>
    <w:lvl w:ilvl="6" w:tplc="1B98F7B8">
      <w:start w:val="1"/>
      <w:numFmt w:val="bullet"/>
      <w:lvlText w:val="●"/>
      <w:lvlJc w:val="left"/>
      <w:pPr>
        <w:ind w:left="5040" w:hanging="360"/>
      </w:pPr>
    </w:lvl>
    <w:lvl w:ilvl="7" w:tplc="162C129E">
      <w:start w:val="1"/>
      <w:numFmt w:val="bullet"/>
      <w:lvlText w:val="●"/>
      <w:lvlJc w:val="left"/>
      <w:pPr>
        <w:ind w:left="5760" w:hanging="360"/>
      </w:pPr>
    </w:lvl>
    <w:lvl w:ilvl="8" w:tplc="A300C34A">
      <w:start w:val="1"/>
      <w:numFmt w:val="bullet"/>
      <w:lvlText w:val="●"/>
      <w:lvlJc w:val="left"/>
      <w:pPr>
        <w:ind w:left="6480" w:hanging="360"/>
      </w:pPr>
    </w:lvl>
  </w:abstractNum>
  <w:num w:numId="1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10EF"/>
    <w:rsid w:val="00007F9B"/>
    <w:rsid w:val="00024772"/>
    <w:rsid w:val="000B13DE"/>
    <w:rsid w:val="000C3D13"/>
    <w:rsid w:val="001A6FF0"/>
    <w:rsid w:val="002466B0"/>
    <w:rsid w:val="00246FD7"/>
    <w:rsid w:val="00254EA3"/>
    <w:rsid w:val="00292379"/>
    <w:rsid w:val="002C2825"/>
    <w:rsid w:val="002D7E02"/>
    <w:rsid w:val="002F7467"/>
    <w:rsid w:val="003B20EE"/>
    <w:rsid w:val="003C604F"/>
    <w:rsid w:val="005060C2"/>
    <w:rsid w:val="00525835"/>
    <w:rsid w:val="00543D97"/>
    <w:rsid w:val="005D0964"/>
    <w:rsid w:val="00632BE7"/>
    <w:rsid w:val="006707EE"/>
    <w:rsid w:val="006874A4"/>
    <w:rsid w:val="006B466C"/>
    <w:rsid w:val="007343B1"/>
    <w:rsid w:val="0077541F"/>
    <w:rsid w:val="00785957"/>
    <w:rsid w:val="007F5B17"/>
    <w:rsid w:val="00850247"/>
    <w:rsid w:val="00874870"/>
    <w:rsid w:val="0087518C"/>
    <w:rsid w:val="00883FFF"/>
    <w:rsid w:val="008A1CB7"/>
    <w:rsid w:val="008C10EF"/>
    <w:rsid w:val="008E769A"/>
    <w:rsid w:val="00905438"/>
    <w:rsid w:val="00A51030"/>
    <w:rsid w:val="00A72624"/>
    <w:rsid w:val="00A91277"/>
    <w:rsid w:val="00A95EB2"/>
    <w:rsid w:val="00BF4CC2"/>
    <w:rsid w:val="00C32948"/>
    <w:rsid w:val="00CA7E79"/>
    <w:rsid w:val="00CD69BC"/>
    <w:rsid w:val="00CE0AFC"/>
    <w:rsid w:val="00D00C9E"/>
    <w:rsid w:val="00D76E01"/>
    <w:rsid w:val="00E019E0"/>
    <w:rsid w:val="00E055F9"/>
    <w:rsid w:val="00E902CB"/>
    <w:rsid w:val="00E955CC"/>
    <w:rsid w:val="00FA7390"/>
    <w:rsid w:val="00FD3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B4B0752-3BBB-49A2-BA54-931C708E69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Calibri"/>
        <w:sz w:val="22"/>
        <w:szCs w:val="22"/>
        <w:lang w:val="en-IN" w:eastAsia="en-IN" w:bidi="gu-IN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cs="Shruti"/>
    </w:rPr>
  </w:style>
  <w:style w:type="paragraph" w:styleId="Heading1">
    <w:name w:val="heading 1"/>
    <w:qFormat/>
    <w:pPr>
      <w:pBdr>
        <w:bottom w:val="single" w:sz="8" w:space="4" w:color="B4602E"/>
      </w:pBdr>
      <w:spacing w:before="120" w:after="240"/>
      <w:outlineLvl w:val="0"/>
    </w:pPr>
    <w:rPr>
      <w:b/>
      <w:bCs/>
      <w:color w:val="1F3A5F"/>
      <w:sz w:val="34"/>
      <w:szCs w:val="34"/>
    </w:rPr>
  </w:style>
  <w:style w:type="paragraph" w:styleId="Heading2">
    <w:name w:val="heading 2"/>
    <w:qFormat/>
    <w:pPr>
      <w:spacing w:before="280" w:after="120"/>
      <w:outlineLvl w:val="1"/>
    </w:pPr>
    <w:rPr>
      <w:b/>
      <w:bCs/>
      <w:color w:val="B4602E"/>
      <w:sz w:val="26"/>
      <w:szCs w:val="26"/>
    </w:rPr>
  </w:style>
  <w:style w:type="paragraph" w:styleId="Heading3">
    <w:name w:val="heading 3"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qFormat/>
    <w:pPr>
      <w:outlineLvl w:val="3"/>
    </w:pPr>
    <w:rPr>
      <w:i/>
      <w:iCs/>
      <w:color w:val="2E74B5"/>
    </w:rPr>
  </w:style>
  <w:style w:type="paragraph" w:styleId="Heading5">
    <w:name w:val="heading 5"/>
    <w:qFormat/>
    <w:pPr>
      <w:outlineLvl w:val="4"/>
    </w:pPr>
    <w:rPr>
      <w:color w:val="2E74B5"/>
    </w:rPr>
  </w:style>
  <w:style w:type="paragraph" w:styleId="Heading6">
    <w:name w:val="heading 6"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C3294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32948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C3294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32948"/>
    <w:rPr>
      <w:rFonts w:cs="Shruti"/>
    </w:rPr>
  </w:style>
  <w:style w:type="paragraph" w:styleId="Footer">
    <w:name w:val="footer"/>
    <w:basedOn w:val="Normal"/>
    <w:link w:val="FooterChar"/>
    <w:uiPriority w:val="99"/>
    <w:unhideWhenUsed/>
    <w:rsid w:val="00C3294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2948"/>
    <w:rPr>
      <w:rFonts w:cs="Shruti"/>
    </w:rPr>
  </w:style>
  <w:style w:type="character" w:styleId="CommentReference">
    <w:name w:val="annotation reference"/>
    <w:basedOn w:val="DefaultParagraphFont"/>
    <w:uiPriority w:val="99"/>
    <w:semiHidden/>
    <w:unhideWhenUsed/>
    <w:rsid w:val="00543D9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43D9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43D97"/>
    <w:rPr>
      <w:rFonts w:cs="Shruti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43D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43D97"/>
    <w:rPr>
      <w:rFonts w:cs="Shruti"/>
      <w:b/>
      <w:bCs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0C3D13"/>
    <w:pPr>
      <w:keepNext/>
      <w:keepLines/>
      <w:pBdr>
        <w:bottom w:val="none" w:sz="0" w:space="0" w:color="auto"/>
      </w:pBdr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sz w:val="32"/>
      <w:szCs w:val="32"/>
      <w:lang w:val="en-US" w:eastAsia="en-US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2186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04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1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85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86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64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91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9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37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62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5C86B9-4AC0-46E9-9226-D0E4EFA073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27</Pages>
  <Words>5863</Words>
  <Characters>33423</Characters>
  <Application>Microsoft Office Word</Application>
  <DocSecurity>0</DocSecurity>
  <Lines>278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Codelco: Marketing Environment and Low-Carbon Growth Strategy</vt:lpstr>
    </vt:vector>
  </TitlesOfParts>
  <Company/>
  <LinksUpToDate>false</LinksUpToDate>
  <CharactersWithSpaces>39208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Codelco: Marketing Environment and Low-Carbon Growth Strategy</dc:title>
  <dc:creator>Zarna</dc:creator>
  <cp:lastModifiedBy>Microsoft account</cp:lastModifiedBy>
  <cp:revision>10</cp:revision>
  <dcterms:created xsi:type="dcterms:W3CDTF">2026-10-15T12:00:00Z</dcterms:created>
  <dcterms:modified xsi:type="dcterms:W3CDTF">2026-10-19T18:55:00Z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881938149a1ac7d1ec624d1d70616fd8109e759b0ff6289d7e0f75319149a30e</vt:lpwstr>
  </property>
</Properties>
</file>