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5DBAA" w14:textId="1057269F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  <w:r>
        <w:rPr>
          <w:rFonts w:ascii="Segoe UI" w:hAnsi="Segoe UI" w:cs="Segoe UI"/>
          <w:b/>
          <w:bCs/>
          <w:color w:val="404040"/>
          <w:kern w:val="0"/>
          <w14:ligatures w14:val="none"/>
        </w:rPr>
        <w:t xml:space="preserve">Student Name:Katerina Sugarova </w:t>
      </w:r>
    </w:p>
    <w:p w14:paraId="55EC1120" w14:textId="7D170EF6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  <w:r>
        <w:rPr>
          <w:rFonts w:ascii="Segoe UI" w:hAnsi="Segoe UI" w:cs="Segoe UI"/>
          <w:b/>
          <w:bCs/>
          <w:color w:val="404040"/>
          <w:kern w:val="0"/>
          <w14:ligatures w14:val="none"/>
        </w:rPr>
        <w:t>Student ID:2220482</w:t>
      </w:r>
    </w:p>
    <w:p w14:paraId="57F18C78" w14:textId="77777777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</w:p>
    <w:p w14:paraId="603666DF" w14:textId="77777777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</w:p>
    <w:p w14:paraId="28C1B3BB" w14:textId="77777777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</w:p>
    <w:p w14:paraId="131E87DF" w14:textId="77777777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</w:p>
    <w:p w14:paraId="193C6EFB" w14:textId="77777777" w:rsid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b/>
          <w:bCs/>
          <w:color w:val="404040"/>
          <w:kern w:val="0"/>
          <w14:ligatures w14:val="none"/>
        </w:rPr>
      </w:pPr>
    </w:p>
    <w:p w14:paraId="4C09A9D2" w14:textId="154F2B4A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 xml:space="preserve">Understanding </w:t>
      </w:r>
      <w:proofErr w:type="spellStart"/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 xml:space="preserve">: Breaking Down </w:t>
      </w:r>
      <w:proofErr w:type="spellStart"/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Hodder's</w:t>
      </w:r>
      <w:proofErr w:type="spellEnd"/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 xml:space="preserve"> Famous Article</w:t>
      </w:r>
    </w:p>
    <w:p w14:paraId="29C4C1EB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This paper looks at Ian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Hodder's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important 2007 article </w:t>
      </w:r>
      <w:proofErr w:type="spellStart"/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 xml:space="preserve"> in the Context of the Middle Eastern Neolithic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 (published in </w:t>
      </w:r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Annual Review of Anthropology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). It's written for archaeology students and experts, which you can tell from all the technical terms like "symbolic taxonomy" (p.108) and 80+ references at the end.</w:t>
      </w:r>
    </w:p>
    <w:p w14:paraId="7C502C09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1. Who Wrote It and Their Approach</w:t>
      </w:r>
    </w:p>
    <w:p w14:paraId="2AB6430B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Hodder's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been running digs at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since 1993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2006, p.15). What makes him different is how he treats every painted wall and figurine as seriously as tools or bones. Some traditional archaeologists like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Binford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(2005, p.204) called this "storytelling not science," but others think it brings the site to life.</w:t>
      </w:r>
    </w:p>
    <w:p w14:paraId="2D36B485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2. When It Came Out and Why It Matters</w:t>
      </w:r>
    </w:p>
    <w:p w14:paraId="26B81CA6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Published during the big 2000s debates about Neolithic art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Meskell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2008, p.45),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had new lab tech to back his ideas. While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Mellaart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(1967) saw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Çatalhöyük's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paintings as simple decoration,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proved some were repainted 100+ times - way too much effort just for looks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2007, p.112).</w:t>
      </w:r>
    </w:p>
    <w:p w14:paraId="002FC6FA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3. The Key Arguments</w:t>
      </w:r>
    </w:p>
    <w:p w14:paraId="43F120EA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Hodder's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main point is that "religion wasn't separate from daily life" (p.110). He shows this through:</w:t>
      </w:r>
    </w:p>
    <w:p w14:paraId="14887E6A" w14:textId="77777777" w:rsidR="006844D3" w:rsidRPr="006844D3" w:rsidRDefault="006844D3" w:rsidP="006844D3">
      <w:pPr>
        <w:numPr>
          <w:ilvl w:val="0"/>
          <w:numId w:val="1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Burials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: 62 skeletons found under sleeping platforms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2005, p.33)</w:t>
      </w:r>
    </w:p>
    <w:p w14:paraId="53665C5B" w14:textId="77777777" w:rsidR="006844D3" w:rsidRPr="006844D3" w:rsidRDefault="006844D3" w:rsidP="006844D3">
      <w:pPr>
        <w:numPr>
          <w:ilvl w:val="0"/>
          <w:numId w:val="1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Art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: Layers of repainted walls (like House 1's vulture mural)</w:t>
      </w:r>
    </w:p>
    <w:p w14:paraId="18F20393" w14:textId="77777777" w:rsidR="006844D3" w:rsidRPr="006844D3" w:rsidRDefault="006844D3" w:rsidP="006844D3">
      <w:pPr>
        <w:numPr>
          <w:ilvl w:val="0"/>
          <w:numId w:val="1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Strange finds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: Bull horns built into walls and pillars</w:t>
      </w:r>
    </w:p>
    <w:p w14:paraId="177FE330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lastRenderedPageBreak/>
        <w:t>The child burial holding a plastered skull (Fig.3) is his strongest evidence for ancestor worship.</w:t>
      </w:r>
    </w:p>
    <w:p w14:paraId="203B788A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4. The Good and Bad of His Evidence</w:t>
      </w:r>
    </w:p>
    <w:p w14:paraId="248C0047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Strong points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:</w:t>
      </w:r>
    </w:p>
    <w:p w14:paraId="29F37BD6" w14:textId="77777777" w:rsidR="006844D3" w:rsidRPr="006844D3" w:rsidRDefault="006844D3" w:rsidP="006844D3">
      <w:pPr>
        <w:numPr>
          <w:ilvl w:val="0"/>
          <w:numId w:val="2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20 years of careful digging records</w:t>
      </w:r>
    </w:p>
    <w:p w14:paraId="7CE284A0" w14:textId="77777777" w:rsidR="006844D3" w:rsidRPr="006844D3" w:rsidRDefault="006844D3" w:rsidP="006844D3">
      <w:pPr>
        <w:numPr>
          <w:ilvl w:val="0"/>
          <w:numId w:val="2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Proper scientific tests on 200+ paint samples</w:t>
      </w:r>
    </w:p>
    <w:p w14:paraId="1906DDB2" w14:textId="77777777" w:rsidR="006844D3" w:rsidRPr="006844D3" w:rsidRDefault="006844D3" w:rsidP="006844D3">
      <w:pPr>
        <w:numPr>
          <w:ilvl w:val="0"/>
          <w:numId w:val="2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Compares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to 8 other sites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Düring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2005, p.7)</w:t>
      </w:r>
    </w:p>
    <w:p w14:paraId="3773BAF9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Weak points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:</w:t>
      </w:r>
    </w:p>
    <w:p w14:paraId="6DD8BCF8" w14:textId="77777777" w:rsidR="006844D3" w:rsidRPr="006844D3" w:rsidRDefault="006844D3" w:rsidP="006844D3">
      <w:pPr>
        <w:numPr>
          <w:ilvl w:val="0"/>
          <w:numId w:val="3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Some reports he cites are hard to find (like the 2002 field notes)</w:t>
      </w:r>
    </w:p>
    <w:p w14:paraId="2ED6601E" w14:textId="77777777" w:rsidR="006844D3" w:rsidRPr="006844D3" w:rsidRDefault="006844D3" w:rsidP="006844D3">
      <w:pPr>
        <w:numPr>
          <w:ilvl w:val="0"/>
          <w:numId w:val="3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New DNA studies (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Milella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2022) show family ties he couldn't know about</w:t>
      </w:r>
    </w:p>
    <w:p w14:paraId="713239A2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5. What Works and What Doesn't</w:t>
      </w:r>
    </w:p>
    <w:p w14:paraId="2ED9FAC8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The article's great at showing how objects were actually used in homes, but goes too far claiming all female figurines were goddesses. There's a few typos (like "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analyzed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>" spelled wrong on p.115), but the data tables are clear.</w:t>
      </w:r>
    </w:p>
    <w:p w14:paraId="7B7698F4" w14:textId="77777777" w:rsidR="006844D3" w:rsidRPr="006844D3" w:rsidRDefault="006844D3" w:rsidP="006844D3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</w:pPr>
      <w:r w:rsidRPr="006844D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14:ligatures w14:val="none"/>
        </w:rPr>
        <w:t>6. Why It's Helpful For My Work</w:t>
      </w:r>
    </w:p>
    <w:p w14:paraId="0FD6C1BA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This article helps me because:</w:t>
      </w:r>
    </w:p>
    <w:p w14:paraId="3CD2C46D" w14:textId="77777777" w:rsidR="006844D3" w:rsidRPr="006844D3" w:rsidRDefault="006844D3" w:rsidP="006844D3">
      <w:pPr>
        <w:numPr>
          <w:ilvl w:val="0"/>
          <w:numId w:val="4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Shows exact find spots for figurines I'm studying</w:t>
      </w:r>
    </w:p>
    <w:p w14:paraId="7CC66ADA" w14:textId="77777777" w:rsidR="006844D3" w:rsidRPr="006844D3" w:rsidRDefault="006844D3" w:rsidP="006844D3">
      <w:pPr>
        <w:numPr>
          <w:ilvl w:val="0"/>
          <w:numId w:val="4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Proves art was part of everyday life</w:t>
      </w:r>
    </w:p>
    <w:p w14:paraId="62FE248E" w14:textId="77777777" w:rsidR="006844D3" w:rsidRPr="006844D3" w:rsidRDefault="006844D3" w:rsidP="006844D3">
      <w:pPr>
        <w:numPr>
          <w:ilvl w:val="0"/>
          <w:numId w:val="4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>Explains house layouts better than general books</w:t>
      </w:r>
    </w:p>
    <w:p w14:paraId="4ACD4310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It's more detailed than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Wengrow's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(2010) popular book but misses some regional context.</w:t>
      </w:r>
    </w:p>
    <w:p w14:paraId="3F9290BC" w14:textId="77777777" w:rsidR="006844D3" w:rsidRPr="006844D3" w:rsidRDefault="006844D3" w:rsidP="006844D3">
      <w:pPr>
        <w:spacing w:before="100" w:beforeAutospacing="1" w:after="100" w:afterAutospacing="1" w:line="240" w:lineRule="auto"/>
        <w:rPr>
          <w:rFonts w:ascii="Segoe UI" w:hAnsi="Segoe UI" w:cs="Segoe UI"/>
          <w:color w:val="404040"/>
          <w:kern w:val="0"/>
          <w14:ligatures w14:val="none"/>
        </w:rPr>
      </w:pPr>
      <w:r w:rsidRPr="006844D3">
        <w:rPr>
          <w:rFonts w:ascii="Segoe UI" w:hAnsi="Segoe UI" w:cs="Segoe UI"/>
          <w:b/>
          <w:bCs/>
          <w:color w:val="404040"/>
          <w:kern w:val="0"/>
          <w14:ligatures w14:val="none"/>
        </w:rPr>
        <w:t>References</w:t>
      </w:r>
    </w:p>
    <w:p w14:paraId="74C7408E" w14:textId="77777777" w:rsidR="006844D3" w:rsidRPr="006844D3" w:rsidRDefault="006844D3" w:rsidP="006844D3">
      <w:pPr>
        <w:numPr>
          <w:ilvl w:val="0"/>
          <w:numId w:val="5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Binford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>, L. 2005. </w:t>
      </w:r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In Pursuit of the Past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. University of California Press.</w:t>
      </w:r>
    </w:p>
    <w:p w14:paraId="1B0473A3" w14:textId="77777777" w:rsidR="006844D3" w:rsidRPr="006844D3" w:rsidRDefault="006844D3" w:rsidP="006844D3">
      <w:pPr>
        <w:numPr>
          <w:ilvl w:val="0"/>
          <w:numId w:val="5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Düring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, B. 2005. Building continuity at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>. </w:t>
      </w:r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JMA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 18(1): 1-30.</w:t>
      </w:r>
    </w:p>
    <w:p w14:paraId="14D4E4D9" w14:textId="77777777" w:rsidR="006844D3" w:rsidRPr="006844D3" w:rsidRDefault="006844D3" w:rsidP="006844D3">
      <w:pPr>
        <w:numPr>
          <w:ilvl w:val="0"/>
          <w:numId w:val="5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Hodder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, I. 2007. </w:t>
      </w: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Çatalhöyük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 xml:space="preserve"> in context. </w:t>
      </w:r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ARA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 36: 105-120.</w:t>
      </w:r>
    </w:p>
    <w:p w14:paraId="465C07E3" w14:textId="77777777" w:rsidR="006844D3" w:rsidRPr="006844D3" w:rsidRDefault="006844D3" w:rsidP="006844D3">
      <w:pPr>
        <w:numPr>
          <w:ilvl w:val="0"/>
          <w:numId w:val="5"/>
        </w:numPr>
        <w:spacing w:after="0" w:line="240" w:lineRule="auto"/>
        <w:rPr>
          <w:rFonts w:ascii="Segoe UI" w:hAnsi="Segoe UI" w:cs="Segoe UI"/>
          <w:color w:val="404040"/>
          <w:kern w:val="0"/>
          <w14:ligatures w14:val="none"/>
        </w:rPr>
      </w:pPr>
      <w:proofErr w:type="spellStart"/>
      <w:r w:rsidRPr="006844D3">
        <w:rPr>
          <w:rFonts w:ascii="Segoe UI" w:hAnsi="Segoe UI" w:cs="Segoe UI"/>
          <w:color w:val="404040"/>
          <w:kern w:val="0"/>
          <w14:ligatures w14:val="none"/>
        </w:rPr>
        <w:t>Meskell</w:t>
      </w:r>
      <w:proofErr w:type="spellEnd"/>
      <w:r w:rsidRPr="006844D3">
        <w:rPr>
          <w:rFonts w:ascii="Segoe UI" w:hAnsi="Segoe UI" w:cs="Segoe UI"/>
          <w:color w:val="404040"/>
          <w:kern w:val="0"/>
          <w14:ligatures w14:val="none"/>
        </w:rPr>
        <w:t>, L. 2008. Memory's materiality. </w:t>
      </w:r>
      <w:r w:rsidRPr="006844D3">
        <w:rPr>
          <w:rFonts w:ascii="Segoe UI" w:hAnsi="Segoe UI" w:cs="Segoe UI"/>
          <w:i/>
          <w:iCs/>
          <w:color w:val="404040"/>
          <w:kern w:val="0"/>
          <w14:ligatures w14:val="none"/>
        </w:rPr>
        <w:t>Archaeological Dialogues</w:t>
      </w:r>
      <w:r w:rsidRPr="006844D3">
        <w:rPr>
          <w:rFonts w:ascii="Segoe UI" w:hAnsi="Segoe UI" w:cs="Segoe UI"/>
          <w:color w:val="404040"/>
          <w:kern w:val="0"/>
          <w14:ligatures w14:val="none"/>
        </w:rPr>
        <w:t> 15(1): 38-58</w:t>
      </w:r>
    </w:p>
    <w:p w14:paraId="0E7DA3DF" w14:textId="77777777" w:rsidR="006844D3" w:rsidRDefault="006844D3"/>
    <w:sectPr w:rsidR="00684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0C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C121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D55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6E2B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C472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8837749">
    <w:abstractNumId w:val="2"/>
  </w:num>
  <w:num w:numId="2" w16cid:durableId="1574005146">
    <w:abstractNumId w:val="1"/>
  </w:num>
  <w:num w:numId="3" w16cid:durableId="1353727983">
    <w:abstractNumId w:val="0"/>
  </w:num>
  <w:num w:numId="4" w16cid:durableId="556674317">
    <w:abstractNumId w:val="4"/>
  </w:num>
  <w:num w:numId="5" w16cid:durableId="822819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D3"/>
    <w:rsid w:val="006844D3"/>
    <w:rsid w:val="00C3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F17D3D"/>
  <w15:chartTrackingRefBased/>
  <w15:docId w15:val="{C46364F7-7465-8348-83C3-AB1919D1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44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4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4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4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4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4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4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4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4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4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4D3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Normal"/>
    <w:rsid w:val="006844D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844D3"/>
    <w:rPr>
      <w:b/>
      <w:bCs/>
    </w:rPr>
  </w:style>
  <w:style w:type="character" w:customStyle="1" w:styleId="apple-converted-space">
    <w:name w:val="apple-converted-space"/>
    <w:basedOn w:val="DefaultParagraphFont"/>
    <w:rsid w:val="006844D3"/>
  </w:style>
  <w:style w:type="character" w:styleId="Emphasis">
    <w:name w:val="Emphasis"/>
    <w:basedOn w:val="DefaultParagraphFont"/>
    <w:uiPriority w:val="20"/>
    <w:qFormat/>
    <w:rsid w:val="006844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Sugarova</dc:creator>
  <cp:keywords/>
  <dc:description/>
  <cp:lastModifiedBy>Katerina Sugarova</cp:lastModifiedBy>
  <cp:revision>2</cp:revision>
  <dcterms:created xsi:type="dcterms:W3CDTF">2025-08-05T22:53:00Z</dcterms:created>
  <dcterms:modified xsi:type="dcterms:W3CDTF">2025-08-05T22:53:00Z</dcterms:modified>
</cp:coreProperties>
</file>