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EA0182" w14:textId="77777777" w:rsidR="00AD4F68" w:rsidRDefault="00AD4F68" w:rsidP="00A5381B">
      <w:pPr>
        <w:pStyle w:val="Title"/>
        <w:jc w:val="center"/>
        <w:rPr>
          <w:sz w:val="52"/>
          <w:szCs w:val="52"/>
        </w:rPr>
      </w:pPr>
    </w:p>
    <w:p w14:paraId="03A6D118" w14:textId="77777777" w:rsidR="00AD4F68" w:rsidRDefault="00AD4F68" w:rsidP="00A5381B">
      <w:pPr>
        <w:pStyle w:val="Title"/>
        <w:jc w:val="center"/>
        <w:rPr>
          <w:sz w:val="52"/>
          <w:szCs w:val="52"/>
        </w:rPr>
      </w:pPr>
    </w:p>
    <w:p w14:paraId="4E643DCC" w14:textId="77777777" w:rsidR="00AD4F68" w:rsidRDefault="00AD4F68" w:rsidP="00A5381B">
      <w:pPr>
        <w:pStyle w:val="Title"/>
        <w:jc w:val="center"/>
        <w:rPr>
          <w:sz w:val="52"/>
          <w:szCs w:val="52"/>
        </w:rPr>
      </w:pPr>
    </w:p>
    <w:p w14:paraId="7AFAF271" w14:textId="77777777" w:rsidR="00AD4F68" w:rsidRDefault="00AD4F68" w:rsidP="00A5381B">
      <w:pPr>
        <w:pStyle w:val="Title"/>
        <w:jc w:val="center"/>
        <w:rPr>
          <w:sz w:val="52"/>
          <w:szCs w:val="52"/>
        </w:rPr>
      </w:pPr>
    </w:p>
    <w:p w14:paraId="44680F4C" w14:textId="77777777" w:rsidR="00AD4F68" w:rsidRDefault="00AD4F68" w:rsidP="00A5381B">
      <w:pPr>
        <w:pStyle w:val="Title"/>
        <w:jc w:val="center"/>
        <w:rPr>
          <w:sz w:val="52"/>
          <w:szCs w:val="52"/>
        </w:rPr>
      </w:pPr>
    </w:p>
    <w:p w14:paraId="44CCA871" w14:textId="77777777" w:rsidR="00AD4F68" w:rsidRDefault="00AD4F68" w:rsidP="00A5381B">
      <w:pPr>
        <w:pStyle w:val="Title"/>
        <w:jc w:val="center"/>
        <w:rPr>
          <w:sz w:val="52"/>
          <w:szCs w:val="52"/>
        </w:rPr>
      </w:pPr>
    </w:p>
    <w:p w14:paraId="5617E49C" w14:textId="77777777" w:rsidR="00AD4F68" w:rsidRDefault="00AD4F68" w:rsidP="00A5381B">
      <w:pPr>
        <w:pStyle w:val="Title"/>
        <w:jc w:val="center"/>
        <w:rPr>
          <w:sz w:val="52"/>
          <w:szCs w:val="52"/>
        </w:rPr>
      </w:pPr>
    </w:p>
    <w:p w14:paraId="327F6C4B" w14:textId="77777777" w:rsidR="00AD4F68" w:rsidRDefault="00AD4F68" w:rsidP="00A5381B">
      <w:pPr>
        <w:pStyle w:val="Title"/>
        <w:jc w:val="center"/>
        <w:rPr>
          <w:sz w:val="52"/>
          <w:szCs w:val="52"/>
        </w:rPr>
      </w:pPr>
    </w:p>
    <w:p w14:paraId="529AC952" w14:textId="77777777" w:rsidR="00AD4F68" w:rsidRDefault="00AD4F68" w:rsidP="00A5381B">
      <w:pPr>
        <w:pStyle w:val="Title"/>
        <w:jc w:val="center"/>
        <w:rPr>
          <w:sz w:val="52"/>
          <w:szCs w:val="52"/>
        </w:rPr>
      </w:pPr>
    </w:p>
    <w:p w14:paraId="66332846" w14:textId="5D6A5063" w:rsidR="00A5381B" w:rsidRPr="00A5381B" w:rsidRDefault="00A5381B" w:rsidP="00A5381B">
      <w:pPr>
        <w:pStyle w:val="Title"/>
        <w:jc w:val="center"/>
        <w:rPr>
          <w:sz w:val="52"/>
          <w:szCs w:val="52"/>
        </w:rPr>
      </w:pPr>
      <w:r w:rsidRPr="00A5381B">
        <w:rPr>
          <w:sz w:val="52"/>
          <w:szCs w:val="52"/>
        </w:rPr>
        <w:t>Financial Management for the Hotel Industry</w:t>
      </w:r>
    </w:p>
    <w:p w14:paraId="539CF5E5" w14:textId="2D215DC0" w:rsidR="00A5381B" w:rsidRDefault="00A5381B" w:rsidP="00A5381B">
      <w:pPr>
        <w:jc w:val="center"/>
        <w:rPr>
          <w:b/>
          <w:i/>
        </w:rPr>
      </w:pPr>
      <w:r w:rsidRPr="00A5381B">
        <w:rPr>
          <w:b/>
          <w:i/>
        </w:rPr>
        <w:t>Analysis of the Financial Statements and Presentations</w:t>
      </w:r>
    </w:p>
    <w:p w14:paraId="25F4BCA4" w14:textId="77777777" w:rsidR="00AD4F68" w:rsidRDefault="00AD4F68" w:rsidP="00A5381B">
      <w:pPr>
        <w:jc w:val="center"/>
        <w:rPr>
          <w:b/>
          <w:iCs/>
          <w:sz w:val="44"/>
          <w:szCs w:val="40"/>
        </w:rPr>
      </w:pPr>
      <w:r>
        <w:rPr>
          <w:b/>
          <w:iCs/>
          <w:sz w:val="44"/>
          <w:szCs w:val="40"/>
        </w:rPr>
        <w:t xml:space="preserve">Name: </w:t>
      </w:r>
      <w:r w:rsidRPr="00AD4F68">
        <w:rPr>
          <w:b/>
          <w:iCs/>
          <w:sz w:val="44"/>
          <w:szCs w:val="40"/>
        </w:rPr>
        <w:t>Ionela Vlad</w:t>
      </w:r>
    </w:p>
    <w:p w14:paraId="74165D59" w14:textId="1EA9F5DA" w:rsidR="00AD4F68" w:rsidRPr="00AD4F68" w:rsidRDefault="00AD4F68" w:rsidP="00A5381B">
      <w:pPr>
        <w:jc w:val="center"/>
        <w:rPr>
          <w:b/>
          <w:iCs/>
          <w:sz w:val="44"/>
          <w:szCs w:val="40"/>
        </w:rPr>
      </w:pPr>
      <w:r>
        <w:rPr>
          <w:b/>
          <w:iCs/>
          <w:sz w:val="44"/>
          <w:szCs w:val="40"/>
        </w:rPr>
        <w:t xml:space="preserve">Module Code: </w:t>
      </w:r>
      <w:r w:rsidRPr="00AD4F68">
        <w:rPr>
          <w:b/>
          <w:iCs/>
          <w:sz w:val="44"/>
          <w:szCs w:val="40"/>
        </w:rPr>
        <w:t>1905718</w:t>
      </w:r>
    </w:p>
    <w:p w14:paraId="479244AF" w14:textId="77777777" w:rsidR="006716B3" w:rsidRDefault="006716B3">
      <w:pPr>
        <w:spacing w:line="259" w:lineRule="auto"/>
        <w:jc w:val="left"/>
      </w:pPr>
      <w:r>
        <w:br w:type="page"/>
      </w:r>
    </w:p>
    <w:sdt>
      <w:sdtPr>
        <w:rPr>
          <w:rFonts w:ascii="Times New Roman" w:eastAsiaTheme="minorHAnsi" w:hAnsi="Times New Roman" w:cstheme="minorBidi"/>
          <w:color w:val="auto"/>
          <w:sz w:val="24"/>
          <w:szCs w:val="22"/>
        </w:rPr>
        <w:id w:val="982668808"/>
        <w:docPartObj>
          <w:docPartGallery w:val="Table of Contents"/>
          <w:docPartUnique/>
        </w:docPartObj>
      </w:sdtPr>
      <w:sdtEndPr>
        <w:rPr>
          <w:b/>
          <w:bCs/>
          <w:noProof/>
        </w:rPr>
      </w:sdtEndPr>
      <w:sdtContent>
        <w:p w14:paraId="5161B607" w14:textId="77777777" w:rsidR="006716B3" w:rsidRDefault="006716B3">
          <w:pPr>
            <w:pStyle w:val="TOCHeading"/>
          </w:pPr>
          <w:r>
            <w:t>Table of Contents</w:t>
          </w:r>
        </w:p>
        <w:p w14:paraId="2C911D2F" w14:textId="77777777" w:rsidR="006716B3" w:rsidRDefault="006716B3">
          <w:pPr>
            <w:pStyle w:val="TOC1"/>
            <w:tabs>
              <w:tab w:val="right" w:leader="dot" w:pos="9350"/>
            </w:tabs>
            <w:rPr>
              <w:noProof/>
            </w:rPr>
          </w:pPr>
          <w:r>
            <w:fldChar w:fldCharType="begin"/>
          </w:r>
          <w:r>
            <w:instrText xml:space="preserve"> TOC \o "1-3" \h \z \u </w:instrText>
          </w:r>
          <w:r>
            <w:fldChar w:fldCharType="separate"/>
          </w:r>
          <w:hyperlink w:anchor="_Toc44776657" w:history="1">
            <w:r w:rsidRPr="000F3506">
              <w:rPr>
                <w:rStyle w:val="Hyperlink"/>
                <w:noProof/>
              </w:rPr>
              <w:t>Task 1</w:t>
            </w:r>
            <w:r>
              <w:rPr>
                <w:noProof/>
                <w:webHidden/>
              </w:rPr>
              <w:tab/>
            </w:r>
            <w:r>
              <w:rPr>
                <w:noProof/>
                <w:webHidden/>
              </w:rPr>
              <w:fldChar w:fldCharType="begin"/>
            </w:r>
            <w:r>
              <w:rPr>
                <w:noProof/>
                <w:webHidden/>
              </w:rPr>
              <w:instrText xml:space="preserve"> PAGEREF _Toc44776657 \h </w:instrText>
            </w:r>
            <w:r>
              <w:rPr>
                <w:noProof/>
                <w:webHidden/>
              </w:rPr>
            </w:r>
            <w:r>
              <w:rPr>
                <w:noProof/>
                <w:webHidden/>
              </w:rPr>
              <w:fldChar w:fldCharType="separate"/>
            </w:r>
            <w:r>
              <w:rPr>
                <w:noProof/>
                <w:webHidden/>
              </w:rPr>
              <w:t>3</w:t>
            </w:r>
            <w:r>
              <w:rPr>
                <w:noProof/>
                <w:webHidden/>
              </w:rPr>
              <w:fldChar w:fldCharType="end"/>
            </w:r>
          </w:hyperlink>
        </w:p>
        <w:p w14:paraId="56196A77" w14:textId="77777777" w:rsidR="006716B3" w:rsidRDefault="005C5D57">
          <w:pPr>
            <w:pStyle w:val="TOC2"/>
            <w:tabs>
              <w:tab w:val="right" w:leader="dot" w:pos="9350"/>
            </w:tabs>
            <w:rPr>
              <w:noProof/>
            </w:rPr>
          </w:pPr>
          <w:hyperlink w:anchor="_Toc44776658" w:history="1">
            <w:r w:rsidR="006716B3" w:rsidRPr="000F3506">
              <w:rPr>
                <w:rStyle w:val="Hyperlink"/>
                <w:noProof/>
              </w:rPr>
              <w:t>Introduction</w:t>
            </w:r>
            <w:r w:rsidR="006716B3">
              <w:rPr>
                <w:noProof/>
                <w:webHidden/>
              </w:rPr>
              <w:tab/>
            </w:r>
            <w:r w:rsidR="006716B3">
              <w:rPr>
                <w:noProof/>
                <w:webHidden/>
              </w:rPr>
              <w:fldChar w:fldCharType="begin"/>
            </w:r>
            <w:r w:rsidR="006716B3">
              <w:rPr>
                <w:noProof/>
                <w:webHidden/>
              </w:rPr>
              <w:instrText xml:space="preserve"> PAGEREF _Toc44776658 \h </w:instrText>
            </w:r>
            <w:r w:rsidR="006716B3">
              <w:rPr>
                <w:noProof/>
                <w:webHidden/>
              </w:rPr>
            </w:r>
            <w:r w:rsidR="006716B3">
              <w:rPr>
                <w:noProof/>
                <w:webHidden/>
              </w:rPr>
              <w:fldChar w:fldCharType="separate"/>
            </w:r>
            <w:r w:rsidR="006716B3">
              <w:rPr>
                <w:noProof/>
                <w:webHidden/>
              </w:rPr>
              <w:t>3</w:t>
            </w:r>
            <w:r w:rsidR="006716B3">
              <w:rPr>
                <w:noProof/>
                <w:webHidden/>
              </w:rPr>
              <w:fldChar w:fldCharType="end"/>
            </w:r>
          </w:hyperlink>
        </w:p>
        <w:p w14:paraId="281641A1" w14:textId="77777777" w:rsidR="006716B3" w:rsidRDefault="005C5D57">
          <w:pPr>
            <w:pStyle w:val="TOC2"/>
            <w:tabs>
              <w:tab w:val="right" w:leader="dot" w:pos="9350"/>
            </w:tabs>
            <w:rPr>
              <w:noProof/>
            </w:rPr>
          </w:pPr>
          <w:hyperlink w:anchor="_Toc44776659" w:history="1">
            <w:r w:rsidR="006716B3" w:rsidRPr="000F3506">
              <w:rPr>
                <w:rStyle w:val="Hyperlink"/>
                <w:noProof/>
              </w:rPr>
              <w:t>Analyze the financial information included in the financial statements</w:t>
            </w:r>
            <w:r w:rsidR="006716B3">
              <w:rPr>
                <w:noProof/>
                <w:webHidden/>
              </w:rPr>
              <w:tab/>
            </w:r>
            <w:r w:rsidR="006716B3">
              <w:rPr>
                <w:noProof/>
                <w:webHidden/>
              </w:rPr>
              <w:fldChar w:fldCharType="begin"/>
            </w:r>
            <w:r w:rsidR="006716B3">
              <w:rPr>
                <w:noProof/>
                <w:webHidden/>
              </w:rPr>
              <w:instrText xml:space="preserve"> PAGEREF _Toc44776659 \h </w:instrText>
            </w:r>
            <w:r w:rsidR="006716B3">
              <w:rPr>
                <w:noProof/>
                <w:webHidden/>
              </w:rPr>
            </w:r>
            <w:r w:rsidR="006716B3">
              <w:rPr>
                <w:noProof/>
                <w:webHidden/>
              </w:rPr>
              <w:fldChar w:fldCharType="separate"/>
            </w:r>
            <w:r w:rsidR="006716B3">
              <w:rPr>
                <w:noProof/>
                <w:webHidden/>
              </w:rPr>
              <w:t>3</w:t>
            </w:r>
            <w:r w:rsidR="006716B3">
              <w:rPr>
                <w:noProof/>
                <w:webHidden/>
              </w:rPr>
              <w:fldChar w:fldCharType="end"/>
            </w:r>
          </w:hyperlink>
        </w:p>
        <w:p w14:paraId="78E094A0" w14:textId="77777777" w:rsidR="006716B3" w:rsidRDefault="005C5D57">
          <w:pPr>
            <w:pStyle w:val="TOC3"/>
            <w:tabs>
              <w:tab w:val="right" w:leader="dot" w:pos="9350"/>
            </w:tabs>
            <w:rPr>
              <w:noProof/>
            </w:rPr>
          </w:pPr>
          <w:hyperlink w:anchor="_Toc44776660" w:history="1">
            <w:r w:rsidR="006716B3" w:rsidRPr="000F3506">
              <w:rPr>
                <w:rStyle w:val="Hyperlink"/>
                <w:noProof/>
              </w:rPr>
              <w:t>Calculation of suitable ratios</w:t>
            </w:r>
            <w:r w:rsidR="006716B3">
              <w:rPr>
                <w:noProof/>
                <w:webHidden/>
              </w:rPr>
              <w:tab/>
            </w:r>
            <w:r w:rsidR="006716B3">
              <w:rPr>
                <w:noProof/>
                <w:webHidden/>
              </w:rPr>
              <w:fldChar w:fldCharType="begin"/>
            </w:r>
            <w:r w:rsidR="006716B3">
              <w:rPr>
                <w:noProof/>
                <w:webHidden/>
              </w:rPr>
              <w:instrText xml:space="preserve"> PAGEREF _Toc44776660 \h </w:instrText>
            </w:r>
            <w:r w:rsidR="006716B3">
              <w:rPr>
                <w:noProof/>
                <w:webHidden/>
              </w:rPr>
            </w:r>
            <w:r w:rsidR="006716B3">
              <w:rPr>
                <w:noProof/>
                <w:webHidden/>
              </w:rPr>
              <w:fldChar w:fldCharType="separate"/>
            </w:r>
            <w:r w:rsidR="006716B3">
              <w:rPr>
                <w:noProof/>
                <w:webHidden/>
              </w:rPr>
              <w:t>3</w:t>
            </w:r>
            <w:r w:rsidR="006716B3">
              <w:rPr>
                <w:noProof/>
                <w:webHidden/>
              </w:rPr>
              <w:fldChar w:fldCharType="end"/>
            </w:r>
          </w:hyperlink>
        </w:p>
        <w:p w14:paraId="5AB2C7D8" w14:textId="77777777" w:rsidR="006716B3" w:rsidRDefault="005C5D57">
          <w:pPr>
            <w:pStyle w:val="TOC3"/>
            <w:tabs>
              <w:tab w:val="right" w:leader="dot" w:pos="9350"/>
            </w:tabs>
            <w:rPr>
              <w:noProof/>
            </w:rPr>
          </w:pPr>
          <w:hyperlink w:anchor="_Toc44776661" w:history="1">
            <w:r w:rsidR="006716B3" w:rsidRPr="000F3506">
              <w:rPr>
                <w:rStyle w:val="Hyperlink"/>
                <w:noProof/>
              </w:rPr>
              <w:t>Discuss about the trends seen in ratio analysis</w:t>
            </w:r>
            <w:r w:rsidR="006716B3">
              <w:rPr>
                <w:noProof/>
                <w:webHidden/>
              </w:rPr>
              <w:tab/>
            </w:r>
            <w:r w:rsidR="006716B3">
              <w:rPr>
                <w:noProof/>
                <w:webHidden/>
              </w:rPr>
              <w:fldChar w:fldCharType="begin"/>
            </w:r>
            <w:r w:rsidR="006716B3">
              <w:rPr>
                <w:noProof/>
                <w:webHidden/>
              </w:rPr>
              <w:instrText xml:space="preserve"> PAGEREF _Toc44776661 \h </w:instrText>
            </w:r>
            <w:r w:rsidR="006716B3">
              <w:rPr>
                <w:noProof/>
                <w:webHidden/>
              </w:rPr>
            </w:r>
            <w:r w:rsidR="006716B3">
              <w:rPr>
                <w:noProof/>
                <w:webHidden/>
              </w:rPr>
              <w:fldChar w:fldCharType="separate"/>
            </w:r>
            <w:r w:rsidR="006716B3">
              <w:rPr>
                <w:noProof/>
                <w:webHidden/>
              </w:rPr>
              <w:t>5</w:t>
            </w:r>
            <w:r w:rsidR="006716B3">
              <w:rPr>
                <w:noProof/>
                <w:webHidden/>
              </w:rPr>
              <w:fldChar w:fldCharType="end"/>
            </w:r>
          </w:hyperlink>
        </w:p>
        <w:p w14:paraId="17A97DEA" w14:textId="77777777" w:rsidR="006716B3" w:rsidRDefault="005C5D57">
          <w:pPr>
            <w:pStyle w:val="TOC3"/>
            <w:tabs>
              <w:tab w:val="right" w:leader="dot" w:pos="9350"/>
            </w:tabs>
            <w:rPr>
              <w:noProof/>
            </w:rPr>
          </w:pPr>
          <w:hyperlink w:anchor="_Toc44776662" w:history="1">
            <w:r w:rsidR="006716B3" w:rsidRPr="000F3506">
              <w:rPr>
                <w:rStyle w:val="Hyperlink"/>
                <w:noProof/>
              </w:rPr>
              <w:t>Explain about Liquidity, Profitability, and Gearing of the hotel chain</w:t>
            </w:r>
            <w:r w:rsidR="006716B3">
              <w:rPr>
                <w:noProof/>
                <w:webHidden/>
              </w:rPr>
              <w:tab/>
            </w:r>
            <w:r w:rsidR="006716B3">
              <w:rPr>
                <w:noProof/>
                <w:webHidden/>
              </w:rPr>
              <w:fldChar w:fldCharType="begin"/>
            </w:r>
            <w:r w:rsidR="006716B3">
              <w:rPr>
                <w:noProof/>
                <w:webHidden/>
              </w:rPr>
              <w:instrText xml:space="preserve"> PAGEREF _Toc44776662 \h </w:instrText>
            </w:r>
            <w:r w:rsidR="006716B3">
              <w:rPr>
                <w:noProof/>
                <w:webHidden/>
              </w:rPr>
            </w:r>
            <w:r w:rsidR="006716B3">
              <w:rPr>
                <w:noProof/>
                <w:webHidden/>
              </w:rPr>
              <w:fldChar w:fldCharType="separate"/>
            </w:r>
            <w:r w:rsidR="006716B3">
              <w:rPr>
                <w:noProof/>
                <w:webHidden/>
              </w:rPr>
              <w:t>5</w:t>
            </w:r>
            <w:r w:rsidR="006716B3">
              <w:rPr>
                <w:noProof/>
                <w:webHidden/>
              </w:rPr>
              <w:fldChar w:fldCharType="end"/>
            </w:r>
          </w:hyperlink>
        </w:p>
        <w:p w14:paraId="5C5048AE" w14:textId="77777777" w:rsidR="006716B3" w:rsidRDefault="005C5D57">
          <w:pPr>
            <w:pStyle w:val="TOC2"/>
            <w:tabs>
              <w:tab w:val="right" w:leader="dot" w:pos="9350"/>
            </w:tabs>
            <w:rPr>
              <w:noProof/>
            </w:rPr>
          </w:pPr>
          <w:hyperlink w:anchor="_Toc44776663" w:history="1">
            <w:r w:rsidR="006716B3" w:rsidRPr="000F3506">
              <w:rPr>
                <w:rStyle w:val="Hyperlink"/>
                <w:noProof/>
              </w:rPr>
              <w:t>Identify whether ratios and its fluctuations is essential within Hotel management</w:t>
            </w:r>
            <w:r w:rsidR="006716B3">
              <w:rPr>
                <w:noProof/>
                <w:webHidden/>
              </w:rPr>
              <w:tab/>
            </w:r>
            <w:r w:rsidR="006716B3">
              <w:rPr>
                <w:noProof/>
                <w:webHidden/>
              </w:rPr>
              <w:fldChar w:fldCharType="begin"/>
            </w:r>
            <w:r w:rsidR="006716B3">
              <w:rPr>
                <w:noProof/>
                <w:webHidden/>
              </w:rPr>
              <w:instrText xml:space="preserve"> PAGEREF _Toc44776663 \h </w:instrText>
            </w:r>
            <w:r w:rsidR="006716B3">
              <w:rPr>
                <w:noProof/>
                <w:webHidden/>
              </w:rPr>
            </w:r>
            <w:r w:rsidR="006716B3">
              <w:rPr>
                <w:noProof/>
                <w:webHidden/>
              </w:rPr>
              <w:fldChar w:fldCharType="separate"/>
            </w:r>
            <w:r w:rsidR="006716B3">
              <w:rPr>
                <w:noProof/>
                <w:webHidden/>
              </w:rPr>
              <w:t>6</w:t>
            </w:r>
            <w:r w:rsidR="006716B3">
              <w:rPr>
                <w:noProof/>
                <w:webHidden/>
              </w:rPr>
              <w:fldChar w:fldCharType="end"/>
            </w:r>
          </w:hyperlink>
        </w:p>
        <w:p w14:paraId="0F0130C7" w14:textId="77777777" w:rsidR="006716B3" w:rsidRDefault="005C5D57">
          <w:pPr>
            <w:pStyle w:val="TOC2"/>
            <w:tabs>
              <w:tab w:val="right" w:leader="dot" w:pos="9350"/>
            </w:tabs>
            <w:rPr>
              <w:noProof/>
            </w:rPr>
          </w:pPr>
          <w:hyperlink w:anchor="_Toc44776664" w:history="1">
            <w:r w:rsidR="006716B3" w:rsidRPr="000F3506">
              <w:rPr>
                <w:rStyle w:val="Hyperlink"/>
                <w:noProof/>
              </w:rPr>
              <w:t>Discuss the benefits and limitations of using ratio analysis in terms of decision making within the Tourism and Hotel Industry</w:t>
            </w:r>
            <w:r w:rsidR="006716B3">
              <w:rPr>
                <w:noProof/>
                <w:webHidden/>
              </w:rPr>
              <w:tab/>
            </w:r>
            <w:r w:rsidR="006716B3">
              <w:rPr>
                <w:noProof/>
                <w:webHidden/>
              </w:rPr>
              <w:fldChar w:fldCharType="begin"/>
            </w:r>
            <w:r w:rsidR="006716B3">
              <w:rPr>
                <w:noProof/>
                <w:webHidden/>
              </w:rPr>
              <w:instrText xml:space="preserve"> PAGEREF _Toc44776664 \h </w:instrText>
            </w:r>
            <w:r w:rsidR="006716B3">
              <w:rPr>
                <w:noProof/>
                <w:webHidden/>
              </w:rPr>
            </w:r>
            <w:r w:rsidR="006716B3">
              <w:rPr>
                <w:noProof/>
                <w:webHidden/>
              </w:rPr>
              <w:fldChar w:fldCharType="separate"/>
            </w:r>
            <w:r w:rsidR="006716B3">
              <w:rPr>
                <w:noProof/>
                <w:webHidden/>
              </w:rPr>
              <w:t>7</w:t>
            </w:r>
            <w:r w:rsidR="006716B3">
              <w:rPr>
                <w:noProof/>
                <w:webHidden/>
              </w:rPr>
              <w:fldChar w:fldCharType="end"/>
            </w:r>
          </w:hyperlink>
        </w:p>
        <w:p w14:paraId="3BB8F58B" w14:textId="77777777" w:rsidR="006716B3" w:rsidRDefault="005C5D57">
          <w:pPr>
            <w:pStyle w:val="TOC2"/>
            <w:tabs>
              <w:tab w:val="right" w:leader="dot" w:pos="9350"/>
            </w:tabs>
            <w:rPr>
              <w:noProof/>
            </w:rPr>
          </w:pPr>
          <w:hyperlink w:anchor="_Toc44776665" w:history="1">
            <w:r w:rsidR="006716B3" w:rsidRPr="000F3506">
              <w:rPr>
                <w:rStyle w:val="Hyperlink"/>
                <w:noProof/>
              </w:rPr>
              <w:t>Conclusion</w:t>
            </w:r>
            <w:r w:rsidR="006716B3">
              <w:rPr>
                <w:noProof/>
                <w:webHidden/>
              </w:rPr>
              <w:tab/>
            </w:r>
            <w:r w:rsidR="006716B3">
              <w:rPr>
                <w:noProof/>
                <w:webHidden/>
              </w:rPr>
              <w:fldChar w:fldCharType="begin"/>
            </w:r>
            <w:r w:rsidR="006716B3">
              <w:rPr>
                <w:noProof/>
                <w:webHidden/>
              </w:rPr>
              <w:instrText xml:space="preserve"> PAGEREF _Toc44776665 \h </w:instrText>
            </w:r>
            <w:r w:rsidR="006716B3">
              <w:rPr>
                <w:noProof/>
                <w:webHidden/>
              </w:rPr>
            </w:r>
            <w:r w:rsidR="006716B3">
              <w:rPr>
                <w:noProof/>
                <w:webHidden/>
              </w:rPr>
              <w:fldChar w:fldCharType="separate"/>
            </w:r>
            <w:r w:rsidR="006716B3">
              <w:rPr>
                <w:noProof/>
                <w:webHidden/>
              </w:rPr>
              <w:t>8</w:t>
            </w:r>
            <w:r w:rsidR="006716B3">
              <w:rPr>
                <w:noProof/>
                <w:webHidden/>
              </w:rPr>
              <w:fldChar w:fldCharType="end"/>
            </w:r>
          </w:hyperlink>
        </w:p>
        <w:p w14:paraId="4445FFD7" w14:textId="5C93CCB7" w:rsidR="006716B3" w:rsidRDefault="005C5D57" w:rsidP="00AD4F68">
          <w:pPr>
            <w:pStyle w:val="TOC1"/>
            <w:tabs>
              <w:tab w:val="right" w:leader="dot" w:pos="9350"/>
            </w:tabs>
            <w:rPr>
              <w:noProof/>
            </w:rPr>
          </w:pPr>
          <w:hyperlink w:anchor="_Toc44776666" w:history="1">
            <w:r w:rsidR="00AD4F68">
              <w:rPr>
                <w:rStyle w:val="Hyperlink"/>
                <w:noProof/>
              </w:rPr>
              <w:t>Reference</w:t>
            </w:r>
            <w:r w:rsidR="006716B3">
              <w:rPr>
                <w:noProof/>
                <w:webHidden/>
              </w:rPr>
              <w:tab/>
            </w:r>
            <w:r w:rsidR="006716B3">
              <w:rPr>
                <w:noProof/>
                <w:webHidden/>
              </w:rPr>
              <w:fldChar w:fldCharType="begin"/>
            </w:r>
            <w:r w:rsidR="006716B3">
              <w:rPr>
                <w:noProof/>
                <w:webHidden/>
              </w:rPr>
              <w:instrText xml:space="preserve"> PAGEREF _Toc44776666 \h </w:instrText>
            </w:r>
            <w:r w:rsidR="006716B3">
              <w:rPr>
                <w:noProof/>
                <w:webHidden/>
              </w:rPr>
            </w:r>
            <w:r w:rsidR="006716B3">
              <w:rPr>
                <w:noProof/>
                <w:webHidden/>
              </w:rPr>
              <w:fldChar w:fldCharType="separate"/>
            </w:r>
            <w:r w:rsidR="006716B3">
              <w:rPr>
                <w:noProof/>
                <w:webHidden/>
              </w:rPr>
              <w:t>9</w:t>
            </w:r>
            <w:r w:rsidR="006716B3">
              <w:rPr>
                <w:noProof/>
                <w:webHidden/>
              </w:rPr>
              <w:fldChar w:fldCharType="end"/>
            </w:r>
          </w:hyperlink>
        </w:p>
        <w:p w14:paraId="4C74B16C" w14:textId="77777777" w:rsidR="006716B3" w:rsidRDefault="006716B3">
          <w:r>
            <w:rPr>
              <w:b/>
              <w:bCs/>
              <w:noProof/>
            </w:rPr>
            <w:fldChar w:fldCharType="end"/>
          </w:r>
        </w:p>
      </w:sdtContent>
    </w:sdt>
    <w:p w14:paraId="33C75FAA" w14:textId="77777777" w:rsidR="00A5381B" w:rsidRPr="00A5381B" w:rsidRDefault="00A5381B" w:rsidP="00A5381B"/>
    <w:p w14:paraId="02ADD806" w14:textId="77777777" w:rsidR="00A5381B" w:rsidRDefault="00A5381B" w:rsidP="00A5381B">
      <w:r>
        <w:br w:type="page"/>
      </w:r>
    </w:p>
    <w:p w14:paraId="62451ACB" w14:textId="77777777" w:rsidR="00A5381B" w:rsidRDefault="00A5381B" w:rsidP="00A5381B">
      <w:pPr>
        <w:pStyle w:val="Heading1"/>
      </w:pPr>
      <w:bookmarkStart w:id="0" w:name="_Toc44776657"/>
      <w:r>
        <w:lastRenderedPageBreak/>
        <w:t>Task 1</w:t>
      </w:r>
      <w:bookmarkEnd w:id="0"/>
    </w:p>
    <w:p w14:paraId="1021DBEE" w14:textId="77777777" w:rsidR="00A5381B" w:rsidRDefault="00A5381B" w:rsidP="00A5381B">
      <w:pPr>
        <w:pStyle w:val="Heading2"/>
      </w:pPr>
      <w:bookmarkStart w:id="1" w:name="_Toc44776658"/>
      <w:r>
        <w:t>Introduction</w:t>
      </w:r>
      <w:bookmarkEnd w:id="1"/>
      <w:r w:rsidR="00441237">
        <w:t xml:space="preserve"> </w:t>
      </w:r>
    </w:p>
    <w:p w14:paraId="7DFEFF71" w14:textId="77777777" w:rsidR="00227F73" w:rsidRPr="00227F73" w:rsidRDefault="00227F73" w:rsidP="00227F73">
      <w:r>
        <w:t>Analysis of the financial statements refers</w:t>
      </w:r>
      <w:r w:rsidR="00B7494F">
        <w:t xml:space="preserve"> to</w:t>
      </w:r>
      <w:r>
        <w:t xml:space="preserve"> the process of examining the financial </w:t>
      </w:r>
      <w:r w:rsidR="001B3EF8">
        <w:t>information of a firm in it</w:t>
      </w:r>
      <w:r>
        <w:t>s financial statements in order to foster the decision making process</w:t>
      </w:r>
      <w:sdt>
        <w:sdtPr>
          <w:id w:val="425087282"/>
          <w:citation/>
        </w:sdtPr>
        <w:sdtEndPr/>
        <w:sdtContent>
          <w:r w:rsidR="006B7EE9">
            <w:fldChar w:fldCharType="begin"/>
          </w:r>
          <w:r w:rsidR="006B7EE9">
            <w:instrText xml:space="preserve"> CITATION DeS191 \l 1033 </w:instrText>
          </w:r>
          <w:r w:rsidR="006B7EE9">
            <w:fldChar w:fldCharType="separate"/>
          </w:r>
          <w:r w:rsidR="006B7EE9">
            <w:rPr>
              <w:noProof/>
            </w:rPr>
            <w:t xml:space="preserve"> </w:t>
          </w:r>
          <w:r w:rsidR="006B7EE9" w:rsidRPr="006B7EE9">
            <w:rPr>
              <w:noProof/>
            </w:rPr>
            <w:t>(De Souza, et al., 2019)</w:t>
          </w:r>
          <w:r w:rsidR="006B7EE9">
            <w:fldChar w:fldCharType="end"/>
          </w:r>
        </w:sdtContent>
      </w:sdt>
      <w:r>
        <w:t>.</w:t>
      </w:r>
      <w:r w:rsidR="00E344C7">
        <w:t xml:space="preserve"> There </w:t>
      </w:r>
      <w:r w:rsidR="00B7494F">
        <w:t>are</w:t>
      </w:r>
      <w:r w:rsidR="00E344C7">
        <w:t xml:space="preserve"> two type</w:t>
      </w:r>
      <w:r w:rsidR="00B7494F">
        <w:t>s</w:t>
      </w:r>
      <w:r w:rsidR="00E344C7">
        <w:t xml:space="preserve"> of users involved in businesses to use this tool</w:t>
      </w:r>
      <w:r w:rsidR="00B7494F">
        <w:t>,</w:t>
      </w:r>
      <w:r w:rsidR="00E344C7">
        <w:t xml:space="preserve"> such as internal stakeholders and external stakeholders. </w:t>
      </w:r>
      <w:r w:rsidR="00EB3558">
        <w:t xml:space="preserve">Internal stakeholders used this tool to manage the finance of the firm by making </w:t>
      </w:r>
      <w:r w:rsidR="00B7494F">
        <w:t xml:space="preserve">a </w:t>
      </w:r>
      <w:r w:rsidR="00EB3558">
        <w:t xml:space="preserve">decision over selecting an appropriate source </w:t>
      </w:r>
      <w:r w:rsidR="00471AE2">
        <w:t>to arrange the finance</w:t>
      </w:r>
      <w:sdt>
        <w:sdtPr>
          <w:id w:val="1095985518"/>
          <w:citation/>
        </w:sdtPr>
        <w:sdtEndPr/>
        <w:sdtContent>
          <w:r w:rsidR="00693558">
            <w:fldChar w:fldCharType="begin"/>
          </w:r>
          <w:r w:rsidR="00693558">
            <w:instrText xml:space="preserve"> CITATION Muk16 \l 1033 </w:instrText>
          </w:r>
          <w:r w:rsidR="00693558">
            <w:fldChar w:fldCharType="separate"/>
          </w:r>
          <w:r w:rsidR="00693558">
            <w:rPr>
              <w:noProof/>
            </w:rPr>
            <w:t xml:space="preserve"> </w:t>
          </w:r>
          <w:r w:rsidR="00693558" w:rsidRPr="00693558">
            <w:rPr>
              <w:noProof/>
            </w:rPr>
            <w:t>(Mukhametzyanov &amp; Nugaev, 2016)</w:t>
          </w:r>
          <w:r w:rsidR="00693558">
            <w:fldChar w:fldCharType="end"/>
          </w:r>
        </w:sdtContent>
      </w:sdt>
      <w:r w:rsidR="00471AE2">
        <w:t xml:space="preserve">. </w:t>
      </w:r>
      <w:r w:rsidR="00332BEF">
        <w:t xml:space="preserve">External stakeholders used this tool to measure </w:t>
      </w:r>
      <w:r w:rsidR="00B7494F">
        <w:t xml:space="preserve">the </w:t>
      </w:r>
      <w:r w:rsidR="00332BEF">
        <w:t xml:space="preserve">overall health of a firm which influence their decision for making </w:t>
      </w:r>
      <w:r w:rsidR="00B7494F">
        <w:t xml:space="preserve">an </w:t>
      </w:r>
      <w:r w:rsidR="00332BEF">
        <w:t xml:space="preserve">investment </w:t>
      </w:r>
      <w:r w:rsidR="00B7494F">
        <w:t>i</w:t>
      </w:r>
      <w:r w:rsidR="00332BEF">
        <w:t>n that firm</w:t>
      </w:r>
      <w:sdt>
        <w:sdtPr>
          <w:id w:val="-318505480"/>
          <w:citation/>
        </w:sdtPr>
        <w:sdtEndPr/>
        <w:sdtContent>
          <w:r w:rsidR="00693558">
            <w:fldChar w:fldCharType="begin"/>
          </w:r>
          <w:r w:rsidR="00693558">
            <w:instrText xml:space="preserve"> CITATION Gua16 \l 1033 </w:instrText>
          </w:r>
          <w:r w:rsidR="00693558">
            <w:fldChar w:fldCharType="separate"/>
          </w:r>
          <w:r w:rsidR="00693558">
            <w:rPr>
              <w:noProof/>
            </w:rPr>
            <w:t xml:space="preserve"> </w:t>
          </w:r>
          <w:r w:rsidR="00693558" w:rsidRPr="00693558">
            <w:rPr>
              <w:noProof/>
            </w:rPr>
            <w:t>(Guay, et al., 2016)</w:t>
          </w:r>
          <w:r w:rsidR="00693558">
            <w:fldChar w:fldCharType="end"/>
          </w:r>
        </w:sdtContent>
      </w:sdt>
      <w:r w:rsidR="00332BEF">
        <w:t>.</w:t>
      </w:r>
      <w:r w:rsidR="00674334">
        <w:t xml:space="preserve"> This report is about analyzing financial information of two year</w:t>
      </w:r>
      <w:r w:rsidR="00B7494F">
        <w:t>s</w:t>
      </w:r>
      <w:r w:rsidR="00674334">
        <w:t xml:space="preserve"> for Gatsby Grange</w:t>
      </w:r>
      <w:r w:rsidR="00B7494F">
        <w:t>,</w:t>
      </w:r>
      <w:r w:rsidR="00674334">
        <w:t xml:space="preserve"> which is known as a small chain of Boutique in Northern Ireland and the United Kingdom. </w:t>
      </w:r>
      <w:r w:rsidR="009617BE">
        <w:t xml:space="preserve">In order to analyze the financial statement, this report conduct ratio analysis over the financial information. This is followed by </w:t>
      </w:r>
      <w:r w:rsidR="00B7494F">
        <w:t xml:space="preserve">a </w:t>
      </w:r>
      <w:r w:rsidR="009617BE">
        <w:t xml:space="preserve">presentation of </w:t>
      </w:r>
      <w:r w:rsidR="00B7494F">
        <w:t xml:space="preserve">the </w:t>
      </w:r>
      <w:r w:rsidR="009617BE">
        <w:t xml:space="preserve">key trend in financial performance which aid in decision making for the hotel chain.    </w:t>
      </w:r>
      <w:r w:rsidR="00674334">
        <w:t xml:space="preserve"> </w:t>
      </w:r>
      <w:r w:rsidR="00332BEF">
        <w:t xml:space="preserve">   </w:t>
      </w:r>
      <w:r w:rsidR="00EB3558">
        <w:t xml:space="preserve">    </w:t>
      </w:r>
      <w:r w:rsidR="00E344C7">
        <w:t xml:space="preserve">  </w:t>
      </w:r>
      <w:r>
        <w:t xml:space="preserve">   </w:t>
      </w:r>
    </w:p>
    <w:p w14:paraId="3A9A84EB" w14:textId="77777777" w:rsidR="00A5381B" w:rsidRDefault="00A5381B" w:rsidP="00A5381B">
      <w:pPr>
        <w:pStyle w:val="Heading2"/>
      </w:pPr>
      <w:bookmarkStart w:id="2" w:name="_Toc44776659"/>
      <w:r>
        <w:t>Analyze the financial information included in the financial statements</w:t>
      </w:r>
      <w:bookmarkEnd w:id="2"/>
      <w:r w:rsidR="00441237">
        <w:t xml:space="preserve"> </w:t>
      </w:r>
    </w:p>
    <w:p w14:paraId="54E9F061" w14:textId="77777777" w:rsidR="00A5381B" w:rsidRDefault="00A5381B" w:rsidP="00A5381B">
      <w:pPr>
        <w:pStyle w:val="Heading3"/>
      </w:pPr>
      <w:bookmarkStart w:id="3" w:name="_Toc44776660"/>
      <w:r>
        <w:t xml:space="preserve">Calculation of suitable </w:t>
      </w:r>
      <w:r w:rsidR="00441237">
        <w:t>ratios</w:t>
      </w:r>
      <w:bookmarkEnd w:id="3"/>
      <w:r w:rsidR="00441237">
        <w:t xml:space="preserve"> </w:t>
      </w:r>
    </w:p>
    <w:p w14:paraId="2DB79E3E" w14:textId="77777777" w:rsidR="004074BE" w:rsidRPr="004074BE" w:rsidRDefault="004074BE" w:rsidP="004074BE">
      <w:r>
        <w:t xml:space="preserve">Accounting ratios deal with </w:t>
      </w:r>
      <w:r w:rsidR="00B7494F">
        <w:t xml:space="preserve">an </w:t>
      </w:r>
      <w:r>
        <w:t xml:space="preserve">easy way </w:t>
      </w:r>
      <w:r w:rsidR="00B7494F">
        <w:t>of</w:t>
      </w:r>
      <w:r>
        <w:t xml:space="preserve"> evaluating the financial condition of the businesses </w:t>
      </w:r>
      <w:r w:rsidR="00B7494F">
        <w:t>by</w:t>
      </w:r>
      <w:r>
        <w:t xml:space="preserve"> considering the information involved in financial statements</w:t>
      </w:r>
      <w:sdt>
        <w:sdtPr>
          <w:id w:val="884597146"/>
          <w:citation/>
        </w:sdtPr>
        <w:sdtEndPr/>
        <w:sdtContent>
          <w:r w:rsidR="00693558">
            <w:fldChar w:fldCharType="begin"/>
          </w:r>
          <w:r w:rsidR="00693558">
            <w:instrText xml:space="preserve"> CITATION Kri17 \l 1033 </w:instrText>
          </w:r>
          <w:r w:rsidR="00693558">
            <w:fldChar w:fldCharType="separate"/>
          </w:r>
          <w:r w:rsidR="00693558">
            <w:rPr>
              <w:noProof/>
            </w:rPr>
            <w:t xml:space="preserve"> </w:t>
          </w:r>
          <w:r w:rsidR="00693558" w:rsidRPr="00693558">
            <w:rPr>
              <w:noProof/>
            </w:rPr>
            <w:t>(Kristanti &amp; Herwany, 2017)</w:t>
          </w:r>
          <w:r w:rsidR="00693558">
            <w:fldChar w:fldCharType="end"/>
          </w:r>
        </w:sdtContent>
      </w:sdt>
      <w:r>
        <w:t xml:space="preserve">. </w:t>
      </w:r>
      <w:r w:rsidR="00407FB8">
        <w:t xml:space="preserve">Analysis of the financial information allows in identifying recent changes which foster the decision making process. </w:t>
      </w:r>
      <w:r w:rsidR="007117A0">
        <w:t xml:space="preserve">The most common type accounting ratios are </w:t>
      </w:r>
      <w:r w:rsidR="00E72C23">
        <w:t>liquidity, profitability and leverage or gearing ratios</w:t>
      </w:r>
      <w:sdt>
        <w:sdtPr>
          <w:id w:val="1495839856"/>
          <w:citation/>
        </w:sdtPr>
        <w:sdtEndPr/>
        <w:sdtContent>
          <w:r w:rsidR="00693558">
            <w:fldChar w:fldCharType="begin"/>
          </w:r>
          <w:r w:rsidR="00693558">
            <w:instrText xml:space="preserve"> CITATION Gua16 \l 1033 </w:instrText>
          </w:r>
          <w:r w:rsidR="00693558">
            <w:fldChar w:fldCharType="separate"/>
          </w:r>
          <w:r w:rsidR="00693558">
            <w:rPr>
              <w:noProof/>
            </w:rPr>
            <w:t xml:space="preserve"> </w:t>
          </w:r>
          <w:r w:rsidR="00693558" w:rsidRPr="00693558">
            <w:rPr>
              <w:noProof/>
            </w:rPr>
            <w:t>(Guay, et al., 2016)</w:t>
          </w:r>
          <w:r w:rsidR="00693558">
            <w:fldChar w:fldCharType="end"/>
          </w:r>
        </w:sdtContent>
      </w:sdt>
      <w:r w:rsidR="00E72C23">
        <w:t xml:space="preserve">. </w:t>
      </w:r>
      <w:r w:rsidR="00FD7323">
        <w:t xml:space="preserve">Those ratios are also used in analyzing the financial information of Gatsby Grange for 2018 and 2019. </w:t>
      </w:r>
      <w:r w:rsidR="00407FB8">
        <w:t xml:space="preserve">    </w:t>
      </w:r>
      <w:r>
        <w:t xml:space="preserve">   </w:t>
      </w:r>
    </w:p>
    <w:p w14:paraId="783E84AA" w14:textId="77777777" w:rsidR="004074BE" w:rsidRDefault="00472022" w:rsidP="004074BE">
      <w:r>
        <w:rPr>
          <w:noProof/>
        </w:rPr>
        <w:lastRenderedPageBreak/>
        <w:drawing>
          <wp:inline distT="0" distB="0" distL="0" distR="0" wp14:anchorId="1820D45A" wp14:editId="3E7F4123">
            <wp:extent cx="5943600" cy="3279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279140"/>
                    </a:xfrm>
                    <a:prstGeom prst="rect">
                      <a:avLst/>
                    </a:prstGeom>
                  </pic:spPr>
                </pic:pic>
              </a:graphicData>
            </a:graphic>
          </wp:inline>
        </w:drawing>
      </w:r>
    </w:p>
    <w:p w14:paraId="11746D4A" w14:textId="77777777" w:rsidR="00472022" w:rsidRDefault="00472022" w:rsidP="004074BE">
      <w:r>
        <w:t>Liquidity ratio shows the capability of an organization to pay out is debts and manage the business liquidity</w:t>
      </w:r>
      <w:sdt>
        <w:sdtPr>
          <w:id w:val="-670330631"/>
          <w:citation/>
        </w:sdtPr>
        <w:sdtEndPr/>
        <w:sdtContent>
          <w:r w:rsidR="00693558">
            <w:fldChar w:fldCharType="begin"/>
          </w:r>
          <w:r w:rsidR="00693558">
            <w:instrText xml:space="preserve"> CITATION Ras181 \l 1033 </w:instrText>
          </w:r>
          <w:r w:rsidR="00693558">
            <w:fldChar w:fldCharType="separate"/>
          </w:r>
          <w:r w:rsidR="00693558">
            <w:rPr>
              <w:noProof/>
            </w:rPr>
            <w:t xml:space="preserve"> </w:t>
          </w:r>
          <w:r w:rsidR="00693558" w:rsidRPr="00693558">
            <w:rPr>
              <w:noProof/>
            </w:rPr>
            <w:t>(Rashid, 2018)</w:t>
          </w:r>
          <w:r w:rsidR="00693558">
            <w:fldChar w:fldCharType="end"/>
          </w:r>
        </w:sdtContent>
      </w:sdt>
      <w:r>
        <w:t xml:space="preserve">. </w:t>
      </w:r>
      <w:r w:rsidR="00120136">
        <w:t>The current ratio and quick ratio of the hotel chain indicate some decline in 2019</w:t>
      </w:r>
      <w:r w:rsidR="00B7494F">
        <w:t>,</w:t>
      </w:r>
      <w:r w:rsidR="00120136">
        <w:t xml:space="preserve"> such as 2:1 and 1.13:1 in 2019 in comparison to 2.29:1 and 1.21:1 in 2</w:t>
      </w:r>
      <w:r w:rsidR="00DE52D9">
        <w:t>0</w:t>
      </w:r>
      <w:r w:rsidR="00120136">
        <w:t xml:space="preserve">18. </w:t>
      </w:r>
      <w:r w:rsidR="00DE52D9">
        <w:t xml:space="preserve">That reflects the challenge faced by the business while mitigating its short term debts through liquidating its assets. </w:t>
      </w:r>
      <w:r w:rsidR="00B7494F">
        <w:t>In addition, the net-</w:t>
      </w:r>
      <w:r w:rsidR="00081339">
        <w:t>working capital ratio is also decreased to 26% from 28%</w:t>
      </w:r>
      <w:r w:rsidR="00B7494F">
        <w:t>,</w:t>
      </w:r>
      <w:r w:rsidR="00081339">
        <w:t xml:space="preserve"> which means the company invested more money on its fixed assets.   </w:t>
      </w:r>
      <w:r w:rsidR="00120136">
        <w:t xml:space="preserve">  </w:t>
      </w:r>
      <w:r>
        <w:t xml:space="preserve">  </w:t>
      </w:r>
    </w:p>
    <w:p w14:paraId="3A91695A" w14:textId="77777777" w:rsidR="00F17DCB" w:rsidRDefault="00757F09" w:rsidP="004074BE">
      <w:r>
        <w:t>Profitability ratio indicates the earnings of a business over its expenses</w:t>
      </w:r>
      <w:sdt>
        <w:sdtPr>
          <w:id w:val="1463308765"/>
          <w:citation/>
        </w:sdtPr>
        <w:sdtEndPr/>
        <w:sdtContent>
          <w:r w:rsidR="00693558">
            <w:fldChar w:fldCharType="begin"/>
          </w:r>
          <w:r w:rsidR="00693558">
            <w:instrText xml:space="preserve"> CITATION Nal17 \l 1033 </w:instrText>
          </w:r>
          <w:r w:rsidR="00693558">
            <w:fldChar w:fldCharType="separate"/>
          </w:r>
          <w:r w:rsidR="00693558">
            <w:rPr>
              <w:noProof/>
            </w:rPr>
            <w:t xml:space="preserve"> </w:t>
          </w:r>
          <w:r w:rsidR="00693558" w:rsidRPr="00693558">
            <w:rPr>
              <w:noProof/>
            </w:rPr>
            <w:t>(Nalurita, 2017)</w:t>
          </w:r>
          <w:r w:rsidR="00693558">
            <w:fldChar w:fldCharType="end"/>
          </w:r>
        </w:sdtContent>
      </w:sdt>
      <w:r>
        <w:t xml:space="preserve">. </w:t>
      </w:r>
      <w:r w:rsidR="00B3536B">
        <w:t>The profitability ratio of Gatsby Grange indicates 6% and 5% of decrease over Gross and Net Profit ratio. Whereas, Return over Capital Employed increased by 1%</w:t>
      </w:r>
      <w:r w:rsidR="00B7494F">
        <w:t>,</w:t>
      </w:r>
      <w:r w:rsidR="00B3536B">
        <w:t xml:space="preserve"> which reflects </w:t>
      </w:r>
      <w:r w:rsidR="00B7494F">
        <w:t xml:space="preserve">a </w:t>
      </w:r>
      <w:r w:rsidR="00B3536B">
        <w:t xml:space="preserve">high margin of income over the </w:t>
      </w:r>
      <w:r w:rsidR="008A40B2">
        <w:t xml:space="preserve">business </w:t>
      </w:r>
      <w:r w:rsidR="00F17DCB">
        <w:t>assets</w:t>
      </w:r>
      <w:r w:rsidR="008A40B2">
        <w:t xml:space="preserve">. </w:t>
      </w:r>
    </w:p>
    <w:p w14:paraId="778387BF" w14:textId="77777777" w:rsidR="00757F09" w:rsidRPr="004074BE" w:rsidRDefault="00F17DCB" w:rsidP="004074BE">
      <w:r>
        <w:t>Gearing ratio indicates the proportionate of debt and equity in managing business finance and empowering the capital margin</w:t>
      </w:r>
      <w:sdt>
        <w:sdtPr>
          <w:id w:val="-618985391"/>
          <w:citation/>
        </w:sdtPr>
        <w:sdtEndPr/>
        <w:sdtContent>
          <w:r w:rsidR="00693558">
            <w:fldChar w:fldCharType="begin"/>
          </w:r>
          <w:r w:rsidR="00693558">
            <w:instrText xml:space="preserve"> CITATION Jia18 \l 1033 </w:instrText>
          </w:r>
          <w:r w:rsidR="00693558">
            <w:fldChar w:fldCharType="separate"/>
          </w:r>
          <w:r w:rsidR="00693558">
            <w:rPr>
              <w:noProof/>
            </w:rPr>
            <w:t xml:space="preserve"> </w:t>
          </w:r>
          <w:r w:rsidR="00693558" w:rsidRPr="00693558">
            <w:rPr>
              <w:noProof/>
            </w:rPr>
            <w:t>(Jiang, et al., 2018)</w:t>
          </w:r>
          <w:r w:rsidR="00693558">
            <w:fldChar w:fldCharType="end"/>
          </w:r>
        </w:sdtContent>
      </w:sdt>
      <w:r>
        <w:t xml:space="preserve">. </w:t>
      </w:r>
      <w:r w:rsidR="00187AFF">
        <w:t xml:space="preserve">The debt margin of the business reduced to 7.05% and 2.31% over its Equity and Assets in 2019 from 7.25% and 2.41% in 2018. </w:t>
      </w:r>
      <w:r w:rsidR="0043271E">
        <w:t xml:space="preserve">In addition, the Equity to assets margin is also reduced to 32.77% over the availability of Assets within the business.  </w:t>
      </w:r>
      <w:r>
        <w:t xml:space="preserve">  </w:t>
      </w:r>
      <w:r w:rsidR="00B3536B">
        <w:t xml:space="preserve"> </w:t>
      </w:r>
      <w:r w:rsidR="00757F09">
        <w:t xml:space="preserve"> </w:t>
      </w:r>
    </w:p>
    <w:p w14:paraId="0BFB935D" w14:textId="77777777" w:rsidR="00A5381B" w:rsidRDefault="00A5381B" w:rsidP="00A5381B">
      <w:pPr>
        <w:pStyle w:val="Heading3"/>
      </w:pPr>
      <w:bookmarkStart w:id="4" w:name="_Toc44776661"/>
      <w:r>
        <w:lastRenderedPageBreak/>
        <w:t>Discuss about the trends seen in ratio analysis</w:t>
      </w:r>
      <w:bookmarkEnd w:id="4"/>
      <w:r>
        <w:t xml:space="preserve"> </w:t>
      </w:r>
    </w:p>
    <w:p w14:paraId="4D511CB1" w14:textId="77777777" w:rsidR="00DA326E" w:rsidRDefault="00573018" w:rsidP="006D121D">
      <w:r>
        <w:t xml:space="preserve">Trends in ratio analysis indicate the changes </w:t>
      </w:r>
      <w:r w:rsidR="00B7494F">
        <w:t xml:space="preserve">that </w:t>
      </w:r>
      <w:r>
        <w:t>occurred in financial information or financial performance of companies in between two or more years</w:t>
      </w:r>
      <w:sdt>
        <w:sdtPr>
          <w:id w:val="-183743062"/>
          <w:citation/>
        </w:sdtPr>
        <w:sdtEndPr/>
        <w:sdtContent>
          <w:r w:rsidR="00DC36DB">
            <w:fldChar w:fldCharType="begin"/>
          </w:r>
          <w:r w:rsidR="00DC36DB">
            <w:instrText xml:space="preserve"> CITATION Sie173 \l 1033 </w:instrText>
          </w:r>
          <w:r w:rsidR="00DC36DB">
            <w:fldChar w:fldCharType="separate"/>
          </w:r>
          <w:r w:rsidR="00DC36DB">
            <w:rPr>
              <w:noProof/>
            </w:rPr>
            <w:t xml:space="preserve"> </w:t>
          </w:r>
          <w:r w:rsidR="00DC36DB" w:rsidRPr="00DC36DB">
            <w:rPr>
              <w:noProof/>
            </w:rPr>
            <w:t>(Siekelova, et al., 2017)</w:t>
          </w:r>
          <w:r w:rsidR="00DC36DB">
            <w:fldChar w:fldCharType="end"/>
          </w:r>
        </w:sdtContent>
      </w:sdt>
      <w:r>
        <w:t xml:space="preserve">. </w:t>
      </w:r>
      <w:r w:rsidR="00BA6347">
        <w:t xml:space="preserve">From the liquidity ratio analysis for Gatsby Grange, it is observed </w:t>
      </w:r>
      <w:r w:rsidR="00B7494F">
        <w:t xml:space="preserve">a </w:t>
      </w:r>
      <w:r w:rsidR="00BA6347">
        <w:t>high margin of increase over business current liabilities. In that context, the current assets margin is being reduced 2.005:1 from the margin of 2.29:1 in 2019</w:t>
      </w:r>
      <w:r w:rsidR="00B7494F">
        <w:t>,</w:t>
      </w:r>
      <w:r w:rsidR="00BA6347">
        <w:t xml:space="preserve"> which reflects the trend i</w:t>
      </w:r>
      <w:r w:rsidR="00B7494F">
        <w:t>s</w:t>
      </w:r>
      <w:r w:rsidR="00BA6347">
        <w:t xml:space="preserve"> increasing in current liabilities within the hotel chain. </w:t>
      </w:r>
      <w:r w:rsidR="00180DF1">
        <w:t>While observing the trend in quick ratio, it found a decline where the quick ratio down to 1.13:1 in 2019. This trend indicates</w:t>
      </w:r>
      <w:r w:rsidR="00DC36DB">
        <w:t xml:space="preserve"> that the hotel chain invested</w:t>
      </w:r>
      <w:r w:rsidR="00180DF1">
        <w:t xml:space="preserve"> high margin of money towards marketable securities and inventories in 2019.</w:t>
      </w:r>
      <w:r w:rsidR="00B7494F">
        <w:t xml:space="preserve"> Based on the trend of net-</w:t>
      </w:r>
      <w:r w:rsidR="009C7E97">
        <w:t xml:space="preserve">working capital ratio, it found a decline of 2% </w:t>
      </w:r>
      <w:r w:rsidR="00F06502">
        <w:t>in 2019</w:t>
      </w:r>
      <w:r w:rsidR="00B7494F">
        <w:t>,</w:t>
      </w:r>
      <w:r w:rsidR="00F06502">
        <w:t xml:space="preserve"> </w:t>
      </w:r>
      <w:r w:rsidR="009C7E97">
        <w:t xml:space="preserve">which shows that the company invested its money towards fixed assets than liquid assets.  </w:t>
      </w:r>
    </w:p>
    <w:p w14:paraId="3BC69E33" w14:textId="77777777" w:rsidR="0097176C" w:rsidRDefault="00DA326E" w:rsidP="006D121D">
      <w:r>
        <w:t xml:space="preserve">Profitability ratio of Gatsby Grange indicates 1% increase over the return on capital employed for the hotel chain in 2019. </w:t>
      </w:r>
      <w:r w:rsidR="00E2350B">
        <w:t>This trend refers</w:t>
      </w:r>
      <w:r w:rsidR="00B7494F">
        <w:t xml:space="preserve"> to</w:t>
      </w:r>
      <w:r w:rsidR="00E2350B">
        <w:t xml:space="preserve"> </w:t>
      </w:r>
      <w:r w:rsidR="00B7494F">
        <w:t xml:space="preserve">the </w:t>
      </w:r>
      <w:r w:rsidR="00421999">
        <w:t>high margin of profit in 2019 in comparison to the profit margin in 2018</w:t>
      </w:r>
      <w:r w:rsidR="00B7494F">
        <w:t>,</w:t>
      </w:r>
      <w:r w:rsidR="00421999">
        <w:t xml:space="preserve"> and the profit is also higher than the value of assets. </w:t>
      </w:r>
      <w:r w:rsidR="007F1509">
        <w:t xml:space="preserve">The Gross Profit ratio margin of the hotel chain indicates </w:t>
      </w:r>
      <w:r w:rsidR="00B7494F">
        <w:t xml:space="preserve">a </w:t>
      </w:r>
      <w:r w:rsidR="00E121FF">
        <w:t>6% decline in comparison to the margin of 92% in 2018. This trend refers</w:t>
      </w:r>
      <w:r w:rsidR="00B7494F">
        <w:t xml:space="preserve"> to</w:t>
      </w:r>
      <w:r w:rsidR="00E121FF">
        <w:t xml:space="preserve"> </w:t>
      </w:r>
      <w:r w:rsidR="00B7494F">
        <w:t xml:space="preserve">the </w:t>
      </w:r>
      <w:r w:rsidR="00E121FF">
        <w:t xml:space="preserve">high margin of </w:t>
      </w:r>
      <w:r w:rsidR="00B7494F">
        <w:t xml:space="preserve">the </w:t>
      </w:r>
      <w:r w:rsidR="00E121FF">
        <w:t>cost of goods sold in 2019</w:t>
      </w:r>
      <w:r w:rsidR="00B7494F">
        <w:t>,</w:t>
      </w:r>
      <w:r w:rsidR="00E121FF">
        <w:t xml:space="preserve"> which is increased to </w:t>
      </w:r>
      <w:r w:rsidR="00E121FF">
        <w:rPr>
          <w:rFonts w:cs="Times New Roman"/>
        </w:rPr>
        <w:t>₤</w:t>
      </w:r>
      <w:r w:rsidR="00E121FF">
        <w:t xml:space="preserve">850,000 in that year. </w:t>
      </w:r>
      <w:r w:rsidR="00166E5D">
        <w:t xml:space="preserve">Whereas, the trend in net profit margin indicates 5% of </w:t>
      </w:r>
      <w:r w:rsidR="00B7494F">
        <w:t xml:space="preserve">the </w:t>
      </w:r>
      <w:r w:rsidR="00166E5D">
        <w:t xml:space="preserve">decline in comparison to the margin of 73% in 2018. </w:t>
      </w:r>
      <w:r w:rsidR="00697196">
        <w:t xml:space="preserve">This ratio is decreased due to </w:t>
      </w:r>
      <w:r w:rsidR="00B7494F">
        <w:t xml:space="preserve">the </w:t>
      </w:r>
      <w:r w:rsidR="00697196">
        <w:t>high margin of expenses in 2019</w:t>
      </w:r>
      <w:r w:rsidR="00B7494F">
        <w:t>,</w:t>
      </w:r>
      <w:r w:rsidR="00697196">
        <w:t xml:space="preserve"> which is around </w:t>
      </w:r>
      <w:r w:rsidR="00697196">
        <w:rPr>
          <w:rFonts w:cs="Times New Roman"/>
        </w:rPr>
        <w:t xml:space="preserve">₤1,077,000. </w:t>
      </w:r>
      <w:r w:rsidR="00166E5D">
        <w:t xml:space="preserve"> </w:t>
      </w:r>
      <w:r w:rsidR="00421999">
        <w:t xml:space="preserve"> </w:t>
      </w:r>
      <w:r>
        <w:t xml:space="preserve"> </w:t>
      </w:r>
      <w:r w:rsidR="009C7E97">
        <w:t xml:space="preserve"> </w:t>
      </w:r>
      <w:r w:rsidR="00180DF1">
        <w:t xml:space="preserve">   </w:t>
      </w:r>
    </w:p>
    <w:p w14:paraId="4DAFD395" w14:textId="77777777" w:rsidR="006D121D" w:rsidRPr="006D121D" w:rsidRDefault="00B7494F" w:rsidP="006D121D">
      <w:r>
        <w:t>The g</w:t>
      </w:r>
      <w:r w:rsidR="001B3EF8">
        <w:t>earing</w:t>
      </w:r>
      <w:r w:rsidR="00B55673">
        <w:t xml:space="preserve"> ratio of Gatsby Grange indicates </w:t>
      </w:r>
      <w:r>
        <w:t xml:space="preserve">the </w:t>
      </w:r>
      <w:r w:rsidR="00B55673">
        <w:t xml:space="preserve">adequate margin of debt within the hotel chain while managing its finance. </w:t>
      </w:r>
      <w:r w:rsidR="008D2F6E">
        <w:t xml:space="preserve">Whereas, </w:t>
      </w:r>
      <w:r>
        <w:t xml:space="preserve">the </w:t>
      </w:r>
      <w:r w:rsidR="008D2F6E">
        <w:t>contribution of equity in the business capital slightly reduced in 2019</w:t>
      </w:r>
      <w:r>
        <w:t>,</w:t>
      </w:r>
      <w:r w:rsidR="008D2F6E">
        <w:t xml:space="preserve"> which is around </w:t>
      </w:r>
      <w:r w:rsidR="008D2F6E">
        <w:rPr>
          <w:rFonts w:cs="Times New Roman"/>
        </w:rPr>
        <w:t>₤</w:t>
      </w:r>
      <w:r w:rsidR="008D2F6E">
        <w:t xml:space="preserve">2,056,000 in comparison to the margin of </w:t>
      </w:r>
      <w:r w:rsidR="008D2F6E">
        <w:rPr>
          <w:rFonts w:cs="Times New Roman"/>
        </w:rPr>
        <w:t>₤</w:t>
      </w:r>
      <w:r w:rsidR="008D2F6E">
        <w:t xml:space="preserve">2,068,000 in 2018. </w:t>
      </w:r>
      <w:r w:rsidR="00412D18">
        <w:t>This trend is being followed by the decline in debts to equity and assets ratio</w:t>
      </w:r>
      <w:r>
        <w:t>,</w:t>
      </w:r>
      <w:r w:rsidR="00412D18">
        <w:t xml:space="preserve"> which is around 7.05% and 2.31%</w:t>
      </w:r>
      <w:r w:rsidR="00BF3F15">
        <w:t xml:space="preserve"> in 2019</w:t>
      </w:r>
      <w:r w:rsidR="00412D18">
        <w:t xml:space="preserve"> in comparison to 7.25% and 2.41%. </w:t>
      </w:r>
      <w:r w:rsidR="00BF3F15">
        <w:t xml:space="preserve">This trend shows that the company does not require </w:t>
      </w:r>
      <w:r>
        <w:t xml:space="preserve">a </w:t>
      </w:r>
      <w:r w:rsidR="00BF3F15">
        <w:t xml:space="preserve">high margin of debt to manage its finance. </w:t>
      </w:r>
      <w:r w:rsidR="000E57ED">
        <w:t>The equity to assets ratio is also reduced to 32.77% from 33.22%</w:t>
      </w:r>
      <w:r>
        <w:t>,</w:t>
      </w:r>
      <w:r w:rsidR="000E57ED">
        <w:t xml:space="preserve"> which refers</w:t>
      </w:r>
      <w:r>
        <w:t xml:space="preserve"> to</w:t>
      </w:r>
      <w:r w:rsidR="000E57ED">
        <w:t xml:space="preserve"> the trend of managing business finance from the equity.    </w:t>
      </w:r>
      <w:r w:rsidR="00BF3F15">
        <w:t xml:space="preserve"> </w:t>
      </w:r>
      <w:r w:rsidR="00412D18">
        <w:t xml:space="preserve">   </w:t>
      </w:r>
      <w:r w:rsidR="008D2F6E">
        <w:t xml:space="preserve">    </w:t>
      </w:r>
      <w:r w:rsidR="00B55673">
        <w:t xml:space="preserve">  </w:t>
      </w:r>
    </w:p>
    <w:p w14:paraId="6D54D8C9" w14:textId="77777777" w:rsidR="00E36115" w:rsidRPr="00E36115" w:rsidRDefault="00A5381B" w:rsidP="00D56FA5">
      <w:pPr>
        <w:pStyle w:val="Heading3"/>
      </w:pPr>
      <w:bookmarkStart w:id="5" w:name="_Toc44776662"/>
      <w:r>
        <w:t>Explain about Liquidity</w:t>
      </w:r>
      <w:r w:rsidR="00D56FA5">
        <w:t>,</w:t>
      </w:r>
      <w:r w:rsidR="00D56FA5" w:rsidRPr="00D56FA5">
        <w:t xml:space="preserve"> </w:t>
      </w:r>
      <w:r w:rsidR="00D56FA5">
        <w:t>Profitability,</w:t>
      </w:r>
      <w:r>
        <w:t xml:space="preserve"> and Gearing of the hotel chain</w:t>
      </w:r>
      <w:bookmarkEnd w:id="5"/>
      <w:r w:rsidR="00441237">
        <w:t xml:space="preserve"> </w:t>
      </w:r>
    </w:p>
    <w:p w14:paraId="6B0D992B" w14:textId="77777777" w:rsidR="00D56FA5" w:rsidRDefault="00254C72" w:rsidP="00F25DF0">
      <w:r>
        <w:t xml:space="preserve">Based on </w:t>
      </w:r>
      <w:r w:rsidR="00B7494F">
        <w:t xml:space="preserve">the </w:t>
      </w:r>
      <w:r>
        <w:t xml:space="preserve">trend in </w:t>
      </w:r>
      <w:r w:rsidR="00E36115">
        <w:t>liquidity</w:t>
      </w:r>
      <w:r>
        <w:t xml:space="preserve"> ratio in Gatsby Grange, it is observed that the company faces the challenge in mitigating the short term debts in 2019. The main reason </w:t>
      </w:r>
      <w:r w:rsidR="00B7494F">
        <w:t>for</w:t>
      </w:r>
      <w:r>
        <w:t xml:space="preserve"> facing that challenge is </w:t>
      </w:r>
      <w:r>
        <w:lastRenderedPageBreak/>
        <w:t>that it was not liquidat</w:t>
      </w:r>
      <w:r w:rsidR="00B7494F">
        <w:t>ing</w:t>
      </w:r>
      <w:r>
        <w:t xml:space="preserve"> its assets in similar to the margin in 2018. </w:t>
      </w:r>
      <w:r w:rsidR="00280F3D">
        <w:t xml:space="preserve">In addition, looking to foster </w:t>
      </w:r>
      <w:r w:rsidR="00F90481">
        <w:t>it’s</w:t>
      </w:r>
      <w:r w:rsidR="00280F3D">
        <w:t xml:space="preserve"> liquidate</w:t>
      </w:r>
      <w:r w:rsidR="00B7494F">
        <w:t>d</w:t>
      </w:r>
      <w:r w:rsidR="00280F3D">
        <w:t xml:space="preserve"> position by investing in marketable securities</w:t>
      </w:r>
      <w:r w:rsidR="00B7494F">
        <w:t>,</w:t>
      </w:r>
      <w:r w:rsidR="00280F3D">
        <w:t xml:space="preserve"> but it does not work because of lesser investment over other current assets.</w:t>
      </w:r>
      <w:r w:rsidR="00F90481">
        <w:t xml:space="preserve"> In addition, the working capital ratio </w:t>
      </w:r>
      <w:r w:rsidR="0071792A">
        <w:t>indicate</w:t>
      </w:r>
      <w:r w:rsidR="00F90481">
        <w:t>s that the hotel chain focu</w:t>
      </w:r>
      <w:r w:rsidR="00B7494F">
        <w:t>se</w:t>
      </w:r>
      <w:r w:rsidR="00F90481">
        <w:t>s on investing in fixed assets</w:t>
      </w:r>
      <w:r w:rsidR="00B7494F">
        <w:t>,</w:t>
      </w:r>
      <w:r w:rsidR="00F90481">
        <w:t xml:space="preserve"> which</w:t>
      </w:r>
      <w:r w:rsidR="009B4F56">
        <w:t xml:space="preserve"> does not improve the business liquidate </w:t>
      </w:r>
      <w:r w:rsidR="00B7494F">
        <w:t xml:space="preserve">a </w:t>
      </w:r>
      <w:r w:rsidR="009B4F56">
        <w:t xml:space="preserve">position. </w:t>
      </w:r>
    </w:p>
    <w:p w14:paraId="03B9F418" w14:textId="77777777" w:rsidR="00E65C98" w:rsidRDefault="00543A65" w:rsidP="00F25DF0">
      <w:r>
        <w:t xml:space="preserve">The profitability ratio of Gatsby Grange shows </w:t>
      </w:r>
      <w:r w:rsidR="00B7494F">
        <w:t xml:space="preserve">a </w:t>
      </w:r>
      <w:r>
        <w:t>decline in the margin of gross and net profit ratio</w:t>
      </w:r>
      <w:r w:rsidR="00B7494F">
        <w:t>,</w:t>
      </w:r>
      <w:r>
        <w:t xml:space="preserve"> which means lesser income observed</w:t>
      </w:r>
      <w:r w:rsidR="009E4FC2">
        <w:t xml:space="preserve"> by the firm</w:t>
      </w:r>
      <w:r>
        <w:t xml:space="preserve"> through sales</w:t>
      </w:r>
      <w:r w:rsidR="009E4FC2">
        <w:t xml:space="preserve"> in 2019</w:t>
      </w:r>
      <w:r>
        <w:t>.</w:t>
      </w:r>
      <w:r w:rsidR="009E4FC2">
        <w:t xml:space="preserve"> </w:t>
      </w:r>
      <w:r w:rsidR="00072605">
        <w:t xml:space="preserve">The main reason </w:t>
      </w:r>
      <w:r w:rsidR="00B7494F">
        <w:t>for</w:t>
      </w:r>
      <w:r w:rsidR="00072605">
        <w:t xml:space="preserve"> that issue is the high margin of expenses occurred for the business while managing its operation. </w:t>
      </w:r>
      <w:r w:rsidR="00E65C98">
        <w:t xml:space="preserve">Whereas, the return over capital employed might increase due to </w:t>
      </w:r>
      <w:r w:rsidR="00B7494F">
        <w:t xml:space="preserve">the </w:t>
      </w:r>
      <w:r w:rsidR="00E65C98">
        <w:t xml:space="preserve">high margin of investment from the business towards fixed assets.  </w:t>
      </w:r>
      <w:r>
        <w:t xml:space="preserve"> </w:t>
      </w:r>
    </w:p>
    <w:p w14:paraId="6B0C41C3" w14:textId="2D279BC7" w:rsidR="00AD4F68" w:rsidRDefault="00D020F7" w:rsidP="00F25DF0">
      <w:r>
        <w:t xml:space="preserve">The </w:t>
      </w:r>
      <w:r w:rsidR="001B3EF8">
        <w:t>Gearing</w:t>
      </w:r>
      <w:r>
        <w:t xml:space="preserve"> ratio refers that the company does not acquire </w:t>
      </w:r>
      <w:r w:rsidR="00B7494F">
        <w:t xml:space="preserve">a </w:t>
      </w:r>
      <w:r>
        <w:t>high margin of long</w:t>
      </w:r>
      <w:r w:rsidR="00AD4F68">
        <w:t>-</w:t>
      </w:r>
      <w:r>
        <w:t>term debts to manage its finance. In that context, the equity margin manages the overall required finance for the business while operating its services in different areas</w:t>
      </w:r>
      <w:r w:rsidR="00A82312">
        <w:t xml:space="preserve"> such as Northern Ireland and the UK</w:t>
      </w:r>
      <w:r w:rsidR="007F3DFC">
        <w:t xml:space="preserve">. This is followed by a greater strategy on empowering the leverage of the business by arranging its finance </w:t>
      </w:r>
      <w:r w:rsidR="00293BE3">
        <w:t>through</w:t>
      </w:r>
      <w:r w:rsidR="007F3DFC">
        <w:t xml:space="preserve"> equity margin.  </w:t>
      </w:r>
      <w:r>
        <w:t xml:space="preserve">    </w:t>
      </w:r>
    </w:p>
    <w:tbl>
      <w:tblPr>
        <w:tblW w:w="6920" w:type="dxa"/>
        <w:tblLook w:val="04A0" w:firstRow="1" w:lastRow="0" w:firstColumn="1" w:lastColumn="0" w:noHBand="0" w:noVBand="1"/>
      </w:tblPr>
      <w:tblGrid>
        <w:gridCol w:w="875"/>
        <w:gridCol w:w="1847"/>
        <w:gridCol w:w="222"/>
        <w:gridCol w:w="1030"/>
        <w:gridCol w:w="1030"/>
        <w:gridCol w:w="1030"/>
        <w:gridCol w:w="1030"/>
      </w:tblGrid>
      <w:tr w:rsidR="00AD4F68" w:rsidRPr="00AD4F68" w14:paraId="0931AF77" w14:textId="77777777" w:rsidTr="00AD4F68">
        <w:trPr>
          <w:trHeight w:val="300"/>
        </w:trPr>
        <w:tc>
          <w:tcPr>
            <w:tcW w:w="6920" w:type="dxa"/>
            <w:gridSpan w:val="7"/>
            <w:tcBorders>
              <w:top w:val="nil"/>
              <w:left w:val="nil"/>
              <w:bottom w:val="nil"/>
              <w:right w:val="nil"/>
            </w:tcBorders>
            <w:shd w:val="clear" w:color="000000" w:fill="95B3D7"/>
            <w:noWrap/>
            <w:vAlign w:val="bottom"/>
            <w:hideMark/>
          </w:tcPr>
          <w:p w14:paraId="116C7784" w14:textId="77777777" w:rsidR="00AD4F68" w:rsidRPr="00AD4F68" w:rsidRDefault="00AD4F68" w:rsidP="00AD4F68">
            <w:pPr>
              <w:spacing w:after="0" w:line="240" w:lineRule="auto"/>
              <w:jc w:val="center"/>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PROFIT AND LOSS ACCOUNT</w:t>
            </w:r>
          </w:p>
        </w:tc>
      </w:tr>
      <w:tr w:rsidR="00AD4F68" w:rsidRPr="00AD4F68" w14:paraId="135AC2C8" w14:textId="77777777" w:rsidTr="00AD4F68">
        <w:trPr>
          <w:trHeight w:val="300"/>
        </w:trPr>
        <w:tc>
          <w:tcPr>
            <w:tcW w:w="875" w:type="dxa"/>
            <w:tcBorders>
              <w:top w:val="nil"/>
              <w:left w:val="nil"/>
              <w:bottom w:val="nil"/>
              <w:right w:val="nil"/>
            </w:tcBorders>
            <w:shd w:val="clear" w:color="auto" w:fill="auto"/>
            <w:noWrap/>
            <w:vAlign w:val="bottom"/>
            <w:hideMark/>
          </w:tcPr>
          <w:p w14:paraId="522517A9" w14:textId="77777777" w:rsidR="00AD4F68" w:rsidRPr="00AD4F68" w:rsidRDefault="00AD4F68" w:rsidP="00AD4F68">
            <w:pPr>
              <w:spacing w:after="0" w:line="240" w:lineRule="auto"/>
              <w:jc w:val="center"/>
              <w:rPr>
                <w:rFonts w:ascii="Calibri" w:eastAsia="Times New Roman" w:hAnsi="Calibri" w:cs="Calibri"/>
                <w:color w:val="000000"/>
                <w:sz w:val="22"/>
                <w:lang w:val="en-GB" w:eastAsia="en-GB"/>
              </w:rPr>
            </w:pPr>
          </w:p>
        </w:tc>
        <w:tc>
          <w:tcPr>
            <w:tcW w:w="1847" w:type="dxa"/>
            <w:tcBorders>
              <w:top w:val="nil"/>
              <w:left w:val="nil"/>
              <w:bottom w:val="nil"/>
              <w:right w:val="nil"/>
            </w:tcBorders>
            <w:shd w:val="clear" w:color="auto" w:fill="auto"/>
            <w:noWrap/>
            <w:vAlign w:val="bottom"/>
            <w:hideMark/>
          </w:tcPr>
          <w:p w14:paraId="74098768"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78" w:type="dxa"/>
            <w:tcBorders>
              <w:top w:val="nil"/>
              <w:left w:val="nil"/>
              <w:bottom w:val="nil"/>
              <w:right w:val="nil"/>
            </w:tcBorders>
            <w:shd w:val="clear" w:color="auto" w:fill="auto"/>
            <w:noWrap/>
            <w:vAlign w:val="bottom"/>
            <w:hideMark/>
          </w:tcPr>
          <w:p w14:paraId="2C9C98E5"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030" w:type="dxa"/>
            <w:tcBorders>
              <w:top w:val="nil"/>
              <w:left w:val="nil"/>
              <w:bottom w:val="nil"/>
              <w:right w:val="nil"/>
            </w:tcBorders>
            <w:shd w:val="clear" w:color="auto" w:fill="auto"/>
            <w:noWrap/>
            <w:vAlign w:val="bottom"/>
            <w:hideMark/>
          </w:tcPr>
          <w:p w14:paraId="0EA24344"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030" w:type="dxa"/>
            <w:tcBorders>
              <w:top w:val="nil"/>
              <w:left w:val="nil"/>
              <w:bottom w:val="nil"/>
              <w:right w:val="nil"/>
            </w:tcBorders>
            <w:shd w:val="clear" w:color="auto" w:fill="auto"/>
            <w:noWrap/>
            <w:vAlign w:val="bottom"/>
            <w:hideMark/>
          </w:tcPr>
          <w:p w14:paraId="01FB326B"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030" w:type="dxa"/>
            <w:tcBorders>
              <w:top w:val="nil"/>
              <w:left w:val="nil"/>
              <w:bottom w:val="nil"/>
              <w:right w:val="nil"/>
            </w:tcBorders>
            <w:shd w:val="clear" w:color="auto" w:fill="auto"/>
            <w:noWrap/>
            <w:vAlign w:val="bottom"/>
            <w:hideMark/>
          </w:tcPr>
          <w:p w14:paraId="1CC9D484"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030" w:type="dxa"/>
            <w:tcBorders>
              <w:top w:val="nil"/>
              <w:left w:val="nil"/>
              <w:bottom w:val="nil"/>
              <w:right w:val="nil"/>
            </w:tcBorders>
            <w:shd w:val="clear" w:color="auto" w:fill="auto"/>
            <w:noWrap/>
            <w:vAlign w:val="bottom"/>
            <w:hideMark/>
          </w:tcPr>
          <w:p w14:paraId="05EA94CA" w14:textId="77777777" w:rsidR="00AD4F68" w:rsidRPr="00AD4F68" w:rsidRDefault="00AD4F68" w:rsidP="00AD4F68">
            <w:pPr>
              <w:spacing w:after="0" w:line="240" w:lineRule="auto"/>
              <w:jc w:val="left"/>
              <w:rPr>
                <w:rFonts w:eastAsia="Times New Roman" w:cs="Times New Roman"/>
                <w:sz w:val="20"/>
                <w:szCs w:val="20"/>
                <w:lang w:val="en-GB" w:eastAsia="en-GB"/>
              </w:rPr>
            </w:pPr>
          </w:p>
        </w:tc>
      </w:tr>
      <w:tr w:rsidR="00AD4F68" w:rsidRPr="00AD4F68" w14:paraId="32D585EF" w14:textId="77777777" w:rsidTr="00AD4F68">
        <w:trPr>
          <w:trHeight w:val="300"/>
        </w:trPr>
        <w:tc>
          <w:tcPr>
            <w:tcW w:w="875" w:type="dxa"/>
            <w:tcBorders>
              <w:top w:val="nil"/>
              <w:left w:val="nil"/>
              <w:bottom w:val="nil"/>
              <w:right w:val="nil"/>
            </w:tcBorders>
            <w:shd w:val="clear" w:color="auto" w:fill="auto"/>
            <w:noWrap/>
            <w:vAlign w:val="bottom"/>
            <w:hideMark/>
          </w:tcPr>
          <w:p w14:paraId="1BEF2B61"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847" w:type="dxa"/>
            <w:tcBorders>
              <w:top w:val="nil"/>
              <w:left w:val="nil"/>
              <w:bottom w:val="nil"/>
              <w:right w:val="nil"/>
            </w:tcBorders>
            <w:shd w:val="clear" w:color="auto" w:fill="auto"/>
            <w:noWrap/>
            <w:vAlign w:val="bottom"/>
            <w:hideMark/>
          </w:tcPr>
          <w:p w14:paraId="415FEEF9"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78" w:type="dxa"/>
            <w:tcBorders>
              <w:top w:val="nil"/>
              <w:left w:val="nil"/>
              <w:bottom w:val="nil"/>
              <w:right w:val="nil"/>
            </w:tcBorders>
            <w:shd w:val="clear" w:color="auto" w:fill="auto"/>
            <w:noWrap/>
            <w:vAlign w:val="bottom"/>
            <w:hideMark/>
          </w:tcPr>
          <w:p w14:paraId="185F8BEB"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2060" w:type="dxa"/>
            <w:gridSpan w:val="2"/>
            <w:tcBorders>
              <w:top w:val="nil"/>
              <w:left w:val="nil"/>
              <w:bottom w:val="nil"/>
              <w:right w:val="nil"/>
            </w:tcBorders>
            <w:shd w:val="clear" w:color="auto" w:fill="auto"/>
            <w:noWrap/>
            <w:vAlign w:val="bottom"/>
            <w:hideMark/>
          </w:tcPr>
          <w:p w14:paraId="24877876" w14:textId="77777777" w:rsidR="00AD4F68" w:rsidRPr="00AD4F68" w:rsidRDefault="00AD4F68" w:rsidP="00AD4F68">
            <w:pPr>
              <w:spacing w:after="0" w:line="240" w:lineRule="auto"/>
              <w:jc w:val="center"/>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2018</w:t>
            </w:r>
          </w:p>
        </w:tc>
        <w:tc>
          <w:tcPr>
            <w:tcW w:w="2060" w:type="dxa"/>
            <w:gridSpan w:val="2"/>
            <w:tcBorders>
              <w:top w:val="nil"/>
              <w:left w:val="nil"/>
              <w:bottom w:val="nil"/>
              <w:right w:val="nil"/>
            </w:tcBorders>
            <w:shd w:val="clear" w:color="auto" w:fill="auto"/>
            <w:noWrap/>
            <w:vAlign w:val="bottom"/>
            <w:hideMark/>
          </w:tcPr>
          <w:p w14:paraId="7C250248" w14:textId="77777777" w:rsidR="00AD4F68" w:rsidRPr="00AD4F68" w:rsidRDefault="00AD4F68" w:rsidP="00AD4F68">
            <w:pPr>
              <w:spacing w:after="0" w:line="240" w:lineRule="auto"/>
              <w:jc w:val="center"/>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2019</w:t>
            </w:r>
          </w:p>
        </w:tc>
      </w:tr>
      <w:tr w:rsidR="00AD4F68" w:rsidRPr="00AD4F68" w14:paraId="3C3F3347" w14:textId="77777777" w:rsidTr="00AD4F68">
        <w:trPr>
          <w:trHeight w:val="300"/>
        </w:trPr>
        <w:tc>
          <w:tcPr>
            <w:tcW w:w="875" w:type="dxa"/>
            <w:tcBorders>
              <w:top w:val="nil"/>
              <w:left w:val="nil"/>
              <w:bottom w:val="nil"/>
              <w:right w:val="nil"/>
            </w:tcBorders>
            <w:shd w:val="clear" w:color="auto" w:fill="auto"/>
            <w:noWrap/>
            <w:vAlign w:val="bottom"/>
            <w:hideMark/>
          </w:tcPr>
          <w:p w14:paraId="447FEC61" w14:textId="77777777" w:rsidR="00AD4F68" w:rsidRPr="00AD4F68" w:rsidRDefault="00AD4F68" w:rsidP="00AD4F68">
            <w:pPr>
              <w:spacing w:after="0" w:line="240" w:lineRule="auto"/>
              <w:jc w:val="center"/>
              <w:rPr>
                <w:rFonts w:ascii="Calibri" w:eastAsia="Times New Roman" w:hAnsi="Calibri" w:cs="Calibri"/>
                <w:b/>
                <w:bCs/>
                <w:color w:val="000000"/>
                <w:sz w:val="22"/>
                <w:lang w:val="en-GB" w:eastAsia="en-GB"/>
              </w:rPr>
            </w:pPr>
          </w:p>
        </w:tc>
        <w:tc>
          <w:tcPr>
            <w:tcW w:w="1847" w:type="dxa"/>
            <w:tcBorders>
              <w:top w:val="nil"/>
              <w:left w:val="nil"/>
              <w:bottom w:val="nil"/>
              <w:right w:val="nil"/>
            </w:tcBorders>
            <w:shd w:val="clear" w:color="auto" w:fill="auto"/>
            <w:noWrap/>
            <w:vAlign w:val="bottom"/>
            <w:hideMark/>
          </w:tcPr>
          <w:p w14:paraId="7A9C14CF"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78" w:type="dxa"/>
            <w:tcBorders>
              <w:top w:val="nil"/>
              <w:left w:val="nil"/>
              <w:bottom w:val="nil"/>
              <w:right w:val="nil"/>
            </w:tcBorders>
            <w:shd w:val="clear" w:color="auto" w:fill="auto"/>
            <w:noWrap/>
            <w:vAlign w:val="bottom"/>
            <w:hideMark/>
          </w:tcPr>
          <w:p w14:paraId="50D745A8"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030" w:type="dxa"/>
            <w:tcBorders>
              <w:top w:val="nil"/>
              <w:left w:val="nil"/>
              <w:bottom w:val="nil"/>
              <w:right w:val="nil"/>
            </w:tcBorders>
            <w:shd w:val="clear" w:color="auto" w:fill="auto"/>
            <w:noWrap/>
            <w:vAlign w:val="bottom"/>
            <w:hideMark/>
          </w:tcPr>
          <w:p w14:paraId="6D980CA1" w14:textId="77777777" w:rsidR="00AD4F68" w:rsidRPr="00AD4F68" w:rsidRDefault="00AD4F68" w:rsidP="00AD4F68">
            <w:pPr>
              <w:spacing w:after="0" w:line="240" w:lineRule="auto"/>
              <w:jc w:val="center"/>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£000</w:t>
            </w:r>
          </w:p>
        </w:tc>
        <w:tc>
          <w:tcPr>
            <w:tcW w:w="1030" w:type="dxa"/>
            <w:tcBorders>
              <w:top w:val="nil"/>
              <w:left w:val="nil"/>
              <w:bottom w:val="nil"/>
              <w:right w:val="nil"/>
            </w:tcBorders>
            <w:shd w:val="clear" w:color="auto" w:fill="auto"/>
            <w:noWrap/>
            <w:vAlign w:val="bottom"/>
            <w:hideMark/>
          </w:tcPr>
          <w:p w14:paraId="7D296B14" w14:textId="77777777" w:rsidR="00AD4F68" w:rsidRPr="00AD4F68" w:rsidRDefault="00AD4F68" w:rsidP="00AD4F68">
            <w:pPr>
              <w:spacing w:after="0" w:line="240" w:lineRule="auto"/>
              <w:jc w:val="center"/>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£000</w:t>
            </w:r>
          </w:p>
        </w:tc>
        <w:tc>
          <w:tcPr>
            <w:tcW w:w="1030" w:type="dxa"/>
            <w:tcBorders>
              <w:top w:val="nil"/>
              <w:left w:val="nil"/>
              <w:bottom w:val="nil"/>
              <w:right w:val="nil"/>
            </w:tcBorders>
            <w:shd w:val="clear" w:color="auto" w:fill="auto"/>
            <w:noWrap/>
            <w:vAlign w:val="bottom"/>
            <w:hideMark/>
          </w:tcPr>
          <w:p w14:paraId="38FDE25D" w14:textId="77777777" w:rsidR="00AD4F68" w:rsidRPr="00AD4F68" w:rsidRDefault="00AD4F68" w:rsidP="00AD4F68">
            <w:pPr>
              <w:spacing w:after="0" w:line="240" w:lineRule="auto"/>
              <w:jc w:val="center"/>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£000</w:t>
            </w:r>
          </w:p>
        </w:tc>
        <w:tc>
          <w:tcPr>
            <w:tcW w:w="1030" w:type="dxa"/>
            <w:tcBorders>
              <w:top w:val="nil"/>
              <w:left w:val="nil"/>
              <w:bottom w:val="nil"/>
              <w:right w:val="nil"/>
            </w:tcBorders>
            <w:shd w:val="clear" w:color="auto" w:fill="auto"/>
            <w:noWrap/>
            <w:vAlign w:val="bottom"/>
            <w:hideMark/>
          </w:tcPr>
          <w:p w14:paraId="7EE1EC9D" w14:textId="77777777" w:rsidR="00AD4F68" w:rsidRPr="00AD4F68" w:rsidRDefault="00AD4F68" w:rsidP="00AD4F68">
            <w:pPr>
              <w:spacing w:after="0" w:line="240" w:lineRule="auto"/>
              <w:jc w:val="center"/>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£000</w:t>
            </w:r>
          </w:p>
        </w:tc>
      </w:tr>
      <w:tr w:rsidR="00AD4F68" w:rsidRPr="00AD4F68" w14:paraId="4D398411" w14:textId="77777777" w:rsidTr="00AD4F68">
        <w:trPr>
          <w:trHeight w:val="300"/>
        </w:trPr>
        <w:tc>
          <w:tcPr>
            <w:tcW w:w="875" w:type="dxa"/>
            <w:tcBorders>
              <w:top w:val="nil"/>
              <w:left w:val="nil"/>
              <w:bottom w:val="nil"/>
              <w:right w:val="nil"/>
            </w:tcBorders>
            <w:shd w:val="clear" w:color="auto" w:fill="auto"/>
            <w:noWrap/>
            <w:vAlign w:val="bottom"/>
            <w:hideMark/>
          </w:tcPr>
          <w:p w14:paraId="5F9F0887" w14:textId="77777777" w:rsidR="00AD4F68" w:rsidRPr="00AD4F68" w:rsidRDefault="00AD4F68" w:rsidP="00AD4F68">
            <w:pPr>
              <w:spacing w:after="0" w:line="240" w:lineRule="auto"/>
              <w:jc w:val="center"/>
              <w:rPr>
                <w:rFonts w:ascii="Calibri" w:eastAsia="Times New Roman" w:hAnsi="Calibri" w:cs="Calibri"/>
                <w:b/>
                <w:bCs/>
                <w:color w:val="000000"/>
                <w:sz w:val="22"/>
                <w:lang w:val="en-GB" w:eastAsia="en-GB"/>
              </w:rPr>
            </w:pPr>
          </w:p>
        </w:tc>
        <w:tc>
          <w:tcPr>
            <w:tcW w:w="1847" w:type="dxa"/>
            <w:tcBorders>
              <w:top w:val="nil"/>
              <w:left w:val="nil"/>
              <w:bottom w:val="nil"/>
              <w:right w:val="nil"/>
            </w:tcBorders>
            <w:shd w:val="clear" w:color="auto" w:fill="auto"/>
            <w:noWrap/>
            <w:vAlign w:val="bottom"/>
            <w:hideMark/>
          </w:tcPr>
          <w:p w14:paraId="731705CC"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Sales</w:t>
            </w:r>
          </w:p>
        </w:tc>
        <w:tc>
          <w:tcPr>
            <w:tcW w:w="78" w:type="dxa"/>
            <w:tcBorders>
              <w:top w:val="nil"/>
              <w:left w:val="nil"/>
              <w:bottom w:val="nil"/>
              <w:right w:val="nil"/>
            </w:tcBorders>
            <w:shd w:val="clear" w:color="auto" w:fill="auto"/>
            <w:noWrap/>
            <w:vAlign w:val="bottom"/>
            <w:hideMark/>
          </w:tcPr>
          <w:p w14:paraId="55464C62"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04ED2D63"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030" w:type="dxa"/>
            <w:tcBorders>
              <w:top w:val="nil"/>
              <w:left w:val="nil"/>
              <w:bottom w:val="nil"/>
              <w:right w:val="nil"/>
            </w:tcBorders>
            <w:shd w:val="clear" w:color="auto" w:fill="auto"/>
            <w:noWrap/>
            <w:vAlign w:val="bottom"/>
            <w:hideMark/>
          </w:tcPr>
          <w:p w14:paraId="19F2E404"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5500</w:t>
            </w:r>
          </w:p>
        </w:tc>
        <w:tc>
          <w:tcPr>
            <w:tcW w:w="1030" w:type="dxa"/>
            <w:tcBorders>
              <w:top w:val="nil"/>
              <w:left w:val="nil"/>
              <w:bottom w:val="nil"/>
              <w:right w:val="nil"/>
            </w:tcBorders>
            <w:shd w:val="clear" w:color="auto" w:fill="auto"/>
            <w:noWrap/>
            <w:vAlign w:val="bottom"/>
            <w:hideMark/>
          </w:tcPr>
          <w:p w14:paraId="16223802"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39CB744D"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6000</w:t>
            </w:r>
          </w:p>
        </w:tc>
      </w:tr>
      <w:tr w:rsidR="00AD4F68" w:rsidRPr="00AD4F68" w14:paraId="7F81BB4F" w14:textId="77777777" w:rsidTr="00AD4F68">
        <w:trPr>
          <w:trHeight w:val="300"/>
        </w:trPr>
        <w:tc>
          <w:tcPr>
            <w:tcW w:w="875" w:type="dxa"/>
            <w:tcBorders>
              <w:top w:val="nil"/>
              <w:left w:val="nil"/>
              <w:bottom w:val="nil"/>
              <w:right w:val="nil"/>
            </w:tcBorders>
            <w:shd w:val="clear" w:color="auto" w:fill="auto"/>
            <w:noWrap/>
            <w:vAlign w:val="bottom"/>
            <w:hideMark/>
          </w:tcPr>
          <w:p w14:paraId="328C4EB4"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Less</w:t>
            </w:r>
          </w:p>
        </w:tc>
        <w:tc>
          <w:tcPr>
            <w:tcW w:w="1925" w:type="dxa"/>
            <w:gridSpan w:val="2"/>
            <w:tcBorders>
              <w:top w:val="nil"/>
              <w:left w:val="nil"/>
              <w:bottom w:val="nil"/>
              <w:right w:val="nil"/>
            </w:tcBorders>
            <w:shd w:val="clear" w:color="auto" w:fill="auto"/>
            <w:noWrap/>
            <w:vAlign w:val="bottom"/>
            <w:hideMark/>
          </w:tcPr>
          <w:p w14:paraId="4BB410A7"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Cost of goods sold:</w:t>
            </w:r>
          </w:p>
        </w:tc>
        <w:tc>
          <w:tcPr>
            <w:tcW w:w="1030" w:type="dxa"/>
            <w:tcBorders>
              <w:top w:val="nil"/>
              <w:left w:val="nil"/>
              <w:bottom w:val="nil"/>
              <w:right w:val="nil"/>
            </w:tcBorders>
            <w:shd w:val="clear" w:color="auto" w:fill="auto"/>
            <w:noWrap/>
            <w:vAlign w:val="bottom"/>
            <w:hideMark/>
          </w:tcPr>
          <w:p w14:paraId="55EFB886"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6886CF0F"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030" w:type="dxa"/>
            <w:tcBorders>
              <w:top w:val="nil"/>
              <w:left w:val="nil"/>
              <w:bottom w:val="nil"/>
              <w:right w:val="nil"/>
            </w:tcBorders>
            <w:shd w:val="clear" w:color="auto" w:fill="auto"/>
            <w:noWrap/>
            <w:vAlign w:val="bottom"/>
            <w:hideMark/>
          </w:tcPr>
          <w:p w14:paraId="16C25F3F"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030" w:type="dxa"/>
            <w:tcBorders>
              <w:top w:val="nil"/>
              <w:left w:val="nil"/>
              <w:bottom w:val="nil"/>
              <w:right w:val="nil"/>
            </w:tcBorders>
            <w:shd w:val="clear" w:color="auto" w:fill="auto"/>
            <w:noWrap/>
            <w:vAlign w:val="bottom"/>
            <w:hideMark/>
          </w:tcPr>
          <w:p w14:paraId="39CCC3D6" w14:textId="77777777" w:rsidR="00AD4F68" w:rsidRPr="00AD4F68" w:rsidRDefault="00AD4F68" w:rsidP="00AD4F68">
            <w:pPr>
              <w:spacing w:after="0" w:line="240" w:lineRule="auto"/>
              <w:jc w:val="left"/>
              <w:rPr>
                <w:rFonts w:eastAsia="Times New Roman" w:cs="Times New Roman"/>
                <w:sz w:val="20"/>
                <w:szCs w:val="20"/>
                <w:lang w:val="en-GB" w:eastAsia="en-GB"/>
              </w:rPr>
            </w:pPr>
          </w:p>
        </w:tc>
      </w:tr>
      <w:tr w:rsidR="00AD4F68" w:rsidRPr="00AD4F68" w14:paraId="599C9BBC" w14:textId="77777777" w:rsidTr="00AD4F68">
        <w:trPr>
          <w:trHeight w:val="300"/>
        </w:trPr>
        <w:tc>
          <w:tcPr>
            <w:tcW w:w="875" w:type="dxa"/>
            <w:tcBorders>
              <w:top w:val="nil"/>
              <w:left w:val="nil"/>
              <w:bottom w:val="nil"/>
              <w:right w:val="nil"/>
            </w:tcBorders>
            <w:shd w:val="clear" w:color="auto" w:fill="auto"/>
            <w:noWrap/>
            <w:vAlign w:val="bottom"/>
            <w:hideMark/>
          </w:tcPr>
          <w:p w14:paraId="2EFBCC59"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925" w:type="dxa"/>
            <w:gridSpan w:val="2"/>
            <w:tcBorders>
              <w:top w:val="nil"/>
              <w:left w:val="nil"/>
              <w:bottom w:val="nil"/>
              <w:right w:val="nil"/>
            </w:tcBorders>
            <w:shd w:val="clear" w:color="auto" w:fill="auto"/>
            <w:noWrap/>
            <w:vAlign w:val="bottom"/>
            <w:hideMark/>
          </w:tcPr>
          <w:p w14:paraId="0CDB358C"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Opening stock</w:t>
            </w:r>
          </w:p>
        </w:tc>
        <w:tc>
          <w:tcPr>
            <w:tcW w:w="1030" w:type="dxa"/>
            <w:tcBorders>
              <w:top w:val="nil"/>
              <w:left w:val="nil"/>
              <w:bottom w:val="nil"/>
              <w:right w:val="nil"/>
            </w:tcBorders>
            <w:shd w:val="clear" w:color="auto" w:fill="auto"/>
            <w:noWrap/>
            <w:vAlign w:val="bottom"/>
            <w:hideMark/>
          </w:tcPr>
          <w:p w14:paraId="50A1ECB6"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750</w:t>
            </w:r>
          </w:p>
        </w:tc>
        <w:tc>
          <w:tcPr>
            <w:tcW w:w="1030" w:type="dxa"/>
            <w:tcBorders>
              <w:top w:val="nil"/>
              <w:left w:val="nil"/>
              <w:bottom w:val="nil"/>
              <w:right w:val="nil"/>
            </w:tcBorders>
            <w:shd w:val="clear" w:color="auto" w:fill="auto"/>
            <w:noWrap/>
            <w:vAlign w:val="bottom"/>
            <w:hideMark/>
          </w:tcPr>
          <w:p w14:paraId="6F02EC70"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5E357B39"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900</w:t>
            </w:r>
          </w:p>
        </w:tc>
        <w:tc>
          <w:tcPr>
            <w:tcW w:w="1030" w:type="dxa"/>
            <w:tcBorders>
              <w:top w:val="nil"/>
              <w:left w:val="nil"/>
              <w:bottom w:val="nil"/>
              <w:right w:val="nil"/>
            </w:tcBorders>
            <w:shd w:val="clear" w:color="auto" w:fill="auto"/>
            <w:noWrap/>
            <w:vAlign w:val="bottom"/>
            <w:hideMark/>
          </w:tcPr>
          <w:p w14:paraId="44C52155"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38EB5A46" w14:textId="77777777" w:rsidTr="00AD4F68">
        <w:trPr>
          <w:trHeight w:val="300"/>
        </w:trPr>
        <w:tc>
          <w:tcPr>
            <w:tcW w:w="875" w:type="dxa"/>
            <w:tcBorders>
              <w:top w:val="nil"/>
              <w:left w:val="nil"/>
              <w:bottom w:val="nil"/>
              <w:right w:val="nil"/>
            </w:tcBorders>
            <w:shd w:val="clear" w:color="auto" w:fill="auto"/>
            <w:noWrap/>
            <w:vAlign w:val="bottom"/>
            <w:hideMark/>
          </w:tcPr>
          <w:p w14:paraId="680F5DAD"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925" w:type="dxa"/>
            <w:gridSpan w:val="2"/>
            <w:tcBorders>
              <w:top w:val="nil"/>
              <w:left w:val="nil"/>
              <w:bottom w:val="nil"/>
              <w:right w:val="nil"/>
            </w:tcBorders>
            <w:shd w:val="clear" w:color="auto" w:fill="auto"/>
            <w:noWrap/>
            <w:vAlign w:val="bottom"/>
            <w:hideMark/>
          </w:tcPr>
          <w:p w14:paraId="3089A2A5"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Purchases</w:t>
            </w:r>
          </w:p>
        </w:tc>
        <w:tc>
          <w:tcPr>
            <w:tcW w:w="1030" w:type="dxa"/>
            <w:tcBorders>
              <w:top w:val="nil"/>
              <w:left w:val="nil"/>
              <w:bottom w:val="nil"/>
              <w:right w:val="nil"/>
            </w:tcBorders>
            <w:shd w:val="clear" w:color="auto" w:fill="auto"/>
            <w:noWrap/>
            <w:vAlign w:val="bottom"/>
            <w:hideMark/>
          </w:tcPr>
          <w:p w14:paraId="2B3163E4"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500</w:t>
            </w:r>
          </w:p>
        </w:tc>
        <w:tc>
          <w:tcPr>
            <w:tcW w:w="1030" w:type="dxa"/>
            <w:tcBorders>
              <w:top w:val="nil"/>
              <w:left w:val="nil"/>
              <w:bottom w:val="nil"/>
              <w:right w:val="nil"/>
            </w:tcBorders>
            <w:shd w:val="clear" w:color="auto" w:fill="auto"/>
            <w:noWrap/>
            <w:vAlign w:val="bottom"/>
            <w:hideMark/>
          </w:tcPr>
          <w:p w14:paraId="20D1F467"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3199CD57"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850</w:t>
            </w:r>
          </w:p>
        </w:tc>
        <w:tc>
          <w:tcPr>
            <w:tcW w:w="1030" w:type="dxa"/>
            <w:tcBorders>
              <w:top w:val="nil"/>
              <w:left w:val="nil"/>
              <w:bottom w:val="nil"/>
              <w:right w:val="nil"/>
            </w:tcBorders>
            <w:shd w:val="clear" w:color="auto" w:fill="auto"/>
            <w:noWrap/>
            <w:vAlign w:val="bottom"/>
            <w:hideMark/>
          </w:tcPr>
          <w:p w14:paraId="746745BD"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731B2BBB" w14:textId="77777777" w:rsidTr="00AD4F68">
        <w:trPr>
          <w:trHeight w:val="300"/>
        </w:trPr>
        <w:tc>
          <w:tcPr>
            <w:tcW w:w="875" w:type="dxa"/>
            <w:tcBorders>
              <w:top w:val="nil"/>
              <w:left w:val="nil"/>
              <w:bottom w:val="nil"/>
              <w:right w:val="nil"/>
            </w:tcBorders>
            <w:shd w:val="clear" w:color="auto" w:fill="auto"/>
            <w:noWrap/>
            <w:vAlign w:val="bottom"/>
            <w:hideMark/>
          </w:tcPr>
          <w:p w14:paraId="37F2F796"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 xml:space="preserve">Less </w:t>
            </w:r>
          </w:p>
        </w:tc>
        <w:tc>
          <w:tcPr>
            <w:tcW w:w="1925" w:type="dxa"/>
            <w:gridSpan w:val="2"/>
            <w:tcBorders>
              <w:top w:val="nil"/>
              <w:left w:val="nil"/>
              <w:bottom w:val="nil"/>
              <w:right w:val="nil"/>
            </w:tcBorders>
            <w:shd w:val="clear" w:color="auto" w:fill="auto"/>
            <w:noWrap/>
            <w:vAlign w:val="bottom"/>
            <w:hideMark/>
          </w:tcPr>
          <w:p w14:paraId="7F110C41"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Closing Stock</w:t>
            </w:r>
          </w:p>
        </w:tc>
        <w:tc>
          <w:tcPr>
            <w:tcW w:w="1030" w:type="dxa"/>
            <w:tcBorders>
              <w:top w:val="nil"/>
              <w:left w:val="nil"/>
              <w:bottom w:val="nil"/>
              <w:right w:val="nil"/>
            </w:tcBorders>
            <w:shd w:val="clear" w:color="auto" w:fill="auto"/>
            <w:noWrap/>
            <w:vAlign w:val="bottom"/>
            <w:hideMark/>
          </w:tcPr>
          <w:p w14:paraId="4C1026DA"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800</w:t>
            </w:r>
          </w:p>
        </w:tc>
        <w:tc>
          <w:tcPr>
            <w:tcW w:w="1030" w:type="dxa"/>
            <w:tcBorders>
              <w:top w:val="nil"/>
              <w:left w:val="nil"/>
              <w:bottom w:val="nil"/>
              <w:right w:val="nil"/>
            </w:tcBorders>
            <w:shd w:val="clear" w:color="auto" w:fill="auto"/>
            <w:noWrap/>
            <w:vAlign w:val="bottom"/>
            <w:hideMark/>
          </w:tcPr>
          <w:p w14:paraId="22AF622C"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3D55F7D1"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900</w:t>
            </w:r>
          </w:p>
        </w:tc>
        <w:tc>
          <w:tcPr>
            <w:tcW w:w="1030" w:type="dxa"/>
            <w:tcBorders>
              <w:top w:val="nil"/>
              <w:left w:val="nil"/>
              <w:bottom w:val="nil"/>
              <w:right w:val="nil"/>
            </w:tcBorders>
            <w:shd w:val="clear" w:color="auto" w:fill="auto"/>
            <w:noWrap/>
            <w:vAlign w:val="bottom"/>
            <w:hideMark/>
          </w:tcPr>
          <w:p w14:paraId="2610F1DB"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5BA305B1" w14:textId="77777777" w:rsidTr="00AD4F68">
        <w:trPr>
          <w:trHeight w:val="300"/>
        </w:trPr>
        <w:tc>
          <w:tcPr>
            <w:tcW w:w="875" w:type="dxa"/>
            <w:tcBorders>
              <w:top w:val="nil"/>
              <w:left w:val="nil"/>
              <w:bottom w:val="nil"/>
              <w:right w:val="nil"/>
            </w:tcBorders>
            <w:shd w:val="clear" w:color="auto" w:fill="auto"/>
            <w:noWrap/>
            <w:vAlign w:val="bottom"/>
            <w:hideMark/>
          </w:tcPr>
          <w:p w14:paraId="7469A894"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847" w:type="dxa"/>
            <w:tcBorders>
              <w:top w:val="nil"/>
              <w:left w:val="nil"/>
              <w:bottom w:val="nil"/>
              <w:right w:val="nil"/>
            </w:tcBorders>
            <w:shd w:val="clear" w:color="auto" w:fill="auto"/>
            <w:noWrap/>
            <w:vAlign w:val="bottom"/>
            <w:hideMark/>
          </w:tcPr>
          <w:p w14:paraId="14753B84"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78" w:type="dxa"/>
            <w:tcBorders>
              <w:top w:val="nil"/>
              <w:left w:val="nil"/>
              <w:bottom w:val="nil"/>
              <w:right w:val="nil"/>
            </w:tcBorders>
            <w:shd w:val="clear" w:color="auto" w:fill="auto"/>
            <w:noWrap/>
            <w:vAlign w:val="bottom"/>
            <w:hideMark/>
          </w:tcPr>
          <w:p w14:paraId="7078F345"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030" w:type="dxa"/>
            <w:tcBorders>
              <w:top w:val="single" w:sz="4" w:space="0" w:color="auto"/>
              <w:left w:val="nil"/>
              <w:bottom w:val="nil"/>
              <w:right w:val="nil"/>
            </w:tcBorders>
            <w:shd w:val="clear" w:color="auto" w:fill="auto"/>
            <w:noWrap/>
            <w:vAlign w:val="bottom"/>
            <w:hideMark/>
          </w:tcPr>
          <w:p w14:paraId="6B19805F"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 </w:t>
            </w:r>
          </w:p>
        </w:tc>
        <w:tc>
          <w:tcPr>
            <w:tcW w:w="1030" w:type="dxa"/>
            <w:tcBorders>
              <w:top w:val="nil"/>
              <w:left w:val="nil"/>
              <w:bottom w:val="nil"/>
              <w:right w:val="nil"/>
            </w:tcBorders>
            <w:shd w:val="clear" w:color="auto" w:fill="auto"/>
            <w:noWrap/>
            <w:vAlign w:val="bottom"/>
            <w:hideMark/>
          </w:tcPr>
          <w:p w14:paraId="4C5EA257"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450</w:t>
            </w:r>
          </w:p>
        </w:tc>
        <w:tc>
          <w:tcPr>
            <w:tcW w:w="1030" w:type="dxa"/>
            <w:tcBorders>
              <w:top w:val="single" w:sz="4" w:space="0" w:color="auto"/>
              <w:left w:val="nil"/>
              <w:bottom w:val="nil"/>
              <w:right w:val="nil"/>
            </w:tcBorders>
            <w:shd w:val="clear" w:color="auto" w:fill="auto"/>
            <w:noWrap/>
            <w:vAlign w:val="bottom"/>
            <w:hideMark/>
          </w:tcPr>
          <w:p w14:paraId="6586B7BF"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 </w:t>
            </w:r>
          </w:p>
        </w:tc>
        <w:tc>
          <w:tcPr>
            <w:tcW w:w="1030" w:type="dxa"/>
            <w:tcBorders>
              <w:top w:val="nil"/>
              <w:left w:val="nil"/>
              <w:bottom w:val="nil"/>
              <w:right w:val="nil"/>
            </w:tcBorders>
            <w:shd w:val="clear" w:color="auto" w:fill="auto"/>
            <w:noWrap/>
            <w:vAlign w:val="bottom"/>
            <w:hideMark/>
          </w:tcPr>
          <w:p w14:paraId="7C4419E9"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850</w:t>
            </w:r>
          </w:p>
        </w:tc>
      </w:tr>
      <w:tr w:rsidR="00AD4F68" w:rsidRPr="00AD4F68" w14:paraId="0F2B654C" w14:textId="77777777" w:rsidTr="00AD4F68">
        <w:trPr>
          <w:trHeight w:val="300"/>
        </w:trPr>
        <w:tc>
          <w:tcPr>
            <w:tcW w:w="875" w:type="dxa"/>
            <w:tcBorders>
              <w:top w:val="nil"/>
              <w:left w:val="nil"/>
              <w:bottom w:val="nil"/>
              <w:right w:val="nil"/>
            </w:tcBorders>
            <w:shd w:val="clear" w:color="auto" w:fill="auto"/>
            <w:noWrap/>
            <w:vAlign w:val="bottom"/>
            <w:hideMark/>
          </w:tcPr>
          <w:p w14:paraId="181E2F7F"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925" w:type="dxa"/>
            <w:gridSpan w:val="2"/>
            <w:tcBorders>
              <w:top w:val="nil"/>
              <w:left w:val="nil"/>
              <w:bottom w:val="nil"/>
              <w:right w:val="nil"/>
            </w:tcBorders>
            <w:shd w:val="clear" w:color="auto" w:fill="auto"/>
            <w:noWrap/>
            <w:vAlign w:val="bottom"/>
            <w:hideMark/>
          </w:tcPr>
          <w:p w14:paraId="5910C698" w14:textId="77777777" w:rsidR="00AD4F68" w:rsidRPr="00AD4F68" w:rsidRDefault="00AD4F68" w:rsidP="00AD4F68">
            <w:pPr>
              <w:spacing w:after="0" w:line="240" w:lineRule="auto"/>
              <w:jc w:val="left"/>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Gross Profit</w:t>
            </w:r>
          </w:p>
        </w:tc>
        <w:tc>
          <w:tcPr>
            <w:tcW w:w="1030" w:type="dxa"/>
            <w:tcBorders>
              <w:top w:val="nil"/>
              <w:left w:val="nil"/>
              <w:bottom w:val="nil"/>
              <w:right w:val="nil"/>
            </w:tcBorders>
            <w:shd w:val="clear" w:color="auto" w:fill="auto"/>
            <w:noWrap/>
            <w:vAlign w:val="bottom"/>
            <w:hideMark/>
          </w:tcPr>
          <w:p w14:paraId="739F9C8B" w14:textId="77777777" w:rsidR="00AD4F68" w:rsidRPr="00AD4F68" w:rsidRDefault="00AD4F68" w:rsidP="00AD4F68">
            <w:pPr>
              <w:spacing w:after="0" w:line="240" w:lineRule="auto"/>
              <w:jc w:val="left"/>
              <w:rPr>
                <w:rFonts w:ascii="Calibri" w:eastAsia="Times New Roman" w:hAnsi="Calibri" w:cs="Calibri"/>
                <w:b/>
                <w:bCs/>
                <w:color w:val="000000"/>
                <w:sz w:val="22"/>
                <w:lang w:val="en-GB" w:eastAsia="en-GB"/>
              </w:rPr>
            </w:pPr>
          </w:p>
        </w:tc>
        <w:tc>
          <w:tcPr>
            <w:tcW w:w="1030" w:type="dxa"/>
            <w:tcBorders>
              <w:top w:val="nil"/>
              <w:left w:val="nil"/>
              <w:bottom w:val="nil"/>
              <w:right w:val="nil"/>
            </w:tcBorders>
            <w:shd w:val="clear" w:color="auto" w:fill="auto"/>
            <w:noWrap/>
            <w:vAlign w:val="bottom"/>
            <w:hideMark/>
          </w:tcPr>
          <w:p w14:paraId="4D456CD8" w14:textId="77777777" w:rsidR="00AD4F68" w:rsidRPr="00AD4F68" w:rsidRDefault="00AD4F68" w:rsidP="00AD4F68">
            <w:pPr>
              <w:spacing w:after="0" w:line="240" w:lineRule="auto"/>
              <w:jc w:val="right"/>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5050</w:t>
            </w:r>
          </w:p>
        </w:tc>
        <w:tc>
          <w:tcPr>
            <w:tcW w:w="1030" w:type="dxa"/>
            <w:tcBorders>
              <w:top w:val="nil"/>
              <w:left w:val="nil"/>
              <w:bottom w:val="nil"/>
              <w:right w:val="nil"/>
            </w:tcBorders>
            <w:shd w:val="clear" w:color="auto" w:fill="auto"/>
            <w:noWrap/>
            <w:vAlign w:val="bottom"/>
            <w:hideMark/>
          </w:tcPr>
          <w:p w14:paraId="7B6D671E" w14:textId="77777777" w:rsidR="00AD4F68" w:rsidRPr="00AD4F68" w:rsidRDefault="00AD4F68" w:rsidP="00AD4F68">
            <w:pPr>
              <w:spacing w:after="0" w:line="240" w:lineRule="auto"/>
              <w:jc w:val="right"/>
              <w:rPr>
                <w:rFonts w:ascii="Calibri" w:eastAsia="Times New Roman" w:hAnsi="Calibri" w:cs="Calibri"/>
                <w:b/>
                <w:bCs/>
                <w:color w:val="000000"/>
                <w:sz w:val="22"/>
                <w:lang w:val="en-GB" w:eastAsia="en-GB"/>
              </w:rPr>
            </w:pPr>
          </w:p>
        </w:tc>
        <w:tc>
          <w:tcPr>
            <w:tcW w:w="1030" w:type="dxa"/>
            <w:tcBorders>
              <w:top w:val="nil"/>
              <w:left w:val="nil"/>
              <w:bottom w:val="nil"/>
              <w:right w:val="nil"/>
            </w:tcBorders>
            <w:shd w:val="clear" w:color="auto" w:fill="auto"/>
            <w:noWrap/>
            <w:vAlign w:val="bottom"/>
            <w:hideMark/>
          </w:tcPr>
          <w:p w14:paraId="2F19E322" w14:textId="77777777" w:rsidR="00AD4F68" w:rsidRPr="00AD4F68" w:rsidRDefault="00AD4F68" w:rsidP="00AD4F68">
            <w:pPr>
              <w:spacing w:after="0" w:line="240" w:lineRule="auto"/>
              <w:jc w:val="right"/>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5150</w:t>
            </w:r>
          </w:p>
        </w:tc>
      </w:tr>
      <w:tr w:rsidR="00AD4F68" w:rsidRPr="00AD4F68" w14:paraId="03D06A8A" w14:textId="77777777" w:rsidTr="00AD4F68">
        <w:trPr>
          <w:trHeight w:val="300"/>
        </w:trPr>
        <w:tc>
          <w:tcPr>
            <w:tcW w:w="875" w:type="dxa"/>
            <w:tcBorders>
              <w:top w:val="nil"/>
              <w:left w:val="nil"/>
              <w:bottom w:val="nil"/>
              <w:right w:val="nil"/>
            </w:tcBorders>
            <w:shd w:val="clear" w:color="auto" w:fill="auto"/>
            <w:noWrap/>
            <w:vAlign w:val="bottom"/>
            <w:hideMark/>
          </w:tcPr>
          <w:p w14:paraId="0ED9D533"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 xml:space="preserve">Less </w:t>
            </w:r>
          </w:p>
        </w:tc>
        <w:tc>
          <w:tcPr>
            <w:tcW w:w="1847" w:type="dxa"/>
            <w:tcBorders>
              <w:top w:val="nil"/>
              <w:left w:val="nil"/>
              <w:bottom w:val="nil"/>
              <w:right w:val="nil"/>
            </w:tcBorders>
            <w:shd w:val="clear" w:color="auto" w:fill="auto"/>
            <w:noWrap/>
            <w:vAlign w:val="bottom"/>
            <w:hideMark/>
          </w:tcPr>
          <w:p w14:paraId="55D4CF08"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Expenses</w:t>
            </w:r>
          </w:p>
        </w:tc>
        <w:tc>
          <w:tcPr>
            <w:tcW w:w="78" w:type="dxa"/>
            <w:tcBorders>
              <w:top w:val="nil"/>
              <w:left w:val="nil"/>
              <w:bottom w:val="nil"/>
              <w:right w:val="nil"/>
            </w:tcBorders>
            <w:shd w:val="clear" w:color="auto" w:fill="auto"/>
            <w:noWrap/>
            <w:vAlign w:val="bottom"/>
            <w:hideMark/>
          </w:tcPr>
          <w:p w14:paraId="60174703"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780C2783"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030" w:type="dxa"/>
            <w:tcBorders>
              <w:top w:val="nil"/>
              <w:left w:val="nil"/>
              <w:bottom w:val="nil"/>
              <w:right w:val="nil"/>
            </w:tcBorders>
            <w:shd w:val="clear" w:color="auto" w:fill="auto"/>
            <w:noWrap/>
            <w:vAlign w:val="bottom"/>
            <w:hideMark/>
          </w:tcPr>
          <w:p w14:paraId="0554BC3D"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030" w:type="dxa"/>
            <w:tcBorders>
              <w:top w:val="nil"/>
              <w:left w:val="nil"/>
              <w:bottom w:val="nil"/>
              <w:right w:val="nil"/>
            </w:tcBorders>
            <w:shd w:val="clear" w:color="auto" w:fill="auto"/>
            <w:noWrap/>
            <w:vAlign w:val="bottom"/>
            <w:hideMark/>
          </w:tcPr>
          <w:p w14:paraId="1EC61627"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030" w:type="dxa"/>
            <w:tcBorders>
              <w:top w:val="nil"/>
              <w:left w:val="nil"/>
              <w:bottom w:val="nil"/>
              <w:right w:val="nil"/>
            </w:tcBorders>
            <w:shd w:val="clear" w:color="auto" w:fill="auto"/>
            <w:noWrap/>
            <w:vAlign w:val="bottom"/>
            <w:hideMark/>
          </w:tcPr>
          <w:p w14:paraId="304C8D2B" w14:textId="77777777" w:rsidR="00AD4F68" w:rsidRPr="00AD4F68" w:rsidRDefault="00AD4F68" w:rsidP="00AD4F68">
            <w:pPr>
              <w:spacing w:after="0" w:line="240" w:lineRule="auto"/>
              <w:jc w:val="left"/>
              <w:rPr>
                <w:rFonts w:eastAsia="Times New Roman" w:cs="Times New Roman"/>
                <w:sz w:val="20"/>
                <w:szCs w:val="20"/>
                <w:lang w:val="en-GB" w:eastAsia="en-GB"/>
              </w:rPr>
            </w:pPr>
          </w:p>
        </w:tc>
      </w:tr>
      <w:tr w:rsidR="00AD4F68" w:rsidRPr="00AD4F68" w14:paraId="75CF4F91" w14:textId="77777777" w:rsidTr="00AD4F68">
        <w:trPr>
          <w:trHeight w:val="300"/>
        </w:trPr>
        <w:tc>
          <w:tcPr>
            <w:tcW w:w="875" w:type="dxa"/>
            <w:tcBorders>
              <w:top w:val="nil"/>
              <w:left w:val="nil"/>
              <w:bottom w:val="nil"/>
              <w:right w:val="nil"/>
            </w:tcBorders>
            <w:shd w:val="clear" w:color="auto" w:fill="auto"/>
            <w:noWrap/>
            <w:vAlign w:val="bottom"/>
            <w:hideMark/>
          </w:tcPr>
          <w:p w14:paraId="6D93E149"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847" w:type="dxa"/>
            <w:tcBorders>
              <w:top w:val="nil"/>
              <w:left w:val="nil"/>
              <w:bottom w:val="nil"/>
              <w:right w:val="nil"/>
            </w:tcBorders>
            <w:shd w:val="clear" w:color="auto" w:fill="auto"/>
            <w:noWrap/>
            <w:vAlign w:val="center"/>
            <w:hideMark/>
          </w:tcPr>
          <w:p w14:paraId="5D368D5A"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Rent</w:t>
            </w:r>
          </w:p>
        </w:tc>
        <w:tc>
          <w:tcPr>
            <w:tcW w:w="78" w:type="dxa"/>
            <w:tcBorders>
              <w:top w:val="nil"/>
              <w:left w:val="nil"/>
              <w:bottom w:val="nil"/>
              <w:right w:val="nil"/>
            </w:tcBorders>
            <w:shd w:val="clear" w:color="auto" w:fill="auto"/>
            <w:noWrap/>
            <w:vAlign w:val="bottom"/>
            <w:hideMark/>
          </w:tcPr>
          <w:p w14:paraId="10D99BD3"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073BB73C"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200</w:t>
            </w:r>
          </w:p>
        </w:tc>
        <w:tc>
          <w:tcPr>
            <w:tcW w:w="1030" w:type="dxa"/>
            <w:tcBorders>
              <w:top w:val="nil"/>
              <w:left w:val="nil"/>
              <w:bottom w:val="nil"/>
              <w:right w:val="nil"/>
            </w:tcBorders>
            <w:shd w:val="clear" w:color="auto" w:fill="auto"/>
            <w:noWrap/>
            <w:vAlign w:val="bottom"/>
            <w:hideMark/>
          </w:tcPr>
          <w:p w14:paraId="18F13A83"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795E7287"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225</w:t>
            </w:r>
          </w:p>
        </w:tc>
        <w:tc>
          <w:tcPr>
            <w:tcW w:w="1030" w:type="dxa"/>
            <w:tcBorders>
              <w:top w:val="nil"/>
              <w:left w:val="nil"/>
              <w:bottom w:val="nil"/>
              <w:right w:val="nil"/>
            </w:tcBorders>
            <w:shd w:val="clear" w:color="auto" w:fill="auto"/>
            <w:noWrap/>
            <w:vAlign w:val="bottom"/>
            <w:hideMark/>
          </w:tcPr>
          <w:p w14:paraId="375C9510"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157F4BDC" w14:textId="77777777" w:rsidTr="00AD4F68">
        <w:trPr>
          <w:trHeight w:val="300"/>
        </w:trPr>
        <w:tc>
          <w:tcPr>
            <w:tcW w:w="875" w:type="dxa"/>
            <w:tcBorders>
              <w:top w:val="nil"/>
              <w:left w:val="nil"/>
              <w:bottom w:val="nil"/>
              <w:right w:val="nil"/>
            </w:tcBorders>
            <w:shd w:val="clear" w:color="auto" w:fill="auto"/>
            <w:noWrap/>
            <w:vAlign w:val="bottom"/>
            <w:hideMark/>
          </w:tcPr>
          <w:p w14:paraId="2D2C55D4"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847" w:type="dxa"/>
            <w:tcBorders>
              <w:top w:val="nil"/>
              <w:left w:val="nil"/>
              <w:bottom w:val="nil"/>
              <w:right w:val="nil"/>
            </w:tcBorders>
            <w:shd w:val="clear" w:color="auto" w:fill="auto"/>
            <w:noWrap/>
            <w:vAlign w:val="center"/>
            <w:hideMark/>
          </w:tcPr>
          <w:p w14:paraId="18E56C14"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Rates</w:t>
            </w:r>
          </w:p>
        </w:tc>
        <w:tc>
          <w:tcPr>
            <w:tcW w:w="78" w:type="dxa"/>
            <w:tcBorders>
              <w:top w:val="nil"/>
              <w:left w:val="nil"/>
              <w:bottom w:val="nil"/>
              <w:right w:val="nil"/>
            </w:tcBorders>
            <w:shd w:val="clear" w:color="auto" w:fill="auto"/>
            <w:noWrap/>
            <w:vAlign w:val="bottom"/>
            <w:hideMark/>
          </w:tcPr>
          <w:p w14:paraId="346FE860"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44326BB0"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80</w:t>
            </w:r>
          </w:p>
        </w:tc>
        <w:tc>
          <w:tcPr>
            <w:tcW w:w="1030" w:type="dxa"/>
            <w:tcBorders>
              <w:top w:val="nil"/>
              <w:left w:val="nil"/>
              <w:bottom w:val="nil"/>
              <w:right w:val="nil"/>
            </w:tcBorders>
            <w:shd w:val="clear" w:color="auto" w:fill="auto"/>
            <w:noWrap/>
            <w:vAlign w:val="bottom"/>
            <w:hideMark/>
          </w:tcPr>
          <w:p w14:paraId="5D5A1D58"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6524B413"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80</w:t>
            </w:r>
          </w:p>
        </w:tc>
        <w:tc>
          <w:tcPr>
            <w:tcW w:w="1030" w:type="dxa"/>
            <w:tcBorders>
              <w:top w:val="nil"/>
              <w:left w:val="nil"/>
              <w:bottom w:val="nil"/>
              <w:right w:val="nil"/>
            </w:tcBorders>
            <w:shd w:val="clear" w:color="auto" w:fill="auto"/>
            <w:noWrap/>
            <w:vAlign w:val="bottom"/>
            <w:hideMark/>
          </w:tcPr>
          <w:p w14:paraId="4C1D2773"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7A808ED4" w14:textId="77777777" w:rsidTr="00AD4F68">
        <w:trPr>
          <w:trHeight w:val="300"/>
        </w:trPr>
        <w:tc>
          <w:tcPr>
            <w:tcW w:w="875" w:type="dxa"/>
            <w:tcBorders>
              <w:top w:val="nil"/>
              <w:left w:val="nil"/>
              <w:bottom w:val="nil"/>
              <w:right w:val="nil"/>
            </w:tcBorders>
            <w:shd w:val="clear" w:color="auto" w:fill="auto"/>
            <w:noWrap/>
            <w:vAlign w:val="bottom"/>
            <w:hideMark/>
          </w:tcPr>
          <w:p w14:paraId="4F8DEBAC"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925" w:type="dxa"/>
            <w:gridSpan w:val="2"/>
            <w:tcBorders>
              <w:top w:val="nil"/>
              <w:left w:val="nil"/>
              <w:bottom w:val="nil"/>
              <w:right w:val="nil"/>
            </w:tcBorders>
            <w:shd w:val="clear" w:color="auto" w:fill="auto"/>
            <w:noWrap/>
            <w:vAlign w:val="center"/>
            <w:hideMark/>
          </w:tcPr>
          <w:p w14:paraId="1296FA88"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Motor Expenses</w:t>
            </w:r>
          </w:p>
        </w:tc>
        <w:tc>
          <w:tcPr>
            <w:tcW w:w="1030" w:type="dxa"/>
            <w:tcBorders>
              <w:top w:val="nil"/>
              <w:left w:val="nil"/>
              <w:bottom w:val="nil"/>
              <w:right w:val="nil"/>
            </w:tcBorders>
            <w:shd w:val="clear" w:color="auto" w:fill="auto"/>
            <w:noWrap/>
            <w:vAlign w:val="bottom"/>
            <w:hideMark/>
          </w:tcPr>
          <w:p w14:paraId="4515ED1A"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90</w:t>
            </w:r>
          </w:p>
        </w:tc>
        <w:tc>
          <w:tcPr>
            <w:tcW w:w="1030" w:type="dxa"/>
            <w:tcBorders>
              <w:top w:val="nil"/>
              <w:left w:val="nil"/>
              <w:bottom w:val="nil"/>
              <w:right w:val="nil"/>
            </w:tcBorders>
            <w:shd w:val="clear" w:color="auto" w:fill="auto"/>
            <w:noWrap/>
            <w:vAlign w:val="bottom"/>
            <w:hideMark/>
          </w:tcPr>
          <w:p w14:paraId="7535D309"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2CEE033F"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90</w:t>
            </w:r>
          </w:p>
        </w:tc>
        <w:tc>
          <w:tcPr>
            <w:tcW w:w="1030" w:type="dxa"/>
            <w:tcBorders>
              <w:top w:val="nil"/>
              <w:left w:val="nil"/>
              <w:bottom w:val="nil"/>
              <w:right w:val="nil"/>
            </w:tcBorders>
            <w:shd w:val="clear" w:color="auto" w:fill="auto"/>
            <w:noWrap/>
            <w:vAlign w:val="bottom"/>
            <w:hideMark/>
          </w:tcPr>
          <w:p w14:paraId="41FF4ED8"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36BA3855" w14:textId="77777777" w:rsidTr="00AD4F68">
        <w:trPr>
          <w:trHeight w:val="300"/>
        </w:trPr>
        <w:tc>
          <w:tcPr>
            <w:tcW w:w="875" w:type="dxa"/>
            <w:tcBorders>
              <w:top w:val="nil"/>
              <w:left w:val="nil"/>
              <w:bottom w:val="nil"/>
              <w:right w:val="nil"/>
            </w:tcBorders>
            <w:shd w:val="clear" w:color="auto" w:fill="auto"/>
            <w:noWrap/>
            <w:vAlign w:val="bottom"/>
            <w:hideMark/>
          </w:tcPr>
          <w:p w14:paraId="30F45D78"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925" w:type="dxa"/>
            <w:gridSpan w:val="2"/>
            <w:tcBorders>
              <w:top w:val="nil"/>
              <w:left w:val="nil"/>
              <w:bottom w:val="nil"/>
              <w:right w:val="nil"/>
            </w:tcBorders>
            <w:shd w:val="clear" w:color="auto" w:fill="auto"/>
            <w:noWrap/>
            <w:vAlign w:val="center"/>
            <w:hideMark/>
          </w:tcPr>
          <w:p w14:paraId="29B28136"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Advertising</w:t>
            </w:r>
          </w:p>
        </w:tc>
        <w:tc>
          <w:tcPr>
            <w:tcW w:w="1030" w:type="dxa"/>
            <w:tcBorders>
              <w:top w:val="nil"/>
              <w:left w:val="nil"/>
              <w:bottom w:val="nil"/>
              <w:right w:val="nil"/>
            </w:tcBorders>
            <w:shd w:val="clear" w:color="auto" w:fill="auto"/>
            <w:noWrap/>
            <w:vAlign w:val="bottom"/>
            <w:hideMark/>
          </w:tcPr>
          <w:p w14:paraId="4013CC6F"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75</w:t>
            </w:r>
          </w:p>
        </w:tc>
        <w:tc>
          <w:tcPr>
            <w:tcW w:w="1030" w:type="dxa"/>
            <w:tcBorders>
              <w:top w:val="nil"/>
              <w:left w:val="nil"/>
              <w:bottom w:val="nil"/>
              <w:right w:val="nil"/>
            </w:tcBorders>
            <w:shd w:val="clear" w:color="auto" w:fill="auto"/>
            <w:noWrap/>
            <w:vAlign w:val="bottom"/>
            <w:hideMark/>
          </w:tcPr>
          <w:p w14:paraId="529693AB"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75ABDCB0"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88</w:t>
            </w:r>
          </w:p>
        </w:tc>
        <w:tc>
          <w:tcPr>
            <w:tcW w:w="1030" w:type="dxa"/>
            <w:tcBorders>
              <w:top w:val="nil"/>
              <w:left w:val="nil"/>
              <w:bottom w:val="nil"/>
              <w:right w:val="nil"/>
            </w:tcBorders>
            <w:shd w:val="clear" w:color="auto" w:fill="auto"/>
            <w:noWrap/>
            <w:vAlign w:val="bottom"/>
            <w:hideMark/>
          </w:tcPr>
          <w:p w14:paraId="5D3E3669"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2F670319" w14:textId="77777777" w:rsidTr="00AD4F68">
        <w:trPr>
          <w:trHeight w:val="300"/>
        </w:trPr>
        <w:tc>
          <w:tcPr>
            <w:tcW w:w="875" w:type="dxa"/>
            <w:tcBorders>
              <w:top w:val="nil"/>
              <w:left w:val="nil"/>
              <w:bottom w:val="nil"/>
              <w:right w:val="nil"/>
            </w:tcBorders>
            <w:shd w:val="clear" w:color="auto" w:fill="auto"/>
            <w:noWrap/>
            <w:vAlign w:val="bottom"/>
            <w:hideMark/>
          </w:tcPr>
          <w:p w14:paraId="210FD4B8"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925" w:type="dxa"/>
            <w:gridSpan w:val="2"/>
            <w:tcBorders>
              <w:top w:val="nil"/>
              <w:left w:val="nil"/>
              <w:bottom w:val="nil"/>
              <w:right w:val="nil"/>
            </w:tcBorders>
            <w:shd w:val="clear" w:color="auto" w:fill="auto"/>
            <w:noWrap/>
            <w:vAlign w:val="center"/>
            <w:hideMark/>
          </w:tcPr>
          <w:p w14:paraId="77606763"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Light and Heat</w:t>
            </w:r>
          </w:p>
        </w:tc>
        <w:tc>
          <w:tcPr>
            <w:tcW w:w="1030" w:type="dxa"/>
            <w:tcBorders>
              <w:top w:val="nil"/>
              <w:left w:val="nil"/>
              <w:bottom w:val="nil"/>
              <w:right w:val="nil"/>
            </w:tcBorders>
            <w:shd w:val="clear" w:color="auto" w:fill="auto"/>
            <w:noWrap/>
            <w:vAlign w:val="bottom"/>
            <w:hideMark/>
          </w:tcPr>
          <w:p w14:paraId="486B4B48"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72</w:t>
            </w:r>
          </w:p>
        </w:tc>
        <w:tc>
          <w:tcPr>
            <w:tcW w:w="1030" w:type="dxa"/>
            <w:tcBorders>
              <w:top w:val="nil"/>
              <w:left w:val="nil"/>
              <w:bottom w:val="nil"/>
              <w:right w:val="nil"/>
            </w:tcBorders>
            <w:shd w:val="clear" w:color="auto" w:fill="auto"/>
            <w:noWrap/>
            <w:vAlign w:val="bottom"/>
            <w:hideMark/>
          </w:tcPr>
          <w:p w14:paraId="5733EEFC"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7E640D9D"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98</w:t>
            </w:r>
          </w:p>
        </w:tc>
        <w:tc>
          <w:tcPr>
            <w:tcW w:w="1030" w:type="dxa"/>
            <w:tcBorders>
              <w:top w:val="nil"/>
              <w:left w:val="nil"/>
              <w:bottom w:val="nil"/>
              <w:right w:val="nil"/>
            </w:tcBorders>
            <w:shd w:val="clear" w:color="auto" w:fill="auto"/>
            <w:noWrap/>
            <w:vAlign w:val="bottom"/>
            <w:hideMark/>
          </w:tcPr>
          <w:p w14:paraId="5F6B3898"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2B392A39" w14:textId="77777777" w:rsidTr="00AD4F68">
        <w:trPr>
          <w:trHeight w:val="300"/>
        </w:trPr>
        <w:tc>
          <w:tcPr>
            <w:tcW w:w="875" w:type="dxa"/>
            <w:tcBorders>
              <w:top w:val="nil"/>
              <w:left w:val="nil"/>
              <w:bottom w:val="nil"/>
              <w:right w:val="nil"/>
            </w:tcBorders>
            <w:shd w:val="clear" w:color="auto" w:fill="auto"/>
            <w:noWrap/>
            <w:vAlign w:val="bottom"/>
            <w:hideMark/>
          </w:tcPr>
          <w:p w14:paraId="1DEEB4CB"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925" w:type="dxa"/>
            <w:gridSpan w:val="2"/>
            <w:tcBorders>
              <w:top w:val="nil"/>
              <w:left w:val="nil"/>
              <w:bottom w:val="nil"/>
              <w:right w:val="nil"/>
            </w:tcBorders>
            <w:shd w:val="clear" w:color="auto" w:fill="auto"/>
            <w:noWrap/>
            <w:vAlign w:val="center"/>
            <w:hideMark/>
          </w:tcPr>
          <w:p w14:paraId="699A99FF"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Depreciation</w:t>
            </w:r>
          </w:p>
        </w:tc>
        <w:tc>
          <w:tcPr>
            <w:tcW w:w="1030" w:type="dxa"/>
            <w:tcBorders>
              <w:top w:val="nil"/>
              <w:left w:val="nil"/>
              <w:bottom w:val="nil"/>
              <w:right w:val="nil"/>
            </w:tcBorders>
            <w:shd w:val="clear" w:color="auto" w:fill="auto"/>
            <w:noWrap/>
            <w:vAlign w:val="bottom"/>
            <w:hideMark/>
          </w:tcPr>
          <w:p w14:paraId="6B12CC10"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100</w:t>
            </w:r>
          </w:p>
        </w:tc>
        <w:tc>
          <w:tcPr>
            <w:tcW w:w="1030" w:type="dxa"/>
            <w:tcBorders>
              <w:top w:val="nil"/>
              <w:left w:val="nil"/>
              <w:bottom w:val="nil"/>
              <w:right w:val="nil"/>
            </w:tcBorders>
            <w:shd w:val="clear" w:color="auto" w:fill="auto"/>
            <w:noWrap/>
            <w:vAlign w:val="bottom"/>
            <w:hideMark/>
          </w:tcPr>
          <w:p w14:paraId="4B2B6864"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5B50916E"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110</w:t>
            </w:r>
          </w:p>
        </w:tc>
        <w:tc>
          <w:tcPr>
            <w:tcW w:w="1030" w:type="dxa"/>
            <w:tcBorders>
              <w:top w:val="nil"/>
              <w:left w:val="nil"/>
              <w:bottom w:val="nil"/>
              <w:right w:val="nil"/>
            </w:tcBorders>
            <w:shd w:val="clear" w:color="auto" w:fill="auto"/>
            <w:noWrap/>
            <w:vAlign w:val="bottom"/>
            <w:hideMark/>
          </w:tcPr>
          <w:p w14:paraId="3CE7FF47"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3FCEB8BE" w14:textId="77777777" w:rsidTr="00AD4F68">
        <w:trPr>
          <w:trHeight w:val="300"/>
        </w:trPr>
        <w:tc>
          <w:tcPr>
            <w:tcW w:w="875" w:type="dxa"/>
            <w:tcBorders>
              <w:top w:val="nil"/>
              <w:left w:val="nil"/>
              <w:bottom w:val="nil"/>
              <w:right w:val="nil"/>
            </w:tcBorders>
            <w:shd w:val="clear" w:color="auto" w:fill="auto"/>
            <w:noWrap/>
            <w:vAlign w:val="bottom"/>
            <w:hideMark/>
          </w:tcPr>
          <w:p w14:paraId="4B15A7F8"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925" w:type="dxa"/>
            <w:gridSpan w:val="2"/>
            <w:tcBorders>
              <w:top w:val="nil"/>
              <w:left w:val="nil"/>
              <w:bottom w:val="nil"/>
              <w:right w:val="nil"/>
            </w:tcBorders>
            <w:shd w:val="clear" w:color="auto" w:fill="auto"/>
            <w:noWrap/>
            <w:vAlign w:val="center"/>
            <w:hideMark/>
          </w:tcPr>
          <w:p w14:paraId="18D9B814"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Insurance</w:t>
            </w:r>
          </w:p>
        </w:tc>
        <w:tc>
          <w:tcPr>
            <w:tcW w:w="1030" w:type="dxa"/>
            <w:tcBorders>
              <w:top w:val="nil"/>
              <w:left w:val="nil"/>
              <w:bottom w:val="nil"/>
              <w:right w:val="nil"/>
            </w:tcBorders>
            <w:shd w:val="clear" w:color="auto" w:fill="auto"/>
            <w:noWrap/>
            <w:vAlign w:val="bottom"/>
            <w:hideMark/>
          </w:tcPr>
          <w:p w14:paraId="737788B7"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65</w:t>
            </w:r>
          </w:p>
        </w:tc>
        <w:tc>
          <w:tcPr>
            <w:tcW w:w="1030" w:type="dxa"/>
            <w:tcBorders>
              <w:top w:val="nil"/>
              <w:left w:val="nil"/>
              <w:bottom w:val="nil"/>
              <w:right w:val="nil"/>
            </w:tcBorders>
            <w:shd w:val="clear" w:color="auto" w:fill="auto"/>
            <w:noWrap/>
            <w:vAlign w:val="bottom"/>
            <w:hideMark/>
          </w:tcPr>
          <w:p w14:paraId="4BC4D030"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58739714"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65</w:t>
            </w:r>
          </w:p>
        </w:tc>
        <w:tc>
          <w:tcPr>
            <w:tcW w:w="1030" w:type="dxa"/>
            <w:tcBorders>
              <w:top w:val="nil"/>
              <w:left w:val="nil"/>
              <w:bottom w:val="nil"/>
              <w:right w:val="nil"/>
            </w:tcBorders>
            <w:shd w:val="clear" w:color="auto" w:fill="auto"/>
            <w:noWrap/>
            <w:vAlign w:val="bottom"/>
            <w:hideMark/>
          </w:tcPr>
          <w:p w14:paraId="6577CBB5"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08C52A86" w14:textId="77777777" w:rsidTr="00AD4F68">
        <w:trPr>
          <w:trHeight w:val="300"/>
        </w:trPr>
        <w:tc>
          <w:tcPr>
            <w:tcW w:w="875" w:type="dxa"/>
            <w:tcBorders>
              <w:top w:val="nil"/>
              <w:left w:val="nil"/>
              <w:bottom w:val="nil"/>
              <w:right w:val="nil"/>
            </w:tcBorders>
            <w:shd w:val="clear" w:color="auto" w:fill="auto"/>
            <w:noWrap/>
            <w:vAlign w:val="bottom"/>
            <w:hideMark/>
          </w:tcPr>
          <w:p w14:paraId="789230A1"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847" w:type="dxa"/>
            <w:tcBorders>
              <w:top w:val="nil"/>
              <w:left w:val="nil"/>
              <w:bottom w:val="nil"/>
              <w:right w:val="nil"/>
            </w:tcBorders>
            <w:shd w:val="clear" w:color="auto" w:fill="auto"/>
            <w:noWrap/>
            <w:vAlign w:val="center"/>
            <w:hideMark/>
          </w:tcPr>
          <w:p w14:paraId="1B608800"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Repairs</w:t>
            </w:r>
          </w:p>
        </w:tc>
        <w:tc>
          <w:tcPr>
            <w:tcW w:w="78" w:type="dxa"/>
            <w:tcBorders>
              <w:top w:val="nil"/>
              <w:left w:val="nil"/>
              <w:bottom w:val="nil"/>
              <w:right w:val="nil"/>
            </w:tcBorders>
            <w:shd w:val="clear" w:color="auto" w:fill="auto"/>
            <w:noWrap/>
            <w:vAlign w:val="bottom"/>
            <w:hideMark/>
          </w:tcPr>
          <w:p w14:paraId="614E370C"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10A2B967"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160</w:t>
            </w:r>
          </w:p>
        </w:tc>
        <w:tc>
          <w:tcPr>
            <w:tcW w:w="1030" w:type="dxa"/>
            <w:tcBorders>
              <w:top w:val="nil"/>
              <w:left w:val="nil"/>
              <w:bottom w:val="nil"/>
              <w:right w:val="nil"/>
            </w:tcBorders>
            <w:shd w:val="clear" w:color="auto" w:fill="auto"/>
            <w:noWrap/>
            <w:vAlign w:val="bottom"/>
            <w:hideMark/>
          </w:tcPr>
          <w:p w14:paraId="4DAF696D"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5D6C5F99"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90</w:t>
            </w:r>
          </w:p>
        </w:tc>
        <w:tc>
          <w:tcPr>
            <w:tcW w:w="1030" w:type="dxa"/>
            <w:tcBorders>
              <w:top w:val="nil"/>
              <w:left w:val="nil"/>
              <w:bottom w:val="nil"/>
              <w:right w:val="nil"/>
            </w:tcBorders>
            <w:shd w:val="clear" w:color="auto" w:fill="auto"/>
            <w:noWrap/>
            <w:vAlign w:val="bottom"/>
            <w:hideMark/>
          </w:tcPr>
          <w:p w14:paraId="219C6B18"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61E41233" w14:textId="77777777" w:rsidTr="00AD4F68">
        <w:trPr>
          <w:trHeight w:val="300"/>
        </w:trPr>
        <w:tc>
          <w:tcPr>
            <w:tcW w:w="875" w:type="dxa"/>
            <w:tcBorders>
              <w:top w:val="nil"/>
              <w:left w:val="nil"/>
              <w:bottom w:val="nil"/>
              <w:right w:val="nil"/>
            </w:tcBorders>
            <w:shd w:val="clear" w:color="auto" w:fill="auto"/>
            <w:noWrap/>
            <w:vAlign w:val="bottom"/>
            <w:hideMark/>
          </w:tcPr>
          <w:p w14:paraId="0EFD1001"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925" w:type="dxa"/>
            <w:gridSpan w:val="2"/>
            <w:tcBorders>
              <w:top w:val="nil"/>
              <w:left w:val="nil"/>
              <w:bottom w:val="nil"/>
              <w:right w:val="nil"/>
            </w:tcBorders>
            <w:shd w:val="clear" w:color="auto" w:fill="auto"/>
            <w:noWrap/>
            <w:vAlign w:val="center"/>
            <w:hideMark/>
          </w:tcPr>
          <w:p w14:paraId="1D5BA81E"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Bad Debts</w:t>
            </w:r>
          </w:p>
        </w:tc>
        <w:tc>
          <w:tcPr>
            <w:tcW w:w="1030" w:type="dxa"/>
            <w:tcBorders>
              <w:top w:val="nil"/>
              <w:left w:val="nil"/>
              <w:bottom w:val="nil"/>
              <w:right w:val="nil"/>
            </w:tcBorders>
            <w:shd w:val="clear" w:color="auto" w:fill="auto"/>
            <w:noWrap/>
            <w:vAlign w:val="bottom"/>
            <w:hideMark/>
          </w:tcPr>
          <w:p w14:paraId="604D51C0"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40</w:t>
            </w:r>
          </w:p>
        </w:tc>
        <w:tc>
          <w:tcPr>
            <w:tcW w:w="1030" w:type="dxa"/>
            <w:tcBorders>
              <w:top w:val="nil"/>
              <w:left w:val="nil"/>
              <w:bottom w:val="nil"/>
              <w:right w:val="nil"/>
            </w:tcBorders>
            <w:shd w:val="clear" w:color="auto" w:fill="auto"/>
            <w:noWrap/>
            <w:vAlign w:val="bottom"/>
            <w:hideMark/>
          </w:tcPr>
          <w:p w14:paraId="11461E33"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4A015023"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78</w:t>
            </w:r>
          </w:p>
        </w:tc>
        <w:tc>
          <w:tcPr>
            <w:tcW w:w="1030" w:type="dxa"/>
            <w:tcBorders>
              <w:top w:val="nil"/>
              <w:left w:val="nil"/>
              <w:bottom w:val="nil"/>
              <w:right w:val="nil"/>
            </w:tcBorders>
            <w:shd w:val="clear" w:color="auto" w:fill="auto"/>
            <w:noWrap/>
            <w:vAlign w:val="bottom"/>
            <w:hideMark/>
          </w:tcPr>
          <w:p w14:paraId="2F6C1EBD"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7B25AF9A" w14:textId="77777777" w:rsidTr="00AD4F68">
        <w:trPr>
          <w:trHeight w:val="300"/>
        </w:trPr>
        <w:tc>
          <w:tcPr>
            <w:tcW w:w="875" w:type="dxa"/>
            <w:tcBorders>
              <w:top w:val="nil"/>
              <w:left w:val="nil"/>
              <w:bottom w:val="nil"/>
              <w:right w:val="nil"/>
            </w:tcBorders>
            <w:shd w:val="clear" w:color="auto" w:fill="auto"/>
            <w:noWrap/>
            <w:vAlign w:val="bottom"/>
            <w:hideMark/>
          </w:tcPr>
          <w:p w14:paraId="059B0AB1"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847" w:type="dxa"/>
            <w:tcBorders>
              <w:top w:val="nil"/>
              <w:left w:val="nil"/>
              <w:bottom w:val="nil"/>
              <w:right w:val="nil"/>
            </w:tcBorders>
            <w:shd w:val="clear" w:color="auto" w:fill="auto"/>
            <w:noWrap/>
            <w:vAlign w:val="center"/>
            <w:hideMark/>
          </w:tcPr>
          <w:p w14:paraId="27F5EBD0"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Salaries</w:t>
            </w:r>
          </w:p>
        </w:tc>
        <w:tc>
          <w:tcPr>
            <w:tcW w:w="78" w:type="dxa"/>
            <w:tcBorders>
              <w:top w:val="nil"/>
              <w:left w:val="nil"/>
              <w:bottom w:val="nil"/>
              <w:right w:val="nil"/>
            </w:tcBorders>
            <w:shd w:val="clear" w:color="auto" w:fill="auto"/>
            <w:noWrap/>
            <w:vAlign w:val="bottom"/>
            <w:hideMark/>
          </w:tcPr>
          <w:p w14:paraId="2064574B"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44758BB9"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140</w:t>
            </w:r>
          </w:p>
        </w:tc>
        <w:tc>
          <w:tcPr>
            <w:tcW w:w="1030" w:type="dxa"/>
            <w:tcBorders>
              <w:top w:val="nil"/>
              <w:left w:val="nil"/>
              <w:bottom w:val="nil"/>
              <w:right w:val="nil"/>
            </w:tcBorders>
            <w:shd w:val="clear" w:color="auto" w:fill="auto"/>
            <w:noWrap/>
            <w:vAlign w:val="bottom"/>
            <w:hideMark/>
          </w:tcPr>
          <w:p w14:paraId="6C7E09E0"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3A4DD621"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135</w:t>
            </w:r>
          </w:p>
        </w:tc>
        <w:tc>
          <w:tcPr>
            <w:tcW w:w="1030" w:type="dxa"/>
            <w:tcBorders>
              <w:top w:val="nil"/>
              <w:left w:val="nil"/>
              <w:bottom w:val="nil"/>
              <w:right w:val="nil"/>
            </w:tcBorders>
            <w:shd w:val="clear" w:color="auto" w:fill="auto"/>
            <w:noWrap/>
            <w:vAlign w:val="bottom"/>
            <w:hideMark/>
          </w:tcPr>
          <w:p w14:paraId="571C7E4A"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0921302A" w14:textId="77777777" w:rsidTr="00AD4F68">
        <w:trPr>
          <w:trHeight w:val="300"/>
        </w:trPr>
        <w:tc>
          <w:tcPr>
            <w:tcW w:w="875" w:type="dxa"/>
            <w:tcBorders>
              <w:top w:val="nil"/>
              <w:left w:val="nil"/>
              <w:bottom w:val="nil"/>
              <w:right w:val="nil"/>
            </w:tcBorders>
            <w:shd w:val="clear" w:color="auto" w:fill="auto"/>
            <w:noWrap/>
            <w:vAlign w:val="bottom"/>
            <w:hideMark/>
          </w:tcPr>
          <w:p w14:paraId="6FCE952A"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925" w:type="dxa"/>
            <w:gridSpan w:val="2"/>
            <w:tcBorders>
              <w:top w:val="nil"/>
              <w:left w:val="nil"/>
              <w:bottom w:val="nil"/>
              <w:right w:val="nil"/>
            </w:tcBorders>
            <w:shd w:val="clear" w:color="auto" w:fill="auto"/>
            <w:noWrap/>
            <w:vAlign w:val="center"/>
            <w:hideMark/>
          </w:tcPr>
          <w:p w14:paraId="633D4D96"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Loan Interest</w:t>
            </w:r>
          </w:p>
        </w:tc>
        <w:tc>
          <w:tcPr>
            <w:tcW w:w="1030" w:type="dxa"/>
            <w:tcBorders>
              <w:top w:val="nil"/>
              <w:left w:val="nil"/>
              <w:bottom w:val="nil"/>
              <w:right w:val="nil"/>
            </w:tcBorders>
            <w:shd w:val="clear" w:color="auto" w:fill="auto"/>
            <w:noWrap/>
            <w:vAlign w:val="bottom"/>
            <w:hideMark/>
          </w:tcPr>
          <w:p w14:paraId="41D671E5"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20</w:t>
            </w:r>
          </w:p>
        </w:tc>
        <w:tc>
          <w:tcPr>
            <w:tcW w:w="1030" w:type="dxa"/>
            <w:tcBorders>
              <w:top w:val="nil"/>
              <w:left w:val="nil"/>
              <w:bottom w:val="nil"/>
              <w:right w:val="nil"/>
            </w:tcBorders>
            <w:shd w:val="clear" w:color="auto" w:fill="auto"/>
            <w:noWrap/>
            <w:vAlign w:val="bottom"/>
            <w:hideMark/>
          </w:tcPr>
          <w:p w14:paraId="5ADC4870"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030" w:type="dxa"/>
            <w:tcBorders>
              <w:top w:val="nil"/>
              <w:left w:val="nil"/>
              <w:bottom w:val="nil"/>
              <w:right w:val="nil"/>
            </w:tcBorders>
            <w:shd w:val="clear" w:color="auto" w:fill="auto"/>
            <w:noWrap/>
            <w:vAlign w:val="bottom"/>
            <w:hideMark/>
          </w:tcPr>
          <w:p w14:paraId="4FD3E041"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18</w:t>
            </w:r>
          </w:p>
        </w:tc>
        <w:tc>
          <w:tcPr>
            <w:tcW w:w="1030" w:type="dxa"/>
            <w:tcBorders>
              <w:top w:val="nil"/>
              <w:left w:val="nil"/>
              <w:bottom w:val="nil"/>
              <w:right w:val="nil"/>
            </w:tcBorders>
            <w:shd w:val="clear" w:color="auto" w:fill="auto"/>
            <w:noWrap/>
            <w:vAlign w:val="bottom"/>
            <w:hideMark/>
          </w:tcPr>
          <w:p w14:paraId="0E4F0937"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4D1254FD" w14:textId="77777777" w:rsidTr="00AD4F68">
        <w:trPr>
          <w:trHeight w:val="300"/>
        </w:trPr>
        <w:tc>
          <w:tcPr>
            <w:tcW w:w="875" w:type="dxa"/>
            <w:tcBorders>
              <w:top w:val="nil"/>
              <w:left w:val="nil"/>
              <w:bottom w:val="nil"/>
              <w:right w:val="nil"/>
            </w:tcBorders>
            <w:shd w:val="clear" w:color="auto" w:fill="auto"/>
            <w:noWrap/>
            <w:vAlign w:val="bottom"/>
            <w:hideMark/>
          </w:tcPr>
          <w:p w14:paraId="5941830A"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847" w:type="dxa"/>
            <w:tcBorders>
              <w:top w:val="nil"/>
              <w:left w:val="nil"/>
              <w:bottom w:val="nil"/>
              <w:right w:val="nil"/>
            </w:tcBorders>
            <w:shd w:val="clear" w:color="auto" w:fill="auto"/>
            <w:noWrap/>
            <w:vAlign w:val="bottom"/>
            <w:hideMark/>
          </w:tcPr>
          <w:p w14:paraId="414CF0EC"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78" w:type="dxa"/>
            <w:tcBorders>
              <w:top w:val="nil"/>
              <w:left w:val="nil"/>
              <w:bottom w:val="nil"/>
              <w:right w:val="nil"/>
            </w:tcBorders>
            <w:shd w:val="clear" w:color="auto" w:fill="auto"/>
            <w:noWrap/>
            <w:vAlign w:val="bottom"/>
            <w:hideMark/>
          </w:tcPr>
          <w:p w14:paraId="3FC362DA"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030" w:type="dxa"/>
            <w:tcBorders>
              <w:top w:val="single" w:sz="4" w:space="0" w:color="auto"/>
              <w:left w:val="nil"/>
              <w:bottom w:val="nil"/>
              <w:right w:val="nil"/>
            </w:tcBorders>
            <w:shd w:val="clear" w:color="auto" w:fill="auto"/>
            <w:noWrap/>
            <w:vAlign w:val="bottom"/>
            <w:hideMark/>
          </w:tcPr>
          <w:p w14:paraId="45B42C39"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 </w:t>
            </w:r>
          </w:p>
        </w:tc>
        <w:tc>
          <w:tcPr>
            <w:tcW w:w="1030" w:type="dxa"/>
            <w:tcBorders>
              <w:top w:val="nil"/>
              <w:left w:val="nil"/>
              <w:bottom w:val="nil"/>
              <w:right w:val="nil"/>
            </w:tcBorders>
            <w:shd w:val="clear" w:color="auto" w:fill="auto"/>
            <w:noWrap/>
            <w:vAlign w:val="bottom"/>
            <w:hideMark/>
          </w:tcPr>
          <w:p w14:paraId="2C11572E"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1042</w:t>
            </w:r>
          </w:p>
        </w:tc>
        <w:tc>
          <w:tcPr>
            <w:tcW w:w="1030" w:type="dxa"/>
            <w:tcBorders>
              <w:top w:val="single" w:sz="4" w:space="0" w:color="auto"/>
              <w:left w:val="nil"/>
              <w:bottom w:val="nil"/>
              <w:right w:val="nil"/>
            </w:tcBorders>
            <w:shd w:val="clear" w:color="auto" w:fill="auto"/>
            <w:noWrap/>
            <w:vAlign w:val="bottom"/>
            <w:hideMark/>
          </w:tcPr>
          <w:p w14:paraId="304A5CB3"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 </w:t>
            </w:r>
          </w:p>
        </w:tc>
        <w:tc>
          <w:tcPr>
            <w:tcW w:w="1030" w:type="dxa"/>
            <w:tcBorders>
              <w:top w:val="nil"/>
              <w:left w:val="nil"/>
              <w:bottom w:val="nil"/>
              <w:right w:val="nil"/>
            </w:tcBorders>
            <w:shd w:val="clear" w:color="auto" w:fill="auto"/>
            <w:noWrap/>
            <w:vAlign w:val="bottom"/>
            <w:hideMark/>
          </w:tcPr>
          <w:p w14:paraId="2FD30277"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1077</w:t>
            </w:r>
          </w:p>
        </w:tc>
      </w:tr>
      <w:tr w:rsidR="00AD4F68" w:rsidRPr="00AD4F68" w14:paraId="3C9EC19C" w14:textId="77777777" w:rsidTr="00AD4F68">
        <w:trPr>
          <w:trHeight w:val="315"/>
        </w:trPr>
        <w:tc>
          <w:tcPr>
            <w:tcW w:w="875" w:type="dxa"/>
            <w:tcBorders>
              <w:top w:val="nil"/>
              <w:left w:val="nil"/>
              <w:bottom w:val="nil"/>
              <w:right w:val="nil"/>
            </w:tcBorders>
            <w:shd w:val="clear" w:color="auto" w:fill="auto"/>
            <w:noWrap/>
            <w:vAlign w:val="bottom"/>
            <w:hideMark/>
          </w:tcPr>
          <w:p w14:paraId="53534BDF"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2955" w:type="dxa"/>
            <w:gridSpan w:val="3"/>
            <w:tcBorders>
              <w:top w:val="nil"/>
              <w:left w:val="nil"/>
              <w:bottom w:val="nil"/>
              <w:right w:val="nil"/>
            </w:tcBorders>
            <w:shd w:val="clear" w:color="auto" w:fill="auto"/>
            <w:noWrap/>
            <w:vAlign w:val="bottom"/>
            <w:hideMark/>
          </w:tcPr>
          <w:p w14:paraId="3D927B4F" w14:textId="77777777" w:rsidR="00AD4F68" w:rsidRPr="00AD4F68" w:rsidRDefault="00AD4F68" w:rsidP="00AD4F68">
            <w:pPr>
              <w:spacing w:after="0" w:line="240" w:lineRule="auto"/>
              <w:jc w:val="left"/>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Net Profit for the Year</w:t>
            </w:r>
          </w:p>
        </w:tc>
        <w:tc>
          <w:tcPr>
            <w:tcW w:w="1030" w:type="dxa"/>
            <w:tcBorders>
              <w:top w:val="single" w:sz="4" w:space="0" w:color="auto"/>
              <w:left w:val="nil"/>
              <w:bottom w:val="double" w:sz="6" w:space="0" w:color="auto"/>
              <w:right w:val="nil"/>
            </w:tcBorders>
            <w:shd w:val="clear" w:color="auto" w:fill="auto"/>
            <w:noWrap/>
            <w:vAlign w:val="bottom"/>
            <w:hideMark/>
          </w:tcPr>
          <w:p w14:paraId="3791629C" w14:textId="77777777" w:rsidR="00AD4F68" w:rsidRPr="00AD4F68" w:rsidRDefault="00AD4F68" w:rsidP="00AD4F68">
            <w:pPr>
              <w:spacing w:after="0" w:line="240" w:lineRule="auto"/>
              <w:jc w:val="right"/>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4008</w:t>
            </w:r>
          </w:p>
        </w:tc>
        <w:tc>
          <w:tcPr>
            <w:tcW w:w="1030" w:type="dxa"/>
            <w:tcBorders>
              <w:top w:val="nil"/>
              <w:left w:val="nil"/>
              <w:bottom w:val="nil"/>
              <w:right w:val="nil"/>
            </w:tcBorders>
            <w:shd w:val="clear" w:color="auto" w:fill="auto"/>
            <w:noWrap/>
            <w:vAlign w:val="bottom"/>
            <w:hideMark/>
          </w:tcPr>
          <w:p w14:paraId="5F80DD80" w14:textId="77777777" w:rsidR="00AD4F68" w:rsidRPr="00AD4F68" w:rsidRDefault="00AD4F68" w:rsidP="00AD4F68">
            <w:pPr>
              <w:spacing w:after="0" w:line="240" w:lineRule="auto"/>
              <w:jc w:val="right"/>
              <w:rPr>
                <w:rFonts w:ascii="Calibri" w:eastAsia="Times New Roman" w:hAnsi="Calibri" w:cs="Calibri"/>
                <w:b/>
                <w:bCs/>
                <w:color w:val="000000"/>
                <w:sz w:val="22"/>
                <w:lang w:val="en-GB" w:eastAsia="en-GB"/>
              </w:rPr>
            </w:pPr>
          </w:p>
        </w:tc>
        <w:tc>
          <w:tcPr>
            <w:tcW w:w="1030" w:type="dxa"/>
            <w:tcBorders>
              <w:top w:val="single" w:sz="4" w:space="0" w:color="auto"/>
              <w:left w:val="nil"/>
              <w:bottom w:val="double" w:sz="6" w:space="0" w:color="auto"/>
              <w:right w:val="nil"/>
            </w:tcBorders>
            <w:shd w:val="clear" w:color="auto" w:fill="auto"/>
            <w:noWrap/>
            <w:vAlign w:val="bottom"/>
            <w:hideMark/>
          </w:tcPr>
          <w:p w14:paraId="6DBE67BD" w14:textId="77777777" w:rsidR="00AD4F68" w:rsidRPr="00AD4F68" w:rsidRDefault="00AD4F68" w:rsidP="00AD4F68">
            <w:pPr>
              <w:spacing w:after="0" w:line="240" w:lineRule="auto"/>
              <w:jc w:val="right"/>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4073</w:t>
            </w:r>
          </w:p>
        </w:tc>
      </w:tr>
    </w:tbl>
    <w:p w14:paraId="0FD5FEBC" w14:textId="638FEF71" w:rsidR="00F25DF0" w:rsidRDefault="00D020F7" w:rsidP="00F25DF0">
      <w:r>
        <w:t xml:space="preserve">  </w:t>
      </w:r>
    </w:p>
    <w:tbl>
      <w:tblPr>
        <w:tblW w:w="7648" w:type="dxa"/>
        <w:tblLook w:val="04A0" w:firstRow="1" w:lastRow="0" w:firstColumn="1" w:lastColumn="0" w:noHBand="0" w:noVBand="1"/>
      </w:tblPr>
      <w:tblGrid>
        <w:gridCol w:w="222"/>
        <w:gridCol w:w="2618"/>
        <w:gridCol w:w="222"/>
        <w:gridCol w:w="1197"/>
        <w:gridCol w:w="1197"/>
        <w:gridCol w:w="1197"/>
        <w:gridCol w:w="1197"/>
      </w:tblGrid>
      <w:tr w:rsidR="00AD4F68" w:rsidRPr="00AD4F68" w14:paraId="7B898438" w14:textId="77777777" w:rsidTr="00AD4F68">
        <w:trPr>
          <w:trHeight w:val="300"/>
        </w:trPr>
        <w:tc>
          <w:tcPr>
            <w:tcW w:w="7648" w:type="dxa"/>
            <w:gridSpan w:val="7"/>
            <w:tcBorders>
              <w:top w:val="nil"/>
              <w:left w:val="nil"/>
              <w:bottom w:val="nil"/>
              <w:right w:val="nil"/>
            </w:tcBorders>
            <w:shd w:val="clear" w:color="000000" w:fill="95B3D7"/>
            <w:noWrap/>
            <w:vAlign w:val="bottom"/>
            <w:hideMark/>
          </w:tcPr>
          <w:p w14:paraId="103C7CB9" w14:textId="77777777" w:rsidR="00AD4F68" w:rsidRPr="00AD4F68" w:rsidRDefault="00AD4F68" w:rsidP="00AD4F68">
            <w:pPr>
              <w:spacing w:after="0" w:line="240" w:lineRule="auto"/>
              <w:jc w:val="center"/>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Balance Sheet at 31st August</w:t>
            </w:r>
          </w:p>
        </w:tc>
      </w:tr>
      <w:tr w:rsidR="00AD4F68" w:rsidRPr="00AD4F68" w14:paraId="6DC96F53" w14:textId="77777777" w:rsidTr="00AD4F68">
        <w:trPr>
          <w:trHeight w:val="300"/>
        </w:trPr>
        <w:tc>
          <w:tcPr>
            <w:tcW w:w="121" w:type="dxa"/>
            <w:tcBorders>
              <w:top w:val="nil"/>
              <w:left w:val="nil"/>
              <w:bottom w:val="nil"/>
              <w:right w:val="nil"/>
            </w:tcBorders>
            <w:shd w:val="clear" w:color="auto" w:fill="auto"/>
            <w:noWrap/>
            <w:vAlign w:val="bottom"/>
            <w:hideMark/>
          </w:tcPr>
          <w:p w14:paraId="65A25AD4" w14:textId="77777777" w:rsidR="00AD4F68" w:rsidRPr="00AD4F68" w:rsidRDefault="00AD4F68" w:rsidP="00AD4F68">
            <w:pPr>
              <w:spacing w:after="0" w:line="240" w:lineRule="auto"/>
              <w:jc w:val="center"/>
              <w:rPr>
                <w:rFonts w:ascii="Calibri" w:eastAsia="Times New Roman" w:hAnsi="Calibri" w:cs="Calibri"/>
                <w:color w:val="000000"/>
                <w:sz w:val="22"/>
                <w:lang w:val="en-GB" w:eastAsia="en-GB"/>
              </w:rPr>
            </w:pPr>
          </w:p>
        </w:tc>
        <w:tc>
          <w:tcPr>
            <w:tcW w:w="2618" w:type="dxa"/>
            <w:tcBorders>
              <w:top w:val="nil"/>
              <w:left w:val="nil"/>
              <w:bottom w:val="nil"/>
              <w:right w:val="nil"/>
            </w:tcBorders>
            <w:shd w:val="clear" w:color="auto" w:fill="auto"/>
            <w:noWrap/>
            <w:vAlign w:val="bottom"/>
            <w:hideMark/>
          </w:tcPr>
          <w:p w14:paraId="208370A0"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21" w:type="dxa"/>
            <w:tcBorders>
              <w:top w:val="nil"/>
              <w:left w:val="nil"/>
              <w:bottom w:val="nil"/>
              <w:right w:val="nil"/>
            </w:tcBorders>
            <w:shd w:val="clear" w:color="auto" w:fill="auto"/>
            <w:noWrap/>
            <w:vAlign w:val="bottom"/>
            <w:hideMark/>
          </w:tcPr>
          <w:p w14:paraId="6D847C65"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0EA51978"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6ECEBDEC"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0C5902D2"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4DCDDDF9" w14:textId="77777777" w:rsidR="00AD4F68" w:rsidRPr="00AD4F68" w:rsidRDefault="00AD4F68" w:rsidP="00AD4F68">
            <w:pPr>
              <w:spacing w:after="0" w:line="240" w:lineRule="auto"/>
              <w:jc w:val="left"/>
              <w:rPr>
                <w:rFonts w:eastAsia="Times New Roman" w:cs="Times New Roman"/>
                <w:sz w:val="20"/>
                <w:szCs w:val="20"/>
                <w:lang w:val="en-GB" w:eastAsia="en-GB"/>
              </w:rPr>
            </w:pPr>
          </w:p>
        </w:tc>
      </w:tr>
      <w:tr w:rsidR="00AD4F68" w:rsidRPr="00AD4F68" w14:paraId="13FE19DA" w14:textId="77777777" w:rsidTr="00AD4F68">
        <w:trPr>
          <w:trHeight w:val="300"/>
        </w:trPr>
        <w:tc>
          <w:tcPr>
            <w:tcW w:w="121" w:type="dxa"/>
            <w:tcBorders>
              <w:top w:val="nil"/>
              <w:left w:val="nil"/>
              <w:bottom w:val="nil"/>
              <w:right w:val="nil"/>
            </w:tcBorders>
            <w:shd w:val="clear" w:color="auto" w:fill="auto"/>
            <w:noWrap/>
            <w:vAlign w:val="bottom"/>
            <w:hideMark/>
          </w:tcPr>
          <w:p w14:paraId="63C0A322"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2618" w:type="dxa"/>
            <w:tcBorders>
              <w:top w:val="nil"/>
              <w:left w:val="nil"/>
              <w:bottom w:val="nil"/>
              <w:right w:val="nil"/>
            </w:tcBorders>
            <w:shd w:val="clear" w:color="auto" w:fill="auto"/>
            <w:noWrap/>
            <w:vAlign w:val="bottom"/>
            <w:hideMark/>
          </w:tcPr>
          <w:p w14:paraId="703F436A"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21" w:type="dxa"/>
            <w:tcBorders>
              <w:top w:val="nil"/>
              <w:left w:val="nil"/>
              <w:bottom w:val="nil"/>
              <w:right w:val="nil"/>
            </w:tcBorders>
            <w:shd w:val="clear" w:color="auto" w:fill="auto"/>
            <w:noWrap/>
            <w:vAlign w:val="bottom"/>
            <w:hideMark/>
          </w:tcPr>
          <w:p w14:paraId="460A2135"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2394" w:type="dxa"/>
            <w:gridSpan w:val="2"/>
            <w:tcBorders>
              <w:top w:val="nil"/>
              <w:left w:val="nil"/>
              <w:bottom w:val="nil"/>
              <w:right w:val="nil"/>
            </w:tcBorders>
            <w:shd w:val="clear" w:color="auto" w:fill="auto"/>
            <w:noWrap/>
            <w:vAlign w:val="bottom"/>
            <w:hideMark/>
          </w:tcPr>
          <w:p w14:paraId="0DA8D715" w14:textId="77777777" w:rsidR="00AD4F68" w:rsidRPr="00AD4F68" w:rsidRDefault="00AD4F68" w:rsidP="00AD4F68">
            <w:pPr>
              <w:spacing w:after="0" w:line="240" w:lineRule="auto"/>
              <w:jc w:val="center"/>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2018</w:t>
            </w:r>
          </w:p>
        </w:tc>
        <w:tc>
          <w:tcPr>
            <w:tcW w:w="2394" w:type="dxa"/>
            <w:gridSpan w:val="2"/>
            <w:tcBorders>
              <w:top w:val="nil"/>
              <w:left w:val="nil"/>
              <w:bottom w:val="nil"/>
              <w:right w:val="nil"/>
            </w:tcBorders>
            <w:shd w:val="clear" w:color="auto" w:fill="auto"/>
            <w:noWrap/>
            <w:vAlign w:val="bottom"/>
            <w:hideMark/>
          </w:tcPr>
          <w:p w14:paraId="214FF887" w14:textId="77777777" w:rsidR="00AD4F68" w:rsidRPr="00AD4F68" w:rsidRDefault="00AD4F68" w:rsidP="00AD4F68">
            <w:pPr>
              <w:spacing w:after="0" w:line="240" w:lineRule="auto"/>
              <w:jc w:val="center"/>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2019</w:t>
            </w:r>
          </w:p>
        </w:tc>
      </w:tr>
      <w:tr w:rsidR="00AD4F68" w:rsidRPr="00AD4F68" w14:paraId="4329AE0F" w14:textId="77777777" w:rsidTr="00AD4F68">
        <w:trPr>
          <w:trHeight w:val="300"/>
        </w:trPr>
        <w:tc>
          <w:tcPr>
            <w:tcW w:w="121" w:type="dxa"/>
            <w:tcBorders>
              <w:top w:val="nil"/>
              <w:left w:val="nil"/>
              <w:bottom w:val="nil"/>
              <w:right w:val="nil"/>
            </w:tcBorders>
            <w:shd w:val="clear" w:color="auto" w:fill="auto"/>
            <w:noWrap/>
            <w:vAlign w:val="bottom"/>
            <w:hideMark/>
          </w:tcPr>
          <w:p w14:paraId="16328CA0" w14:textId="77777777" w:rsidR="00AD4F68" w:rsidRPr="00AD4F68" w:rsidRDefault="00AD4F68" w:rsidP="00AD4F68">
            <w:pPr>
              <w:spacing w:after="0" w:line="240" w:lineRule="auto"/>
              <w:jc w:val="center"/>
              <w:rPr>
                <w:rFonts w:ascii="Calibri" w:eastAsia="Times New Roman" w:hAnsi="Calibri" w:cs="Calibri"/>
                <w:b/>
                <w:bCs/>
                <w:color w:val="000000"/>
                <w:sz w:val="22"/>
                <w:lang w:val="en-GB" w:eastAsia="en-GB"/>
              </w:rPr>
            </w:pPr>
          </w:p>
        </w:tc>
        <w:tc>
          <w:tcPr>
            <w:tcW w:w="2618" w:type="dxa"/>
            <w:tcBorders>
              <w:top w:val="nil"/>
              <w:left w:val="nil"/>
              <w:bottom w:val="nil"/>
              <w:right w:val="nil"/>
            </w:tcBorders>
            <w:shd w:val="clear" w:color="auto" w:fill="auto"/>
            <w:noWrap/>
            <w:vAlign w:val="bottom"/>
            <w:hideMark/>
          </w:tcPr>
          <w:p w14:paraId="2C499418"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21" w:type="dxa"/>
            <w:tcBorders>
              <w:top w:val="nil"/>
              <w:left w:val="nil"/>
              <w:bottom w:val="nil"/>
              <w:right w:val="nil"/>
            </w:tcBorders>
            <w:shd w:val="clear" w:color="auto" w:fill="auto"/>
            <w:noWrap/>
            <w:vAlign w:val="bottom"/>
            <w:hideMark/>
          </w:tcPr>
          <w:p w14:paraId="1DC31884"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6090317B" w14:textId="77777777" w:rsidR="00AD4F68" w:rsidRPr="00AD4F68" w:rsidRDefault="00AD4F68" w:rsidP="00AD4F68">
            <w:pPr>
              <w:spacing w:after="0" w:line="240" w:lineRule="auto"/>
              <w:jc w:val="center"/>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£000</w:t>
            </w:r>
          </w:p>
        </w:tc>
        <w:tc>
          <w:tcPr>
            <w:tcW w:w="1197" w:type="dxa"/>
            <w:tcBorders>
              <w:top w:val="nil"/>
              <w:left w:val="nil"/>
              <w:bottom w:val="nil"/>
              <w:right w:val="nil"/>
            </w:tcBorders>
            <w:shd w:val="clear" w:color="auto" w:fill="auto"/>
            <w:noWrap/>
            <w:vAlign w:val="bottom"/>
            <w:hideMark/>
          </w:tcPr>
          <w:p w14:paraId="16C71800" w14:textId="77777777" w:rsidR="00AD4F68" w:rsidRPr="00AD4F68" w:rsidRDefault="00AD4F68" w:rsidP="00AD4F68">
            <w:pPr>
              <w:spacing w:after="0" w:line="240" w:lineRule="auto"/>
              <w:jc w:val="center"/>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£000</w:t>
            </w:r>
          </w:p>
        </w:tc>
        <w:tc>
          <w:tcPr>
            <w:tcW w:w="1197" w:type="dxa"/>
            <w:tcBorders>
              <w:top w:val="nil"/>
              <w:left w:val="nil"/>
              <w:bottom w:val="nil"/>
              <w:right w:val="nil"/>
            </w:tcBorders>
            <w:shd w:val="clear" w:color="auto" w:fill="auto"/>
            <w:noWrap/>
            <w:vAlign w:val="bottom"/>
            <w:hideMark/>
          </w:tcPr>
          <w:p w14:paraId="6EF06315" w14:textId="77777777" w:rsidR="00AD4F68" w:rsidRPr="00AD4F68" w:rsidRDefault="00AD4F68" w:rsidP="00AD4F68">
            <w:pPr>
              <w:spacing w:after="0" w:line="240" w:lineRule="auto"/>
              <w:jc w:val="center"/>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£000</w:t>
            </w:r>
          </w:p>
        </w:tc>
        <w:tc>
          <w:tcPr>
            <w:tcW w:w="1197" w:type="dxa"/>
            <w:tcBorders>
              <w:top w:val="nil"/>
              <w:left w:val="nil"/>
              <w:bottom w:val="nil"/>
              <w:right w:val="nil"/>
            </w:tcBorders>
            <w:shd w:val="clear" w:color="auto" w:fill="auto"/>
            <w:noWrap/>
            <w:vAlign w:val="bottom"/>
            <w:hideMark/>
          </w:tcPr>
          <w:p w14:paraId="1716077B" w14:textId="77777777" w:rsidR="00AD4F68" w:rsidRPr="00AD4F68" w:rsidRDefault="00AD4F68" w:rsidP="00AD4F68">
            <w:pPr>
              <w:spacing w:after="0" w:line="240" w:lineRule="auto"/>
              <w:jc w:val="center"/>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£000</w:t>
            </w:r>
          </w:p>
        </w:tc>
      </w:tr>
      <w:tr w:rsidR="00AD4F68" w:rsidRPr="00AD4F68" w14:paraId="0103ABCC" w14:textId="77777777" w:rsidTr="00AD4F68">
        <w:trPr>
          <w:trHeight w:val="300"/>
        </w:trPr>
        <w:tc>
          <w:tcPr>
            <w:tcW w:w="2860" w:type="dxa"/>
            <w:gridSpan w:val="3"/>
            <w:tcBorders>
              <w:top w:val="nil"/>
              <w:left w:val="nil"/>
              <w:bottom w:val="nil"/>
              <w:right w:val="nil"/>
            </w:tcBorders>
            <w:shd w:val="clear" w:color="auto" w:fill="auto"/>
            <w:noWrap/>
            <w:vAlign w:val="bottom"/>
            <w:hideMark/>
          </w:tcPr>
          <w:p w14:paraId="31074E04"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 xml:space="preserve">Fixed Assets (at net book value) </w:t>
            </w:r>
          </w:p>
        </w:tc>
        <w:tc>
          <w:tcPr>
            <w:tcW w:w="1197" w:type="dxa"/>
            <w:tcBorders>
              <w:top w:val="nil"/>
              <w:left w:val="nil"/>
              <w:bottom w:val="nil"/>
              <w:right w:val="nil"/>
            </w:tcBorders>
            <w:shd w:val="clear" w:color="auto" w:fill="auto"/>
            <w:noWrap/>
            <w:vAlign w:val="bottom"/>
            <w:hideMark/>
          </w:tcPr>
          <w:p w14:paraId="0048BDC2"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01A467D7"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4500</w:t>
            </w:r>
          </w:p>
        </w:tc>
        <w:tc>
          <w:tcPr>
            <w:tcW w:w="1197" w:type="dxa"/>
            <w:tcBorders>
              <w:top w:val="nil"/>
              <w:left w:val="nil"/>
              <w:bottom w:val="nil"/>
              <w:right w:val="nil"/>
            </w:tcBorders>
            <w:shd w:val="clear" w:color="auto" w:fill="auto"/>
            <w:noWrap/>
            <w:vAlign w:val="bottom"/>
            <w:hideMark/>
          </w:tcPr>
          <w:p w14:paraId="1B30449A"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25C49137"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4650</w:t>
            </w:r>
          </w:p>
        </w:tc>
      </w:tr>
      <w:tr w:rsidR="00AD4F68" w:rsidRPr="00AD4F68" w14:paraId="07977310" w14:textId="77777777" w:rsidTr="00AD4F68">
        <w:trPr>
          <w:trHeight w:val="300"/>
        </w:trPr>
        <w:tc>
          <w:tcPr>
            <w:tcW w:w="2739" w:type="dxa"/>
            <w:gridSpan w:val="2"/>
            <w:tcBorders>
              <w:top w:val="nil"/>
              <w:left w:val="nil"/>
              <w:bottom w:val="nil"/>
              <w:right w:val="nil"/>
            </w:tcBorders>
            <w:shd w:val="clear" w:color="auto" w:fill="auto"/>
            <w:noWrap/>
            <w:vAlign w:val="center"/>
            <w:hideMark/>
          </w:tcPr>
          <w:p w14:paraId="04E26929"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Current Assets:</w:t>
            </w:r>
          </w:p>
        </w:tc>
        <w:tc>
          <w:tcPr>
            <w:tcW w:w="121" w:type="dxa"/>
            <w:tcBorders>
              <w:top w:val="nil"/>
              <w:left w:val="nil"/>
              <w:bottom w:val="nil"/>
              <w:right w:val="nil"/>
            </w:tcBorders>
            <w:shd w:val="clear" w:color="auto" w:fill="auto"/>
            <w:noWrap/>
            <w:vAlign w:val="bottom"/>
            <w:hideMark/>
          </w:tcPr>
          <w:p w14:paraId="7CE8F846"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10898B7A"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07B88D15"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4E09163A"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4DA6805E" w14:textId="77777777" w:rsidR="00AD4F68" w:rsidRPr="00AD4F68" w:rsidRDefault="00AD4F68" w:rsidP="00AD4F68">
            <w:pPr>
              <w:spacing w:after="0" w:line="240" w:lineRule="auto"/>
              <w:jc w:val="left"/>
              <w:rPr>
                <w:rFonts w:eastAsia="Times New Roman" w:cs="Times New Roman"/>
                <w:sz w:val="20"/>
                <w:szCs w:val="20"/>
                <w:lang w:val="en-GB" w:eastAsia="en-GB"/>
              </w:rPr>
            </w:pPr>
          </w:p>
        </w:tc>
      </w:tr>
      <w:tr w:rsidR="00AD4F68" w:rsidRPr="00AD4F68" w14:paraId="739B7852" w14:textId="77777777" w:rsidTr="00AD4F68">
        <w:trPr>
          <w:trHeight w:val="300"/>
        </w:trPr>
        <w:tc>
          <w:tcPr>
            <w:tcW w:w="121" w:type="dxa"/>
            <w:tcBorders>
              <w:top w:val="nil"/>
              <w:left w:val="nil"/>
              <w:bottom w:val="nil"/>
              <w:right w:val="nil"/>
            </w:tcBorders>
            <w:shd w:val="clear" w:color="auto" w:fill="auto"/>
            <w:noWrap/>
            <w:vAlign w:val="bottom"/>
            <w:hideMark/>
          </w:tcPr>
          <w:p w14:paraId="5825E947"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2618" w:type="dxa"/>
            <w:tcBorders>
              <w:top w:val="nil"/>
              <w:left w:val="nil"/>
              <w:bottom w:val="nil"/>
              <w:right w:val="nil"/>
            </w:tcBorders>
            <w:shd w:val="clear" w:color="auto" w:fill="auto"/>
            <w:noWrap/>
            <w:vAlign w:val="center"/>
            <w:hideMark/>
          </w:tcPr>
          <w:p w14:paraId="41733909"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Stocks</w:t>
            </w:r>
          </w:p>
        </w:tc>
        <w:tc>
          <w:tcPr>
            <w:tcW w:w="121" w:type="dxa"/>
            <w:tcBorders>
              <w:top w:val="nil"/>
              <w:left w:val="nil"/>
              <w:bottom w:val="nil"/>
              <w:right w:val="nil"/>
            </w:tcBorders>
            <w:shd w:val="clear" w:color="auto" w:fill="auto"/>
            <w:noWrap/>
            <w:vAlign w:val="bottom"/>
            <w:hideMark/>
          </w:tcPr>
          <w:p w14:paraId="7C5FEBDA"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06E80562"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1450</w:t>
            </w:r>
          </w:p>
        </w:tc>
        <w:tc>
          <w:tcPr>
            <w:tcW w:w="1197" w:type="dxa"/>
            <w:tcBorders>
              <w:top w:val="nil"/>
              <w:left w:val="nil"/>
              <w:bottom w:val="nil"/>
              <w:right w:val="nil"/>
            </w:tcBorders>
            <w:shd w:val="clear" w:color="auto" w:fill="auto"/>
            <w:noWrap/>
            <w:vAlign w:val="bottom"/>
            <w:hideMark/>
          </w:tcPr>
          <w:p w14:paraId="0E232565"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755E4E48"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1420</w:t>
            </w:r>
          </w:p>
        </w:tc>
        <w:tc>
          <w:tcPr>
            <w:tcW w:w="1197" w:type="dxa"/>
            <w:tcBorders>
              <w:top w:val="nil"/>
              <w:left w:val="nil"/>
              <w:bottom w:val="nil"/>
              <w:right w:val="nil"/>
            </w:tcBorders>
            <w:shd w:val="clear" w:color="auto" w:fill="auto"/>
            <w:noWrap/>
            <w:vAlign w:val="bottom"/>
            <w:hideMark/>
          </w:tcPr>
          <w:p w14:paraId="3DEE2202"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241B8A0F" w14:textId="77777777" w:rsidTr="00AD4F68">
        <w:trPr>
          <w:trHeight w:val="300"/>
        </w:trPr>
        <w:tc>
          <w:tcPr>
            <w:tcW w:w="121" w:type="dxa"/>
            <w:tcBorders>
              <w:top w:val="nil"/>
              <w:left w:val="nil"/>
              <w:bottom w:val="nil"/>
              <w:right w:val="nil"/>
            </w:tcBorders>
            <w:shd w:val="clear" w:color="auto" w:fill="auto"/>
            <w:noWrap/>
            <w:vAlign w:val="bottom"/>
            <w:hideMark/>
          </w:tcPr>
          <w:p w14:paraId="2E63DA93"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2618" w:type="dxa"/>
            <w:tcBorders>
              <w:top w:val="nil"/>
              <w:left w:val="nil"/>
              <w:bottom w:val="nil"/>
              <w:right w:val="nil"/>
            </w:tcBorders>
            <w:shd w:val="clear" w:color="auto" w:fill="auto"/>
            <w:noWrap/>
            <w:vAlign w:val="center"/>
            <w:hideMark/>
          </w:tcPr>
          <w:p w14:paraId="47C50BC0"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Debtors</w:t>
            </w:r>
          </w:p>
        </w:tc>
        <w:tc>
          <w:tcPr>
            <w:tcW w:w="121" w:type="dxa"/>
            <w:tcBorders>
              <w:top w:val="nil"/>
              <w:left w:val="nil"/>
              <w:bottom w:val="nil"/>
              <w:right w:val="nil"/>
            </w:tcBorders>
            <w:shd w:val="clear" w:color="auto" w:fill="auto"/>
            <w:noWrap/>
            <w:vAlign w:val="bottom"/>
            <w:hideMark/>
          </w:tcPr>
          <w:p w14:paraId="6D609020"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2C86117D"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1600</w:t>
            </w:r>
          </w:p>
        </w:tc>
        <w:tc>
          <w:tcPr>
            <w:tcW w:w="1197" w:type="dxa"/>
            <w:tcBorders>
              <w:top w:val="nil"/>
              <w:left w:val="nil"/>
              <w:bottom w:val="nil"/>
              <w:right w:val="nil"/>
            </w:tcBorders>
            <w:shd w:val="clear" w:color="auto" w:fill="auto"/>
            <w:noWrap/>
            <w:vAlign w:val="bottom"/>
            <w:hideMark/>
          </w:tcPr>
          <w:p w14:paraId="2E59B79C"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42E5B549"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1800</w:t>
            </w:r>
          </w:p>
        </w:tc>
        <w:tc>
          <w:tcPr>
            <w:tcW w:w="1197" w:type="dxa"/>
            <w:tcBorders>
              <w:top w:val="nil"/>
              <w:left w:val="nil"/>
              <w:bottom w:val="nil"/>
              <w:right w:val="nil"/>
            </w:tcBorders>
            <w:shd w:val="clear" w:color="auto" w:fill="auto"/>
            <w:noWrap/>
            <w:vAlign w:val="bottom"/>
            <w:hideMark/>
          </w:tcPr>
          <w:p w14:paraId="016894A7"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505C0AAB" w14:textId="77777777" w:rsidTr="00AD4F68">
        <w:trPr>
          <w:trHeight w:val="300"/>
        </w:trPr>
        <w:tc>
          <w:tcPr>
            <w:tcW w:w="121" w:type="dxa"/>
            <w:tcBorders>
              <w:top w:val="nil"/>
              <w:left w:val="nil"/>
              <w:bottom w:val="nil"/>
              <w:right w:val="nil"/>
            </w:tcBorders>
            <w:shd w:val="clear" w:color="auto" w:fill="auto"/>
            <w:noWrap/>
            <w:vAlign w:val="bottom"/>
            <w:hideMark/>
          </w:tcPr>
          <w:p w14:paraId="4F8C2E8D"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2739" w:type="dxa"/>
            <w:gridSpan w:val="2"/>
            <w:tcBorders>
              <w:top w:val="nil"/>
              <w:left w:val="nil"/>
              <w:bottom w:val="nil"/>
              <w:right w:val="nil"/>
            </w:tcBorders>
            <w:shd w:val="clear" w:color="auto" w:fill="auto"/>
            <w:noWrap/>
            <w:vAlign w:val="center"/>
            <w:hideMark/>
          </w:tcPr>
          <w:p w14:paraId="4FE2B90A"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Cash at Bank</w:t>
            </w:r>
          </w:p>
        </w:tc>
        <w:tc>
          <w:tcPr>
            <w:tcW w:w="1197" w:type="dxa"/>
            <w:tcBorders>
              <w:top w:val="nil"/>
              <w:left w:val="nil"/>
              <w:bottom w:val="nil"/>
              <w:right w:val="nil"/>
            </w:tcBorders>
            <w:shd w:val="clear" w:color="auto" w:fill="auto"/>
            <w:noWrap/>
            <w:vAlign w:val="bottom"/>
            <w:hideMark/>
          </w:tcPr>
          <w:p w14:paraId="47E1A6AC"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10</w:t>
            </w:r>
          </w:p>
        </w:tc>
        <w:tc>
          <w:tcPr>
            <w:tcW w:w="1197" w:type="dxa"/>
            <w:tcBorders>
              <w:top w:val="nil"/>
              <w:left w:val="nil"/>
              <w:bottom w:val="nil"/>
              <w:right w:val="nil"/>
            </w:tcBorders>
            <w:shd w:val="clear" w:color="auto" w:fill="auto"/>
            <w:noWrap/>
            <w:vAlign w:val="bottom"/>
            <w:hideMark/>
          </w:tcPr>
          <w:p w14:paraId="36C3FFDC"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183B5991"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15</w:t>
            </w:r>
          </w:p>
        </w:tc>
        <w:tc>
          <w:tcPr>
            <w:tcW w:w="1197" w:type="dxa"/>
            <w:tcBorders>
              <w:top w:val="nil"/>
              <w:left w:val="nil"/>
              <w:bottom w:val="nil"/>
              <w:right w:val="nil"/>
            </w:tcBorders>
            <w:shd w:val="clear" w:color="auto" w:fill="auto"/>
            <w:noWrap/>
            <w:vAlign w:val="bottom"/>
            <w:hideMark/>
          </w:tcPr>
          <w:p w14:paraId="37E7BD75"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79702F50" w14:textId="77777777" w:rsidTr="00AD4F68">
        <w:trPr>
          <w:trHeight w:val="300"/>
        </w:trPr>
        <w:tc>
          <w:tcPr>
            <w:tcW w:w="121" w:type="dxa"/>
            <w:tcBorders>
              <w:top w:val="nil"/>
              <w:left w:val="nil"/>
              <w:bottom w:val="nil"/>
              <w:right w:val="nil"/>
            </w:tcBorders>
            <w:shd w:val="clear" w:color="auto" w:fill="auto"/>
            <w:noWrap/>
            <w:vAlign w:val="bottom"/>
            <w:hideMark/>
          </w:tcPr>
          <w:p w14:paraId="761221CD"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2739" w:type="dxa"/>
            <w:gridSpan w:val="2"/>
            <w:tcBorders>
              <w:top w:val="nil"/>
              <w:left w:val="nil"/>
              <w:bottom w:val="nil"/>
              <w:right w:val="nil"/>
            </w:tcBorders>
            <w:shd w:val="clear" w:color="auto" w:fill="auto"/>
            <w:noWrap/>
            <w:vAlign w:val="center"/>
            <w:hideMark/>
          </w:tcPr>
          <w:p w14:paraId="30A7B3F4"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Cash in Hand</w:t>
            </w:r>
          </w:p>
        </w:tc>
        <w:tc>
          <w:tcPr>
            <w:tcW w:w="1197" w:type="dxa"/>
            <w:tcBorders>
              <w:top w:val="nil"/>
              <w:left w:val="nil"/>
              <w:bottom w:val="nil"/>
              <w:right w:val="nil"/>
            </w:tcBorders>
            <w:shd w:val="clear" w:color="auto" w:fill="auto"/>
            <w:noWrap/>
            <w:vAlign w:val="bottom"/>
            <w:hideMark/>
          </w:tcPr>
          <w:p w14:paraId="2CAF627F"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5</w:t>
            </w:r>
          </w:p>
        </w:tc>
        <w:tc>
          <w:tcPr>
            <w:tcW w:w="1197" w:type="dxa"/>
            <w:tcBorders>
              <w:top w:val="nil"/>
              <w:left w:val="nil"/>
              <w:bottom w:val="nil"/>
              <w:right w:val="nil"/>
            </w:tcBorders>
            <w:shd w:val="clear" w:color="auto" w:fill="auto"/>
            <w:noWrap/>
            <w:vAlign w:val="bottom"/>
            <w:hideMark/>
          </w:tcPr>
          <w:p w14:paraId="5F626738"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5D1EBB50"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5</w:t>
            </w:r>
          </w:p>
        </w:tc>
        <w:tc>
          <w:tcPr>
            <w:tcW w:w="1197" w:type="dxa"/>
            <w:tcBorders>
              <w:top w:val="nil"/>
              <w:left w:val="nil"/>
              <w:bottom w:val="nil"/>
              <w:right w:val="nil"/>
            </w:tcBorders>
            <w:shd w:val="clear" w:color="auto" w:fill="auto"/>
            <w:noWrap/>
            <w:vAlign w:val="bottom"/>
            <w:hideMark/>
          </w:tcPr>
          <w:p w14:paraId="7F04E272"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0A64DCAE" w14:textId="77777777" w:rsidTr="00AD4F68">
        <w:trPr>
          <w:trHeight w:val="300"/>
        </w:trPr>
        <w:tc>
          <w:tcPr>
            <w:tcW w:w="121" w:type="dxa"/>
            <w:tcBorders>
              <w:top w:val="nil"/>
              <w:left w:val="nil"/>
              <w:bottom w:val="nil"/>
              <w:right w:val="nil"/>
            </w:tcBorders>
            <w:shd w:val="clear" w:color="auto" w:fill="auto"/>
            <w:noWrap/>
            <w:vAlign w:val="bottom"/>
            <w:hideMark/>
          </w:tcPr>
          <w:p w14:paraId="5FD412A9"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2618" w:type="dxa"/>
            <w:tcBorders>
              <w:top w:val="nil"/>
              <w:left w:val="nil"/>
              <w:bottom w:val="nil"/>
              <w:right w:val="nil"/>
            </w:tcBorders>
            <w:shd w:val="clear" w:color="auto" w:fill="auto"/>
            <w:noWrap/>
            <w:vAlign w:val="bottom"/>
            <w:hideMark/>
          </w:tcPr>
          <w:p w14:paraId="65DCCE4F"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21" w:type="dxa"/>
            <w:tcBorders>
              <w:top w:val="nil"/>
              <w:left w:val="nil"/>
              <w:bottom w:val="nil"/>
              <w:right w:val="nil"/>
            </w:tcBorders>
            <w:shd w:val="clear" w:color="auto" w:fill="auto"/>
            <w:noWrap/>
            <w:vAlign w:val="bottom"/>
            <w:hideMark/>
          </w:tcPr>
          <w:p w14:paraId="62E3A2A2"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single" w:sz="4" w:space="0" w:color="auto"/>
              <w:left w:val="nil"/>
              <w:bottom w:val="nil"/>
              <w:right w:val="nil"/>
            </w:tcBorders>
            <w:shd w:val="clear" w:color="auto" w:fill="auto"/>
            <w:noWrap/>
            <w:vAlign w:val="bottom"/>
            <w:hideMark/>
          </w:tcPr>
          <w:p w14:paraId="51E31D4F"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 </w:t>
            </w:r>
          </w:p>
        </w:tc>
        <w:tc>
          <w:tcPr>
            <w:tcW w:w="1197" w:type="dxa"/>
            <w:tcBorders>
              <w:top w:val="nil"/>
              <w:left w:val="nil"/>
              <w:bottom w:val="nil"/>
              <w:right w:val="nil"/>
            </w:tcBorders>
            <w:shd w:val="clear" w:color="auto" w:fill="auto"/>
            <w:noWrap/>
            <w:vAlign w:val="bottom"/>
            <w:hideMark/>
          </w:tcPr>
          <w:p w14:paraId="10E82E3A"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3065</w:t>
            </w:r>
          </w:p>
        </w:tc>
        <w:tc>
          <w:tcPr>
            <w:tcW w:w="1197" w:type="dxa"/>
            <w:tcBorders>
              <w:top w:val="single" w:sz="4" w:space="0" w:color="auto"/>
              <w:left w:val="nil"/>
              <w:bottom w:val="nil"/>
              <w:right w:val="nil"/>
            </w:tcBorders>
            <w:shd w:val="clear" w:color="auto" w:fill="auto"/>
            <w:noWrap/>
            <w:vAlign w:val="bottom"/>
            <w:hideMark/>
          </w:tcPr>
          <w:p w14:paraId="36422855"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 </w:t>
            </w:r>
          </w:p>
        </w:tc>
        <w:tc>
          <w:tcPr>
            <w:tcW w:w="1197" w:type="dxa"/>
            <w:tcBorders>
              <w:top w:val="nil"/>
              <w:left w:val="nil"/>
              <w:bottom w:val="nil"/>
              <w:right w:val="nil"/>
            </w:tcBorders>
            <w:shd w:val="clear" w:color="auto" w:fill="auto"/>
            <w:noWrap/>
            <w:vAlign w:val="bottom"/>
            <w:hideMark/>
          </w:tcPr>
          <w:p w14:paraId="231226BD"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3240</w:t>
            </w:r>
          </w:p>
        </w:tc>
      </w:tr>
      <w:tr w:rsidR="00AD4F68" w:rsidRPr="00AD4F68" w14:paraId="513C6A5A" w14:textId="77777777" w:rsidTr="00AD4F68">
        <w:trPr>
          <w:trHeight w:val="300"/>
        </w:trPr>
        <w:tc>
          <w:tcPr>
            <w:tcW w:w="2739" w:type="dxa"/>
            <w:gridSpan w:val="2"/>
            <w:tcBorders>
              <w:top w:val="nil"/>
              <w:left w:val="nil"/>
              <w:bottom w:val="nil"/>
              <w:right w:val="nil"/>
            </w:tcBorders>
            <w:shd w:val="clear" w:color="auto" w:fill="auto"/>
            <w:noWrap/>
            <w:vAlign w:val="bottom"/>
            <w:hideMark/>
          </w:tcPr>
          <w:p w14:paraId="5A72C5A4"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Current Liabilities:</w:t>
            </w:r>
          </w:p>
        </w:tc>
        <w:tc>
          <w:tcPr>
            <w:tcW w:w="121" w:type="dxa"/>
            <w:tcBorders>
              <w:top w:val="nil"/>
              <w:left w:val="nil"/>
              <w:bottom w:val="nil"/>
              <w:right w:val="nil"/>
            </w:tcBorders>
            <w:shd w:val="clear" w:color="auto" w:fill="auto"/>
            <w:noWrap/>
            <w:vAlign w:val="bottom"/>
            <w:hideMark/>
          </w:tcPr>
          <w:p w14:paraId="00151AE5"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44B56F66"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7F7F7C56"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58D1E661"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077FE9E3" w14:textId="77777777" w:rsidR="00AD4F68" w:rsidRPr="00AD4F68" w:rsidRDefault="00AD4F68" w:rsidP="00AD4F68">
            <w:pPr>
              <w:spacing w:after="0" w:line="240" w:lineRule="auto"/>
              <w:jc w:val="left"/>
              <w:rPr>
                <w:rFonts w:eastAsia="Times New Roman" w:cs="Times New Roman"/>
                <w:sz w:val="20"/>
                <w:szCs w:val="20"/>
                <w:lang w:val="en-GB" w:eastAsia="en-GB"/>
              </w:rPr>
            </w:pPr>
          </w:p>
        </w:tc>
      </w:tr>
      <w:tr w:rsidR="00AD4F68" w:rsidRPr="00AD4F68" w14:paraId="32081569" w14:textId="77777777" w:rsidTr="00AD4F68">
        <w:trPr>
          <w:trHeight w:val="300"/>
        </w:trPr>
        <w:tc>
          <w:tcPr>
            <w:tcW w:w="121" w:type="dxa"/>
            <w:tcBorders>
              <w:top w:val="nil"/>
              <w:left w:val="nil"/>
              <w:bottom w:val="nil"/>
              <w:right w:val="nil"/>
            </w:tcBorders>
            <w:shd w:val="clear" w:color="auto" w:fill="auto"/>
            <w:noWrap/>
            <w:vAlign w:val="bottom"/>
            <w:hideMark/>
          </w:tcPr>
          <w:p w14:paraId="15C8E414"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2739" w:type="dxa"/>
            <w:gridSpan w:val="2"/>
            <w:tcBorders>
              <w:top w:val="nil"/>
              <w:left w:val="nil"/>
              <w:bottom w:val="nil"/>
              <w:right w:val="nil"/>
            </w:tcBorders>
            <w:shd w:val="clear" w:color="auto" w:fill="auto"/>
            <w:noWrap/>
            <w:vAlign w:val="center"/>
            <w:hideMark/>
          </w:tcPr>
          <w:p w14:paraId="56E27D86"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Trade Creditors</w:t>
            </w:r>
          </w:p>
        </w:tc>
        <w:tc>
          <w:tcPr>
            <w:tcW w:w="1197" w:type="dxa"/>
            <w:tcBorders>
              <w:top w:val="nil"/>
              <w:left w:val="nil"/>
              <w:bottom w:val="nil"/>
              <w:right w:val="nil"/>
            </w:tcBorders>
            <w:shd w:val="clear" w:color="auto" w:fill="auto"/>
            <w:noWrap/>
            <w:vAlign w:val="bottom"/>
            <w:hideMark/>
          </w:tcPr>
          <w:p w14:paraId="49F6689A"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800</w:t>
            </w:r>
          </w:p>
        </w:tc>
        <w:tc>
          <w:tcPr>
            <w:tcW w:w="1197" w:type="dxa"/>
            <w:tcBorders>
              <w:top w:val="nil"/>
              <w:left w:val="nil"/>
              <w:bottom w:val="nil"/>
              <w:right w:val="nil"/>
            </w:tcBorders>
            <w:shd w:val="clear" w:color="auto" w:fill="auto"/>
            <w:noWrap/>
            <w:vAlign w:val="bottom"/>
            <w:hideMark/>
          </w:tcPr>
          <w:p w14:paraId="0D17BD81"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62CDC45E"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870</w:t>
            </w:r>
          </w:p>
        </w:tc>
        <w:tc>
          <w:tcPr>
            <w:tcW w:w="1197" w:type="dxa"/>
            <w:tcBorders>
              <w:top w:val="nil"/>
              <w:left w:val="nil"/>
              <w:bottom w:val="nil"/>
              <w:right w:val="nil"/>
            </w:tcBorders>
            <w:shd w:val="clear" w:color="auto" w:fill="auto"/>
            <w:noWrap/>
            <w:vAlign w:val="bottom"/>
            <w:hideMark/>
          </w:tcPr>
          <w:p w14:paraId="0AF3476F"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4C5CEECD" w14:textId="77777777" w:rsidTr="00AD4F68">
        <w:trPr>
          <w:trHeight w:val="300"/>
        </w:trPr>
        <w:tc>
          <w:tcPr>
            <w:tcW w:w="121" w:type="dxa"/>
            <w:tcBorders>
              <w:top w:val="nil"/>
              <w:left w:val="nil"/>
              <w:bottom w:val="nil"/>
              <w:right w:val="nil"/>
            </w:tcBorders>
            <w:shd w:val="clear" w:color="auto" w:fill="auto"/>
            <w:noWrap/>
            <w:vAlign w:val="bottom"/>
            <w:hideMark/>
          </w:tcPr>
          <w:p w14:paraId="7B2A3DCC"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2618" w:type="dxa"/>
            <w:tcBorders>
              <w:top w:val="nil"/>
              <w:left w:val="nil"/>
              <w:bottom w:val="nil"/>
              <w:right w:val="nil"/>
            </w:tcBorders>
            <w:shd w:val="clear" w:color="auto" w:fill="auto"/>
            <w:noWrap/>
            <w:vAlign w:val="center"/>
            <w:hideMark/>
          </w:tcPr>
          <w:p w14:paraId="1E91C774"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Accruals</w:t>
            </w:r>
          </w:p>
        </w:tc>
        <w:tc>
          <w:tcPr>
            <w:tcW w:w="121" w:type="dxa"/>
            <w:tcBorders>
              <w:top w:val="nil"/>
              <w:left w:val="nil"/>
              <w:bottom w:val="nil"/>
              <w:right w:val="nil"/>
            </w:tcBorders>
            <w:shd w:val="clear" w:color="auto" w:fill="auto"/>
            <w:noWrap/>
            <w:vAlign w:val="bottom"/>
            <w:hideMark/>
          </w:tcPr>
          <w:p w14:paraId="599D68DB"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06CC90D9"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239</w:t>
            </w:r>
          </w:p>
        </w:tc>
        <w:tc>
          <w:tcPr>
            <w:tcW w:w="1197" w:type="dxa"/>
            <w:tcBorders>
              <w:top w:val="nil"/>
              <w:left w:val="nil"/>
              <w:bottom w:val="nil"/>
              <w:right w:val="nil"/>
            </w:tcBorders>
            <w:shd w:val="clear" w:color="auto" w:fill="auto"/>
            <w:noWrap/>
            <w:vAlign w:val="bottom"/>
            <w:hideMark/>
          </w:tcPr>
          <w:p w14:paraId="70DD8EE6"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7EC004FD"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246</w:t>
            </w:r>
          </w:p>
        </w:tc>
        <w:tc>
          <w:tcPr>
            <w:tcW w:w="1197" w:type="dxa"/>
            <w:tcBorders>
              <w:top w:val="nil"/>
              <w:left w:val="nil"/>
              <w:bottom w:val="nil"/>
              <w:right w:val="nil"/>
            </w:tcBorders>
            <w:shd w:val="clear" w:color="auto" w:fill="auto"/>
            <w:noWrap/>
            <w:vAlign w:val="bottom"/>
            <w:hideMark/>
          </w:tcPr>
          <w:p w14:paraId="278C4C6E"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4D3B414C" w14:textId="77777777" w:rsidTr="00AD4F68">
        <w:trPr>
          <w:trHeight w:val="300"/>
        </w:trPr>
        <w:tc>
          <w:tcPr>
            <w:tcW w:w="121" w:type="dxa"/>
            <w:tcBorders>
              <w:top w:val="nil"/>
              <w:left w:val="nil"/>
              <w:bottom w:val="nil"/>
              <w:right w:val="nil"/>
            </w:tcBorders>
            <w:shd w:val="clear" w:color="auto" w:fill="auto"/>
            <w:noWrap/>
            <w:vAlign w:val="bottom"/>
            <w:hideMark/>
          </w:tcPr>
          <w:p w14:paraId="24421C52"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2739" w:type="dxa"/>
            <w:gridSpan w:val="2"/>
            <w:tcBorders>
              <w:top w:val="nil"/>
              <w:left w:val="nil"/>
              <w:bottom w:val="nil"/>
              <w:right w:val="nil"/>
            </w:tcBorders>
            <w:shd w:val="clear" w:color="auto" w:fill="auto"/>
            <w:noWrap/>
            <w:vAlign w:val="center"/>
            <w:hideMark/>
          </w:tcPr>
          <w:p w14:paraId="17453435"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Bank Overdraft</w:t>
            </w:r>
          </w:p>
        </w:tc>
        <w:tc>
          <w:tcPr>
            <w:tcW w:w="1197" w:type="dxa"/>
            <w:tcBorders>
              <w:top w:val="nil"/>
              <w:left w:val="nil"/>
              <w:bottom w:val="nil"/>
              <w:right w:val="nil"/>
            </w:tcBorders>
            <w:shd w:val="clear" w:color="auto" w:fill="auto"/>
            <w:noWrap/>
            <w:vAlign w:val="bottom"/>
            <w:hideMark/>
          </w:tcPr>
          <w:p w14:paraId="54F0947E"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300</w:t>
            </w:r>
          </w:p>
        </w:tc>
        <w:tc>
          <w:tcPr>
            <w:tcW w:w="1197" w:type="dxa"/>
            <w:tcBorders>
              <w:top w:val="nil"/>
              <w:left w:val="nil"/>
              <w:bottom w:val="nil"/>
              <w:right w:val="nil"/>
            </w:tcBorders>
            <w:shd w:val="clear" w:color="auto" w:fill="auto"/>
            <w:noWrap/>
            <w:vAlign w:val="bottom"/>
            <w:hideMark/>
          </w:tcPr>
          <w:p w14:paraId="2C7D8B4E"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6755E788"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500</w:t>
            </w:r>
          </w:p>
        </w:tc>
        <w:tc>
          <w:tcPr>
            <w:tcW w:w="1197" w:type="dxa"/>
            <w:tcBorders>
              <w:top w:val="nil"/>
              <w:left w:val="nil"/>
              <w:bottom w:val="nil"/>
              <w:right w:val="nil"/>
            </w:tcBorders>
            <w:shd w:val="clear" w:color="auto" w:fill="auto"/>
            <w:noWrap/>
            <w:vAlign w:val="bottom"/>
            <w:hideMark/>
          </w:tcPr>
          <w:p w14:paraId="65A02F16"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r>
      <w:tr w:rsidR="00AD4F68" w:rsidRPr="00AD4F68" w14:paraId="3A45DA80" w14:textId="77777777" w:rsidTr="00AD4F68">
        <w:trPr>
          <w:trHeight w:val="300"/>
        </w:trPr>
        <w:tc>
          <w:tcPr>
            <w:tcW w:w="121" w:type="dxa"/>
            <w:tcBorders>
              <w:top w:val="nil"/>
              <w:left w:val="nil"/>
              <w:bottom w:val="nil"/>
              <w:right w:val="nil"/>
            </w:tcBorders>
            <w:shd w:val="clear" w:color="auto" w:fill="auto"/>
            <w:noWrap/>
            <w:vAlign w:val="bottom"/>
            <w:hideMark/>
          </w:tcPr>
          <w:p w14:paraId="7544E66F"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2618" w:type="dxa"/>
            <w:tcBorders>
              <w:top w:val="nil"/>
              <w:left w:val="nil"/>
              <w:bottom w:val="nil"/>
              <w:right w:val="nil"/>
            </w:tcBorders>
            <w:shd w:val="clear" w:color="auto" w:fill="auto"/>
            <w:noWrap/>
            <w:vAlign w:val="bottom"/>
            <w:hideMark/>
          </w:tcPr>
          <w:p w14:paraId="6F492AC1"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21" w:type="dxa"/>
            <w:tcBorders>
              <w:top w:val="nil"/>
              <w:left w:val="nil"/>
              <w:bottom w:val="nil"/>
              <w:right w:val="nil"/>
            </w:tcBorders>
            <w:shd w:val="clear" w:color="auto" w:fill="auto"/>
            <w:noWrap/>
            <w:vAlign w:val="bottom"/>
            <w:hideMark/>
          </w:tcPr>
          <w:p w14:paraId="64FA26D2"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single" w:sz="4" w:space="0" w:color="auto"/>
              <w:left w:val="nil"/>
              <w:bottom w:val="nil"/>
              <w:right w:val="nil"/>
            </w:tcBorders>
            <w:shd w:val="clear" w:color="auto" w:fill="auto"/>
            <w:noWrap/>
            <w:vAlign w:val="bottom"/>
            <w:hideMark/>
          </w:tcPr>
          <w:p w14:paraId="6BB0381A"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 </w:t>
            </w:r>
          </w:p>
        </w:tc>
        <w:tc>
          <w:tcPr>
            <w:tcW w:w="1197" w:type="dxa"/>
            <w:tcBorders>
              <w:top w:val="nil"/>
              <w:left w:val="nil"/>
              <w:bottom w:val="nil"/>
              <w:right w:val="nil"/>
            </w:tcBorders>
            <w:shd w:val="clear" w:color="auto" w:fill="auto"/>
            <w:noWrap/>
            <w:vAlign w:val="bottom"/>
            <w:hideMark/>
          </w:tcPr>
          <w:p w14:paraId="62653A46"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1339</w:t>
            </w:r>
          </w:p>
        </w:tc>
        <w:tc>
          <w:tcPr>
            <w:tcW w:w="1197" w:type="dxa"/>
            <w:tcBorders>
              <w:top w:val="single" w:sz="4" w:space="0" w:color="auto"/>
              <w:left w:val="nil"/>
              <w:bottom w:val="nil"/>
              <w:right w:val="nil"/>
            </w:tcBorders>
            <w:shd w:val="clear" w:color="auto" w:fill="auto"/>
            <w:noWrap/>
            <w:vAlign w:val="bottom"/>
            <w:hideMark/>
          </w:tcPr>
          <w:p w14:paraId="607980F2"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 </w:t>
            </w:r>
          </w:p>
        </w:tc>
        <w:tc>
          <w:tcPr>
            <w:tcW w:w="1197" w:type="dxa"/>
            <w:tcBorders>
              <w:top w:val="nil"/>
              <w:left w:val="nil"/>
              <w:bottom w:val="nil"/>
              <w:right w:val="nil"/>
            </w:tcBorders>
            <w:shd w:val="clear" w:color="auto" w:fill="auto"/>
            <w:noWrap/>
            <w:vAlign w:val="bottom"/>
            <w:hideMark/>
          </w:tcPr>
          <w:p w14:paraId="3054A4DF"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1616</w:t>
            </w:r>
          </w:p>
        </w:tc>
      </w:tr>
      <w:tr w:rsidR="00AD4F68" w:rsidRPr="00AD4F68" w14:paraId="11E0D8F0" w14:textId="77777777" w:rsidTr="00AD4F68">
        <w:trPr>
          <w:trHeight w:val="300"/>
        </w:trPr>
        <w:tc>
          <w:tcPr>
            <w:tcW w:w="2860" w:type="dxa"/>
            <w:gridSpan w:val="3"/>
            <w:tcBorders>
              <w:top w:val="nil"/>
              <w:left w:val="nil"/>
              <w:bottom w:val="nil"/>
              <w:right w:val="nil"/>
            </w:tcBorders>
            <w:shd w:val="clear" w:color="auto" w:fill="auto"/>
            <w:noWrap/>
            <w:vAlign w:val="bottom"/>
            <w:hideMark/>
          </w:tcPr>
          <w:p w14:paraId="24DC3206"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Net Current Assets(CA-CL)</w:t>
            </w:r>
          </w:p>
        </w:tc>
        <w:tc>
          <w:tcPr>
            <w:tcW w:w="1197" w:type="dxa"/>
            <w:tcBorders>
              <w:top w:val="nil"/>
              <w:left w:val="nil"/>
              <w:bottom w:val="nil"/>
              <w:right w:val="nil"/>
            </w:tcBorders>
            <w:shd w:val="clear" w:color="auto" w:fill="auto"/>
            <w:noWrap/>
            <w:vAlign w:val="bottom"/>
            <w:hideMark/>
          </w:tcPr>
          <w:p w14:paraId="2E77DBA2"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4731AC52"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1726</w:t>
            </w:r>
          </w:p>
        </w:tc>
        <w:tc>
          <w:tcPr>
            <w:tcW w:w="1197" w:type="dxa"/>
            <w:tcBorders>
              <w:top w:val="nil"/>
              <w:left w:val="nil"/>
              <w:bottom w:val="nil"/>
              <w:right w:val="nil"/>
            </w:tcBorders>
            <w:shd w:val="clear" w:color="auto" w:fill="auto"/>
            <w:noWrap/>
            <w:vAlign w:val="bottom"/>
            <w:hideMark/>
          </w:tcPr>
          <w:p w14:paraId="57AC90CB"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123B8EC5"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1624</w:t>
            </w:r>
          </w:p>
        </w:tc>
      </w:tr>
      <w:tr w:rsidR="00AD4F68" w:rsidRPr="00AD4F68" w14:paraId="4A029FBB" w14:textId="77777777" w:rsidTr="00AD4F68">
        <w:trPr>
          <w:trHeight w:val="315"/>
        </w:trPr>
        <w:tc>
          <w:tcPr>
            <w:tcW w:w="4057" w:type="dxa"/>
            <w:gridSpan w:val="4"/>
            <w:tcBorders>
              <w:top w:val="nil"/>
              <w:left w:val="nil"/>
              <w:bottom w:val="nil"/>
              <w:right w:val="nil"/>
            </w:tcBorders>
            <w:shd w:val="clear" w:color="auto" w:fill="auto"/>
            <w:noWrap/>
            <w:vAlign w:val="bottom"/>
            <w:hideMark/>
          </w:tcPr>
          <w:p w14:paraId="79EF1998" w14:textId="77777777" w:rsidR="00AD4F68" w:rsidRPr="00AD4F68" w:rsidRDefault="00AD4F68" w:rsidP="00AD4F68">
            <w:pPr>
              <w:spacing w:after="0" w:line="240" w:lineRule="auto"/>
              <w:jc w:val="left"/>
              <w:rPr>
                <w:rFonts w:ascii="Calibri" w:eastAsia="Times New Roman" w:hAnsi="Calibri" w:cs="Calibri"/>
                <w:b/>
                <w:bCs/>
                <w:color w:val="000000"/>
                <w:sz w:val="22"/>
                <w:lang w:val="en-GB" w:eastAsia="en-GB"/>
              </w:rPr>
            </w:pPr>
            <w:r w:rsidRPr="00AD4F68">
              <w:rPr>
                <w:rFonts w:ascii="Calibri" w:eastAsia="Times New Roman" w:hAnsi="Calibri" w:cs="Calibri"/>
                <w:b/>
                <w:bCs/>
                <w:color w:val="000000"/>
                <w:sz w:val="22"/>
                <w:lang w:val="en-GB" w:eastAsia="en-GB"/>
              </w:rPr>
              <w:t>Total Assets Less Current Liabilities</w:t>
            </w:r>
          </w:p>
        </w:tc>
        <w:tc>
          <w:tcPr>
            <w:tcW w:w="1197" w:type="dxa"/>
            <w:tcBorders>
              <w:top w:val="single" w:sz="4" w:space="0" w:color="auto"/>
              <w:left w:val="nil"/>
              <w:bottom w:val="double" w:sz="6" w:space="0" w:color="auto"/>
              <w:right w:val="nil"/>
            </w:tcBorders>
            <w:shd w:val="clear" w:color="auto" w:fill="auto"/>
            <w:noWrap/>
            <w:vAlign w:val="bottom"/>
            <w:hideMark/>
          </w:tcPr>
          <w:p w14:paraId="64B5D514"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6226</w:t>
            </w:r>
          </w:p>
        </w:tc>
        <w:tc>
          <w:tcPr>
            <w:tcW w:w="1197" w:type="dxa"/>
            <w:tcBorders>
              <w:top w:val="nil"/>
              <w:left w:val="nil"/>
              <w:bottom w:val="nil"/>
              <w:right w:val="nil"/>
            </w:tcBorders>
            <w:shd w:val="clear" w:color="auto" w:fill="auto"/>
            <w:noWrap/>
            <w:vAlign w:val="bottom"/>
            <w:hideMark/>
          </w:tcPr>
          <w:p w14:paraId="2EBC39A8"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197" w:type="dxa"/>
            <w:tcBorders>
              <w:top w:val="single" w:sz="4" w:space="0" w:color="auto"/>
              <w:left w:val="nil"/>
              <w:bottom w:val="double" w:sz="6" w:space="0" w:color="auto"/>
              <w:right w:val="nil"/>
            </w:tcBorders>
            <w:shd w:val="clear" w:color="auto" w:fill="auto"/>
            <w:noWrap/>
            <w:vAlign w:val="bottom"/>
            <w:hideMark/>
          </w:tcPr>
          <w:p w14:paraId="05FCB043"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6274</w:t>
            </w:r>
          </w:p>
        </w:tc>
      </w:tr>
      <w:tr w:rsidR="00AD4F68" w:rsidRPr="00AD4F68" w14:paraId="418A1133" w14:textId="77777777" w:rsidTr="00AD4F68">
        <w:trPr>
          <w:trHeight w:val="315"/>
        </w:trPr>
        <w:tc>
          <w:tcPr>
            <w:tcW w:w="121" w:type="dxa"/>
            <w:tcBorders>
              <w:top w:val="nil"/>
              <w:left w:val="nil"/>
              <w:bottom w:val="nil"/>
              <w:right w:val="nil"/>
            </w:tcBorders>
            <w:shd w:val="clear" w:color="auto" w:fill="auto"/>
            <w:noWrap/>
            <w:vAlign w:val="bottom"/>
            <w:hideMark/>
          </w:tcPr>
          <w:p w14:paraId="61B694E9"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2618" w:type="dxa"/>
            <w:tcBorders>
              <w:top w:val="nil"/>
              <w:left w:val="nil"/>
              <w:bottom w:val="nil"/>
              <w:right w:val="nil"/>
            </w:tcBorders>
            <w:shd w:val="clear" w:color="auto" w:fill="auto"/>
            <w:noWrap/>
            <w:vAlign w:val="bottom"/>
            <w:hideMark/>
          </w:tcPr>
          <w:p w14:paraId="347B8F87"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21" w:type="dxa"/>
            <w:tcBorders>
              <w:top w:val="nil"/>
              <w:left w:val="nil"/>
              <w:bottom w:val="nil"/>
              <w:right w:val="nil"/>
            </w:tcBorders>
            <w:shd w:val="clear" w:color="auto" w:fill="auto"/>
            <w:noWrap/>
            <w:vAlign w:val="bottom"/>
            <w:hideMark/>
          </w:tcPr>
          <w:p w14:paraId="033E0291"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7CF523F4"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63713915"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09A7CBB3"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053E492E" w14:textId="77777777" w:rsidR="00AD4F68" w:rsidRPr="00AD4F68" w:rsidRDefault="00AD4F68" w:rsidP="00AD4F68">
            <w:pPr>
              <w:spacing w:after="0" w:line="240" w:lineRule="auto"/>
              <w:jc w:val="left"/>
              <w:rPr>
                <w:rFonts w:eastAsia="Times New Roman" w:cs="Times New Roman"/>
                <w:sz w:val="20"/>
                <w:szCs w:val="20"/>
                <w:lang w:val="en-GB" w:eastAsia="en-GB"/>
              </w:rPr>
            </w:pPr>
          </w:p>
        </w:tc>
      </w:tr>
      <w:tr w:rsidR="00AD4F68" w:rsidRPr="00AD4F68" w14:paraId="46FEC938" w14:textId="77777777" w:rsidTr="00AD4F68">
        <w:trPr>
          <w:trHeight w:val="300"/>
        </w:trPr>
        <w:tc>
          <w:tcPr>
            <w:tcW w:w="2860" w:type="dxa"/>
            <w:gridSpan w:val="3"/>
            <w:tcBorders>
              <w:top w:val="nil"/>
              <w:left w:val="nil"/>
              <w:bottom w:val="nil"/>
              <w:right w:val="nil"/>
            </w:tcBorders>
            <w:shd w:val="clear" w:color="auto" w:fill="auto"/>
            <w:noWrap/>
            <w:vAlign w:val="bottom"/>
            <w:hideMark/>
          </w:tcPr>
          <w:p w14:paraId="68C2A0CD"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Long - Term Liabilities:</w:t>
            </w:r>
          </w:p>
        </w:tc>
        <w:tc>
          <w:tcPr>
            <w:tcW w:w="1197" w:type="dxa"/>
            <w:tcBorders>
              <w:top w:val="nil"/>
              <w:left w:val="nil"/>
              <w:bottom w:val="nil"/>
              <w:right w:val="nil"/>
            </w:tcBorders>
            <w:shd w:val="clear" w:color="auto" w:fill="auto"/>
            <w:noWrap/>
            <w:vAlign w:val="bottom"/>
            <w:hideMark/>
          </w:tcPr>
          <w:p w14:paraId="0D9FB90F"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438B2D18"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4D4DD7D8"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3E5E6969" w14:textId="77777777" w:rsidR="00AD4F68" w:rsidRPr="00AD4F68" w:rsidRDefault="00AD4F68" w:rsidP="00AD4F68">
            <w:pPr>
              <w:spacing w:after="0" w:line="240" w:lineRule="auto"/>
              <w:jc w:val="left"/>
              <w:rPr>
                <w:rFonts w:eastAsia="Times New Roman" w:cs="Times New Roman"/>
                <w:sz w:val="20"/>
                <w:szCs w:val="20"/>
                <w:lang w:val="en-GB" w:eastAsia="en-GB"/>
              </w:rPr>
            </w:pPr>
          </w:p>
        </w:tc>
      </w:tr>
      <w:tr w:rsidR="00AD4F68" w:rsidRPr="00AD4F68" w14:paraId="582B9F8B" w14:textId="77777777" w:rsidTr="00AD4F68">
        <w:trPr>
          <w:trHeight w:val="300"/>
        </w:trPr>
        <w:tc>
          <w:tcPr>
            <w:tcW w:w="121" w:type="dxa"/>
            <w:tcBorders>
              <w:top w:val="nil"/>
              <w:left w:val="nil"/>
              <w:bottom w:val="nil"/>
              <w:right w:val="nil"/>
            </w:tcBorders>
            <w:shd w:val="clear" w:color="auto" w:fill="auto"/>
            <w:noWrap/>
            <w:vAlign w:val="bottom"/>
            <w:hideMark/>
          </w:tcPr>
          <w:p w14:paraId="377A4EA6"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2739" w:type="dxa"/>
            <w:gridSpan w:val="2"/>
            <w:tcBorders>
              <w:top w:val="nil"/>
              <w:left w:val="nil"/>
              <w:bottom w:val="nil"/>
              <w:right w:val="nil"/>
            </w:tcBorders>
            <w:shd w:val="clear" w:color="auto" w:fill="auto"/>
            <w:noWrap/>
            <w:vAlign w:val="bottom"/>
            <w:hideMark/>
          </w:tcPr>
          <w:p w14:paraId="6A27FFF5"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Bank Loans</w:t>
            </w:r>
          </w:p>
        </w:tc>
        <w:tc>
          <w:tcPr>
            <w:tcW w:w="1197" w:type="dxa"/>
            <w:tcBorders>
              <w:top w:val="nil"/>
              <w:left w:val="nil"/>
              <w:bottom w:val="nil"/>
              <w:right w:val="nil"/>
            </w:tcBorders>
            <w:shd w:val="clear" w:color="auto" w:fill="auto"/>
            <w:noWrap/>
            <w:vAlign w:val="bottom"/>
            <w:hideMark/>
          </w:tcPr>
          <w:p w14:paraId="1B93490D"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7C66328A"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150</w:t>
            </w:r>
          </w:p>
        </w:tc>
        <w:tc>
          <w:tcPr>
            <w:tcW w:w="1197" w:type="dxa"/>
            <w:tcBorders>
              <w:top w:val="nil"/>
              <w:left w:val="nil"/>
              <w:bottom w:val="nil"/>
              <w:right w:val="nil"/>
            </w:tcBorders>
            <w:shd w:val="clear" w:color="auto" w:fill="auto"/>
            <w:noWrap/>
            <w:vAlign w:val="bottom"/>
            <w:hideMark/>
          </w:tcPr>
          <w:p w14:paraId="77ADC886"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60F2A833"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145</w:t>
            </w:r>
          </w:p>
        </w:tc>
      </w:tr>
      <w:tr w:rsidR="00AD4F68" w:rsidRPr="00AD4F68" w14:paraId="2D65319D" w14:textId="77777777" w:rsidTr="00AD4F68">
        <w:trPr>
          <w:trHeight w:val="300"/>
        </w:trPr>
        <w:tc>
          <w:tcPr>
            <w:tcW w:w="121" w:type="dxa"/>
            <w:tcBorders>
              <w:top w:val="nil"/>
              <w:left w:val="nil"/>
              <w:bottom w:val="nil"/>
              <w:right w:val="nil"/>
            </w:tcBorders>
            <w:shd w:val="clear" w:color="auto" w:fill="auto"/>
            <w:noWrap/>
            <w:vAlign w:val="bottom"/>
            <w:hideMark/>
          </w:tcPr>
          <w:p w14:paraId="1C946A5F"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2618" w:type="dxa"/>
            <w:tcBorders>
              <w:top w:val="nil"/>
              <w:left w:val="nil"/>
              <w:bottom w:val="nil"/>
              <w:right w:val="nil"/>
            </w:tcBorders>
            <w:shd w:val="clear" w:color="auto" w:fill="auto"/>
            <w:noWrap/>
            <w:vAlign w:val="bottom"/>
            <w:hideMark/>
          </w:tcPr>
          <w:p w14:paraId="04C16DF2"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21" w:type="dxa"/>
            <w:tcBorders>
              <w:top w:val="nil"/>
              <w:left w:val="nil"/>
              <w:bottom w:val="nil"/>
              <w:right w:val="nil"/>
            </w:tcBorders>
            <w:shd w:val="clear" w:color="auto" w:fill="auto"/>
            <w:noWrap/>
            <w:vAlign w:val="bottom"/>
            <w:hideMark/>
          </w:tcPr>
          <w:p w14:paraId="0BA38F92"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1CC77F6D"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2C703298"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6076</w:t>
            </w:r>
          </w:p>
        </w:tc>
        <w:tc>
          <w:tcPr>
            <w:tcW w:w="1197" w:type="dxa"/>
            <w:tcBorders>
              <w:top w:val="nil"/>
              <w:left w:val="nil"/>
              <w:bottom w:val="nil"/>
              <w:right w:val="nil"/>
            </w:tcBorders>
            <w:shd w:val="clear" w:color="auto" w:fill="auto"/>
            <w:noWrap/>
            <w:vAlign w:val="bottom"/>
            <w:hideMark/>
          </w:tcPr>
          <w:p w14:paraId="6751BB52"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458C2B48"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6129</w:t>
            </w:r>
          </w:p>
        </w:tc>
      </w:tr>
      <w:tr w:rsidR="00AD4F68" w:rsidRPr="00AD4F68" w14:paraId="2336A73E" w14:textId="77777777" w:rsidTr="00AD4F68">
        <w:trPr>
          <w:trHeight w:val="300"/>
        </w:trPr>
        <w:tc>
          <w:tcPr>
            <w:tcW w:w="2739" w:type="dxa"/>
            <w:gridSpan w:val="2"/>
            <w:tcBorders>
              <w:top w:val="nil"/>
              <w:left w:val="nil"/>
              <w:bottom w:val="nil"/>
              <w:right w:val="nil"/>
            </w:tcBorders>
            <w:shd w:val="clear" w:color="auto" w:fill="auto"/>
            <w:noWrap/>
            <w:vAlign w:val="bottom"/>
            <w:hideMark/>
          </w:tcPr>
          <w:p w14:paraId="1E2D2051"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Represented by:</w:t>
            </w:r>
          </w:p>
        </w:tc>
        <w:tc>
          <w:tcPr>
            <w:tcW w:w="121" w:type="dxa"/>
            <w:tcBorders>
              <w:top w:val="nil"/>
              <w:left w:val="nil"/>
              <w:bottom w:val="nil"/>
              <w:right w:val="nil"/>
            </w:tcBorders>
            <w:shd w:val="clear" w:color="auto" w:fill="auto"/>
            <w:noWrap/>
            <w:vAlign w:val="bottom"/>
            <w:hideMark/>
          </w:tcPr>
          <w:p w14:paraId="443D7374"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0483138B"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33916C47"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6CF39CC8"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58D29F50" w14:textId="77777777" w:rsidR="00AD4F68" w:rsidRPr="00AD4F68" w:rsidRDefault="00AD4F68" w:rsidP="00AD4F68">
            <w:pPr>
              <w:spacing w:after="0" w:line="240" w:lineRule="auto"/>
              <w:jc w:val="left"/>
              <w:rPr>
                <w:rFonts w:eastAsia="Times New Roman" w:cs="Times New Roman"/>
                <w:sz w:val="20"/>
                <w:szCs w:val="20"/>
                <w:lang w:val="en-GB" w:eastAsia="en-GB"/>
              </w:rPr>
            </w:pPr>
          </w:p>
        </w:tc>
      </w:tr>
      <w:tr w:rsidR="00AD4F68" w:rsidRPr="00AD4F68" w14:paraId="03058500" w14:textId="77777777" w:rsidTr="00AD4F68">
        <w:trPr>
          <w:trHeight w:val="300"/>
        </w:trPr>
        <w:tc>
          <w:tcPr>
            <w:tcW w:w="121" w:type="dxa"/>
            <w:tcBorders>
              <w:top w:val="nil"/>
              <w:left w:val="nil"/>
              <w:bottom w:val="nil"/>
              <w:right w:val="nil"/>
            </w:tcBorders>
            <w:shd w:val="clear" w:color="auto" w:fill="auto"/>
            <w:noWrap/>
            <w:vAlign w:val="bottom"/>
            <w:hideMark/>
          </w:tcPr>
          <w:p w14:paraId="02BAAD93"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2618" w:type="dxa"/>
            <w:tcBorders>
              <w:top w:val="nil"/>
              <w:left w:val="nil"/>
              <w:bottom w:val="nil"/>
              <w:right w:val="nil"/>
            </w:tcBorders>
            <w:shd w:val="clear" w:color="auto" w:fill="auto"/>
            <w:noWrap/>
            <w:vAlign w:val="center"/>
            <w:hideMark/>
          </w:tcPr>
          <w:p w14:paraId="4EA18EC8"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Capital</w:t>
            </w:r>
          </w:p>
        </w:tc>
        <w:tc>
          <w:tcPr>
            <w:tcW w:w="121" w:type="dxa"/>
            <w:tcBorders>
              <w:top w:val="nil"/>
              <w:left w:val="nil"/>
              <w:bottom w:val="nil"/>
              <w:right w:val="nil"/>
            </w:tcBorders>
            <w:shd w:val="clear" w:color="auto" w:fill="auto"/>
            <w:noWrap/>
            <w:vAlign w:val="bottom"/>
            <w:hideMark/>
          </w:tcPr>
          <w:p w14:paraId="26EF7935"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4C09BBF9" w14:textId="77777777" w:rsidR="00AD4F68" w:rsidRPr="00AD4F68" w:rsidRDefault="00AD4F68" w:rsidP="00AD4F68">
            <w:pPr>
              <w:spacing w:after="0" w:line="240" w:lineRule="auto"/>
              <w:jc w:val="left"/>
              <w:rPr>
                <w:rFonts w:eastAsia="Times New Roman" w:cs="Times New Roman"/>
                <w:sz w:val="20"/>
                <w:szCs w:val="20"/>
                <w:lang w:val="en-GB" w:eastAsia="en-GB"/>
              </w:rPr>
            </w:pPr>
          </w:p>
        </w:tc>
        <w:tc>
          <w:tcPr>
            <w:tcW w:w="1197" w:type="dxa"/>
            <w:tcBorders>
              <w:top w:val="nil"/>
              <w:left w:val="nil"/>
              <w:bottom w:val="nil"/>
              <w:right w:val="nil"/>
            </w:tcBorders>
            <w:shd w:val="clear" w:color="auto" w:fill="auto"/>
            <w:noWrap/>
            <w:vAlign w:val="bottom"/>
            <w:hideMark/>
          </w:tcPr>
          <w:p w14:paraId="2C7D1181"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2068</w:t>
            </w:r>
          </w:p>
        </w:tc>
        <w:tc>
          <w:tcPr>
            <w:tcW w:w="1197" w:type="dxa"/>
            <w:tcBorders>
              <w:top w:val="nil"/>
              <w:left w:val="nil"/>
              <w:bottom w:val="nil"/>
              <w:right w:val="nil"/>
            </w:tcBorders>
            <w:shd w:val="clear" w:color="auto" w:fill="auto"/>
            <w:noWrap/>
            <w:vAlign w:val="bottom"/>
            <w:hideMark/>
          </w:tcPr>
          <w:p w14:paraId="551557BB"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2ED380EB"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2056</w:t>
            </w:r>
          </w:p>
        </w:tc>
      </w:tr>
      <w:tr w:rsidR="00AD4F68" w:rsidRPr="00AD4F68" w14:paraId="6EA3D40F" w14:textId="77777777" w:rsidTr="00AD4F68">
        <w:trPr>
          <w:trHeight w:val="300"/>
        </w:trPr>
        <w:tc>
          <w:tcPr>
            <w:tcW w:w="121" w:type="dxa"/>
            <w:tcBorders>
              <w:top w:val="nil"/>
              <w:left w:val="nil"/>
              <w:bottom w:val="nil"/>
              <w:right w:val="nil"/>
            </w:tcBorders>
            <w:shd w:val="clear" w:color="auto" w:fill="auto"/>
            <w:noWrap/>
            <w:vAlign w:val="bottom"/>
            <w:hideMark/>
          </w:tcPr>
          <w:p w14:paraId="05CC0B5F"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2739" w:type="dxa"/>
            <w:gridSpan w:val="2"/>
            <w:tcBorders>
              <w:top w:val="nil"/>
              <w:left w:val="nil"/>
              <w:bottom w:val="nil"/>
              <w:right w:val="nil"/>
            </w:tcBorders>
            <w:shd w:val="clear" w:color="auto" w:fill="auto"/>
            <w:noWrap/>
            <w:vAlign w:val="center"/>
            <w:hideMark/>
          </w:tcPr>
          <w:p w14:paraId="7FDD0218"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Profit for the Year</w:t>
            </w:r>
          </w:p>
        </w:tc>
        <w:tc>
          <w:tcPr>
            <w:tcW w:w="1197" w:type="dxa"/>
            <w:tcBorders>
              <w:top w:val="nil"/>
              <w:left w:val="nil"/>
              <w:bottom w:val="nil"/>
              <w:right w:val="nil"/>
            </w:tcBorders>
            <w:shd w:val="clear" w:color="auto" w:fill="auto"/>
            <w:noWrap/>
            <w:vAlign w:val="bottom"/>
            <w:hideMark/>
          </w:tcPr>
          <w:p w14:paraId="5CA64799" w14:textId="77777777" w:rsidR="00AD4F68" w:rsidRPr="00AD4F68" w:rsidRDefault="00AD4F68" w:rsidP="00AD4F68">
            <w:pPr>
              <w:spacing w:after="0" w:line="240" w:lineRule="auto"/>
              <w:jc w:val="lef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72159112"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4008</w:t>
            </w:r>
          </w:p>
        </w:tc>
        <w:tc>
          <w:tcPr>
            <w:tcW w:w="1197" w:type="dxa"/>
            <w:tcBorders>
              <w:top w:val="nil"/>
              <w:left w:val="nil"/>
              <w:bottom w:val="nil"/>
              <w:right w:val="nil"/>
            </w:tcBorders>
            <w:shd w:val="clear" w:color="auto" w:fill="auto"/>
            <w:noWrap/>
            <w:vAlign w:val="bottom"/>
            <w:hideMark/>
          </w:tcPr>
          <w:p w14:paraId="406B4D3C"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p>
        </w:tc>
        <w:tc>
          <w:tcPr>
            <w:tcW w:w="1197" w:type="dxa"/>
            <w:tcBorders>
              <w:top w:val="nil"/>
              <w:left w:val="nil"/>
              <w:bottom w:val="nil"/>
              <w:right w:val="nil"/>
            </w:tcBorders>
            <w:shd w:val="clear" w:color="auto" w:fill="auto"/>
            <w:noWrap/>
            <w:vAlign w:val="bottom"/>
            <w:hideMark/>
          </w:tcPr>
          <w:p w14:paraId="6F7ECDA3" w14:textId="77777777" w:rsidR="00AD4F68" w:rsidRPr="00AD4F68" w:rsidRDefault="00AD4F68" w:rsidP="00AD4F68">
            <w:pPr>
              <w:spacing w:after="0" w:line="240" w:lineRule="auto"/>
              <w:jc w:val="right"/>
              <w:rPr>
                <w:rFonts w:ascii="Calibri" w:eastAsia="Times New Roman" w:hAnsi="Calibri" w:cs="Calibri"/>
                <w:color w:val="000000"/>
                <w:sz w:val="22"/>
                <w:lang w:val="en-GB" w:eastAsia="en-GB"/>
              </w:rPr>
            </w:pPr>
            <w:r w:rsidRPr="00AD4F68">
              <w:rPr>
                <w:rFonts w:ascii="Calibri" w:eastAsia="Times New Roman" w:hAnsi="Calibri" w:cs="Calibri"/>
                <w:color w:val="000000"/>
                <w:sz w:val="22"/>
                <w:lang w:val="en-GB" w:eastAsia="en-GB"/>
              </w:rPr>
              <w:t>4073</w:t>
            </w:r>
          </w:p>
        </w:tc>
      </w:tr>
    </w:tbl>
    <w:p w14:paraId="23E1AD33" w14:textId="77777777" w:rsidR="00AD4F68" w:rsidRPr="00F25DF0" w:rsidRDefault="00AD4F68" w:rsidP="00F25DF0"/>
    <w:p w14:paraId="1F9A26C0" w14:textId="77777777" w:rsidR="00A5381B" w:rsidRDefault="00A5381B" w:rsidP="00A5381B">
      <w:pPr>
        <w:pStyle w:val="Heading2"/>
      </w:pPr>
      <w:bookmarkStart w:id="6" w:name="_Toc44776663"/>
      <w:r>
        <w:t>Identify whether ratios and its fluctuations is essential within Hotel management</w:t>
      </w:r>
      <w:bookmarkEnd w:id="6"/>
      <w:r>
        <w:t xml:space="preserve"> </w:t>
      </w:r>
    </w:p>
    <w:p w14:paraId="77CD4CEB" w14:textId="77777777" w:rsidR="00BB2EAA" w:rsidRDefault="00567694" w:rsidP="00567694">
      <w:r>
        <w:t xml:space="preserve">Fluctuations of ratios help in identifying the changes </w:t>
      </w:r>
      <w:r w:rsidR="00B7494F">
        <w:t xml:space="preserve">that </w:t>
      </w:r>
      <w:r>
        <w:t xml:space="preserve">occurred in </w:t>
      </w:r>
      <w:r w:rsidR="00B7494F">
        <w:t xml:space="preserve">the </w:t>
      </w:r>
      <w:r>
        <w:t xml:space="preserve">financial statements of </w:t>
      </w:r>
      <w:r w:rsidR="00B7494F">
        <w:t xml:space="preserve">an </w:t>
      </w:r>
      <w:r>
        <w:t>organization</w:t>
      </w:r>
      <w:sdt>
        <w:sdtPr>
          <w:id w:val="991378160"/>
          <w:citation/>
        </w:sdtPr>
        <w:sdtEndPr/>
        <w:sdtContent>
          <w:r w:rsidR="00BF5233">
            <w:fldChar w:fldCharType="begin"/>
          </w:r>
          <w:r w:rsidR="00BF5233">
            <w:instrText xml:space="preserve"> CITATION Gro161 \l 1033 </w:instrText>
          </w:r>
          <w:r w:rsidR="00BF5233">
            <w:fldChar w:fldCharType="separate"/>
          </w:r>
          <w:r w:rsidR="00BF5233">
            <w:rPr>
              <w:noProof/>
            </w:rPr>
            <w:t xml:space="preserve"> </w:t>
          </w:r>
          <w:r w:rsidR="00BF5233" w:rsidRPr="00BF5233">
            <w:rPr>
              <w:noProof/>
            </w:rPr>
            <w:t>(Groth &amp; Madsen, 2016)</w:t>
          </w:r>
          <w:r w:rsidR="00BF5233">
            <w:fldChar w:fldCharType="end"/>
          </w:r>
        </w:sdtContent>
      </w:sdt>
      <w:r>
        <w:t xml:space="preserve">. In that context, </w:t>
      </w:r>
      <w:r w:rsidR="00B7494F">
        <w:t xml:space="preserve">the </w:t>
      </w:r>
      <w:r>
        <w:t xml:space="preserve">organization make the decision for making long term growth plan with considering the value of each line items involves in the business. </w:t>
      </w:r>
      <w:r w:rsidR="00650B61">
        <w:t xml:space="preserve">In </w:t>
      </w:r>
      <w:r w:rsidR="00B7494F">
        <w:t xml:space="preserve">the </w:t>
      </w:r>
      <w:r w:rsidR="00650B61">
        <w:t xml:space="preserve">case of Gatsby Grange, the overall ratios provide fluctuated margin in comparison to last year. </w:t>
      </w:r>
      <w:r w:rsidR="00B32A4D">
        <w:t xml:space="preserve">It becomes essential for the hotel management for </w:t>
      </w:r>
      <w:r w:rsidR="008D3F2A">
        <w:t xml:space="preserve">making </w:t>
      </w:r>
      <w:r w:rsidR="00B7494F">
        <w:t xml:space="preserve">a </w:t>
      </w:r>
      <w:r w:rsidR="008D3F2A">
        <w:t xml:space="preserve">decision for future operating with considering </w:t>
      </w:r>
      <w:r w:rsidR="00B7494F">
        <w:t xml:space="preserve">the </w:t>
      </w:r>
      <w:r w:rsidR="008D3F2A">
        <w:t xml:space="preserve">trend in ratio analysis and also the changes </w:t>
      </w:r>
      <w:r w:rsidR="00B7494F">
        <w:t xml:space="preserve">that </w:t>
      </w:r>
      <w:r w:rsidR="008D3F2A">
        <w:t xml:space="preserve">occurred in </w:t>
      </w:r>
      <w:r w:rsidR="00B7494F">
        <w:t xml:space="preserve">the </w:t>
      </w:r>
      <w:r w:rsidR="008D3F2A">
        <w:lastRenderedPageBreak/>
        <w:t xml:space="preserve">financial statement. </w:t>
      </w:r>
      <w:r w:rsidR="000A1D07">
        <w:t xml:space="preserve">From the </w:t>
      </w:r>
      <w:r w:rsidR="00BB2EAA">
        <w:t>liquidity</w:t>
      </w:r>
      <w:r w:rsidR="000A1D07">
        <w:t xml:space="preserve"> ratio analysis of the business, it is observed that Gatsby Grange invested money over fixed assets. This ratio become important for the hotel chain to determine the importance of investing money upon </w:t>
      </w:r>
      <w:r w:rsidR="00831BD3">
        <w:t xml:space="preserve">liquid assets which will empower the liquidate position of the business in future. </w:t>
      </w:r>
      <w:r w:rsidR="008A6CC0">
        <w:t xml:space="preserve">Investment upon liquid assets would be effective for the business to mitigate its </w:t>
      </w:r>
      <w:r w:rsidR="00E61B5B">
        <w:t>obligations</w:t>
      </w:r>
      <w:r w:rsidR="008A6CC0">
        <w:t xml:space="preserve"> or debts in quick session. </w:t>
      </w:r>
    </w:p>
    <w:p w14:paraId="1A0CC3EB" w14:textId="77777777" w:rsidR="00567694" w:rsidRPr="00567694" w:rsidRDefault="00BB2EAA" w:rsidP="00567694">
      <w:r>
        <w:t xml:space="preserve">Changes in profitability ratio indicate that Gatsby Grange made </w:t>
      </w:r>
      <w:r w:rsidR="00B7494F">
        <w:t xml:space="preserve">a </w:t>
      </w:r>
      <w:r>
        <w:t xml:space="preserve">high margin of expenses in its production or operation </w:t>
      </w:r>
      <w:proofErr w:type="spellStart"/>
      <w:r>
        <w:t>cent</w:t>
      </w:r>
      <w:r w:rsidR="00B7494F">
        <w:t>re</w:t>
      </w:r>
      <w:proofErr w:type="spellEnd"/>
      <w:r>
        <w:t xml:space="preserve">. </w:t>
      </w:r>
      <w:r w:rsidR="00B22967">
        <w:t xml:space="preserve">It becomes essential for the hotel chain to understand that it would have to restrict </w:t>
      </w:r>
      <w:r w:rsidR="00B7494F">
        <w:t xml:space="preserve">the </w:t>
      </w:r>
      <w:r w:rsidR="00B22967">
        <w:t xml:space="preserve">overflow of cash while operating its services. That will assist in making </w:t>
      </w:r>
      <w:r w:rsidR="00B7494F">
        <w:t xml:space="preserve">a </w:t>
      </w:r>
      <w:r w:rsidR="00B22967">
        <w:t xml:space="preserve">decision for </w:t>
      </w:r>
      <w:r w:rsidR="00B7494F">
        <w:t xml:space="preserve">the </w:t>
      </w:r>
      <w:r w:rsidR="00B22967">
        <w:t xml:space="preserve">future about the way in which the business might reduce the operating expenses. </w:t>
      </w:r>
      <w:r w:rsidR="00A3600B">
        <w:t>Whereas, the return over capital employed grabs a growth of 1%</w:t>
      </w:r>
      <w:r w:rsidR="00B7494F">
        <w:t>,</w:t>
      </w:r>
      <w:r w:rsidR="00A3600B">
        <w:t xml:space="preserve"> which shows the importance of utilizing business assets to ear</w:t>
      </w:r>
      <w:r w:rsidR="00B7494F">
        <w:t>n</w:t>
      </w:r>
      <w:r w:rsidR="00A3600B">
        <w:t xml:space="preserve"> </w:t>
      </w:r>
      <w:r w:rsidR="00B7494F">
        <w:t xml:space="preserve">a </w:t>
      </w:r>
      <w:r w:rsidR="00A3600B">
        <w:t xml:space="preserve">high margin of return. </w:t>
      </w:r>
      <w:r w:rsidR="005167DA">
        <w:t>Fluctuation in gearing ratio indicates that the company manages to reduce its debt margin</w:t>
      </w:r>
      <w:r w:rsidR="00B7494F">
        <w:t>,</w:t>
      </w:r>
      <w:r w:rsidR="005167DA">
        <w:t xml:space="preserve"> which is effective in empowering business leverage condition. </w:t>
      </w:r>
      <w:r w:rsidR="0080087D">
        <w:t xml:space="preserve">Changes in equity to assets ratio show the requirement of incorporating more margin of equity in the business to empower the business capital. That would be essential for the business to attract external stakeholders.     </w:t>
      </w:r>
      <w:r w:rsidR="005167DA">
        <w:t xml:space="preserve">       </w:t>
      </w:r>
      <w:r w:rsidR="00A3600B">
        <w:t xml:space="preserve">    </w:t>
      </w:r>
      <w:r w:rsidR="00B22967">
        <w:t xml:space="preserve">  </w:t>
      </w:r>
      <w:r>
        <w:t xml:space="preserve">  </w:t>
      </w:r>
      <w:r w:rsidR="008A6CC0">
        <w:t xml:space="preserve"> </w:t>
      </w:r>
      <w:r w:rsidR="000A1D07">
        <w:t xml:space="preserve">   </w:t>
      </w:r>
      <w:r w:rsidR="00B32A4D">
        <w:t xml:space="preserve"> </w:t>
      </w:r>
      <w:r w:rsidR="00650B61">
        <w:t xml:space="preserve">   </w:t>
      </w:r>
      <w:r w:rsidR="00567694">
        <w:t xml:space="preserve">  </w:t>
      </w:r>
    </w:p>
    <w:p w14:paraId="76C4BB40" w14:textId="77777777" w:rsidR="00A5381B" w:rsidRDefault="00A5381B" w:rsidP="00A5381B">
      <w:pPr>
        <w:pStyle w:val="Heading2"/>
      </w:pPr>
      <w:bookmarkStart w:id="7" w:name="_Toc44776664"/>
      <w:r>
        <w:t>Discuss the benefits and limitations of using ratio analysis in terms of decision making wi</w:t>
      </w:r>
      <w:r w:rsidR="00441237">
        <w:t xml:space="preserve">thin </w:t>
      </w:r>
      <w:r w:rsidR="00B7494F">
        <w:t xml:space="preserve">the </w:t>
      </w:r>
      <w:r w:rsidR="00441237">
        <w:t>Tourism and Hotel Industry</w:t>
      </w:r>
      <w:bookmarkEnd w:id="7"/>
      <w:r w:rsidR="00441237">
        <w:t xml:space="preserve"> </w:t>
      </w:r>
    </w:p>
    <w:p w14:paraId="74507EE2" w14:textId="77777777" w:rsidR="00335F28" w:rsidRDefault="00335F28" w:rsidP="00335F28">
      <w:pPr>
        <w:rPr>
          <w:b/>
        </w:rPr>
      </w:pPr>
      <w:r w:rsidRPr="00335F28">
        <w:rPr>
          <w:b/>
        </w:rPr>
        <w:t xml:space="preserve">Benefits </w:t>
      </w:r>
    </w:p>
    <w:p w14:paraId="4F208F06" w14:textId="77777777" w:rsidR="00643B51" w:rsidRDefault="007E6A65" w:rsidP="00335F28">
      <w:r w:rsidRPr="007E6A65">
        <w:t xml:space="preserve">Ratio analysis </w:t>
      </w:r>
      <w:r>
        <w:t>supports in disproving or validating the investment, operating and financing decision of the firms</w:t>
      </w:r>
      <w:sdt>
        <w:sdtPr>
          <w:id w:val="-970131542"/>
          <w:citation/>
        </w:sdtPr>
        <w:sdtEndPr/>
        <w:sdtContent>
          <w:r w:rsidR="00BF5233">
            <w:fldChar w:fldCharType="begin"/>
          </w:r>
          <w:r w:rsidR="00BF5233">
            <w:instrText xml:space="preserve"> CITATION Ryu19 \l 1033 </w:instrText>
          </w:r>
          <w:r w:rsidR="00BF5233">
            <w:fldChar w:fldCharType="separate"/>
          </w:r>
          <w:r w:rsidR="00BF5233">
            <w:rPr>
              <w:noProof/>
            </w:rPr>
            <w:t xml:space="preserve"> </w:t>
          </w:r>
          <w:r w:rsidR="00BF5233" w:rsidRPr="00BF5233">
            <w:rPr>
              <w:noProof/>
            </w:rPr>
            <w:t>(Ryu, et al., 2019)</w:t>
          </w:r>
          <w:r w:rsidR="00BF5233">
            <w:fldChar w:fldCharType="end"/>
          </w:r>
        </w:sdtContent>
      </w:sdt>
      <w:r>
        <w:t xml:space="preserve">. </w:t>
      </w:r>
      <w:r w:rsidR="00850794">
        <w:t>Ratio analysis summarizes the financial information of the firms into comparative figures where account users compare the data or information of two or more years</w:t>
      </w:r>
      <w:sdt>
        <w:sdtPr>
          <w:id w:val="-338616089"/>
          <w:citation/>
        </w:sdtPr>
        <w:sdtEndPr/>
        <w:sdtContent>
          <w:r w:rsidR="00BF5233">
            <w:fldChar w:fldCharType="begin"/>
          </w:r>
          <w:r w:rsidR="00BF5233">
            <w:instrText xml:space="preserve"> CITATION Kri17 \l 1033 </w:instrText>
          </w:r>
          <w:r w:rsidR="00BF5233">
            <w:fldChar w:fldCharType="separate"/>
          </w:r>
          <w:r w:rsidR="00BF5233">
            <w:rPr>
              <w:noProof/>
            </w:rPr>
            <w:t xml:space="preserve"> </w:t>
          </w:r>
          <w:r w:rsidR="00BF5233" w:rsidRPr="00BF5233">
            <w:rPr>
              <w:noProof/>
            </w:rPr>
            <w:t>(Kristanti &amp; Herwany, 2017)</w:t>
          </w:r>
          <w:r w:rsidR="00BF5233">
            <w:fldChar w:fldCharType="end"/>
          </w:r>
        </w:sdtContent>
      </w:sdt>
      <w:r w:rsidR="00850794">
        <w:t>. That supports them to justify the significance of their decisions</w:t>
      </w:r>
      <w:r w:rsidR="00275455">
        <w:t xml:space="preserve"> </w:t>
      </w:r>
      <w:r w:rsidR="00B7494F">
        <w:t>by</w:t>
      </w:r>
      <w:r w:rsidR="00275455">
        <w:t xml:space="preserve"> considering the financial position of the firm</w:t>
      </w:r>
      <w:r w:rsidR="00850794">
        <w:t xml:space="preserve">. </w:t>
      </w:r>
      <w:r w:rsidR="002A2189">
        <w:t xml:space="preserve">In </w:t>
      </w:r>
      <w:r w:rsidR="00B7494F">
        <w:t xml:space="preserve">the </w:t>
      </w:r>
      <w:r w:rsidR="002A2189">
        <w:t xml:space="preserve">Hotel and Tourism Industry, the financial leverage ratio plays </w:t>
      </w:r>
      <w:r w:rsidR="00B7494F">
        <w:t>an</w:t>
      </w:r>
      <w:r w:rsidR="002A2189">
        <w:t xml:space="preserve"> important role in identifying the long term solvency of the firms. That identifies the way in which organizations manages their business debts </w:t>
      </w:r>
      <w:r w:rsidR="00643B51">
        <w:t xml:space="preserve">by arranging </w:t>
      </w:r>
      <w:r w:rsidR="00B7494F">
        <w:t>their</w:t>
      </w:r>
      <w:r w:rsidR="00643B51">
        <w:t xml:space="preserve"> required finance. For example, the ratio analysis upon Gatsby Grange indicates that the hotel chain arranges most of its finance from equity sources which become effective for the business to gain </w:t>
      </w:r>
      <w:r w:rsidR="00B7494F">
        <w:t xml:space="preserve">a </w:t>
      </w:r>
      <w:r w:rsidR="00643B51">
        <w:t xml:space="preserve">high margin of return. The ratio analysis also shows the significance of avoiding long term debts in terms of getting </w:t>
      </w:r>
      <w:r w:rsidR="00B7494F">
        <w:t xml:space="preserve">a </w:t>
      </w:r>
      <w:r w:rsidR="00643B51">
        <w:t xml:space="preserve">high margin of business revenue in future.  </w:t>
      </w:r>
    </w:p>
    <w:p w14:paraId="2F1BBAD0" w14:textId="77777777" w:rsidR="00531A73" w:rsidRDefault="006C5B78" w:rsidP="00335F28">
      <w:r>
        <w:lastRenderedPageBreak/>
        <w:t xml:space="preserve">Ratio analysis always supports in addressing the </w:t>
      </w:r>
      <w:r w:rsidR="00542B70">
        <w:t xml:space="preserve">problem areas involved in a business which bring in attention amongst management to make necessary changes </w:t>
      </w:r>
      <w:r w:rsidR="00B7494F">
        <w:t>i</w:t>
      </w:r>
      <w:r w:rsidR="00542B70">
        <w:t>n that area</w:t>
      </w:r>
      <w:sdt>
        <w:sdtPr>
          <w:id w:val="269978341"/>
          <w:citation/>
        </w:sdtPr>
        <w:sdtEndPr/>
        <w:sdtContent>
          <w:r w:rsidR="00BF5233">
            <w:fldChar w:fldCharType="begin"/>
          </w:r>
          <w:r w:rsidR="00BF5233">
            <w:instrText xml:space="preserve"> CITATION Kim17 \l 1033 </w:instrText>
          </w:r>
          <w:r w:rsidR="00BF5233">
            <w:fldChar w:fldCharType="separate"/>
          </w:r>
          <w:r w:rsidR="00BF5233">
            <w:rPr>
              <w:noProof/>
            </w:rPr>
            <w:t xml:space="preserve"> </w:t>
          </w:r>
          <w:r w:rsidR="00BF5233" w:rsidRPr="00BF5233">
            <w:rPr>
              <w:noProof/>
            </w:rPr>
            <w:t>(Kim &amp; Im, 2017)</w:t>
          </w:r>
          <w:r w:rsidR="00BF5233">
            <w:fldChar w:fldCharType="end"/>
          </w:r>
        </w:sdtContent>
      </w:sdt>
      <w:r w:rsidR="00542B70">
        <w:t xml:space="preserve">. </w:t>
      </w:r>
      <w:r w:rsidR="0060420C">
        <w:t>The main problem area in business is occurred due to lesser investment, higher</w:t>
      </w:r>
      <w:r w:rsidR="00B7494F">
        <w:t>-</w:t>
      </w:r>
      <w:r w:rsidR="0060420C">
        <w:t xml:space="preserve">margin of operating expenses and overflow of cash. </w:t>
      </w:r>
      <w:r w:rsidR="00B70A1B">
        <w:t xml:space="preserve">In </w:t>
      </w:r>
      <w:r w:rsidR="00B7494F">
        <w:t xml:space="preserve">the </w:t>
      </w:r>
      <w:r w:rsidR="00B70A1B">
        <w:t xml:space="preserve">Hotel and Tourism Industry, the most recognizable </w:t>
      </w:r>
      <w:r w:rsidR="00A80DFD">
        <w:t xml:space="preserve">issues are occurred due to </w:t>
      </w:r>
      <w:r w:rsidR="00B7494F">
        <w:t xml:space="preserve">the </w:t>
      </w:r>
      <w:r w:rsidR="00A80DFD">
        <w:t>overflow of cash and high margin operating expenses while serv</w:t>
      </w:r>
      <w:r w:rsidR="00B7494F">
        <w:t>ing</w:t>
      </w:r>
      <w:r w:rsidR="00A80DFD">
        <w:t xml:space="preserve"> the customers. </w:t>
      </w:r>
      <w:r w:rsidR="00446C7C">
        <w:t xml:space="preserve">The major cost in </w:t>
      </w:r>
      <w:r w:rsidR="00B7494F">
        <w:t xml:space="preserve">the </w:t>
      </w:r>
      <w:r w:rsidR="00446C7C">
        <w:t xml:space="preserve">hotel industry is being occurred due to advertisement, repairs, employee incentives, rents etc. </w:t>
      </w:r>
      <w:r w:rsidR="00411B0F">
        <w:t>In that context, the ratio analysis for Gatsby Grange</w:t>
      </w:r>
      <w:r w:rsidR="00446C7C">
        <w:t xml:space="preserve"> </w:t>
      </w:r>
      <w:r w:rsidR="00411B0F">
        <w:t>indicates the higher</w:t>
      </w:r>
      <w:r w:rsidR="00B7494F">
        <w:t>-</w:t>
      </w:r>
      <w:r w:rsidR="00411B0F">
        <w:t xml:space="preserve">margin operating expenses occurred within the firm while providing its services towards the </w:t>
      </w:r>
      <w:r w:rsidR="000D5AB0">
        <w:t xml:space="preserve">customers. </w:t>
      </w:r>
      <w:r w:rsidR="00C8173E">
        <w:t xml:space="preserve">That shows the benefits of using ratio analysis which would assist the management of Gatsby Grange to take necessary steps for managing the business expenses. </w:t>
      </w:r>
      <w:r w:rsidR="000D5AB0">
        <w:t xml:space="preserve"> </w:t>
      </w:r>
      <w:r w:rsidR="00411B0F">
        <w:t xml:space="preserve"> </w:t>
      </w:r>
      <w:r w:rsidR="00A80DFD">
        <w:t xml:space="preserve"> </w:t>
      </w:r>
      <w:r w:rsidR="00B70A1B">
        <w:t xml:space="preserve">  </w:t>
      </w:r>
      <w:r>
        <w:t xml:space="preserve"> </w:t>
      </w:r>
    </w:p>
    <w:p w14:paraId="55DA8B0A" w14:textId="77777777" w:rsidR="00335F28" w:rsidRDefault="00167AA2" w:rsidP="00335F28">
      <w:pPr>
        <w:rPr>
          <w:b/>
        </w:rPr>
      </w:pPr>
      <w:r w:rsidRPr="00167AA2">
        <w:rPr>
          <w:b/>
        </w:rPr>
        <w:t>Limitations</w:t>
      </w:r>
      <w:r w:rsidR="00643B51" w:rsidRPr="00167AA2">
        <w:rPr>
          <w:b/>
        </w:rPr>
        <w:t xml:space="preserve"> </w:t>
      </w:r>
      <w:r w:rsidR="002A2189" w:rsidRPr="00167AA2">
        <w:rPr>
          <w:b/>
        </w:rPr>
        <w:t xml:space="preserve">    </w:t>
      </w:r>
    </w:p>
    <w:p w14:paraId="3C14D16E" w14:textId="77777777" w:rsidR="001E4A83" w:rsidRPr="005B7523" w:rsidRDefault="005B7523" w:rsidP="00335F28">
      <w:r w:rsidRPr="005B7523">
        <w:t xml:space="preserve">Accounting </w:t>
      </w:r>
      <w:r>
        <w:t xml:space="preserve">ratios always ignores the qualitative aspects and measures the financial performance of the firms </w:t>
      </w:r>
      <w:r w:rsidR="00B7494F">
        <w:t>by</w:t>
      </w:r>
      <w:r>
        <w:t xml:space="preserve"> considering the monetary or quantitative aspects</w:t>
      </w:r>
      <w:sdt>
        <w:sdtPr>
          <w:id w:val="640610248"/>
          <w:citation/>
        </w:sdtPr>
        <w:sdtEndPr/>
        <w:sdtContent>
          <w:r w:rsidR="009126ED">
            <w:fldChar w:fldCharType="begin"/>
          </w:r>
          <w:r w:rsidR="009126ED">
            <w:instrText xml:space="preserve"> CITATION Vel17 \l 1033 </w:instrText>
          </w:r>
          <w:r w:rsidR="009126ED">
            <w:fldChar w:fldCharType="separate"/>
          </w:r>
          <w:r w:rsidR="009126ED">
            <w:rPr>
              <w:noProof/>
            </w:rPr>
            <w:t xml:space="preserve"> </w:t>
          </w:r>
          <w:r w:rsidR="009126ED" w:rsidRPr="009126ED">
            <w:rPr>
              <w:noProof/>
            </w:rPr>
            <w:t>(Velte &amp; Stawinoga, 2017)</w:t>
          </w:r>
          <w:r w:rsidR="009126ED">
            <w:fldChar w:fldCharType="end"/>
          </w:r>
        </w:sdtContent>
      </w:sdt>
      <w:r>
        <w:t xml:space="preserve">. In that context, ratio analysis does not indicate the reason for making a decision within the business. </w:t>
      </w:r>
      <w:r w:rsidR="00DC49CA">
        <w:t xml:space="preserve">In </w:t>
      </w:r>
      <w:r w:rsidR="00B7494F">
        <w:t xml:space="preserve">the </w:t>
      </w:r>
      <w:r w:rsidR="00DC49CA">
        <w:t>case of Hotel or Tourism Industry, the ratio analysis would not discuss the changes in service or operation in business because it deal</w:t>
      </w:r>
      <w:r w:rsidR="00B7494F">
        <w:t>s</w:t>
      </w:r>
      <w:r w:rsidR="00DC49CA">
        <w:t xml:space="preserve"> with changes </w:t>
      </w:r>
      <w:r w:rsidR="00B7494F">
        <w:t xml:space="preserve">that </w:t>
      </w:r>
      <w:r w:rsidR="00DC49CA">
        <w:t xml:space="preserve">occurred in financial information after introducing new operation or service. </w:t>
      </w:r>
      <w:r w:rsidR="00B0490B">
        <w:t xml:space="preserve">For example, Gatsby Grange invested more money towards fixed assets rather than investing </w:t>
      </w:r>
      <w:r w:rsidR="00B7494F">
        <w:t>i</w:t>
      </w:r>
      <w:r w:rsidR="00B0490B">
        <w:t xml:space="preserve">n liquid assets. </w:t>
      </w:r>
      <w:r w:rsidR="00E810B3">
        <w:t>The main focus of the business would be to enhance the services or infrastructure in its hotel services</w:t>
      </w:r>
      <w:r w:rsidR="00B7494F">
        <w:t>,</w:t>
      </w:r>
      <w:r w:rsidR="00E810B3">
        <w:t xml:space="preserve"> but the ratio analysis indicates its impact upon monetary performance. That shows the limitation of using ratio analysis which fails in justifying the reason </w:t>
      </w:r>
      <w:r w:rsidR="00B7494F">
        <w:t>for</w:t>
      </w:r>
      <w:r w:rsidR="00E810B3">
        <w:t xml:space="preserve"> changes in businesses. </w:t>
      </w:r>
      <w:r w:rsidR="00407690">
        <w:t>In addition, ratio analysis based upon historical information which</w:t>
      </w:r>
      <w:r w:rsidR="00A84979">
        <w:t xml:space="preserve"> does not include </w:t>
      </w:r>
      <w:r w:rsidR="00B7494F">
        <w:t xml:space="preserve">a </w:t>
      </w:r>
      <w:r w:rsidR="00A84979">
        <w:t xml:space="preserve">present financial situation in business after considering any major concept. </w:t>
      </w:r>
      <w:r w:rsidR="00EC5EF6">
        <w:t xml:space="preserve">In </w:t>
      </w:r>
      <w:r w:rsidR="00B7494F">
        <w:t xml:space="preserve">the </w:t>
      </w:r>
      <w:r w:rsidR="00EC5EF6">
        <w:t xml:space="preserve">case of Gatsby Grange, the ratio analysis indicates the monetary information upon increasing in margin over capital employed. It does not mention the reason for which Gatsby Grange invested its money over fixed assets to empower its services.   </w:t>
      </w:r>
      <w:r w:rsidR="00A84979">
        <w:t xml:space="preserve"> </w:t>
      </w:r>
      <w:r w:rsidR="00407690">
        <w:t xml:space="preserve">   </w:t>
      </w:r>
      <w:r w:rsidR="00E810B3">
        <w:t xml:space="preserve">     </w:t>
      </w:r>
      <w:r w:rsidR="00DC49CA">
        <w:t xml:space="preserve">   </w:t>
      </w:r>
      <w:r>
        <w:t xml:space="preserve">  </w:t>
      </w:r>
    </w:p>
    <w:p w14:paraId="05B337CA" w14:textId="77777777" w:rsidR="00335F28" w:rsidRDefault="00441237" w:rsidP="00335F28">
      <w:pPr>
        <w:pStyle w:val="Heading2"/>
      </w:pPr>
      <w:bookmarkStart w:id="8" w:name="_Toc44776665"/>
      <w:r>
        <w:t>Conclusion</w:t>
      </w:r>
      <w:bookmarkEnd w:id="8"/>
      <w:r>
        <w:t xml:space="preserve"> </w:t>
      </w:r>
    </w:p>
    <w:p w14:paraId="476FF728" w14:textId="77777777" w:rsidR="00A24F43" w:rsidRPr="00A24F43" w:rsidRDefault="00A24F43" w:rsidP="00A24F43">
      <w:r>
        <w:t xml:space="preserve">Analysis of financial statement using ratio analysis is an important tool for the internal and external stakeholders of the business. </w:t>
      </w:r>
      <w:r w:rsidR="0026789A">
        <w:t xml:space="preserve">That influence the decision of internal managers along with influencing the investors for making </w:t>
      </w:r>
      <w:r w:rsidR="00B7494F">
        <w:t xml:space="preserve">an </w:t>
      </w:r>
      <w:r w:rsidR="0026789A">
        <w:t xml:space="preserve">investment towards the business. </w:t>
      </w:r>
      <w:r w:rsidR="00AB6B9F">
        <w:t>Based</w:t>
      </w:r>
      <w:r w:rsidR="00B7494F">
        <w:t xml:space="preserve"> on</w:t>
      </w:r>
      <w:r w:rsidR="00AB6B9F">
        <w:t xml:space="preserve"> the financial statement analysis of Gatsby Grange, it is observed that the company make </w:t>
      </w:r>
      <w:r w:rsidR="00B7494F">
        <w:t xml:space="preserve">a </w:t>
      </w:r>
      <w:r w:rsidR="00AB6B9F">
        <w:t xml:space="preserve">huge investment over </w:t>
      </w:r>
      <w:r w:rsidR="00AB6B9F">
        <w:lastRenderedPageBreak/>
        <w:t xml:space="preserve">the business fixed assets in order to empower its operation and services. The current trend in liquidity ratio of the hotel chain refers that </w:t>
      </w:r>
      <w:r w:rsidR="007F6CA3">
        <w:t xml:space="preserve">the company invested its money towards marketable securities and inventories which provide decline in current and quick ratio to 2.005:1 and 1.13:1 in 2019. </w:t>
      </w:r>
      <w:r w:rsidR="00AE4680">
        <w:t xml:space="preserve">The profitability ratio reflects that high margin of operating expenses due to rent and advertising creates the problem for the business to manage its gross and net profit margin which is decreased to 86% and 685 in 2018. </w:t>
      </w:r>
      <w:r w:rsidR="00F054B0">
        <w:t xml:space="preserve">Whereas, the Gearing ratio indicates better leverage position of the business in terms of managing its finance through equity rather than long term debts.   </w:t>
      </w:r>
      <w:r w:rsidR="00AE4680">
        <w:t xml:space="preserve"> </w:t>
      </w:r>
      <w:r w:rsidR="007F6CA3">
        <w:t xml:space="preserve">   </w:t>
      </w:r>
      <w:r>
        <w:t xml:space="preserve">  </w:t>
      </w:r>
    </w:p>
    <w:p w14:paraId="1152A7D2" w14:textId="2E1C45AA" w:rsidR="003453F8" w:rsidRDefault="003453F8" w:rsidP="00AD4F68"/>
    <w:p w14:paraId="2AFCED8B" w14:textId="0DA965F3" w:rsidR="003453F8" w:rsidRDefault="003453F8" w:rsidP="003453F8">
      <w:pPr>
        <w:jc w:val="center"/>
      </w:pPr>
    </w:p>
    <w:p w14:paraId="4431C78F" w14:textId="36B8D0ED" w:rsidR="003453F8" w:rsidRDefault="003453F8" w:rsidP="003453F8">
      <w:pPr>
        <w:jc w:val="center"/>
      </w:pPr>
    </w:p>
    <w:p w14:paraId="44C19F87" w14:textId="6B33F008" w:rsidR="003453F8" w:rsidRDefault="003453F8" w:rsidP="003453F8">
      <w:pPr>
        <w:jc w:val="center"/>
      </w:pPr>
    </w:p>
    <w:p w14:paraId="5311CB12" w14:textId="428C5E3D" w:rsidR="003453F8" w:rsidRDefault="003453F8" w:rsidP="003453F8">
      <w:pPr>
        <w:jc w:val="center"/>
      </w:pPr>
    </w:p>
    <w:p w14:paraId="6CA840E3" w14:textId="77777777" w:rsidR="003453F8" w:rsidRDefault="003453F8" w:rsidP="003453F8"/>
    <w:p w14:paraId="0DCE2C05" w14:textId="1E082367" w:rsidR="003453F8" w:rsidRDefault="003453F8" w:rsidP="003453F8">
      <w:pPr>
        <w:jc w:val="center"/>
      </w:pPr>
    </w:p>
    <w:p w14:paraId="397B707E" w14:textId="3942E6B5" w:rsidR="003453F8" w:rsidRDefault="003453F8" w:rsidP="003453F8">
      <w:pPr>
        <w:jc w:val="center"/>
      </w:pPr>
    </w:p>
    <w:p w14:paraId="4F975FD9" w14:textId="77777777" w:rsidR="003453F8" w:rsidRDefault="003453F8">
      <w:pPr>
        <w:spacing w:line="259" w:lineRule="auto"/>
        <w:jc w:val="left"/>
      </w:pPr>
      <w:r>
        <w:br w:type="page"/>
      </w:r>
    </w:p>
    <w:bookmarkStart w:id="9" w:name="_Toc44776668" w:displacedByCustomXml="next"/>
    <w:sdt>
      <w:sdtPr>
        <w:rPr>
          <w:rFonts w:ascii="Times New Roman" w:eastAsiaTheme="minorHAnsi" w:hAnsi="Times New Roman" w:cstheme="minorBidi"/>
          <w:color w:val="auto"/>
          <w:sz w:val="24"/>
          <w:szCs w:val="22"/>
        </w:rPr>
        <w:id w:val="291947468"/>
        <w:docPartObj>
          <w:docPartGallery w:val="Bibliographies"/>
          <w:docPartUnique/>
        </w:docPartObj>
      </w:sdtPr>
      <w:sdtEndPr/>
      <w:sdtContent>
        <w:p w14:paraId="7D44EC02" w14:textId="77777777" w:rsidR="003453F8" w:rsidRDefault="003453F8">
          <w:pPr>
            <w:pStyle w:val="Heading1"/>
          </w:pPr>
          <w:r>
            <w:t>References</w:t>
          </w:r>
          <w:bookmarkEnd w:id="9"/>
        </w:p>
        <w:sdt>
          <w:sdtPr>
            <w:id w:val="-573587230"/>
            <w:bibliography/>
          </w:sdtPr>
          <w:sdtEndPr/>
          <w:sdtContent>
            <w:p w14:paraId="581F034F" w14:textId="77777777" w:rsidR="003453F8" w:rsidRDefault="003453F8" w:rsidP="003453F8">
              <w:pPr>
                <w:pStyle w:val="Bibliography"/>
                <w:rPr>
                  <w:noProof/>
                  <w:szCs w:val="24"/>
                </w:rPr>
              </w:pPr>
              <w:r>
                <w:fldChar w:fldCharType="begin"/>
              </w:r>
              <w:r>
                <w:instrText xml:space="preserve"> BIBLIOGRAPHY </w:instrText>
              </w:r>
              <w:r>
                <w:fldChar w:fldCharType="separate"/>
              </w:r>
              <w:r>
                <w:rPr>
                  <w:noProof/>
                </w:rPr>
                <w:t xml:space="preserve">De Souza, J., Rissatti, J., Rover, S. &amp; Borba, J., 2019. The linguistic complexities of narrative accounting disclosure on financial statements: An analysis based on readability characteristics. </w:t>
              </w:r>
              <w:r>
                <w:rPr>
                  <w:i/>
                  <w:iCs/>
                  <w:noProof/>
                </w:rPr>
                <w:t xml:space="preserve">Research in International Business and Finance, </w:t>
              </w:r>
              <w:r>
                <w:rPr>
                  <w:noProof/>
                </w:rPr>
                <w:t>48(7), pp. 59-74,DOI-10.1016/j.ribaf.2018.12.008.</w:t>
              </w:r>
            </w:p>
            <w:p w14:paraId="38CECDD5" w14:textId="77777777" w:rsidR="003453F8" w:rsidRDefault="003453F8" w:rsidP="003453F8">
              <w:pPr>
                <w:pStyle w:val="Bibliography"/>
                <w:rPr>
                  <w:noProof/>
                </w:rPr>
              </w:pPr>
              <w:r>
                <w:rPr>
                  <w:noProof/>
                </w:rPr>
                <w:t xml:space="preserve">Groth, C. &amp; Madsen, J., 2016. Medium-term fluctuations and the “Great Ratios” of economic growth. </w:t>
              </w:r>
              <w:r>
                <w:rPr>
                  <w:i/>
                  <w:iCs/>
                  <w:noProof/>
                </w:rPr>
                <w:t xml:space="preserve">Journal of Macroeconomics, </w:t>
              </w:r>
              <w:r>
                <w:rPr>
                  <w:noProof/>
                </w:rPr>
                <w:t>49(4), pp. 149-176,DOI-10.1016/j.jmacro.2016.07.001.</w:t>
              </w:r>
            </w:p>
            <w:p w14:paraId="70BB3FF0" w14:textId="77777777" w:rsidR="003453F8" w:rsidRDefault="003453F8" w:rsidP="003453F8">
              <w:pPr>
                <w:pStyle w:val="Bibliography"/>
                <w:rPr>
                  <w:noProof/>
                </w:rPr>
              </w:pPr>
              <w:r>
                <w:rPr>
                  <w:noProof/>
                </w:rPr>
                <w:t xml:space="preserve">Guay, W., Samuels, D. &amp; Taylor, D., 2016. Guiding through the fog: Financial statement complexity and voluntary disclosure. </w:t>
              </w:r>
              <w:r>
                <w:rPr>
                  <w:i/>
                  <w:iCs/>
                  <w:noProof/>
                </w:rPr>
                <w:t xml:space="preserve">Journal of Accounting and Economics, </w:t>
              </w:r>
              <w:r>
                <w:rPr>
                  <w:noProof/>
                </w:rPr>
                <w:t>62(2-3), pp. 234-269,DOI-10.1016/j.jacceco.2016.09.001.</w:t>
              </w:r>
            </w:p>
            <w:p w14:paraId="5A90D90A" w14:textId="77777777" w:rsidR="003453F8" w:rsidRDefault="003453F8" w:rsidP="003453F8">
              <w:pPr>
                <w:pStyle w:val="Bibliography"/>
                <w:rPr>
                  <w:noProof/>
                </w:rPr>
              </w:pPr>
              <w:r>
                <w:rPr>
                  <w:noProof/>
                </w:rPr>
                <w:t xml:space="preserve">Jiang, L., Li, Y. &amp; Cai, L., 2018. Evaluation of enterprise economic performance based on principal component analysis. </w:t>
              </w:r>
              <w:r>
                <w:rPr>
                  <w:i/>
                  <w:iCs/>
                  <w:noProof/>
                </w:rPr>
                <w:t xml:space="preserve">Journal of Interdisciplinary Mathematics, </w:t>
              </w:r>
              <w:r>
                <w:rPr>
                  <w:noProof/>
                </w:rPr>
                <w:t>21(5), pp. 1309-1314,DOI-10.1080/09720502.2018.1498004.</w:t>
              </w:r>
            </w:p>
            <w:p w14:paraId="01E34268" w14:textId="77777777" w:rsidR="003453F8" w:rsidRDefault="003453F8" w:rsidP="003453F8">
              <w:pPr>
                <w:pStyle w:val="Bibliography"/>
                <w:rPr>
                  <w:noProof/>
                </w:rPr>
              </w:pPr>
              <w:r>
                <w:rPr>
                  <w:noProof/>
                </w:rPr>
                <w:t xml:space="preserve">Kim, J. &amp; Im, C., 2017. Study on corporate social responsibility (CSR): Focus on tax avoidance and financial ratio analysis. </w:t>
              </w:r>
              <w:r>
                <w:rPr>
                  <w:i/>
                  <w:iCs/>
                  <w:noProof/>
                </w:rPr>
                <w:t xml:space="preserve">Sustainability, </w:t>
              </w:r>
              <w:r>
                <w:rPr>
                  <w:noProof/>
                </w:rPr>
                <w:t>9(10), pp. 1710,DOI-10.3390/su9101710.</w:t>
              </w:r>
            </w:p>
            <w:p w14:paraId="0677473B" w14:textId="77777777" w:rsidR="003453F8" w:rsidRDefault="003453F8" w:rsidP="003453F8">
              <w:pPr>
                <w:pStyle w:val="Bibliography"/>
                <w:rPr>
                  <w:noProof/>
                </w:rPr>
              </w:pPr>
              <w:r>
                <w:rPr>
                  <w:noProof/>
                </w:rPr>
                <w:t xml:space="preserve">Kristanti, F. &amp; Herwany, A., 2017. Corporate governance, financial ratios, political risk and financial distress: A survival analysis. </w:t>
              </w:r>
              <w:r>
                <w:rPr>
                  <w:i/>
                  <w:iCs/>
                  <w:noProof/>
                </w:rPr>
                <w:t xml:space="preserve">Accounting and Finance Review , </w:t>
              </w:r>
              <w:r>
                <w:rPr>
                  <w:noProof/>
                </w:rPr>
                <w:t>2(2), pp. 14-51,DOI-10.1166/asl.2016.8138.</w:t>
              </w:r>
            </w:p>
            <w:p w14:paraId="28F465CC" w14:textId="77777777" w:rsidR="003453F8" w:rsidRDefault="003453F8" w:rsidP="003453F8">
              <w:pPr>
                <w:pStyle w:val="Bibliography"/>
                <w:rPr>
                  <w:noProof/>
                </w:rPr>
              </w:pPr>
              <w:r>
                <w:rPr>
                  <w:noProof/>
                </w:rPr>
                <w:t xml:space="preserve">Mukhametzyanov, R. &amp; Nugaev, F., 2016. Financial statements as an information base for the analysis and management decisions. </w:t>
              </w:r>
              <w:r>
                <w:rPr>
                  <w:i/>
                  <w:iCs/>
                  <w:noProof/>
                </w:rPr>
                <w:t xml:space="preserve">Journal of Economics and Economic Education Research, </w:t>
              </w:r>
              <w:r>
                <w:rPr>
                  <w:noProof/>
                </w:rPr>
                <w:t>17(4), pp. 47,DOI-10.1080/09603100902902212.</w:t>
              </w:r>
            </w:p>
            <w:p w14:paraId="42F218E5" w14:textId="77777777" w:rsidR="003453F8" w:rsidRDefault="003453F8" w:rsidP="003453F8">
              <w:pPr>
                <w:pStyle w:val="Bibliography"/>
                <w:rPr>
                  <w:noProof/>
                </w:rPr>
              </w:pPr>
              <w:r>
                <w:rPr>
                  <w:noProof/>
                </w:rPr>
                <w:t xml:space="preserve">Nalurita, F., 2017. The effect of profitability ratio, solvability ratio, market ratio on stock return. </w:t>
              </w:r>
              <w:r>
                <w:rPr>
                  <w:i/>
                  <w:iCs/>
                  <w:noProof/>
                </w:rPr>
                <w:t xml:space="preserve">Business and Entrepreneurial Review, </w:t>
              </w:r>
              <w:r>
                <w:rPr>
                  <w:noProof/>
                </w:rPr>
                <w:t>15(1), pp. 73-94,DOI-10.25105/ber.v15i1.2080.</w:t>
              </w:r>
            </w:p>
            <w:p w14:paraId="5CB1D2F5" w14:textId="77777777" w:rsidR="003453F8" w:rsidRDefault="003453F8" w:rsidP="003453F8">
              <w:pPr>
                <w:pStyle w:val="Bibliography"/>
                <w:rPr>
                  <w:noProof/>
                </w:rPr>
              </w:pPr>
              <w:r>
                <w:rPr>
                  <w:noProof/>
                </w:rPr>
                <w:t xml:space="preserve">Rashid, C., 2018. Efficiency of Financial Ratios Analysis for Evaluating Companies’ Liquidity. </w:t>
              </w:r>
              <w:r>
                <w:rPr>
                  <w:i/>
                  <w:iCs/>
                  <w:noProof/>
                </w:rPr>
                <w:t xml:space="preserve">International Journal of Social Sciences &amp; Educational Studies, </w:t>
              </w:r>
              <w:r>
                <w:rPr>
                  <w:noProof/>
                </w:rPr>
                <w:t>4(4), pp. 110,DOI-10.23918/ijsses.v4i4p110.</w:t>
              </w:r>
            </w:p>
            <w:p w14:paraId="2CF6E75C" w14:textId="77777777" w:rsidR="003453F8" w:rsidRDefault="003453F8" w:rsidP="003453F8">
              <w:pPr>
                <w:pStyle w:val="Bibliography"/>
                <w:rPr>
                  <w:noProof/>
                </w:rPr>
              </w:pPr>
              <w:r>
                <w:rPr>
                  <w:noProof/>
                </w:rPr>
                <w:lastRenderedPageBreak/>
                <w:t xml:space="preserve">Ryu, J., Kim, K., Oh, M. &amp; Shin, J., 2019. Why environmental and social benefits should be included in cost-benefit analysis of infrastructure`. </w:t>
              </w:r>
              <w:r>
                <w:rPr>
                  <w:i/>
                  <w:iCs/>
                  <w:noProof/>
                </w:rPr>
                <w:t xml:space="preserve">Environmental Science and Pollution Research, </w:t>
              </w:r>
              <w:r>
                <w:rPr>
                  <w:noProof/>
                </w:rPr>
                <w:t>26(21), pp. 21693-21703,DOI-10.1007/s11356-019-05475-6.</w:t>
              </w:r>
            </w:p>
            <w:p w14:paraId="17166C8C" w14:textId="77777777" w:rsidR="003453F8" w:rsidRDefault="003453F8" w:rsidP="003453F8">
              <w:pPr>
                <w:pStyle w:val="Bibliography"/>
                <w:rPr>
                  <w:noProof/>
                </w:rPr>
              </w:pPr>
              <w:r>
                <w:rPr>
                  <w:noProof/>
                </w:rPr>
                <w:t xml:space="preserve">Siekelova, A. et al., 2017. Receivables management: The importance of financial indicators in assessing the creditworthiness. </w:t>
              </w:r>
              <w:r>
                <w:rPr>
                  <w:i/>
                  <w:iCs/>
                  <w:noProof/>
                </w:rPr>
                <w:t xml:space="preserve">Journal of Management Studies, </w:t>
              </w:r>
              <w:r>
                <w:rPr>
                  <w:noProof/>
                </w:rPr>
                <w:t>15(2), pp. 128-164,DOI-10.17512/pjms.2017.15.2.20.</w:t>
              </w:r>
            </w:p>
            <w:p w14:paraId="524EEC35" w14:textId="77777777" w:rsidR="003453F8" w:rsidRDefault="003453F8" w:rsidP="003453F8">
              <w:pPr>
                <w:pStyle w:val="Bibliography"/>
                <w:rPr>
                  <w:noProof/>
                </w:rPr>
              </w:pPr>
              <w:r>
                <w:rPr>
                  <w:noProof/>
                </w:rPr>
                <w:t xml:space="preserve">Velte, P. &amp; Stawinoga, M., 2017. Integrated reporting: The current state of empirical research, limitations and future research implications. </w:t>
              </w:r>
              <w:r>
                <w:rPr>
                  <w:i/>
                  <w:iCs/>
                  <w:noProof/>
                </w:rPr>
                <w:t xml:space="preserve">Journal of Management Control, </w:t>
              </w:r>
              <w:r>
                <w:rPr>
                  <w:noProof/>
                </w:rPr>
                <w:t>28(3), pp. 275-320,DOI-10.1007/s00187-016-0235-4.</w:t>
              </w:r>
            </w:p>
            <w:p w14:paraId="38C893AF" w14:textId="77777777" w:rsidR="003453F8" w:rsidRDefault="003453F8" w:rsidP="003453F8">
              <w:r>
                <w:rPr>
                  <w:b/>
                  <w:bCs/>
                  <w:noProof/>
                </w:rPr>
                <w:fldChar w:fldCharType="end"/>
              </w:r>
            </w:p>
          </w:sdtContent>
        </w:sdt>
      </w:sdtContent>
    </w:sdt>
    <w:p w14:paraId="01D65FAB" w14:textId="77777777" w:rsidR="003453F8" w:rsidRPr="003453F8" w:rsidRDefault="003453F8" w:rsidP="003453F8">
      <w:pPr>
        <w:jc w:val="center"/>
      </w:pPr>
    </w:p>
    <w:sectPr w:rsidR="003453F8" w:rsidRPr="003453F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A6C57F" w14:textId="77777777" w:rsidR="005C5D57" w:rsidRDefault="005C5D57" w:rsidP="00B66801">
      <w:pPr>
        <w:spacing w:after="0" w:line="240" w:lineRule="auto"/>
      </w:pPr>
      <w:r>
        <w:separator/>
      </w:r>
    </w:p>
  </w:endnote>
  <w:endnote w:type="continuationSeparator" w:id="0">
    <w:p w14:paraId="555AC94F" w14:textId="77777777" w:rsidR="005C5D57" w:rsidRDefault="005C5D57" w:rsidP="00B66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42510"/>
      <w:docPartObj>
        <w:docPartGallery w:val="Page Numbers (Bottom of Page)"/>
        <w:docPartUnique/>
      </w:docPartObj>
    </w:sdtPr>
    <w:sdtEndPr>
      <w:rPr>
        <w:noProof/>
      </w:rPr>
    </w:sdtEndPr>
    <w:sdtContent>
      <w:p w14:paraId="46DF2AED" w14:textId="77777777" w:rsidR="00B66801" w:rsidRDefault="00B66801">
        <w:pPr>
          <w:pStyle w:val="Footer"/>
          <w:jc w:val="right"/>
        </w:pPr>
        <w:r>
          <w:fldChar w:fldCharType="begin"/>
        </w:r>
        <w:r>
          <w:instrText xml:space="preserve"> PAGE   \* MERGEFORMAT </w:instrText>
        </w:r>
        <w:r>
          <w:fldChar w:fldCharType="separate"/>
        </w:r>
        <w:r w:rsidR="00AB35FC">
          <w:rPr>
            <w:noProof/>
          </w:rPr>
          <w:t>13</w:t>
        </w:r>
        <w:r>
          <w:rPr>
            <w:noProof/>
          </w:rPr>
          <w:fldChar w:fldCharType="end"/>
        </w:r>
      </w:p>
    </w:sdtContent>
  </w:sdt>
  <w:p w14:paraId="7A7EB0CB" w14:textId="77777777" w:rsidR="00B66801" w:rsidRDefault="00B66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44F1A5" w14:textId="77777777" w:rsidR="005C5D57" w:rsidRDefault="005C5D57" w:rsidP="00B66801">
      <w:pPr>
        <w:spacing w:after="0" w:line="240" w:lineRule="auto"/>
      </w:pPr>
      <w:r>
        <w:separator/>
      </w:r>
    </w:p>
  </w:footnote>
  <w:footnote w:type="continuationSeparator" w:id="0">
    <w:p w14:paraId="10983989" w14:textId="77777777" w:rsidR="005C5D57" w:rsidRDefault="005C5D57" w:rsidP="00B668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jA2NDcxNDA1NLKwsDRQ0lEKTi0uzszPAykwrAUACzXQHSwAAAA="/>
  </w:docVars>
  <w:rsids>
    <w:rsidRoot w:val="004214BC"/>
    <w:rsid w:val="00072605"/>
    <w:rsid w:val="00081339"/>
    <w:rsid w:val="000A1D07"/>
    <w:rsid w:val="000D5AB0"/>
    <w:rsid w:val="000E57ED"/>
    <w:rsid w:val="00120136"/>
    <w:rsid w:val="0016230F"/>
    <w:rsid w:val="00166E5D"/>
    <w:rsid w:val="00167AA2"/>
    <w:rsid w:val="00180DF1"/>
    <w:rsid w:val="00187AFF"/>
    <w:rsid w:val="001B3EF8"/>
    <w:rsid w:val="001E4A83"/>
    <w:rsid w:val="00227F73"/>
    <w:rsid w:val="00254C72"/>
    <w:rsid w:val="0026789A"/>
    <w:rsid w:val="00275455"/>
    <w:rsid w:val="00276159"/>
    <w:rsid w:val="00280F3D"/>
    <w:rsid w:val="002919A2"/>
    <w:rsid w:val="00293BE3"/>
    <w:rsid w:val="002A2189"/>
    <w:rsid w:val="00332BEF"/>
    <w:rsid w:val="00335F28"/>
    <w:rsid w:val="003453F8"/>
    <w:rsid w:val="004074BE"/>
    <w:rsid w:val="00407690"/>
    <w:rsid w:val="00407FB8"/>
    <w:rsid w:val="00411B0F"/>
    <w:rsid w:val="00412D18"/>
    <w:rsid w:val="004214BC"/>
    <w:rsid w:val="00421999"/>
    <w:rsid w:val="0043271E"/>
    <w:rsid w:val="00441237"/>
    <w:rsid w:val="00446C7C"/>
    <w:rsid w:val="00471AE2"/>
    <w:rsid w:val="00472022"/>
    <w:rsid w:val="005167DA"/>
    <w:rsid w:val="00531A73"/>
    <w:rsid w:val="00542B70"/>
    <w:rsid w:val="00543A65"/>
    <w:rsid w:val="00567694"/>
    <w:rsid w:val="00573018"/>
    <w:rsid w:val="005B7523"/>
    <w:rsid w:val="005C5D57"/>
    <w:rsid w:val="0060420C"/>
    <w:rsid w:val="0063179D"/>
    <w:rsid w:val="00643B51"/>
    <w:rsid w:val="00650B61"/>
    <w:rsid w:val="00663914"/>
    <w:rsid w:val="006716B3"/>
    <w:rsid w:val="00674334"/>
    <w:rsid w:val="00693558"/>
    <w:rsid w:val="00697196"/>
    <w:rsid w:val="006B7EE9"/>
    <w:rsid w:val="006C5B78"/>
    <w:rsid w:val="006D121D"/>
    <w:rsid w:val="007117A0"/>
    <w:rsid w:val="0071792A"/>
    <w:rsid w:val="00747E9B"/>
    <w:rsid w:val="00757F09"/>
    <w:rsid w:val="00771431"/>
    <w:rsid w:val="007762F8"/>
    <w:rsid w:val="007E6A65"/>
    <w:rsid w:val="007F1509"/>
    <w:rsid w:val="007F3DFC"/>
    <w:rsid w:val="007F6CA3"/>
    <w:rsid w:val="0080087D"/>
    <w:rsid w:val="00831BD3"/>
    <w:rsid w:val="00850794"/>
    <w:rsid w:val="00853E86"/>
    <w:rsid w:val="008A40B2"/>
    <w:rsid w:val="008A6CC0"/>
    <w:rsid w:val="008D2F6E"/>
    <w:rsid w:val="008D3F2A"/>
    <w:rsid w:val="00905E45"/>
    <w:rsid w:val="009126ED"/>
    <w:rsid w:val="009617BE"/>
    <w:rsid w:val="0097176C"/>
    <w:rsid w:val="009B4F56"/>
    <w:rsid w:val="009C7E97"/>
    <w:rsid w:val="009E4FC2"/>
    <w:rsid w:val="00A24F43"/>
    <w:rsid w:val="00A3600B"/>
    <w:rsid w:val="00A5381B"/>
    <w:rsid w:val="00A80DFD"/>
    <w:rsid w:val="00A82312"/>
    <w:rsid w:val="00A84979"/>
    <w:rsid w:val="00AA2F34"/>
    <w:rsid w:val="00AB35FC"/>
    <w:rsid w:val="00AB6B9F"/>
    <w:rsid w:val="00AD4F68"/>
    <w:rsid w:val="00AE4680"/>
    <w:rsid w:val="00B0490B"/>
    <w:rsid w:val="00B22967"/>
    <w:rsid w:val="00B32A4D"/>
    <w:rsid w:val="00B3536B"/>
    <w:rsid w:val="00B52937"/>
    <w:rsid w:val="00B55673"/>
    <w:rsid w:val="00B66801"/>
    <w:rsid w:val="00B70A1B"/>
    <w:rsid w:val="00B7494F"/>
    <w:rsid w:val="00BA6347"/>
    <w:rsid w:val="00BB2EAA"/>
    <w:rsid w:val="00BE2777"/>
    <w:rsid w:val="00BF3F15"/>
    <w:rsid w:val="00BF5233"/>
    <w:rsid w:val="00C8173E"/>
    <w:rsid w:val="00CC3F70"/>
    <w:rsid w:val="00CF1763"/>
    <w:rsid w:val="00D020F7"/>
    <w:rsid w:val="00D20EF3"/>
    <w:rsid w:val="00D56FA5"/>
    <w:rsid w:val="00DA326E"/>
    <w:rsid w:val="00DC36DB"/>
    <w:rsid w:val="00DC49CA"/>
    <w:rsid w:val="00DE52D9"/>
    <w:rsid w:val="00E121FF"/>
    <w:rsid w:val="00E2350B"/>
    <w:rsid w:val="00E344C7"/>
    <w:rsid w:val="00E36115"/>
    <w:rsid w:val="00E55D72"/>
    <w:rsid w:val="00E61B5B"/>
    <w:rsid w:val="00E65C98"/>
    <w:rsid w:val="00E72C23"/>
    <w:rsid w:val="00E810B3"/>
    <w:rsid w:val="00E93DA7"/>
    <w:rsid w:val="00EB3558"/>
    <w:rsid w:val="00EC5EF6"/>
    <w:rsid w:val="00F054B0"/>
    <w:rsid w:val="00F06502"/>
    <w:rsid w:val="00F17DCB"/>
    <w:rsid w:val="00F25DF0"/>
    <w:rsid w:val="00F90481"/>
    <w:rsid w:val="00FD7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225B3"/>
  <w15:chartTrackingRefBased/>
  <w15:docId w15:val="{747F125B-7A30-421D-9A09-D9FC0E6DD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F7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538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381B"/>
    <w:pPr>
      <w:keepNext/>
      <w:keepLines/>
      <w:spacing w:before="40" w:after="0"/>
      <w:outlineLvl w:val="1"/>
    </w:pPr>
    <w:rPr>
      <w:rFonts w:asciiTheme="majorHAnsi" w:eastAsiaTheme="majorEastAsia" w:hAnsiTheme="majorHAnsi"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A5381B"/>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5381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381B"/>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A5381B"/>
    <w:rPr>
      <w:rFonts w:asciiTheme="majorHAnsi" w:eastAsiaTheme="majorEastAsia" w:hAnsiTheme="majorHAnsi" w:cstheme="majorBidi"/>
      <w:color w:val="2E74B5" w:themeColor="accent1" w:themeShade="BF"/>
      <w:sz w:val="28"/>
      <w:szCs w:val="26"/>
    </w:rPr>
  </w:style>
  <w:style w:type="character" w:customStyle="1" w:styleId="Heading1Char">
    <w:name w:val="Heading 1 Char"/>
    <w:basedOn w:val="DefaultParagraphFont"/>
    <w:link w:val="Heading1"/>
    <w:uiPriority w:val="9"/>
    <w:rsid w:val="00A5381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A5381B"/>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F054B0"/>
    <w:rPr>
      <w:sz w:val="16"/>
      <w:szCs w:val="16"/>
    </w:rPr>
  </w:style>
  <w:style w:type="paragraph" w:styleId="CommentText">
    <w:name w:val="annotation text"/>
    <w:basedOn w:val="Normal"/>
    <w:link w:val="CommentTextChar"/>
    <w:uiPriority w:val="99"/>
    <w:semiHidden/>
    <w:unhideWhenUsed/>
    <w:rsid w:val="00F054B0"/>
    <w:pPr>
      <w:spacing w:line="240" w:lineRule="auto"/>
    </w:pPr>
    <w:rPr>
      <w:sz w:val="20"/>
      <w:szCs w:val="20"/>
    </w:rPr>
  </w:style>
  <w:style w:type="character" w:customStyle="1" w:styleId="CommentTextChar">
    <w:name w:val="Comment Text Char"/>
    <w:basedOn w:val="DefaultParagraphFont"/>
    <w:link w:val="CommentText"/>
    <w:uiPriority w:val="99"/>
    <w:semiHidden/>
    <w:rsid w:val="00F054B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F054B0"/>
    <w:rPr>
      <w:b/>
      <w:bCs/>
    </w:rPr>
  </w:style>
  <w:style w:type="character" w:customStyle="1" w:styleId="CommentSubjectChar">
    <w:name w:val="Comment Subject Char"/>
    <w:basedOn w:val="CommentTextChar"/>
    <w:link w:val="CommentSubject"/>
    <w:uiPriority w:val="99"/>
    <w:semiHidden/>
    <w:rsid w:val="00F054B0"/>
    <w:rPr>
      <w:rFonts w:ascii="Times New Roman" w:hAnsi="Times New Roman"/>
      <w:b/>
      <w:bCs/>
      <w:sz w:val="20"/>
      <w:szCs w:val="20"/>
    </w:rPr>
  </w:style>
  <w:style w:type="paragraph" w:styleId="BalloonText">
    <w:name w:val="Balloon Text"/>
    <w:basedOn w:val="Normal"/>
    <w:link w:val="BalloonTextChar"/>
    <w:uiPriority w:val="99"/>
    <w:semiHidden/>
    <w:unhideWhenUsed/>
    <w:rsid w:val="00F054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4B0"/>
    <w:rPr>
      <w:rFonts w:ascii="Segoe UI" w:hAnsi="Segoe UI" w:cs="Segoe UI"/>
      <w:sz w:val="18"/>
      <w:szCs w:val="18"/>
    </w:rPr>
  </w:style>
  <w:style w:type="paragraph" w:styleId="Header">
    <w:name w:val="header"/>
    <w:basedOn w:val="Normal"/>
    <w:link w:val="HeaderChar"/>
    <w:uiPriority w:val="99"/>
    <w:unhideWhenUsed/>
    <w:rsid w:val="00B668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6801"/>
    <w:rPr>
      <w:rFonts w:ascii="Times New Roman" w:hAnsi="Times New Roman"/>
      <w:sz w:val="24"/>
    </w:rPr>
  </w:style>
  <w:style w:type="paragraph" w:styleId="Footer">
    <w:name w:val="footer"/>
    <w:basedOn w:val="Normal"/>
    <w:link w:val="FooterChar"/>
    <w:uiPriority w:val="99"/>
    <w:unhideWhenUsed/>
    <w:rsid w:val="00B668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6801"/>
    <w:rPr>
      <w:rFonts w:ascii="Times New Roman" w:hAnsi="Times New Roman"/>
      <w:sz w:val="24"/>
    </w:rPr>
  </w:style>
  <w:style w:type="paragraph" w:styleId="Bibliography">
    <w:name w:val="Bibliography"/>
    <w:basedOn w:val="Normal"/>
    <w:next w:val="Normal"/>
    <w:uiPriority w:val="37"/>
    <w:unhideWhenUsed/>
    <w:rsid w:val="003453F8"/>
  </w:style>
  <w:style w:type="paragraph" w:styleId="TOCHeading">
    <w:name w:val="TOC Heading"/>
    <w:basedOn w:val="Heading1"/>
    <w:next w:val="Normal"/>
    <w:uiPriority w:val="39"/>
    <w:unhideWhenUsed/>
    <w:qFormat/>
    <w:rsid w:val="006716B3"/>
    <w:pPr>
      <w:spacing w:line="259" w:lineRule="auto"/>
      <w:jc w:val="left"/>
      <w:outlineLvl w:val="9"/>
    </w:pPr>
  </w:style>
  <w:style w:type="paragraph" w:styleId="TOC1">
    <w:name w:val="toc 1"/>
    <w:basedOn w:val="Normal"/>
    <w:next w:val="Normal"/>
    <w:autoRedefine/>
    <w:uiPriority w:val="39"/>
    <w:unhideWhenUsed/>
    <w:rsid w:val="006716B3"/>
    <w:pPr>
      <w:spacing w:after="100"/>
    </w:pPr>
  </w:style>
  <w:style w:type="paragraph" w:styleId="TOC2">
    <w:name w:val="toc 2"/>
    <w:basedOn w:val="Normal"/>
    <w:next w:val="Normal"/>
    <w:autoRedefine/>
    <w:uiPriority w:val="39"/>
    <w:unhideWhenUsed/>
    <w:rsid w:val="006716B3"/>
    <w:pPr>
      <w:spacing w:after="100"/>
      <w:ind w:left="240"/>
    </w:pPr>
  </w:style>
  <w:style w:type="paragraph" w:styleId="TOC3">
    <w:name w:val="toc 3"/>
    <w:basedOn w:val="Normal"/>
    <w:next w:val="Normal"/>
    <w:autoRedefine/>
    <w:uiPriority w:val="39"/>
    <w:unhideWhenUsed/>
    <w:rsid w:val="006716B3"/>
    <w:pPr>
      <w:spacing w:after="100"/>
      <w:ind w:left="480"/>
    </w:pPr>
  </w:style>
  <w:style w:type="character" w:styleId="Hyperlink">
    <w:name w:val="Hyperlink"/>
    <w:basedOn w:val="DefaultParagraphFont"/>
    <w:uiPriority w:val="99"/>
    <w:unhideWhenUsed/>
    <w:rsid w:val="006716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420980">
      <w:bodyDiv w:val="1"/>
      <w:marLeft w:val="0"/>
      <w:marRight w:val="0"/>
      <w:marTop w:val="0"/>
      <w:marBottom w:val="0"/>
      <w:divBdr>
        <w:top w:val="none" w:sz="0" w:space="0" w:color="auto"/>
        <w:left w:val="none" w:sz="0" w:space="0" w:color="auto"/>
        <w:bottom w:val="none" w:sz="0" w:space="0" w:color="auto"/>
        <w:right w:val="none" w:sz="0" w:space="0" w:color="auto"/>
      </w:divBdr>
    </w:div>
    <w:div w:id="157699076">
      <w:bodyDiv w:val="1"/>
      <w:marLeft w:val="0"/>
      <w:marRight w:val="0"/>
      <w:marTop w:val="0"/>
      <w:marBottom w:val="0"/>
      <w:divBdr>
        <w:top w:val="none" w:sz="0" w:space="0" w:color="auto"/>
        <w:left w:val="none" w:sz="0" w:space="0" w:color="auto"/>
        <w:bottom w:val="none" w:sz="0" w:space="0" w:color="auto"/>
        <w:right w:val="none" w:sz="0" w:space="0" w:color="auto"/>
      </w:divBdr>
    </w:div>
    <w:div w:id="232859654">
      <w:bodyDiv w:val="1"/>
      <w:marLeft w:val="0"/>
      <w:marRight w:val="0"/>
      <w:marTop w:val="0"/>
      <w:marBottom w:val="0"/>
      <w:divBdr>
        <w:top w:val="none" w:sz="0" w:space="0" w:color="auto"/>
        <w:left w:val="none" w:sz="0" w:space="0" w:color="auto"/>
        <w:bottom w:val="none" w:sz="0" w:space="0" w:color="auto"/>
        <w:right w:val="none" w:sz="0" w:space="0" w:color="auto"/>
      </w:divBdr>
    </w:div>
    <w:div w:id="329143091">
      <w:bodyDiv w:val="1"/>
      <w:marLeft w:val="0"/>
      <w:marRight w:val="0"/>
      <w:marTop w:val="0"/>
      <w:marBottom w:val="0"/>
      <w:divBdr>
        <w:top w:val="none" w:sz="0" w:space="0" w:color="auto"/>
        <w:left w:val="none" w:sz="0" w:space="0" w:color="auto"/>
        <w:bottom w:val="none" w:sz="0" w:space="0" w:color="auto"/>
        <w:right w:val="none" w:sz="0" w:space="0" w:color="auto"/>
      </w:divBdr>
    </w:div>
    <w:div w:id="447939292">
      <w:bodyDiv w:val="1"/>
      <w:marLeft w:val="0"/>
      <w:marRight w:val="0"/>
      <w:marTop w:val="0"/>
      <w:marBottom w:val="0"/>
      <w:divBdr>
        <w:top w:val="none" w:sz="0" w:space="0" w:color="auto"/>
        <w:left w:val="none" w:sz="0" w:space="0" w:color="auto"/>
        <w:bottom w:val="none" w:sz="0" w:space="0" w:color="auto"/>
        <w:right w:val="none" w:sz="0" w:space="0" w:color="auto"/>
      </w:divBdr>
    </w:div>
    <w:div w:id="563026896">
      <w:bodyDiv w:val="1"/>
      <w:marLeft w:val="0"/>
      <w:marRight w:val="0"/>
      <w:marTop w:val="0"/>
      <w:marBottom w:val="0"/>
      <w:divBdr>
        <w:top w:val="none" w:sz="0" w:space="0" w:color="auto"/>
        <w:left w:val="none" w:sz="0" w:space="0" w:color="auto"/>
        <w:bottom w:val="none" w:sz="0" w:space="0" w:color="auto"/>
        <w:right w:val="none" w:sz="0" w:space="0" w:color="auto"/>
      </w:divBdr>
    </w:div>
    <w:div w:id="600652019">
      <w:bodyDiv w:val="1"/>
      <w:marLeft w:val="0"/>
      <w:marRight w:val="0"/>
      <w:marTop w:val="0"/>
      <w:marBottom w:val="0"/>
      <w:divBdr>
        <w:top w:val="none" w:sz="0" w:space="0" w:color="auto"/>
        <w:left w:val="none" w:sz="0" w:space="0" w:color="auto"/>
        <w:bottom w:val="none" w:sz="0" w:space="0" w:color="auto"/>
        <w:right w:val="none" w:sz="0" w:space="0" w:color="auto"/>
      </w:divBdr>
    </w:div>
    <w:div w:id="623773945">
      <w:bodyDiv w:val="1"/>
      <w:marLeft w:val="0"/>
      <w:marRight w:val="0"/>
      <w:marTop w:val="0"/>
      <w:marBottom w:val="0"/>
      <w:divBdr>
        <w:top w:val="none" w:sz="0" w:space="0" w:color="auto"/>
        <w:left w:val="none" w:sz="0" w:space="0" w:color="auto"/>
        <w:bottom w:val="none" w:sz="0" w:space="0" w:color="auto"/>
        <w:right w:val="none" w:sz="0" w:space="0" w:color="auto"/>
      </w:divBdr>
    </w:div>
    <w:div w:id="1034496924">
      <w:bodyDiv w:val="1"/>
      <w:marLeft w:val="0"/>
      <w:marRight w:val="0"/>
      <w:marTop w:val="0"/>
      <w:marBottom w:val="0"/>
      <w:divBdr>
        <w:top w:val="none" w:sz="0" w:space="0" w:color="auto"/>
        <w:left w:val="none" w:sz="0" w:space="0" w:color="auto"/>
        <w:bottom w:val="none" w:sz="0" w:space="0" w:color="auto"/>
        <w:right w:val="none" w:sz="0" w:space="0" w:color="auto"/>
      </w:divBdr>
    </w:div>
    <w:div w:id="1049498496">
      <w:bodyDiv w:val="1"/>
      <w:marLeft w:val="0"/>
      <w:marRight w:val="0"/>
      <w:marTop w:val="0"/>
      <w:marBottom w:val="0"/>
      <w:divBdr>
        <w:top w:val="none" w:sz="0" w:space="0" w:color="auto"/>
        <w:left w:val="none" w:sz="0" w:space="0" w:color="auto"/>
        <w:bottom w:val="none" w:sz="0" w:space="0" w:color="auto"/>
        <w:right w:val="none" w:sz="0" w:space="0" w:color="auto"/>
      </w:divBdr>
    </w:div>
    <w:div w:id="1281765483">
      <w:bodyDiv w:val="1"/>
      <w:marLeft w:val="0"/>
      <w:marRight w:val="0"/>
      <w:marTop w:val="0"/>
      <w:marBottom w:val="0"/>
      <w:divBdr>
        <w:top w:val="none" w:sz="0" w:space="0" w:color="auto"/>
        <w:left w:val="none" w:sz="0" w:space="0" w:color="auto"/>
        <w:bottom w:val="none" w:sz="0" w:space="0" w:color="auto"/>
        <w:right w:val="none" w:sz="0" w:space="0" w:color="auto"/>
      </w:divBdr>
    </w:div>
    <w:div w:id="1337196617">
      <w:bodyDiv w:val="1"/>
      <w:marLeft w:val="0"/>
      <w:marRight w:val="0"/>
      <w:marTop w:val="0"/>
      <w:marBottom w:val="0"/>
      <w:divBdr>
        <w:top w:val="none" w:sz="0" w:space="0" w:color="auto"/>
        <w:left w:val="none" w:sz="0" w:space="0" w:color="auto"/>
        <w:bottom w:val="none" w:sz="0" w:space="0" w:color="auto"/>
        <w:right w:val="none" w:sz="0" w:space="0" w:color="auto"/>
      </w:divBdr>
    </w:div>
    <w:div w:id="1341740855">
      <w:bodyDiv w:val="1"/>
      <w:marLeft w:val="0"/>
      <w:marRight w:val="0"/>
      <w:marTop w:val="0"/>
      <w:marBottom w:val="0"/>
      <w:divBdr>
        <w:top w:val="none" w:sz="0" w:space="0" w:color="auto"/>
        <w:left w:val="none" w:sz="0" w:space="0" w:color="auto"/>
        <w:bottom w:val="none" w:sz="0" w:space="0" w:color="auto"/>
        <w:right w:val="none" w:sz="0" w:space="0" w:color="auto"/>
      </w:divBdr>
    </w:div>
    <w:div w:id="1521820805">
      <w:bodyDiv w:val="1"/>
      <w:marLeft w:val="0"/>
      <w:marRight w:val="0"/>
      <w:marTop w:val="0"/>
      <w:marBottom w:val="0"/>
      <w:divBdr>
        <w:top w:val="none" w:sz="0" w:space="0" w:color="auto"/>
        <w:left w:val="none" w:sz="0" w:space="0" w:color="auto"/>
        <w:bottom w:val="none" w:sz="0" w:space="0" w:color="auto"/>
        <w:right w:val="none" w:sz="0" w:space="0" w:color="auto"/>
      </w:divBdr>
    </w:div>
    <w:div w:id="1770618727">
      <w:bodyDiv w:val="1"/>
      <w:marLeft w:val="0"/>
      <w:marRight w:val="0"/>
      <w:marTop w:val="0"/>
      <w:marBottom w:val="0"/>
      <w:divBdr>
        <w:top w:val="none" w:sz="0" w:space="0" w:color="auto"/>
        <w:left w:val="none" w:sz="0" w:space="0" w:color="auto"/>
        <w:bottom w:val="none" w:sz="0" w:space="0" w:color="auto"/>
        <w:right w:val="none" w:sz="0" w:space="0" w:color="auto"/>
      </w:divBdr>
    </w:div>
    <w:div w:id="1819220983">
      <w:bodyDiv w:val="1"/>
      <w:marLeft w:val="0"/>
      <w:marRight w:val="0"/>
      <w:marTop w:val="0"/>
      <w:marBottom w:val="0"/>
      <w:divBdr>
        <w:top w:val="none" w:sz="0" w:space="0" w:color="auto"/>
        <w:left w:val="none" w:sz="0" w:space="0" w:color="auto"/>
        <w:bottom w:val="none" w:sz="0" w:space="0" w:color="auto"/>
        <w:right w:val="none" w:sz="0" w:space="0" w:color="auto"/>
      </w:divBdr>
    </w:div>
    <w:div w:id="2114087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DeS191</b:Tag>
    <b:SourceType>JournalArticle</b:SourceType>
    <b:Guid>{01CFC21E-DBD5-4038-AE75-0C576A645E35}</b:Guid>
    <b:Author>
      <b:Author>
        <b:NameList>
          <b:Person>
            <b:Last>De Souza</b:Last>
            <b:First>J.A.S.</b:First>
          </b:Person>
          <b:Person>
            <b:Last>Rissatti</b:Last>
            <b:First>J.C.</b:First>
          </b:Person>
          <b:Person>
            <b:Last>Rover</b:Last>
            <b:First>S.</b:First>
          </b:Person>
          <b:Person>
            <b:Last>Borba</b:Last>
            <b:First>J.A</b:First>
          </b:Person>
        </b:NameList>
      </b:Author>
    </b:Author>
    <b:Title>The linguistic complexities of narrative accounting disclosure on financial statements: An analysis based on readability characteristics</b:Title>
    <b:JournalName>Research in International Business and Finance</b:JournalName>
    <b:Year>2019</b:Year>
    <b:Pages>59-74,DOI-10.1016/j.ribaf.2018.12.008</b:Pages>
    <b:Volume>48</b:Volume>
    <b:Issue>7</b:Issue>
    <b:RefOrder>1</b:RefOrder>
  </b:Source>
  <b:Source>
    <b:Tag>Muk16</b:Tag>
    <b:SourceType>JournalArticle</b:SourceType>
    <b:Guid>{68E323F1-BEF5-4D7B-A724-71D2AE0A4D2C}</b:Guid>
    <b:Author>
      <b:Author>
        <b:NameList>
          <b:Person>
            <b:Last>Mukhametzyanov</b:Last>
            <b:First>R.Z.</b:First>
          </b:Person>
          <b:Person>
            <b:Last>Nugaev</b:Last>
            <b:First>F.S</b:First>
          </b:Person>
        </b:NameList>
      </b:Author>
    </b:Author>
    <b:Title>Financial statements as an information base for the analysis and management decisions</b:Title>
    <b:JournalName>Journal of Economics and Economic Education Research</b:JournalName>
    <b:Year>2016</b:Year>
    <b:Pages>47,DOI-10.1080/09603100902902212</b:Pages>
    <b:Volume>17</b:Volume>
    <b:Issue>4</b:Issue>
    <b:RefOrder>2</b:RefOrder>
  </b:Source>
  <b:Source>
    <b:Tag>Gua16</b:Tag>
    <b:SourceType>JournalArticle</b:SourceType>
    <b:Guid>{88C5DF80-ED9B-45CE-9D89-E90C0CDE3651}</b:Guid>
    <b:Author>
      <b:Author>
        <b:NameList>
          <b:Person>
            <b:Last>Guay</b:Last>
            <b:First>W.</b:First>
          </b:Person>
          <b:Person>
            <b:Last>Samuels</b:Last>
            <b:First>D.</b:First>
          </b:Person>
          <b:Person>
            <b:Last>Taylor</b:Last>
            <b:First>D</b:First>
          </b:Person>
        </b:NameList>
      </b:Author>
    </b:Author>
    <b:Title>Guiding through the fog: Financial statement complexity and voluntary disclosure </b:Title>
    <b:JournalName>Journal of Accounting and Economics</b:JournalName>
    <b:Year>2016</b:Year>
    <b:Pages>234-269,DOI-10.1016/j.jacceco.2016.09.001</b:Pages>
    <b:Volume>62</b:Volume>
    <b:Issue>2-3</b:Issue>
    <b:RefOrder>3</b:RefOrder>
  </b:Source>
  <b:Source>
    <b:Tag>Kri17</b:Tag>
    <b:SourceType>JournalArticle</b:SourceType>
    <b:Guid>{6AADAF4A-D513-4ED1-BC2D-047B0A917BCC}</b:Guid>
    <b:Author>
      <b:Author>
        <b:NameList>
          <b:Person>
            <b:Last>Kristanti</b:Last>
            <b:First>F.T.</b:First>
          </b:Person>
          <b:Person>
            <b:Last>Herwany</b:Last>
            <b:First>A</b:First>
          </b:Person>
        </b:NameList>
      </b:Author>
    </b:Author>
    <b:Title>Corporate governance, financial ratios, political risk and financial distress: A survival analysis</b:Title>
    <b:JournalName>Accounting and Finance Review </b:JournalName>
    <b:Year>2017</b:Year>
    <b:Pages>14-51,DOI-10.1166/asl.2016.8138</b:Pages>
    <b:Volume>2</b:Volume>
    <b:Issue>2</b:Issue>
    <b:RefOrder>4</b:RefOrder>
  </b:Source>
  <b:Source>
    <b:Tag>Ras181</b:Tag>
    <b:SourceType>JournalArticle</b:SourceType>
    <b:Guid>{C9680FEE-4F40-4CCE-BE90-94EEF38C9A92}</b:Guid>
    <b:Author>
      <b:Author>
        <b:NameList>
          <b:Person>
            <b:Last>Rashid</b:Last>
            <b:First>C.A</b:First>
          </b:Person>
        </b:NameList>
      </b:Author>
    </b:Author>
    <b:Title>Efficiency of Financial Ratios Analysis for Evaluating Companies’ Liquidity</b:Title>
    <b:JournalName>International Journal of Social Sciences &amp; Educational Studies</b:JournalName>
    <b:Year>2018</b:Year>
    <b:Pages>110,DOI-10.23918/ijsses.v4i4p110</b:Pages>
    <b:Volume>4</b:Volume>
    <b:Issue>4</b:Issue>
    <b:RefOrder>5</b:RefOrder>
  </b:Source>
  <b:Source>
    <b:Tag>Nal17</b:Tag>
    <b:SourceType>JournalArticle</b:SourceType>
    <b:Guid>{30E52C70-92EB-49E2-A74B-5BD32F184466}</b:Guid>
    <b:Author>
      <b:Author>
        <b:NameList>
          <b:Person>
            <b:Last>Nalurita</b:Last>
            <b:First>F</b:First>
          </b:Person>
        </b:NameList>
      </b:Author>
    </b:Author>
    <b:Title>The effect of profitability ratio, solvability ratio, market ratio on stock return</b:Title>
    <b:JournalName>Business and Entrepreneurial Review</b:JournalName>
    <b:Year>2017</b:Year>
    <b:Pages>73-94,DOI-10.25105/ber.v15i1.2080</b:Pages>
    <b:Volume>15</b:Volume>
    <b:Issue>1</b:Issue>
    <b:RefOrder>6</b:RefOrder>
  </b:Source>
  <b:Source>
    <b:Tag>Jia18</b:Tag>
    <b:SourceType>JournalArticle</b:SourceType>
    <b:Guid>{6B5CBDD6-0073-41D3-960E-71879C597605}</b:Guid>
    <b:Author>
      <b:Author>
        <b:NameList>
          <b:Person>
            <b:Last>Jiang</b:Last>
            <b:First>L.</b:First>
          </b:Person>
          <b:Person>
            <b:Last>Li</b:Last>
            <b:First>Y.</b:First>
          </b:Person>
          <b:Person>
            <b:Last>Cai</b:Last>
            <b:First>L.P</b:First>
          </b:Person>
        </b:NameList>
      </b:Author>
    </b:Author>
    <b:Title>Evaluation of enterprise economic performance based on principal component analysis</b:Title>
    <b:JournalName>Journal of Interdisciplinary Mathematics</b:JournalName>
    <b:Year>2018</b:Year>
    <b:Pages>1309-1314,DOI-10.1080/09720502.2018.1498004</b:Pages>
    <b:Volume>21</b:Volume>
    <b:Issue>5</b:Issue>
    <b:RefOrder>7</b:RefOrder>
  </b:Source>
  <b:Source>
    <b:Tag>Sie173</b:Tag>
    <b:SourceType>JournalArticle</b:SourceType>
    <b:Guid>{6955B2CE-6A92-4115-AEAA-6472A48EFC31}</b:Guid>
    <b:Author>
      <b:Author>
        <b:NameList>
          <b:Person>
            <b:Last>Siekelova</b:Last>
            <b:First>A.</b:First>
          </b:Person>
          <b:Person>
            <b:Last>Kliestik</b:Last>
            <b:First>T.</b:First>
          </b:Person>
          <b:Person>
            <b:Last>Svabova</b:Last>
            <b:First>L.</b:First>
          </b:Person>
          <b:Person>
            <b:Last>Androniceanu</b:Last>
            <b:First>A.</b:First>
          </b:Person>
          <b:Person>
            <b:Last>Schonfeld</b:Last>
            <b:First>J</b:First>
          </b:Person>
        </b:NameList>
      </b:Author>
    </b:Author>
    <b:Title>Receivables management: The importance of financial indicators in assessing the creditworthiness</b:Title>
    <b:JournalName>Journal of Management Studies</b:JournalName>
    <b:Year>2017</b:Year>
    <b:Pages>128-164,DOI-10.17512/pjms.2017.15.2.20</b:Pages>
    <b:Volume>15</b:Volume>
    <b:Issue>2</b:Issue>
    <b:RefOrder>8</b:RefOrder>
  </b:Source>
  <b:Source>
    <b:Tag>Gro161</b:Tag>
    <b:SourceType>JournalArticle</b:SourceType>
    <b:Guid>{9D69BDBD-C484-442F-80AA-A25D0B0D6BE7}</b:Guid>
    <b:Author>
      <b:Author>
        <b:NameList>
          <b:Person>
            <b:Last>Groth</b:Last>
            <b:First>C.</b:First>
          </b:Person>
          <b:Person>
            <b:Last>Madsen</b:Last>
            <b:First>J.B</b:First>
          </b:Person>
        </b:NameList>
      </b:Author>
    </b:Author>
    <b:Title>Medium-term fluctuations and the “Great Ratios” of economic growth</b:Title>
    <b:JournalName>Journal of Macroeconomics</b:JournalName>
    <b:Year>2016</b:Year>
    <b:Pages>149-176,DOI-10.1016/j.jmacro.2016.07.001</b:Pages>
    <b:Volume>49</b:Volume>
    <b:Issue>4</b:Issue>
    <b:RefOrder>9</b:RefOrder>
  </b:Source>
  <b:Source>
    <b:Tag>Ryu19</b:Tag>
    <b:SourceType>JournalArticle</b:SourceType>
    <b:Guid>{1EA21423-E78B-4C34-AF90-32CFA802AC83}</b:Guid>
    <b:Author>
      <b:Author>
        <b:NameList>
          <b:Person>
            <b:Last>Ryu</b:Last>
            <b:First>J.</b:First>
          </b:Person>
          <b:Person>
            <b:Last>Kim</b:Last>
            <b:First>K.</b:First>
          </b:Person>
          <b:Person>
            <b:Last>Oh</b:Last>
            <b:First>M.</b:First>
          </b:Person>
          <b:Person>
            <b:Last>Shin</b:Last>
            <b:First>J</b:First>
          </b:Person>
        </b:NameList>
      </b:Author>
    </b:Author>
    <b:Title>Why environmental and social benefits should be included in cost-benefit analysis of infrastructure`</b:Title>
    <b:JournalName>Environmental Science and Pollution Research</b:JournalName>
    <b:Year>2019</b:Year>
    <b:Pages>21693-21703,DOI-10.1007/s11356-019-05475-6</b:Pages>
    <b:Volume>26</b:Volume>
    <b:Issue>21</b:Issue>
    <b:RefOrder>10</b:RefOrder>
  </b:Source>
  <b:Source>
    <b:Tag>Kim17</b:Tag>
    <b:SourceType>JournalArticle</b:SourceType>
    <b:Guid>{11544EB0-71C5-4629-B49F-0622721E3C72}</b:Guid>
    <b:Author>
      <b:Author>
        <b:NameList>
          <b:Person>
            <b:Last>Kim</b:Last>
            <b:First>J.</b:First>
          </b:Person>
          <b:Person>
            <b:Last>Im</b:Last>
            <b:First>C</b:First>
          </b:Person>
        </b:NameList>
      </b:Author>
    </b:Author>
    <b:Title>Study on corporate social responsibility (CSR): Focus on tax avoidance and financial ratio analysis</b:Title>
    <b:JournalName>Sustainability</b:JournalName>
    <b:Year>2017</b:Year>
    <b:Pages>1710,DOI-10.3390/su9101710</b:Pages>
    <b:Volume>9</b:Volume>
    <b:Issue>10</b:Issue>
    <b:RefOrder>11</b:RefOrder>
  </b:Source>
  <b:Source>
    <b:Tag>Vel17</b:Tag>
    <b:SourceType>JournalArticle</b:SourceType>
    <b:Guid>{D34C70C3-3E13-4CE7-9C47-945724FFE71E}</b:Guid>
    <b:Author>
      <b:Author>
        <b:NameList>
          <b:Person>
            <b:Last>Velte</b:Last>
            <b:First>P.</b:First>
          </b:Person>
          <b:Person>
            <b:Last>Stawinoga</b:Last>
            <b:First>M</b:First>
          </b:Person>
        </b:NameList>
      </b:Author>
    </b:Author>
    <b:Title>Integrated reporting: The current state of empirical research, limitations and future research implications </b:Title>
    <b:JournalName>Journal of Management Control</b:JournalName>
    <b:Year>2017</b:Year>
    <b:Pages>275-320,DOI-10.1007/s00187-016-0235-4</b:Pages>
    <b:Volume>28</b:Volume>
    <b:Issue>3</b:Issue>
    <b:RefOrder>12</b:RefOrder>
  </b:Source>
</b:Sources>
</file>

<file path=customXml/itemProps1.xml><?xml version="1.0" encoding="utf-8"?>
<ds:datastoreItem xmlns:ds="http://schemas.openxmlformats.org/officeDocument/2006/customXml" ds:itemID="{1A8B971A-478C-4214-8B44-E1E3BC674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12</Pages>
  <Words>2854</Words>
  <Characters>16271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xyz</dc:creator>
  <cp:keywords/>
  <dc:description/>
  <cp:lastModifiedBy>Policica Dansatoarea</cp:lastModifiedBy>
  <cp:revision>188</cp:revision>
  <dcterms:created xsi:type="dcterms:W3CDTF">2020-07-04T06:03:00Z</dcterms:created>
  <dcterms:modified xsi:type="dcterms:W3CDTF">2020-07-04T19:01:00Z</dcterms:modified>
</cp:coreProperties>
</file>