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990" w:hanging="1620"/>
        <w:jc w:val="center"/>
        <w:rPr>
          <w:b w:val="1"/>
          <w:sz w:val="24"/>
          <w:szCs w:val="24"/>
        </w:rPr>
      </w:pPr>
      <w:r w:rsidDel="00000000" w:rsidR="00000000" w:rsidRPr="00000000">
        <w:rPr>
          <w:b w:val="1"/>
          <w:sz w:val="24"/>
          <w:szCs w:val="24"/>
          <w:rtl w:val="0"/>
        </w:rPr>
        <w:t xml:space="preserve">       The images of  the Steeple Aston Cope</w:t>
      </w:r>
    </w:p>
    <w:p w:rsidR="00000000" w:rsidDel="00000000" w:rsidP="00000000" w:rsidRDefault="00000000" w:rsidRPr="00000000" w14:paraId="00000002">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03">
      <w:pPr>
        <w:spacing w:line="360" w:lineRule="auto"/>
        <w:ind w:left="-1170" w:hanging="1260"/>
        <w:jc w:val="both"/>
        <w:rPr>
          <w:sz w:val="24"/>
          <w:szCs w:val="24"/>
        </w:rPr>
      </w:pPr>
      <w:r w:rsidDel="00000000" w:rsidR="00000000" w:rsidRPr="00000000">
        <w:rPr>
          <w:sz w:val="24"/>
          <w:szCs w:val="24"/>
          <w:rtl w:val="0"/>
        </w:rPr>
        <w:t xml:space="preserve">  </w:t>
        <w:tab/>
        <w:tab/>
        <w:t xml:space="preserve">The Steeple Aston Cope was found in the medieval parish chest of the church of St Peter and St Paul in Steeple Aston, Oxfordshire, in 1844.</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It had been cut up and remade into altar furnishings, so what was once a semi circular garment was now a large rectangle of embroidered fabric; it is thought that this transformation was probably made in the Reformation. The Victoria and Albert Museum, where the cope has been on loan since 1905, has a video showing a reconstruction of it back into its original form.</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It is Opus anglicanum work - the embroidery for which the English were famous during its heyday of c. 1250-1350.</w:t>
      </w:r>
      <w:r w:rsidDel="00000000" w:rsidR="00000000" w:rsidRPr="00000000">
        <w:rPr>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04">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05">
      <w:pPr>
        <w:spacing w:line="360" w:lineRule="auto"/>
        <w:ind w:left="-1170" w:hanging="1260"/>
        <w:jc w:val="both"/>
        <w:rPr>
          <w:sz w:val="24"/>
          <w:szCs w:val="24"/>
        </w:rPr>
      </w:pPr>
      <w:r w:rsidDel="00000000" w:rsidR="00000000" w:rsidRPr="00000000">
        <w:rPr>
          <w:sz w:val="24"/>
          <w:szCs w:val="24"/>
          <w:rtl w:val="0"/>
        </w:rPr>
        <w:t xml:space="preserve">  </w:t>
        <w:tab/>
        <w:tab/>
        <w:t xml:space="preserve">The origins of the cope are a mystery. Nobody knows who commissioned it, where it was made, who it was made for, who gifted it and where it was used. It is unlikely, however,  that it would have been commissioned by or for a small village church, because Opus anglicanum embroideries were hugely expensive, luxury items.</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w:t>
      </w:r>
    </w:p>
    <w:p w:rsidR="00000000" w:rsidDel="00000000" w:rsidP="00000000" w:rsidRDefault="00000000" w:rsidRPr="00000000" w14:paraId="00000006">
      <w:pPr>
        <w:spacing w:line="360" w:lineRule="auto"/>
        <w:ind w:left="-1170" w:hanging="1260"/>
        <w:jc w:val="both"/>
        <w:rPr>
          <w:sz w:val="24"/>
          <w:szCs w:val="24"/>
        </w:rPr>
      </w:pPr>
      <w:r w:rsidDel="00000000" w:rsidR="00000000" w:rsidRPr="00000000">
        <w:rPr>
          <w:sz w:val="24"/>
          <w:szCs w:val="24"/>
          <w:rtl w:val="0"/>
        </w:rPr>
        <w:t xml:space="preserve">  </w:t>
        <w:tab/>
        <w:tab/>
      </w:r>
    </w:p>
    <w:p w:rsidR="00000000" w:rsidDel="00000000" w:rsidP="00000000" w:rsidRDefault="00000000" w:rsidRPr="00000000" w14:paraId="00000007">
      <w:pPr>
        <w:spacing w:line="360" w:lineRule="auto"/>
        <w:ind w:left="-1170" w:hanging="1260"/>
        <w:jc w:val="both"/>
        <w:rPr>
          <w:sz w:val="24"/>
          <w:szCs w:val="24"/>
        </w:rPr>
      </w:pPr>
      <w:r w:rsidDel="00000000" w:rsidR="00000000" w:rsidRPr="00000000">
        <w:rPr>
          <w:sz w:val="24"/>
          <w:szCs w:val="24"/>
          <w:rtl w:val="0"/>
        </w:rPr>
        <w:t xml:space="preserve">  </w:t>
        <w:tab/>
        <w:tab/>
        <w:t xml:space="preserve">The cope is a passion cope, showing Christ's crucifixion. It is made  of silk twill, reinforced with linen. It was possibly originally cream coloured silk or it may have been red silk, now faded to cream, as red was the appropriate colour for the passion theme; it was also a colour that could be used throughout the liturgical year.</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It is embroidered with silver-gilt and silver thread and coloured silks. It is mainly embroidered in underside couching and split stitch, with a little raised work. The end panels are woven silk lampas and the orphery is embroidered with silver and silver-gilt thread and coloured silks on linen fabric.</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Mrs Christie describes it thus:</w:t>
      </w:r>
    </w:p>
    <w:p w:rsidR="00000000" w:rsidDel="00000000" w:rsidP="00000000" w:rsidRDefault="00000000" w:rsidRPr="00000000" w14:paraId="00000008">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09">
      <w:pPr>
        <w:ind w:left="-1170" w:hanging="1260"/>
        <w:jc w:val="both"/>
        <w:rPr>
          <w:sz w:val="24"/>
          <w:szCs w:val="24"/>
        </w:rPr>
      </w:pPr>
      <w:r w:rsidDel="00000000" w:rsidR="00000000" w:rsidRPr="00000000">
        <w:rPr>
          <w:rtl w:val="0"/>
        </w:rPr>
      </w:r>
    </w:p>
    <w:p w:rsidR="00000000" w:rsidDel="00000000" w:rsidP="00000000" w:rsidRDefault="00000000" w:rsidRPr="00000000" w14:paraId="0000000A">
      <w:pPr>
        <w:ind w:left="-450" w:right="1260" w:hanging="1260"/>
        <w:jc w:val="both"/>
        <w:rPr>
          <w:sz w:val="24"/>
          <w:szCs w:val="24"/>
        </w:rPr>
      </w:pPr>
      <w:r w:rsidDel="00000000" w:rsidR="00000000" w:rsidRPr="00000000">
        <w:rPr>
          <w:sz w:val="24"/>
          <w:szCs w:val="24"/>
          <w:rtl w:val="0"/>
        </w:rPr>
        <w:t xml:space="preserve">  </w:t>
        <w:tab/>
        <w:tab/>
        <w:t xml:space="preserve">Set in rows on a pale fawn silk twill ground-fabric, lined with linen, are a number of barbed quatre-foil shaped panels framed by meandering boughs of oak and ivy, a light ornamental treatment that recalls the marginal flourishes found in contemporary manuscripts. The boughs are linked together at the barbed points by curious human-headed masks, peering out from a setting of vine leaves and grapes. Finely designed heraldic lions fill the spaces between the panels, which contain scenes illustrating three episodes in the life of Christ and the Virgin, and martyrdom of Saints.</w:t>
      </w:r>
      <w:r w:rsidDel="00000000" w:rsidR="00000000" w:rsidRPr="00000000">
        <w:rPr>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0B">
      <w:pPr>
        <w:ind w:left="-1170" w:right="1170" w:hanging="1260"/>
        <w:jc w:val="both"/>
        <w:rPr>
          <w:sz w:val="24"/>
          <w:szCs w:val="24"/>
        </w:rPr>
      </w:pPr>
      <w:r w:rsidDel="00000000" w:rsidR="00000000" w:rsidRPr="00000000">
        <w:rPr>
          <w:rtl w:val="0"/>
        </w:rPr>
      </w:r>
    </w:p>
    <w:p w:rsidR="00000000" w:rsidDel="00000000" w:rsidP="00000000" w:rsidRDefault="00000000" w:rsidRPr="00000000" w14:paraId="0000000C">
      <w:pPr>
        <w:ind w:left="-1170" w:right="1170" w:hanging="1260"/>
        <w:jc w:val="both"/>
        <w:rPr>
          <w:sz w:val="24"/>
          <w:szCs w:val="24"/>
        </w:rPr>
      </w:pPr>
      <w:r w:rsidDel="00000000" w:rsidR="00000000" w:rsidRPr="00000000">
        <w:rPr>
          <w:rtl w:val="0"/>
        </w:rPr>
      </w:r>
    </w:p>
    <w:p w:rsidR="00000000" w:rsidDel="00000000" w:rsidP="00000000" w:rsidRDefault="00000000" w:rsidRPr="00000000" w14:paraId="0000000D">
      <w:pPr>
        <w:spacing w:line="360" w:lineRule="auto"/>
        <w:ind w:left="-1170" w:right="0" w:hanging="1260"/>
        <w:jc w:val="both"/>
        <w:rPr>
          <w:sz w:val="24"/>
          <w:szCs w:val="24"/>
        </w:rPr>
      </w:pPr>
      <w:r w:rsidDel="00000000" w:rsidR="00000000" w:rsidRPr="00000000">
        <w:rPr>
          <w:sz w:val="24"/>
          <w:szCs w:val="24"/>
          <w:rtl w:val="0"/>
        </w:rPr>
        <w:t xml:space="preserve">      </w:t>
        <w:tab/>
        <w:tab/>
        <w:t xml:space="preserve">At the top of the back of the cope is the image of the Coronation of the Virgin. Below that is the crucifixion and below that is an image of Christ carrying the cross. This is the only image of Christ carrying the cross to have  been found on surviving copes. The rest of the cope shows twenty images of saints, depicted with their attributes and with their names accompanying their images.</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The design is executed almost entirely in gold threads: silk threads are used for the faces, hands and feet; the saints’ nimbi are stitched in gold, occasionally outlined in coloured silk thread. On the Orphrey, on the left and right sides, facing each other when the cope is worn, are two exquisite images of angels on horseback, one playing a lute, the other a fiddle. The expressions on the horses’ faces are a joy to see!</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w:t>
      </w:r>
    </w:p>
    <w:p w:rsidR="00000000" w:rsidDel="00000000" w:rsidP="00000000" w:rsidRDefault="00000000" w:rsidRPr="00000000" w14:paraId="0000000E">
      <w:pPr>
        <w:spacing w:line="360" w:lineRule="auto"/>
        <w:ind w:left="-1170" w:right="0" w:hanging="1260"/>
        <w:jc w:val="both"/>
        <w:rPr>
          <w:sz w:val="24"/>
          <w:szCs w:val="24"/>
        </w:rPr>
      </w:pPr>
      <w:r w:rsidDel="00000000" w:rsidR="00000000" w:rsidRPr="00000000">
        <w:rPr>
          <w:rtl w:val="0"/>
        </w:rPr>
      </w:r>
    </w:p>
    <w:p w:rsidR="00000000" w:rsidDel="00000000" w:rsidP="00000000" w:rsidRDefault="00000000" w:rsidRPr="00000000" w14:paraId="0000000F">
      <w:pPr>
        <w:spacing w:line="360" w:lineRule="auto"/>
        <w:ind w:left="-1170" w:right="-90" w:hanging="1260"/>
        <w:jc w:val="both"/>
        <w:rPr/>
      </w:pPr>
      <w:r w:rsidDel="00000000" w:rsidR="00000000" w:rsidRPr="00000000">
        <w:rPr>
          <w:sz w:val="24"/>
          <w:szCs w:val="24"/>
          <w:rtl w:val="0"/>
        </w:rPr>
        <w:tab/>
        <w:t xml:space="preserve">There is a particularly striking image of Saint Margaret, emerging from the back of a striped dragon.</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 The images of the saints and the Blessed Virgin Mary and Christ have their own defined spaces within the whole of the cope, their spaces delineated by the curving foliage and the ogee arch quatrefoils. </w:t>
      </w:r>
      <w:r w:rsidDel="00000000" w:rsidR="00000000" w:rsidRPr="00000000">
        <w:rPr>
          <w:rtl w:val="0"/>
        </w:rPr>
      </w:r>
    </w:p>
    <w:p w:rsidR="00000000" w:rsidDel="00000000" w:rsidP="00000000" w:rsidRDefault="00000000" w:rsidRPr="00000000" w14:paraId="00000010">
      <w:pPr>
        <w:spacing w:line="360" w:lineRule="auto"/>
        <w:ind w:left="-1170" w:right="-90" w:hanging="1260"/>
        <w:jc w:val="both"/>
        <w:rPr>
          <w:sz w:val="24"/>
          <w:szCs w:val="24"/>
        </w:rPr>
      </w:pPr>
      <w:r w:rsidDel="00000000" w:rsidR="00000000" w:rsidRPr="00000000">
        <w:rPr>
          <w:rtl w:val="0"/>
        </w:rPr>
      </w:r>
    </w:p>
    <w:p w:rsidR="00000000" w:rsidDel="00000000" w:rsidP="00000000" w:rsidRDefault="00000000" w:rsidRPr="00000000" w14:paraId="00000011">
      <w:pPr>
        <w:spacing w:line="360" w:lineRule="auto"/>
        <w:ind w:left="-1170" w:right="-90" w:hanging="1260"/>
        <w:jc w:val="both"/>
        <w:rPr>
          <w:sz w:val="24"/>
          <w:szCs w:val="24"/>
        </w:rPr>
      </w:pPr>
      <w:r w:rsidDel="00000000" w:rsidR="00000000" w:rsidRPr="00000000">
        <w:rPr>
          <w:sz w:val="24"/>
          <w:szCs w:val="24"/>
          <w:rtl w:val="0"/>
        </w:rPr>
        <w:t xml:space="preserve">  </w:t>
        <w:tab/>
        <w:tab/>
        <w:t xml:space="preserve">The cope contains embroidered birds, fish and animals and some very fierce lions, set in and around the architectural quatrefoils with their ‘line of beauty’ ogee arches. The holly and ivy foliage is symbolic; the prickles  on the holly remind the viewer of Christ’s crown of thorns, and the red berries symbolise His blood. Ivy, which grows by clinging onto something, reminds them that they need to cling to God for their deliverance. Lions were a popular medieval image and in a Christian context symbolised resurrection and rebirth; and angels were God’s heavenly army, and messengers. </w:t>
      </w:r>
    </w:p>
    <w:p w:rsidR="00000000" w:rsidDel="00000000" w:rsidP="00000000" w:rsidRDefault="00000000" w:rsidRPr="00000000" w14:paraId="00000012">
      <w:pPr>
        <w:spacing w:line="360" w:lineRule="auto"/>
        <w:ind w:left="-1170" w:right="-90" w:hanging="126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3">
      <w:pPr>
        <w:spacing w:line="360" w:lineRule="auto"/>
        <w:ind w:left="-1170" w:right="-90" w:hanging="1260"/>
        <w:jc w:val="both"/>
        <w:rPr>
          <w:sz w:val="24"/>
          <w:szCs w:val="24"/>
        </w:rPr>
      </w:pPr>
      <w:r w:rsidDel="00000000" w:rsidR="00000000" w:rsidRPr="00000000">
        <w:rPr>
          <w:sz w:val="24"/>
          <w:szCs w:val="24"/>
          <w:rtl w:val="0"/>
        </w:rPr>
        <w:t xml:space="preserve"> </w:t>
        <w:tab/>
        <w:tab/>
        <w:t xml:space="preserve">The ‘(c)urious human-headed masks’ that Christie refers to are similar to the Green Man images that abounded in medieval churches. Of pagan origin, the green man is an ambiguous image when used in a Christian context. It has been interpreted as a symbol of an underlying life force; a representation of the Holy Spirit; a representation of the sins of the flesh and a demon warning of the ever present danger of sin. When the light shone on it, the gold and silk threads would shine and glisten - and as the wearer walked the cope would  move and gently shimmer.</w:t>
      </w:r>
    </w:p>
    <w:p w:rsidR="00000000" w:rsidDel="00000000" w:rsidP="00000000" w:rsidRDefault="00000000" w:rsidRPr="00000000" w14:paraId="00000014">
      <w:pPr>
        <w:spacing w:line="360" w:lineRule="auto"/>
        <w:ind w:left="-1170" w:right="-90" w:hanging="1260"/>
        <w:jc w:val="both"/>
        <w:rPr>
          <w:sz w:val="24"/>
          <w:szCs w:val="24"/>
        </w:rPr>
      </w:pPr>
      <w:r w:rsidDel="00000000" w:rsidR="00000000" w:rsidRPr="00000000">
        <w:rPr>
          <w:rtl w:val="0"/>
        </w:rPr>
      </w:r>
    </w:p>
    <w:p w:rsidR="00000000" w:rsidDel="00000000" w:rsidP="00000000" w:rsidRDefault="00000000" w:rsidRPr="00000000" w14:paraId="00000015">
      <w:pPr>
        <w:spacing w:line="360" w:lineRule="auto"/>
        <w:ind w:left="-1170" w:right="-90" w:hanging="1260"/>
        <w:jc w:val="both"/>
        <w:rPr>
          <w:sz w:val="24"/>
          <w:szCs w:val="24"/>
        </w:rPr>
      </w:pPr>
      <w:r w:rsidDel="00000000" w:rsidR="00000000" w:rsidRPr="00000000">
        <w:rPr>
          <w:sz w:val="24"/>
          <w:szCs w:val="24"/>
          <w:rtl w:val="0"/>
        </w:rPr>
        <w:t xml:space="preserve">  </w:t>
        <w:tab/>
        <w:tab/>
        <w:t xml:space="preserve">The design on the cope is somewhat paradoxical. It shows the barbaric death of an innocent man and the agonised grief of his mother, as well as a galaxy of saints, some of whom are being tortured. This garment, to be worn during the part of the church’s year that ‘celebrated’ Christ’s passion, shows scenes of torture and the horror of crucifixion yet these are set amongst lush foliage, beautiful birds and members of  the animal kingdom, and the whole garment shines with reflected light from its gold and silver threads. </w:t>
      </w:r>
    </w:p>
    <w:p w:rsidR="00000000" w:rsidDel="00000000" w:rsidP="00000000" w:rsidRDefault="00000000" w:rsidRPr="00000000" w14:paraId="00000016">
      <w:pPr>
        <w:spacing w:line="360" w:lineRule="auto"/>
        <w:ind w:left="-1170" w:right="0" w:hanging="1260"/>
        <w:jc w:val="both"/>
        <w:rPr>
          <w:sz w:val="24"/>
          <w:szCs w:val="24"/>
        </w:rPr>
      </w:pPr>
      <w:r w:rsidDel="00000000" w:rsidR="00000000" w:rsidRPr="00000000">
        <w:rPr>
          <w:sz w:val="24"/>
          <w:szCs w:val="24"/>
          <w:rtl w:val="0"/>
        </w:rPr>
        <w:tab/>
        <w:tab/>
      </w:r>
    </w:p>
    <w:p w:rsidR="00000000" w:rsidDel="00000000" w:rsidP="00000000" w:rsidRDefault="00000000" w:rsidRPr="00000000" w14:paraId="00000017">
      <w:pPr>
        <w:spacing w:line="360" w:lineRule="auto"/>
        <w:ind w:left="-1170" w:right="0" w:hanging="1260"/>
        <w:jc w:val="both"/>
        <w:rPr>
          <w:sz w:val="24"/>
          <w:szCs w:val="24"/>
        </w:rPr>
      </w:pPr>
      <w:r w:rsidDel="00000000" w:rsidR="00000000" w:rsidRPr="00000000">
        <w:rPr>
          <w:sz w:val="24"/>
          <w:szCs w:val="24"/>
          <w:rtl w:val="0"/>
        </w:rPr>
        <w:t xml:space="preserve"> </w:t>
        <w:tab/>
        <w:tab/>
      </w:r>
    </w:p>
    <w:p w:rsidR="00000000" w:rsidDel="00000000" w:rsidP="00000000" w:rsidRDefault="00000000" w:rsidRPr="00000000" w14:paraId="00000018">
      <w:pPr>
        <w:spacing w:line="360" w:lineRule="auto"/>
        <w:ind w:left="-1170" w:right="1170" w:hanging="1260"/>
        <w:jc w:val="center"/>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The context  of the Steeple Aston Cope</w:t>
      </w:r>
      <w:r w:rsidDel="00000000" w:rsidR="00000000" w:rsidRPr="00000000">
        <w:rPr>
          <w:rtl w:val="0"/>
        </w:rPr>
      </w:r>
    </w:p>
    <w:p w:rsidR="00000000" w:rsidDel="00000000" w:rsidP="00000000" w:rsidRDefault="00000000" w:rsidRPr="00000000" w14:paraId="00000019">
      <w:pPr>
        <w:spacing w:line="360" w:lineRule="auto"/>
        <w:ind w:left="-1170" w:right="0" w:hanging="1260"/>
        <w:jc w:val="both"/>
        <w:rPr>
          <w:sz w:val="24"/>
          <w:szCs w:val="24"/>
        </w:rPr>
      </w:pPr>
      <w:r w:rsidDel="00000000" w:rsidR="00000000" w:rsidRPr="00000000">
        <w:rPr>
          <w:sz w:val="24"/>
          <w:szCs w:val="24"/>
          <w:rtl w:val="0"/>
        </w:rPr>
        <w:t xml:space="preserve">  </w:t>
        <w:tab/>
        <w:tab/>
        <w:t xml:space="preserve">But it must be seen in the context of Christianity, which is  a religion based on salvation through sacrifice - the ultimate sacrifice of God. As such, the sacrifices made by these saints and by Christ Himself, with its concomitant suffering, is glorious. The images on the cope and their magnificent execution, in both senses of the word, are thus complementary. In what could be called its macro context - that of the doctrine of Christianity - it is a garment that contributes to the glory of God, helping to spread the knowledge and reinforce the Christian message, along with all the other media in the churches and cathedrals of the medieval period. Medieval churches were full of images, in all media. Wall paintings, rood screens, stained glass, saints’ shrines, tombs of the great and good, music, incense, vestments. All these contributed to the creation of a visual language of holiness that medieval viewers would have understood. They formed the stage upon which the liturgy would be enacted, a performance that created the experience of the sacred out of the material world. The elements of architecture, space, ornament, music, vestments, ritual and liturgy combined to create a visual language of holiness that medieval participants would have understood, irrespective of whether they could read or not. It was ‘things seen that turned the heart towards faith…’</w:t>
      </w:r>
      <w:r w:rsidDel="00000000" w:rsidR="00000000" w:rsidRPr="00000000">
        <w:rPr>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1A">
      <w:pPr>
        <w:spacing w:line="360" w:lineRule="auto"/>
        <w:ind w:left="-1170" w:right="0" w:hanging="1260"/>
        <w:jc w:val="both"/>
        <w:rPr>
          <w:color w:val="ff0000"/>
          <w:sz w:val="24"/>
          <w:szCs w:val="24"/>
        </w:rPr>
      </w:pPr>
      <w:r w:rsidDel="00000000" w:rsidR="00000000" w:rsidRPr="00000000">
        <w:rPr>
          <w:sz w:val="24"/>
          <w:szCs w:val="24"/>
          <w:rtl w:val="0"/>
        </w:rPr>
        <w:t xml:space="preserve">  </w:t>
        <w:tab/>
        <w:tab/>
      </w:r>
      <w:r w:rsidDel="00000000" w:rsidR="00000000" w:rsidRPr="00000000">
        <w:rPr>
          <w:color w:val="ff0000"/>
          <w:sz w:val="24"/>
          <w:szCs w:val="24"/>
          <w:rtl w:val="0"/>
        </w:rPr>
        <w:t xml:space="preserve"> </w:t>
      </w:r>
    </w:p>
    <w:p w:rsidR="00000000" w:rsidDel="00000000" w:rsidP="00000000" w:rsidRDefault="00000000" w:rsidRPr="00000000" w14:paraId="0000001B">
      <w:pPr>
        <w:spacing w:line="360" w:lineRule="auto"/>
        <w:ind w:left="-1170" w:right="1170" w:hanging="1260"/>
        <w:jc w:val="both"/>
        <w:rPr>
          <w:sz w:val="24"/>
          <w:szCs w:val="24"/>
        </w:rPr>
      </w:pPr>
      <w:r w:rsidDel="00000000" w:rsidR="00000000" w:rsidRPr="00000000">
        <w:rPr>
          <w:sz w:val="24"/>
          <w:szCs w:val="24"/>
          <w:rtl w:val="0"/>
        </w:rPr>
        <w:t xml:space="preserve">  </w:t>
        <w:tab/>
        <w:tab/>
        <w:t xml:space="preserve">The cope’s micro context </w:t>
      </w:r>
      <w:r w:rsidDel="00000000" w:rsidR="00000000" w:rsidRPr="00000000">
        <w:rPr>
          <w:sz w:val="24"/>
          <w:szCs w:val="24"/>
          <w:rtl w:val="0"/>
        </w:rPr>
        <w:t xml:space="preserve">is that of the liturgy. Ecclesiastical garments are not merely clothes. When the priest dons them, he no longer speaks for himself but for the church because vestments are imbued with the sanctity of the church. </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w:t>
      </w:r>
    </w:p>
    <w:p w:rsidR="00000000" w:rsidDel="00000000" w:rsidP="00000000" w:rsidRDefault="00000000" w:rsidRPr="00000000" w14:paraId="0000001C">
      <w:pPr>
        <w:spacing w:line="360" w:lineRule="auto"/>
        <w:ind w:left="-1170" w:right="0" w:hanging="1260"/>
        <w:jc w:val="both"/>
        <w:rPr>
          <w:sz w:val="24"/>
          <w:szCs w:val="24"/>
        </w:rPr>
      </w:pPr>
      <w:r w:rsidDel="00000000" w:rsidR="00000000" w:rsidRPr="00000000">
        <w:rPr>
          <w:rtl w:val="0"/>
        </w:rPr>
      </w:r>
    </w:p>
    <w:p w:rsidR="00000000" w:rsidDel="00000000" w:rsidP="00000000" w:rsidRDefault="00000000" w:rsidRPr="00000000" w14:paraId="0000001D">
      <w:pPr>
        <w:spacing w:line="360" w:lineRule="auto"/>
        <w:ind w:left="-1170" w:right="0" w:hanging="1260"/>
        <w:jc w:val="both"/>
        <w:rPr>
          <w:sz w:val="24"/>
          <w:szCs w:val="24"/>
        </w:rPr>
      </w:pPr>
      <w:r w:rsidDel="00000000" w:rsidR="00000000" w:rsidRPr="00000000">
        <w:rPr>
          <w:sz w:val="24"/>
          <w:szCs w:val="24"/>
          <w:rtl w:val="0"/>
        </w:rPr>
        <w:tab/>
        <w:tab/>
        <w:t xml:space="preserve">Vestments are one element in the imagery used  by the medieval church to ensure that their ideology was reinforced, and to keep people's minds focussed on the church and its message. </w:t>
      </w:r>
    </w:p>
    <w:p w:rsidR="00000000" w:rsidDel="00000000" w:rsidP="00000000" w:rsidRDefault="00000000" w:rsidRPr="00000000" w14:paraId="0000001E">
      <w:pPr>
        <w:spacing w:line="360" w:lineRule="auto"/>
        <w:ind w:left="-1170" w:right="0" w:hanging="1260"/>
        <w:jc w:val="both"/>
        <w:rPr>
          <w:sz w:val="24"/>
          <w:szCs w:val="24"/>
        </w:rPr>
      </w:pPr>
      <w:r w:rsidDel="00000000" w:rsidR="00000000" w:rsidRPr="00000000">
        <w:rPr>
          <w:rtl w:val="0"/>
        </w:rPr>
      </w:r>
    </w:p>
    <w:p w:rsidR="00000000" w:rsidDel="00000000" w:rsidP="00000000" w:rsidRDefault="00000000" w:rsidRPr="00000000" w14:paraId="0000001F">
      <w:pPr>
        <w:spacing w:line="360" w:lineRule="auto"/>
        <w:ind w:left="-1170" w:right="1080" w:hanging="1260"/>
        <w:jc w:val="both"/>
        <w:rPr>
          <w:sz w:val="24"/>
          <w:szCs w:val="24"/>
        </w:rPr>
      </w:pPr>
      <w:r w:rsidDel="00000000" w:rsidR="00000000" w:rsidRPr="00000000">
        <w:rPr>
          <w:rtl w:val="0"/>
        </w:rPr>
      </w:r>
    </w:p>
    <w:p w:rsidR="00000000" w:rsidDel="00000000" w:rsidP="00000000" w:rsidRDefault="00000000" w:rsidRPr="00000000" w14:paraId="00000020">
      <w:pPr>
        <w:spacing w:line="360" w:lineRule="auto"/>
        <w:ind w:left="-1170" w:right="0" w:hanging="1260"/>
        <w:jc w:val="both"/>
        <w:rPr>
          <w:sz w:val="24"/>
          <w:szCs w:val="24"/>
        </w:rPr>
      </w:pPr>
      <w:r w:rsidDel="00000000" w:rsidR="00000000" w:rsidRPr="00000000">
        <w:rPr>
          <w:sz w:val="24"/>
          <w:szCs w:val="24"/>
          <w:rtl w:val="0"/>
        </w:rPr>
        <w:t xml:space="preserve">   </w:t>
        <w:tab/>
        <w:tab/>
        <w:t xml:space="preserve">That faith was not, as nowadays, an optional extra; it permeated life, from the highest to the lowest, and the church itself was an extremely important and powerful player on the medieval stage:  ‘From baptism to burial the local parish church structured people’s lives and it is impossible to understand Gothic art without an awareness of how this Christian ideology increasingly sought to control minds ....’</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w:t>
      </w:r>
      <w:r w:rsidDel="00000000" w:rsidR="00000000" w:rsidRPr="00000000">
        <w:rPr>
          <w:sz w:val="24"/>
          <w:szCs w:val="24"/>
          <w:rtl w:val="0"/>
        </w:rPr>
        <w:t xml:space="preserve">To appreciate the art and artefacts of medieval religion we need to engage in the willing suspension of disbelief, leave behind our secular culture and try to engage with medieval religion and  the medieval church.</w:t>
      </w:r>
      <w:r w:rsidDel="00000000" w:rsidR="00000000" w:rsidRPr="00000000">
        <w:rPr>
          <w:sz w:val="24"/>
          <w:szCs w:val="24"/>
          <w:vertAlign w:val="superscript"/>
        </w:rPr>
        <w:footnoteReference w:customMarkFollows="0" w:id="14"/>
      </w:r>
      <w:r w:rsidDel="00000000" w:rsidR="00000000" w:rsidRPr="00000000">
        <w:rPr>
          <w:sz w:val="24"/>
          <w:szCs w:val="24"/>
          <w:rtl w:val="0"/>
        </w:rPr>
        <w:t xml:space="preserve"> It is necessary to see ‘... through the eye as the medievals understood it - a powerful sense-organ of perception, knowledge and pleasure’  and  develop a ‘period eye’, a way of seeing shared by audiences and artists across a variety of media.</w:t>
      </w:r>
      <w:r w:rsidDel="00000000" w:rsidR="00000000" w:rsidRPr="00000000">
        <w:rPr>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21">
      <w:pPr>
        <w:tabs>
          <w:tab w:val="left" w:pos="6750"/>
        </w:tabs>
        <w:spacing w:line="240" w:lineRule="auto"/>
        <w:ind w:left="0" w:right="1080" w:hanging="1260"/>
        <w:jc w:val="both"/>
        <w:rPr>
          <w:sz w:val="24"/>
          <w:szCs w:val="24"/>
        </w:rPr>
      </w:pPr>
      <w:r w:rsidDel="00000000" w:rsidR="00000000" w:rsidRPr="00000000">
        <w:rPr>
          <w:rtl w:val="0"/>
        </w:rPr>
      </w:r>
    </w:p>
    <w:p w:rsidR="00000000" w:rsidDel="00000000" w:rsidP="00000000" w:rsidRDefault="00000000" w:rsidRPr="00000000" w14:paraId="00000022">
      <w:pPr>
        <w:tabs>
          <w:tab w:val="left" w:pos="6750"/>
        </w:tabs>
        <w:spacing w:line="240" w:lineRule="auto"/>
        <w:ind w:left="0" w:right="1080" w:hanging="1260"/>
        <w:jc w:val="both"/>
        <w:rPr>
          <w:color w:val="ff0000"/>
          <w:sz w:val="24"/>
          <w:szCs w:val="24"/>
        </w:rPr>
      </w:pPr>
      <w:r w:rsidDel="00000000" w:rsidR="00000000" w:rsidRPr="00000000">
        <w:rPr>
          <w:sz w:val="24"/>
          <w:szCs w:val="24"/>
          <w:rtl w:val="0"/>
        </w:rPr>
        <w:tab/>
        <w:t xml:space="preserve">It was one of the fundamental character traits of the early Christian and medieval mentalities that the signifying, symbolizing, and allegorizing ...was anything but arbitrary or subjective; symbols were believed to represent objectively and to express faithfully various aspects of a universe that was perceived as widely and deeply meaningful.</w:t>
      </w:r>
      <w:r w:rsidDel="00000000" w:rsidR="00000000" w:rsidRPr="00000000">
        <w:rPr>
          <w:sz w:val="24"/>
          <w:szCs w:val="24"/>
          <w:vertAlign w:val="superscript"/>
        </w:rPr>
        <w:footnoteReference w:customMarkFollows="0" w:id="16"/>
      </w:r>
      <w:r w:rsidDel="00000000" w:rsidR="00000000" w:rsidRPr="00000000">
        <w:rPr>
          <w:color w:val="ff0000"/>
          <w:sz w:val="24"/>
          <w:szCs w:val="24"/>
          <w:rtl w:val="0"/>
        </w:rPr>
        <w:t xml:space="preserve"> </w:t>
      </w:r>
    </w:p>
    <w:p w:rsidR="00000000" w:rsidDel="00000000" w:rsidP="00000000" w:rsidRDefault="00000000" w:rsidRPr="00000000" w14:paraId="00000023">
      <w:pPr>
        <w:tabs>
          <w:tab w:val="left" w:pos="6750"/>
        </w:tabs>
        <w:spacing w:line="240" w:lineRule="auto"/>
        <w:ind w:left="0" w:right="1080" w:hanging="1260"/>
        <w:jc w:val="both"/>
        <w:rPr>
          <w:color w:val="ff0000"/>
          <w:sz w:val="24"/>
          <w:szCs w:val="24"/>
        </w:rPr>
      </w:pPr>
      <w:r w:rsidDel="00000000" w:rsidR="00000000" w:rsidRPr="00000000">
        <w:rPr>
          <w:rtl w:val="0"/>
        </w:rPr>
      </w:r>
    </w:p>
    <w:p w:rsidR="00000000" w:rsidDel="00000000" w:rsidP="00000000" w:rsidRDefault="00000000" w:rsidRPr="00000000" w14:paraId="00000024">
      <w:pPr>
        <w:tabs>
          <w:tab w:val="left" w:pos="6750"/>
        </w:tabs>
        <w:spacing w:line="240" w:lineRule="auto"/>
        <w:ind w:left="0" w:right="1080" w:hanging="1260"/>
        <w:jc w:val="both"/>
        <w:rPr>
          <w:color w:val="ff0000"/>
          <w:sz w:val="24"/>
          <w:szCs w:val="24"/>
        </w:rPr>
      </w:pPr>
      <w:r w:rsidDel="00000000" w:rsidR="00000000" w:rsidRPr="00000000">
        <w:rPr>
          <w:rtl w:val="0"/>
        </w:rPr>
      </w:r>
    </w:p>
    <w:p w:rsidR="00000000" w:rsidDel="00000000" w:rsidP="00000000" w:rsidRDefault="00000000" w:rsidRPr="00000000" w14:paraId="00000025">
      <w:pPr>
        <w:spacing w:line="360" w:lineRule="auto"/>
        <w:ind w:left="-1260" w:right="-90" w:hanging="1260"/>
        <w:jc w:val="both"/>
        <w:rPr>
          <w:sz w:val="24"/>
          <w:szCs w:val="24"/>
        </w:rPr>
      </w:pPr>
      <w:r w:rsidDel="00000000" w:rsidR="00000000" w:rsidRPr="00000000">
        <w:rPr>
          <w:sz w:val="24"/>
          <w:szCs w:val="24"/>
          <w:rtl w:val="0"/>
        </w:rPr>
        <w:tab/>
        <w:tab/>
        <w:t xml:space="preserve">The Steeple Aston cope was part of this ideological system of Christian art                  in the middle ages. It was there, along with all the other visual elements, to contribute to a vision of the world and God as expounded by the church. </w:t>
      </w:r>
    </w:p>
    <w:p w:rsidR="00000000" w:rsidDel="00000000" w:rsidP="00000000" w:rsidRDefault="00000000" w:rsidRPr="00000000" w14:paraId="00000026">
      <w:pPr>
        <w:spacing w:line="360" w:lineRule="auto"/>
        <w:ind w:left="-1260" w:right="-90" w:hanging="1260"/>
        <w:jc w:val="both"/>
        <w:rPr>
          <w:sz w:val="24"/>
          <w:szCs w:val="24"/>
        </w:rPr>
      </w:pPr>
      <w:r w:rsidDel="00000000" w:rsidR="00000000" w:rsidRPr="00000000">
        <w:rPr>
          <w:color w:val="0000ff"/>
          <w:sz w:val="24"/>
          <w:szCs w:val="24"/>
          <w:rtl w:val="0"/>
        </w:rPr>
        <w:t xml:space="preserve">  </w:t>
        <w:tab/>
        <w:tab/>
      </w:r>
      <w:r w:rsidDel="00000000" w:rsidR="00000000" w:rsidRPr="00000000">
        <w:rPr>
          <w:rtl w:val="0"/>
        </w:rPr>
      </w:r>
    </w:p>
    <w:p w:rsidR="00000000" w:rsidDel="00000000" w:rsidP="00000000" w:rsidRDefault="00000000" w:rsidRPr="00000000" w14:paraId="00000027">
      <w:pPr>
        <w:spacing w:line="36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28">
      <w:pPr>
        <w:spacing w:line="360" w:lineRule="auto"/>
        <w:ind w:left="-1170" w:right="1170" w:hanging="1260"/>
        <w:jc w:val="center"/>
        <w:rPr>
          <w:b w:val="1"/>
          <w:sz w:val="24"/>
          <w:szCs w:val="24"/>
        </w:rPr>
      </w:pPr>
      <w:r w:rsidDel="00000000" w:rsidR="00000000" w:rsidRPr="00000000">
        <w:rPr>
          <w:b w:val="1"/>
          <w:sz w:val="24"/>
          <w:szCs w:val="24"/>
          <w:rtl w:val="0"/>
        </w:rPr>
        <w:t xml:space="preserve">                              The significance of the cope and its images</w:t>
      </w:r>
    </w:p>
    <w:p w:rsidR="00000000" w:rsidDel="00000000" w:rsidP="00000000" w:rsidRDefault="00000000" w:rsidRPr="00000000" w14:paraId="00000029">
      <w:pPr>
        <w:spacing w:line="36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2A">
      <w:pPr>
        <w:spacing w:line="360" w:lineRule="auto"/>
        <w:ind w:left="-1170" w:right="0" w:hanging="1260"/>
        <w:jc w:val="both"/>
        <w:rPr>
          <w:sz w:val="24"/>
          <w:szCs w:val="24"/>
        </w:rPr>
      </w:pPr>
      <w:r w:rsidDel="00000000" w:rsidR="00000000" w:rsidRPr="00000000">
        <w:rPr>
          <w:sz w:val="24"/>
          <w:szCs w:val="24"/>
          <w:rtl w:val="0"/>
        </w:rPr>
        <w:tab/>
        <w:tab/>
        <w:t xml:space="preserve">The cope’s message would have been another element in reinforcing the message of the church.  Anyone at the time it was used would have understood these three main images as scenes from the life of Christ. They would also have been aware of the saints, because ‘saints were the superheroes and the celebrities of medieval European culture’.</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 They had miraculous healing powers; as the spiritual link between life and death they could intercede with God on behalf of the living. The saints, so important in people’s lives at this time, were there reminding  the viewer of their presence as intercessors with God - and the price they each paid to gain their sainthood.  When the light shone on it, the gold and silk threads would shine and glisten - and as the wearer walked they would move and gently shimmer. In the Christian view, God is light. How could anyone forget this as the light of God moved around them, sometimes near enough to touch?</w:t>
      </w:r>
    </w:p>
    <w:p w:rsidR="00000000" w:rsidDel="00000000" w:rsidP="00000000" w:rsidRDefault="00000000" w:rsidRPr="00000000" w14:paraId="0000002B">
      <w:pPr>
        <w:spacing w:line="36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2C">
      <w:pPr>
        <w:spacing w:line="360" w:lineRule="auto"/>
        <w:ind w:left="-1170" w:right="-90" w:hanging="1260"/>
        <w:jc w:val="both"/>
        <w:rPr>
          <w:sz w:val="24"/>
          <w:szCs w:val="24"/>
        </w:rPr>
      </w:pPr>
      <w:r w:rsidDel="00000000" w:rsidR="00000000" w:rsidRPr="00000000">
        <w:rPr>
          <w:sz w:val="24"/>
          <w:szCs w:val="24"/>
          <w:rtl w:val="0"/>
        </w:rPr>
        <w:t xml:space="preserve"> </w:t>
        <w:tab/>
        <w:tab/>
        <w:tab/>
        <w:t xml:space="preserve"> Binski, discussing the aesthetic of opus anglicanum as a whole considered that </w:t>
      </w:r>
    </w:p>
    <w:p w:rsidR="00000000" w:rsidDel="00000000" w:rsidP="00000000" w:rsidRDefault="00000000" w:rsidRPr="00000000" w14:paraId="0000002D">
      <w:pPr>
        <w:spacing w:line="240" w:lineRule="auto"/>
        <w:ind w:left="-360" w:right="1170" w:hanging="1260"/>
        <w:jc w:val="both"/>
        <w:rPr>
          <w:sz w:val="24"/>
          <w:szCs w:val="24"/>
        </w:rPr>
      </w:pPr>
      <w:r w:rsidDel="00000000" w:rsidR="00000000" w:rsidRPr="00000000">
        <w:rPr>
          <w:sz w:val="24"/>
          <w:szCs w:val="24"/>
          <w:rtl w:val="0"/>
        </w:rPr>
        <w:t xml:space="preserve">              … the aesthetic … is manifest. Worked surfaces of no great size, subtly and exquisitely handled, consisting of complex stitched networks of foliate and architectural enclosures and images set off against luxurious ground colours. There is a certain playfulness of tone: green men, and wonderfully worked and vividly depicted birds appear much as they do in contemporary English liturgical book illumination; so too do musical angels.</w:t>
      </w:r>
      <w:r w:rsidDel="00000000" w:rsidR="00000000" w:rsidRPr="00000000">
        <w:rPr>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2E">
      <w:pPr>
        <w:spacing w:line="240" w:lineRule="auto"/>
        <w:ind w:left="-360" w:right="1170" w:hanging="1260"/>
        <w:jc w:val="both"/>
        <w:rPr>
          <w:sz w:val="24"/>
          <w:szCs w:val="24"/>
        </w:rPr>
      </w:pPr>
      <w:r w:rsidDel="00000000" w:rsidR="00000000" w:rsidRPr="00000000">
        <w:rPr>
          <w:rtl w:val="0"/>
        </w:rPr>
      </w:r>
    </w:p>
    <w:p w:rsidR="00000000" w:rsidDel="00000000" w:rsidP="00000000" w:rsidRDefault="00000000" w:rsidRPr="00000000" w14:paraId="0000002F">
      <w:pPr>
        <w:spacing w:line="240" w:lineRule="auto"/>
        <w:ind w:left="-360" w:right="1170" w:hanging="1260"/>
        <w:jc w:val="both"/>
        <w:rPr>
          <w:sz w:val="24"/>
          <w:szCs w:val="24"/>
        </w:rPr>
      </w:pPr>
      <w:r w:rsidDel="00000000" w:rsidR="00000000" w:rsidRPr="00000000">
        <w:rPr>
          <w:sz w:val="24"/>
          <w:szCs w:val="24"/>
          <w:rtl w:val="0"/>
        </w:rPr>
        <w:t xml:space="preserve">  </w:t>
        <w:tab/>
        <w:tab/>
        <w:tab/>
      </w:r>
    </w:p>
    <w:p w:rsidR="00000000" w:rsidDel="00000000" w:rsidP="00000000" w:rsidRDefault="00000000" w:rsidRPr="00000000" w14:paraId="00000030">
      <w:pPr>
        <w:spacing w:line="360" w:lineRule="auto"/>
        <w:ind w:left="-1170" w:hanging="1260"/>
        <w:jc w:val="both"/>
        <w:rPr>
          <w:sz w:val="24"/>
          <w:szCs w:val="24"/>
        </w:rPr>
      </w:pPr>
      <w:r w:rsidDel="00000000" w:rsidR="00000000" w:rsidRPr="00000000">
        <w:rPr>
          <w:sz w:val="24"/>
          <w:szCs w:val="24"/>
          <w:rtl w:val="0"/>
        </w:rPr>
        <w:t xml:space="preserve">  </w:t>
        <w:tab/>
        <w:tab/>
        <w:t xml:space="preserve">The Steeple Aston Cope exhibits all these elements. Perhaps the ‘certain playfulness of tone’ - in this cope the foliage, the quirky charm of the mounted angels (particularly their horses), the birds and animals - echoes the marginalia found in other forms of Gothic art, even though it is a passion cope. This cope was made during the decorated period of architecture. The curves and foliage decorations echo, on a micro scale, the enormous architectural devices of the great cathedrals.  Binski calls the decorated style the ‘aesthetics of nuanced complexity’,</w:t>
      </w:r>
      <w:r w:rsidDel="00000000" w:rsidR="00000000" w:rsidRPr="00000000">
        <w:rPr>
          <w:sz w:val="24"/>
          <w:szCs w:val="24"/>
          <w:vertAlign w:val="superscript"/>
        </w:rPr>
        <w:footnoteReference w:customMarkFollows="0" w:id="19"/>
      </w:r>
      <w:r w:rsidDel="00000000" w:rsidR="00000000" w:rsidRPr="00000000">
        <w:rPr>
          <w:sz w:val="24"/>
          <w:szCs w:val="24"/>
          <w:rtl w:val="0"/>
        </w:rPr>
        <w:t xml:space="preserve"> a beautiful description that is entirely appropriate to the Steeple Aston cope. </w:t>
      </w:r>
    </w:p>
    <w:p w:rsidR="00000000" w:rsidDel="00000000" w:rsidP="00000000" w:rsidRDefault="00000000" w:rsidRPr="00000000" w14:paraId="00000031">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32">
      <w:pPr>
        <w:spacing w:line="360" w:lineRule="auto"/>
        <w:ind w:left="-1170" w:right="-90" w:hanging="1260"/>
        <w:jc w:val="both"/>
        <w:rPr>
          <w:sz w:val="24"/>
          <w:szCs w:val="24"/>
        </w:rPr>
      </w:pPr>
      <w:r w:rsidDel="00000000" w:rsidR="00000000" w:rsidRPr="00000000">
        <w:rPr>
          <w:sz w:val="24"/>
          <w:szCs w:val="24"/>
          <w:rtl w:val="0"/>
        </w:rPr>
        <w:t xml:space="preserve"> </w:t>
        <w:tab/>
        <w:tab/>
        <w:t xml:space="preserve">But the cope would also have had further significance. It would have cost an immense amount of money. Whoever wore it, whoever paid for it, whoever gave it to the church - all would have been stating their own place in the world and their importance in it. Vestments like this  were the gifts of kings to popes. </w:t>
      </w:r>
    </w:p>
    <w:p w:rsidR="00000000" w:rsidDel="00000000" w:rsidP="00000000" w:rsidRDefault="00000000" w:rsidRPr="00000000" w14:paraId="00000033">
      <w:pPr>
        <w:spacing w:line="360" w:lineRule="auto"/>
        <w:ind w:left="-1170" w:right="1170" w:hanging="126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4">
      <w:pPr>
        <w:spacing w:line="36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35">
      <w:pPr>
        <w:spacing w:line="36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36">
      <w:pPr>
        <w:spacing w:line="36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37">
      <w:pPr>
        <w:spacing w:line="360" w:lineRule="auto"/>
        <w:ind w:left="-1170" w:right="1170" w:hanging="1260"/>
        <w:jc w:val="both"/>
        <w:rPr>
          <w:sz w:val="24"/>
          <w:szCs w:val="24"/>
        </w:rPr>
      </w:pPr>
      <w:r w:rsidDel="00000000" w:rsidR="00000000" w:rsidRPr="00000000">
        <w:rPr>
          <w:sz w:val="24"/>
          <w:szCs w:val="24"/>
          <w:rtl w:val="0"/>
        </w:rPr>
        <w:t xml:space="preserve">  </w:t>
        <w:tab/>
        <w:tab/>
        <w:t xml:space="preserve">The Steeple Aston cope nowadays has lost its eye catching splendour. It sits, a pale imitation of its former self, in a glass case. From a distance it appears rather like an unremarkable piece of grey cloth. </w:t>
      </w:r>
      <w:r w:rsidDel="00000000" w:rsidR="00000000" w:rsidRPr="00000000">
        <w:rPr>
          <w:rtl w:val="0"/>
        </w:rPr>
      </w:r>
    </w:p>
    <w:p w:rsidR="00000000" w:rsidDel="00000000" w:rsidP="00000000" w:rsidRDefault="00000000" w:rsidRPr="00000000" w14:paraId="00000038">
      <w:pPr>
        <w:spacing w:line="360" w:lineRule="auto"/>
        <w:ind w:left="-1170" w:right="1170" w:hanging="1260"/>
        <w:jc w:val="both"/>
        <w:rPr>
          <w:color w:val="0000ff"/>
          <w:sz w:val="24"/>
          <w:szCs w:val="24"/>
        </w:rPr>
      </w:pPr>
      <w:r w:rsidDel="00000000" w:rsidR="00000000" w:rsidRPr="00000000">
        <w:rPr>
          <w:rtl w:val="0"/>
        </w:rPr>
      </w:r>
    </w:p>
    <w:p w:rsidR="00000000" w:rsidDel="00000000" w:rsidP="00000000" w:rsidRDefault="00000000" w:rsidRPr="00000000" w14:paraId="00000039">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3A">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3B">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3C">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3D">
      <w:pPr>
        <w:spacing w:line="360" w:lineRule="auto"/>
        <w:ind w:left="-1170" w:right="-90" w:hanging="1260"/>
        <w:jc w:val="both"/>
        <w:rPr>
          <w:sz w:val="24"/>
          <w:szCs w:val="24"/>
        </w:rPr>
      </w:pPr>
      <w:r w:rsidDel="00000000" w:rsidR="00000000" w:rsidRPr="00000000">
        <w:rPr>
          <w:sz w:val="24"/>
          <w:szCs w:val="24"/>
          <w:rtl w:val="0"/>
        </w:rPr>
        <w:tab/>
        <w:tab/>
      </w:r>
    </w:p>
    <w:p w:rsidR="00000000" w:rsidDel="00000000" w:rsidP="00000000" w:rsidRDefault="00000000" w:rsidRPr="00000000" w14:paraId="0000003E">
      <w:pPr>
        <w:spacing w:line="240" w:lineRule="auto"/>
        <w:ind w:left="-1170" w:right="1170" w:hanging="1260"/>
        <w:jc w:val="both"/>
        <w:rPr>
          <w:sz w:val="24"/>
          <w:szCs w:val="24"/>
        </w:rPr>
      </w:pPr>
      <w:r w:rsidDel="00000000" w:rsidR="00000000" w:rsidRPr="00000000">
        <w:rPr>
          <w:sz w:val="24"/>
          <w:szCs w:val="24"/>
          <w:rtl w:val="0"/>
        </w:rPr>
        <w:tab/>
      </w:r>
    </w:p>
    <w:p w:rsidR="00000000" w:rsidDel="00000000" w:rsidP="00000000" w:rsidRDefault="00000000" w:rsidRPr="00000000" w14:paraId="0000003F">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0">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1">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2">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3">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4">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5">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46">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7">
      <w:pPr>
        <w:spacing w:line="240" w:lineRule="auto"/>
        <w:ind w:left="-1170" w:right="1170" w:hanging="1260"/>
        <w:jc w:val="both"/>
        <w:rPr>
          <w:sz w:val="24"/>
          <w:szCs w:val="24"/>
        </w:rPr>
      </w:pPr>
      <w:r w:rsidDel="00000000" w:rsidR="00000000" w:rsidRPr="00000000">
        <w:rPr>
          <w:rtl w:val="0"/>
        </w:rPr>
      </w:r>
    </w:p>
    <w:p w:rsidR="00000000" w:rsidDel="00000000" w:rsidP="00000000" w:rsidRDefault="00000000" w:rsidRPr="00000000" w14:paraId="00000048">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49">
      <w:pPr>
        <w:spacing w:line="360" w:lineRule="auto"/>
        <w:ind w:left="-1170" w:hanging="1260"/>
        <w:jc w:val="both"/>
        <w:rPr>
          <w:sz w:val="24"/>
          <w:szCs w:val="24"/>
        </w:rPr>
      </w:pPr>
      <w:r w:rsidDel="00000000" w:rsidR="00000000" w:rsidRPr="00000000">
        <w:rPr>
          <w:rtl w:val="0"/>
        </w:rPr>
      </w:r>
    </w:p>
    <w:p w:rsidR="00000000" w:rsidDel="00000000" w:rsidP="00000000" w:rsidRDefault="00000000" w:rsidRPr="00000000" w14:paraId="0000004A">
      <w:pPr>
        <w:spacing w:line="360" w:lineRule="auto"/>
        <w:ind w:left="-1170" w:right="-90" w:hanging="1260"/>
        <w:jc w:val="both"/>
        <w:rPr>
          <w:sz w:val="24"/>
          <w:szCs w:val="24"/>
        </w:rPr>
      </w:pPr>
      <w:r w:rsidDel="00000000" w:rsidR="00000000" w:rsidRPr="00000000">
        <w:rPr>
          <w:rtl w:val="0"/>
        </w:rPr>
      </w:r>
    </w:p>
    <w:p w:rsidR="00000000" w:rsidDel="00000000" w:rsidP="00000000" w:rsidRDefault="00000000" w:rsidRPr="00000000" w14:paraId="0000004B">
      <w:pPr>
        <w:spacing w:line="360" w:lineRule="auto"/>
        <w:ind w:left="-1170" w:right="-90" w:hanging="1260"/>
        <w:jc w:val="both"/>
        <w:rPr>
          <w:sz w:val="24"/>
          <w:szCs w:val="24"/>
        </w:rPr>
      </w:pPr>
      <w:r w:rsidDel="00000000" w:rsidR="00000000" w:rsidRPr="00000000">
        <w:rPr>
          <w:sz w:val="24"/>
          <w:szCs w:val="24"/>
          <w:rtl w:val="0"/>
        </w:rPr>
        <w:t xml:space="preserve">  </w:t>
        <w:tab/>
        <w:tab/>
        <w:tab/>
      </w:r>
    </w:p>
    <w:p w:rsidR="00000000" w:rsidDel="00000000" w:rsidP="00000000" w:rsidRDefault="00000000" w:rsidRPr="00000000" w14:paraId="0000004C">
      <w:pPr>
        <w:spacing w:line="360" w:lineRule="auto"/>
        <w:ind w:left="-1170" w:hanging="1260"/>
        <w:jc w:val="both"/>
        <w:rPr>
          <w:sz w:val="24"/>
          <w:szCs w:val="24"/>
        </w:rPr>
      </w:pPr>
      <w:r w:rsidDel="00000000" w:rsidR="00000000" w:rsidRPr="00000000">
        <w:rPr>
          <w:rtl w:val="0"/>
        </w:rPr>
      </w:r>
    </w:p>
    <w:sectPr>
      <w:footerReference r:id="rId7" w:type="default"/>
      <w:pgSz w:h="15840" w:w="12240" w:orient="portrait"/>
      <w:pgMar w:bottom="1440" w:top="1440" w:left="261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D">
      <w:pPr>
        <w:spacing w:line="240" w:lineRule="auto"/>
        <w:ind w:left="-1170" w:hanging="54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Anon.,. A Guide to the Architectural Antiquities in the Neighbourhood of Oxford - Google Play. [Accessed 8 November 2020]. Available from: https://play.google.com/books/reader?id=4HUHAAAAQAAJ&amp;pg=GBS.PP4.</w:t>
      </w:r>
    </w:p>
  </w:footnote>
  <w:footnote w:id="1">
    <w:p w:rsidR="00000000" w:rsidDel="00000000" w:rsidP="00000000" w:rsidRDefault="00000000" w:rsidRPr="00000000" w14:paraId="0000004E">
      <w:pPr>
        <w:spacing w:line="240" w:lineRule="auto"/>
        <w:ind w:hanging="63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https://www.vam.ac.uk/articles/the-steeple-aston-cope</w:t>
      </w:r>
    </w:p>
  </w:footnote>
  <w:footnote w:id="3">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1451, John Langton employed a vestment maker, Robert Coksale, to make vestments and chapel furnishings for Eton College and the College of Our Lady and St. Nicholas (King’s College) in Cambridge. Coksale later sued him for £241.19s.3d for the work. The National Archives currency converter estimates this sum to have been worth slightly over £151,000 in 2017! Quoted in K. Heard, </w:t>
      </w:r>
      <w:r w:rsidDel="00000000" w:rsidR="00000000" w:rsidRPr="00000000">
        <w:rPr>
          <w:i w:val="1"/>
          <w:sz w:val="20"/>
          <w:szCs w:val="20"/>
          <w:rtl w:val="0"/>
        </w:rPr>
        <w:t xml:space="preserve">Eccelsiatical Embroidery in England from 1350 to the Reformation,</w:t>
      </w:r>
      <w:r w:rsidDel="00000000" w:rsidR="00000000" w:rsidRPr="00000000">
        <w:rPr>
          <w:sz w:val="20"/>
          <w:szCs w:val="20"/>
          <w:rtl w:val="0"/>
        </w:rPr>
        <w:t xml:space="preserve"> in </w:t>
      </w:r>
      <w:r w:rsidDel="00000000" w:rsidR="00000000" w:rsidRPr="00000000">
        <w:rPr>
          <w:i w:val="1"/>
          <w:sz w:val="20"/>
          <w:szCs w:val="20"/>
          <w:rtl w:val="0"/>
        </w:rPr>
        <w:t xml:space="preserve">English Medieval Embroidery: Opus Anglicanum </w:t>
      </w:r>
      <w:r w:rsidDel="00000000" w:rsidR="00000000" w:rsidRPr="00000000">
        <w:rPr>
          <w:sz w:val="20"/>
          <w:szCs w:val="20"/>
          <w:rtl w:val="0"/>
        </w:rPr>
        <w:t xml:space="preserve">(C. Browne et al (ed), Victoria and Albert Museum, 2016) p.77) See </w:t>
      </w:r>
      <w:hyperlink r:id="rId1">
        <w:r w:rsidDel="00000000" w:rsidR="00000000" w:rsidRPr="00000000">
          <w:rPr>
            <w:color w:val="1155cc"/>
            <w:sz w:val="20"/>
            <w:szCs w:val="20"/>
            <w:u w:val="single"/>
            <w:rtl w:val="0"/>
          </w:rPr>
          <w:t xml:space="preserve">https://www.nationalarchives.gov.uk/currency-converter/#currency-result</w:t>
        </w:r>
      </w:hyperlink>
      <w:r w:rsidDel="00000000" w:rsidR="00000000" w:rsidRPr="00000000">
        <w:rPr>
          <w:sz w:val="20"/>
          <w:szCs w:val="20"/>
          <w:rtl w:val="0"/>
        </w:rPr>
        <w:t xml:space="preserve"> for the NA currency converter </w:t>
      </w:r>
    </w:p>
  </w:footnote>
  <w:footnote w:id="5">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 Browne at all, (eds.) </w:t>
      </w:r>
      <w:r w:rsidDel="00000000" w:rsidR="00000000" w:rsidRPr="00000000">
        <w:rPr>
          <w:i w:val="1"/>
          <w:sz w:val="20"/>
          <w:szCs w:val="20"/>
          <w:rtl w:val="0"/>
        </w:rPr>
        <w:t xml:space="preserve">English Medieval Embroidery, </w:t>
      </w:r>
      <w:r w:rsidDel="00000000" w:rsidR="00000000" w:rsidRPr="00000000">
        <w:rPr>
          <w:sz w:val="20"/>
          <w:szCs w:val="20"/>
          <w:rtl w:val="0"/>
        </w:rPr>
        <w:t xml:space="preserve">(Yale University Press, New Haven and London, 2016)</w:t>
      </w:r>
    </w:p>
  </w:footnote>
  <w:footnote w:id="6">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technical details, see appendix.</w:t>
      </w:r>
    </w:p>
  </w:footnote>
  <w:footnote w:id="7">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A.G.I.Christie, </w:t>
      </w:r>
      <w:r w:rsidDel="00000000" w:rsidR="00000000" w:rsidRPr="00000000">
        <w:rPr>
          <w:i w:val="1"/>
          <w:sz w:val="20"/>
          <w:szCs w:val="20"/>
          <w:rtl w:val="0"/>
        </w:rPr>
        <w:t xml:space="preserve">English Medieval Embroidery,</w:t>
      </w:r>
      <w:r w:rsidDel="00000000" w:rsidR="00000000" w:rsidRPr="00000000">
        <w:rPr>
          <w:sz w:val="20"/>
          <w:szCs w:val="20"/>
          <w:rtl w:val="0"/>
        </w:rPr>
        <w:t xml:space="preserve"> (Oxford, 1938), p.161</w:t>
      </w:r>
    </w:p>
  </w:footnote>
  <w:footnote w:id="8">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Appendix for full  details of all the saints portrayed in the cope.</w:t>
      </w:r>
    </w:p>
  </w:footnote>
  <w:footnote w:id="14">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For a reconstruction of various late medieval services, see The Experience of Worship Project, http://www.experienceofworship.org.uk/project/introduction-and-overview/</w:t>
      </w:r>
    </w:p>
  </w:footnote>
  <w:footnote w:id="16">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Gerhart B. Ladner, ‘Medieval and Modern Understanding of Symbolism: A Comparison’, </w:t>
      </w:r>
      <w:r w:rsidDel="00000000" w:rsidR="00000000" w:rsidRPr="00000000">
        <w:rPr>
          <w:i w:val="1"/>
          <w:sz w:val="20"/>
          <w:szCs w:val="20"/>
          <w:rtl w:val="0"/>
        </w:rPr>
        <w:t xml:space="preserve">Speculum</w:t>
      </w:r>
      <w:r w:rsidDel="00000000" w:rsidR="00000000" w:rsidRPr="00000000">
        <w:rPr>
          <w:sz w:val="20"/>
          <w:szCs w:val="20"/>
          <w:rtl w:val="0"/>
        </w:rPr>
        <w:t xml:space="preserve">, Vol. 54, No. 2 (Apr., 1979), pp. 223-256, JSTOR,  </w:t>
      </w:r>
      <w:hyperlink r:id="rId2">
        <w:r w:rsidDel="00000000" w:rsidR="00000000" w:rsidRPr="00000000">
          <w:rPr>
            <w:sz w:val="20"/>
            <w:szCs w:val="20"/>
            <w:u w:val="single"/>
            <w:rtl w:val="0"/>
          </w:rPr>
          <w:t xml:space="preserve">https://www.jstor.org/stable/2854972</w:t>
        </w:r>
      </w:hyperlink>
      <w:r w:rsidDel="00000000" w:rsidR="00000000" w:rsidRPr="00000000">
        <w:rPr>
          <w:sz w:val="20"/>
          <w:szCs w:val="20"/>
          <w:rtl w:val="0"/>
        </w:rPr>
        <w:t xml:space="preserve"> accessed 15 November 2020  </w:t>
      </w:r>
    </w:p>
  </w:footnote>
  <w:footnote w:id="15">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Michael Camille,</w:t>
      </w:r>
      <w:r w:rsidDel="00000000" w:rsidR="00000000" w:rsidRPr="00000000">
        <w:rPr>
          <w:i w:val="1"/>
          <w:sz w:val="20"/>
          <w:szCs w:val="20"/>
          <w:rtl w:val="0"/>
        </w:rPr>
        <w:t xml:space="preserve"> Gothic Art</w:t>
      </w:r>
      <w:r w:rsidDel="00000000" w:rsidR="00000000" w:rsidRPr="00000000">
        <w:rPr>
          <w:sz w:val="20"/>
          <w:szCs w:val="20"/>
          <w:rtl w:val="0"/>
        </w:rPr>
        <w:t xml:space="preserve">, (London, 1966), pp11 and 15</w:t>
      </w:r>
    </w:p>
  </w:footnote>
  <w:footnote w:id="13">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Michael Camille, </w:t>
      </w:r>
      <w:r w:rsidDel="00000000" w:rsidR="00000000" w:rsidRPr="00000000">
        <w:rPr>
          <w:i w:val="1"/>
          <w:sz w:val="20"/>
          <w:szCs w:val="20"/>
          <w:rtl w:val="0"/>
        </w:rPr>
        <w:t xml:space="preserve">Gothic Art: Visions and Revelations of the Medieval World,</w:t>
      </w:r>
      <w:r w:rsidDel="00000000" w:rsidR="00000000" w:rsidRPr="00000000">
        <w:rPr>
          <w:sz w:val="20"/>
          <w:szCs w:val="20"/>
          <w:rtl w:val="0"/>
        </w:rPr>
        <w:t xml:space="preserve"> (london, 1966), p.14</w:t>
      </w:r>
    </w:p>
  </w:footnote>
  <w:footnote w:id="2">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a detailed account of Opus anglicanum and its techniques, see https://www.vam.ac.uk/articles/a-z-opus-anglicanum</w:t>
      </w:r>
    </w:p>
  </w:footnote>
  <w:footnote w:id="9">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https://www.vam.ac.uk/articles/medieval-mythologies</w:t>
      </w:r>
    </w:p>
  </w:footnote>
  <w:footnote w:id="4">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a detailed account  of colour in medieval vestments see P. Johnstone, </w:t>
      </w:r>
      <w:r w:rsidDel="00000000" w:rsidR="00000000" w:rsidRPr="00000000">
        <w:rPr>
          <w:i w:val="1"/>
          <w:sz w:val="20"/>
          <w:szCs w:val="20"/>
          <w:rtl w:val="0"/>
        </w:rPr>
        <w:t xml:space="preserve">High Fashion in the Church, </w:t>
      </w:r>
      <w:r w:rsidDel="00000000" w:rsidR="00000000" w:rsidRPr="00000000">
        <w:rPr>
          <w:sz w:val="20"/>
          <w:szCs w:val="20"/>
          <w:rtl w:val="0"/>
        </w:rPr>
        <w:t xml:space="preserve">chapter II</w:t>
      </w:r>
      <w:r w:rsidDel="00000000" w:rsidR="00000000" w:rsidRPr="00000000">
        <w:rPr>
          <w:i w:val="1"/>
          <w:sz w:val="20"/>
          <w:szCs w:val="20"/>
          <w:rtl w:val="0"/>
        </w:rPr>
        <w:t xml:space="preserve">,</w:t>
      </w:r>
      <w:r w:rsidDel="00000000" w:rsidR="00000000" w:rsidRPr="00000000">
        <w:rPr>
          <w:sz w:val="20"/>
          <w:szCs w:val="20"/>
          <w:rtl w:val="0"/>
        </w:rPr>
        <w:t xml:space="preserve"> (Leeds, 2002)</w:t>
      </w:r>
    </w:p>
  </w:footnote>
  <w:footnote w:id="10">
    <w:p w:rsidR="00000000" w:rsidDel="00000000" w:rsidP="00000000" w:rsidRDefault="00000000" w:rsidRPr="00000000" w14:paraId="0000005C">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Saint Margaret was the virtuous daughter of a wealthy family, who had become a Christian and devoted her life to Christ. She was very beautiful and a Roman official saw her and demanded that she marry him. She refused and as a punishment was subjected to horrendous torture, in an effort to kill her. She did not die, however, and asked that she might see her tormentor. A dragon appeared, saying he was Satan, and promptly swallowed her. Her holy cross that she carried swelled to many times its size and burst open the dragon, enabling her to escape. She was the patron saint of childbirth.</w:t>
      </w:r>
      <w:r w:rsidDel="00000000" w:rsidR="00000000" w:rsidRPr="00000000">
        <w:rPr>
          <w:rtl w:val="0"/>
        </w:rPr>
      </w:r>
    </w:p>
  </w:footnote>
  <w:footnote w:id="12">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R.A.S. Macalister, </w:t>
      </w:r>
      <w:r w:rsidDel="00000000" w:rsidR="00000000" w:rsidRPr="00000000">
        <w:rPr>
          <w:i w:val="1"/>
          <w:sz w:val="20"/>
          <w:szCs w:val="20"/>
          <w:rtl w:val="0"/>
        </w:rPr>
        <w:t xml:space="preserve">Ecclesiastical Vestments, </w:t>
      </w:r>
      <w:r w:rsidDel="00000000" w:rsidR="00000000" w:rsidRPr="00000000">
        <w:rPr>
          <w:sz w:val="20"/>
          <w:szCs w:val="20"/>
          <w:rtl w:val="0"/>
        </w:rPr>
        <w:t xml:space="preserve">(London, 1896), obtainable at Project Gutenberg </w:t>
      </w:r>
      <w:hyperlink r:id="rId3">
        <w:r w:rsidDel="00000000" w:rsidR="00000000" w:rsidRPr="00000000">
          <w:rPr>
            <w:color w:val="1155cc"/>
            <w:sz w:val="20"/>
            <w:szCs w:val="20"/>
            <w:u w:val="single"/>
            <w:rtl w:val="0"/>
          </w:rPr>
          <w:t xml:space="preserve">https://www.gutenberg.org/files/56494/56494-h/56494-h.htm</w:t>
        </w:r>
      </w:hyperlink>
      <w:r w:rsidDel="00000000" w:rsidR="00000000" w:rsidRPr="00000000">
        <w:rPr>
          <w:sz w:val="20"/>
          <w:szCs w:val="20"/>
          <w:rtl w:val="0"/>
        </w:rPr>
        <w:t xml:space="preserve"> for detailed information.</w:t>
      </w:r>
    </w:p>
  </w:footnote>
  <w:footnote w:id="11">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Cynthia Hahn, ‘Seeing and Believing: The Construction of Sanctity in Early Medieval Saints’ Shrines’, </w:t>
      </w:r>
      <w:r w:rsidDel="00000000" w:rsidR="00000000" w:rsidRPr="00000000">
        <w:rPr>
          <w:i w:val="1"/>
          <w:sz w:val="20"/>
          <w:szCs w:val="20"/>
          <w:rtl w:val="0"/>
        </w:rPr>
        <w:t xml:space="preserve">Speculum,</w:t>
      </w:r>
      <w:r w:rsidDel="00000000" w:rsidR="00000000" w:rsidRPr="00000000">
        <w:rPr>
          <w:sz w:val="20"/>
          <w:szCs w:val="20"/>
          <w:rtl w:val="0"/>
        </w:rPr>
        <w:t xml:space="preserve"> vol. 72, no.4, 1997, 1079-1106,JSTOR, </w:t>
      </w:r>
      <w:hyperlink r:id="rId4">
        <w:r w:rsidDel="00000000" w:rsidR="00000000" w:rsidRPr="00000000">
          <w:rPr>
            <w:color w:val="1155cc"/>
            <w:sz w:val="20"/>
            <w:szCs w:val="20"/>
            <w:u w:val="single"/>
            <w:rtl w:val="0"/>
          </w:rPr>
          <w:t xml:space="preserve">www.jstor.org/stable/2865959</w:t>
        </w:r>
      </w:hyperlink>
      <w:r w:rsidDel="00000000" w:rsidR="00000000" w:rsidRPr="00000000">
        <w:rPr>
          <w:sz w:val="20"/>
          <w:szCs w:val="20"/>
          <w:rtl w:val="0"/>
        </w:rPr>
        <w:t xml:space="preserve"> accessed 3 June 2020</w:t>
      </w:r>
    </w:p>
  </w:footnote>
  <w:footnote w:id="17">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Sarah Salih, BL https://www.bl.uk/medieval-literature/articles/saints-and-sanctity-in-medieval-england</w:t>
      </w:r>
    </w:p>
  </w:footnote>
  <w:footnote w:id="18">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Binski,</w:t>
      </w:r>
      <w:r w:rsidDel="00000000" w:rsidR="00000000" w:rsidRPr="00000000">
        <w:rPr>
          <w:i w:val="1"/>
          <w:sz w:val="20"/>
          <w:szCs w:val="20"/>
          <w:rtl w:val="0"/>
        </w:rPr>
        <w:t xml:space="preserve"> Gothic Wonder:art, artifice and the decorated style, 1290-1350,</w:t>
      </w:r>
      <w:r w:rsidDel="00000000" w:rsidR="00000000" w:rsidRPr="00000000">
        <w:rPr>
          <w:sz w:val="20"/>
          <w:szCs w:val="20"/>
          <w:rtl w:val="0"/>
        </w:rPr>
        <w:t xml:space="preserve"> (Yale University Press, 2014), p.232</w:t>
      </w:r>
      <w:r w:rsidDel="00000000" w:rsidR="00000000" w:rsidRPr="00000000">
        <w:rPr>
          <w:i w:val="1"/>
          <w:sz w:val="20"/>
          <w:szCs w:val="20"/>
          <w:rtl w:val="0"/>
        </w:rPr>
        <w:t xml:space="preserve"> </w:t>
      </w:r>
      <w:r w:rsidDel="00000000" w:rsidR="00000000" w:rsidRPr="00000000">
        <w:rPr>
          <w:rtl w:val="0"/>
        </w:rPr>
      </w:r>
    </w:p>
  </w:footnote>
  <w:footnote w:id="19">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Binski, p. 171.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nationalarchives.gov.uk/currency-converter/#currency-result" TargetMode="External"/><Relationship Id="rId2" Type="http://schemas.openxmlformats.org/officeDocument/2006/relationships/hyperlink" Target="https://www.jstor.org/stable/2854972" TargetMode="External"/><Relationship Id="rId3" Type="http://schemas.openxmlformats.org/officeDocument/2006/relationships/hyperlink" Target="https://www.gutenberg.org/files/56494/56494-h/56494-h.htm" TargetMode="External"/><Relationship Id="rId4" Type="http://schemas.openxmlformats.org/officeDocument/2006/relationships/hyperlink" Target="http://www.jstor.org/stable/28659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