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5EC81" w14:textId="3195566F" w:rsidR="002F4D9D" w:rsidRDefault="002F4D9D" w:rsidP="002F4D9D">
      <w:pPr>
        <w:pStyle w:val="Heading1"/>
        <w:jc w:val="center"/>
        <w:rPr>
          <w:u w:val="single"/>
        </w:rPr>
      </w:pPr>
      <w:r w:rsidRPr="002F4D9D">
        <w:rPr>
          <w:u w:val="single"/>
        </w:rPr>
        <w:t>Was there a ‘new intervening act’ (</w:t>
      </w:r>
      <w:proofErr w:type="spellStart"/>
      <w:r w:rsidRPr="002F4D9D">
        <w:rPr>
          <w:u w:val="single"/>
        </w:rPr>
        <w:t>novus</w:t>
      </w:r>
      <w:proofErr w:type="spellEnd"/>
      <w:r w:rsidRPr="002F4D9D">
        <w:rPr>
          <w:u w:val="single"/>
        </w:rPr>
        <w:t xml:space="preserve"> actus interveniens) that broke the chain of causation?</w:t>
      </w:r>
    </w:p>
    <w:p w14:paraId="4921ACE7" w14:textId="77777777" w:rsidR="002F4D9D" w:rsidRPr="002F4D9D" w:rsidRDefault="002F4D9D" w:rsidP="002F4D9D"/>
    <w:p w14:paraId="669F04C7" w14:textId="77777777" w:rsidR="002F4D9D" w:rsidRDefault="002F4D9D" w:rsidP="002F4D9D">
      <w:r>
        <w:t>Sometimes you might come across a case where the defendant’s conduct is followed by an act/omission by another party, such as the victim or a third party, which also contributes to the proscribed results. These are referred to as ‘new intervening acts’ (</w:t>
      </w:r>
      <w:proofErr w:type="spellStart"/>
      <w:r>
        <w:t>novus</w:t>
      </w:r>
      <w:proofErr w:type="spellEnd"/>
      <w:r>
        <w:t xml:space="preserve"> actus interveniens). The question here is whether such acts and events break the chain of causation begun by the accused. If this intervening act/omission breaks the chain of causation, then they will not be held criminally liable for the proscribed result.</w:t>
      </w:r>
    </w:p>
    <w:p w14:paraId="7D872B85" w14:textId="77777777" w:rsidR="002F4D9D" w:rsidRDefault="002F4D9D" w:rsidP="002F4D9D"/>
    <w:p w14:paraId="459D765E" w14:textId="77777777" w:rsidR="002F4D9D" w:rsidRDefault="002F4D9D" w:rsidP="002F4D9D">
      <w:r>
        <w:t>Based on the relevant case law, an intervening act will not break the chain of causation if the defendant’s original act or omission remains an ‘operating and substantial’ cause of the result. This principle was decided in the context of murder, but it applies to all result offences (Smith [1959]). The most commonly argued, and therefore examined, breaks in the chain of causation are considered below:</w:t>
      </w:r>
    </w:p>
    <w:p w14:paraId="44D2C11A" w14:textId="77777777" w:rsidR="002F4D9D" w:rsidRDefault="002F4D9D" w:rsidP="002F4D9D"/>
    <w:p w14:paraId="6446CAD3" w14:textId="77777777" w:rsidR="002F4D9D" w:rsidRPr="002F4D9D" w:rsidRDefault="002F4D9D" w:rsidP="002F4D9D">
      <w:pPr>
        <w:rPr>
          <w:rStyle w:val="IntenseEmphasis"/>
        </w:rPr>
      </w:pPr>
      <w:r w:rsidRPr="002F4D9D">
        <w:rPr>
          <w:rStyle w:val="IntenseEmphasis"/>
        </w:rPr>
        <w:t>Intervening acts of third parties</w:t>
      </w:r>
    </w:p>
    <w:p w14:paraId="0ADFEC54" w14:textId="77777777" w:rsidR="002F4D9D" w:rsidRDefault="002F4D9D" w:rsidP="002F4D9D">
      <w:r>
        <w:t>Here the chain of causation is broken where the conduct of the third party is ‘free, deliberate and informed’, even if it is a reasonably foreseeable act. In Pagett [1983], the defendant, who was surrounded by the police, used the victim as a human shield. The defendant fired a shot and the police fired back, killing the victim. The defendant was the legal cause because, although the conduct of the police officer in self-defence was deliberate and informed it was not a ‘free’ reaction to the situation.</w:t>
      </w:r>
    </w:p>
    <w:p w14:paraId="4B7A06AA" w14:textId="77777777" w:rsidR="002F4D9D" w:rsidRDefault="002F4D9D" w:rsidP="002F4D9D"/>
    <w:p w14:paraId="21C3F777" w14:textId="78CDA243" w:rsidR="002F4D9D" w:rsidRDefault="002F4D9D" w:rsidP="002F4D9D">
      <w:r>
        <w:t>In Rafferty [2007], the defendant and others seriously assaulted and robbed the victim on a beach. While the attack continued, the defendant left the scene with the victim’s debit card to try to withdraw cash from his account. In the meantime, the others dragged the victim across the beach, stripped him, took him into the sea and drowned him. The others were convicted of murder. The defendant was convicted of manslaughter on the basis that although he did not have the MR of murder, he did cause the AR of murder. On appeal, the defendant’s conviction was quashed because his act of assault did not cause the victim’s death. It was the conduct of taking the victim into the sea that was a new intervening act breaking the chain of causation.</w:t>
      </w:r>
    </w:p>
    <w:p w14:paraId="75F9432E" w14:textId="77777777" w:rsidR="002F4D9D" w:rsidRPr="002F4D9D" w:rsidRDefault="002F4D9D" w:rsidP="002F4D9D">
      <w:pPr>
        <w:rPr>
          <w:rStyle w:val="IntenseEmphasis"/>
        </w:rPr>
      </w:pPr>
    </w:p>
    <w:p w14:paraId="76932954" w14:textId="77777777" w:rsidR="002F4D9D" w:rsidRPr="002F4D9D" w:rsidRDefault="002F4D9D" w:rsidP="002F4D9D">
      <w:pPr>
        <w:rPr>
          <w:rStyle w:val="IntenseEmphasis"/>
        </w:rPr>
      </w:pPr>
      <w:r w:rsidRPr="002F4D9D">
        <w:rPr>
          <w:rStyle w:val="IntenseEmphasis"/>
        </w:rPr>
        <w:t>Interventions of the medical profession</w:t>
      </w:r>
    </w:p>
    <w:p w14:paraId="06A571D5" w14:textId="77777777" w:rsidR="002F4D9D" w:rsidRDefault="002F4D9D" w:rsidP="002F4D9D">
      <w:r>
        <w:t xml:space="preserve">Legal causation is often the issue in relation to cases involving medical treatment. Here, following an injury caused by the defendant, the victim then receives medical treatment which leads to further injury or death. In Jordan [1956], the defendant stabbed the victim, who was admitted to hospital and died 80 days later. On appeal, it was held that the chain of causation had been broken by the introduction of a drug to prevent infection to which the victim had proved to be allergic, and by the </w:t>
      </w:r>
      <w:r>
        <w:lastRenderedPageBreak/>
        <w:t>introduction of fluid which had caused the victim’s lungs to waterlog. It was said that this treatment was ‘palpably wrong’, i.e. extremely negligent, and it broke the chain of causation.</w:t>
      </w:r>
    </w:p>
    <w:p w14:paraId="140CA4AA" w14:textId="77777777" w:rsidR="002F4D9D" w:rsidRDefault="002F4D9D" w:rsidP="002F4D9D"/>
    <w:p w14:paraId="4415CEA5" w14:textId="77777777" w:rsidR="002F4D9D" w:rsidRDefault="002F4D9D" w:rsidP="002F4D9D">
      <w:r>
        <w:t>In Smith [1959], during a fight between soldiers, the defendant stabbed the victim twice. At the medical centre, a doctor did not realise that one of the wounds had pierced a lung and caused a haemorrhage. In the light of this, the victim was given a ‘thoroughly bad’ treatment which may have affected his chances of recovery. On appeal, the defendant’s conviction was upheld with the court adopting the operating and substantial test. In particular, it was held that the defendant’s conduct was still the operating and substantial cause of death. Lord Parker stated that the original wound would be an operating and substantial cause of death, unless it was merely the setting in which another cause operates: ‘Only if the second cause is so overwhelming as to make the original wound merely part of the history can it be said that the death does not flow from the wound’.</w:t>
      </w:r>
    </w:p>
    <w:p w14:paraId="13A57553" w14:textId="77777777" w:rsidR="002F4D9D" w:rsidRDefault="002F4D9D" w:rsidP="002F4D9D"/>
    <w:p w14:paraId="4D929B69" w14:textId="77777777" w:rsidR="002F4D9D" w:rsidRDefault="002F4D9D" w:rsidP="002F4D9D">
      <w:r>
        <w:t>Jordan can be distinguished on the basis that as the wound was healing the original wound was merely part of the history. In subsequent cases, some doubt has been cast on the status of Jordan and it now seems that this case is confined largely to its own facts. This means that if a case is distinguishable in some significant factual way from Jordan, then Jordan should not be followed. The general policy behind the law here is that medical negligence should not be regarded as extraordinary and unforeseeable. It would be wrong if the defendant could easily escape conviction by blaming the medical profession. As a result, medical interventions will very rarely break the chain of causation and this is due to policy considerations.</w:t>
      </w:r>
    </w:p>
    <w:p w14:paraId="0C60F612" w14:textId="77777777" w:rsidR="002F4D9D" w:rsidRDefault="002F4D9D" w:rsidP="002F4D9D"/>
    <w:p w14:paraId="7ECCCBBB" w14:textId="77777777" w:rsidR="002F4D9D" w:rsidRDefault="002F4D9D" w:rsidP="002F4D9D">
      <w:r>
        <w:t>In Cheshire [1991], the defendant shot the victim in the leg and abdomen. While the wound was healing, a tracheotomy became necessary because of respiratory problems. This led to the narrowing of the windpipe. This complication, which could have been treated, went undetected and led to death. As with Jordan, one might have expected that the chain of causation would have been broken. The Court of Appeal held that the test is whether the defendant’s conduct is a ‘significant’ cause of the result. The defendant’s conduct will be seen as significant unless the medical negligence was ‘so independent’ of their conduct and ‘so potent’ in causing the result. The medical negligence would have to be ‘extraordinary’, by which was meant ‘unforeseeable’, before the chain of causation would be broken. On the facts the negligence was not so potent and independent and the chain of causation was not broken. Consequently, the defendant was guilty of murder. It seems that medical treatment is more likely to break the chain of causation where it involves a positive act of negligence, such as in Jordan, than where it involves an omission, such as in Cheshire.</w:t>
      </w:r>
    </w:p>
    <w:p w14:paraId="11B0B1CF" w14:textId="77777777" w:rsidR="002F4D9D" w:rsidRPr="002F4D9D" w:rsidRDefault="002F4D9D" w:rsidP="002F4D9D">
      <w:pPr>
        <w:rPr>
          <w:rStyle w:val="IntenseEmphasis"/>
        </w:rPr>
      </w:pPr>
    </w:p>
    <w:p w14:paraId="42A202D4" w14:textId="77777777" w:rsidR="002F4D9D" w:rsidRPr="002F4D9D" w:rsidRDefault="002F4D9D" w:rsidP="002F4D9D">
      <w:pPr>
        <w:rPr>
          <w:rStyle w:val="IntenseEmphasis"/>
        </w:rPr>
      </w:pPr>
      <w:r w:rsidRPr="002F4D9D">
        <w:rPr>
          <w:rStyle w:val="IntenseEmphasis"/>
        </w:rPr>
        <w:t>Intervening natural events</w:t>
      </w:r>
    </w:p>
    <w:p w14:paraId="5C53546F" w14:textId="77777777" w:rsidR="002F4D9D" w:rsidRDefault="002F4D9D" w:rsidP="002F4D9D">
      <w:r>
        <w:t>These may or may not break the chain of causation. To use two examples from Perkins [1946], if the defendant attacks the victim and leaves him in a building that collapses from an earthquake, the defendant has not caused the victim’s death because the intervening act was not reasonably foreseeable. If the defendant attacks the victim on the seashore, and leaves them in imminent danger from the incoming tide, and they drown before consciousness returns, the defendant will have legally caused the result – the intervening act is reasonably foreseeable and thus the defendant’s conduct is an operating and substantial cause of death.</w:t>
      </w:r>
    </w:p>
    <w:p w14:paraId="03DB02DD" w14:textId="77777777" w:rsidR="002F4D9D" w:rsidRPr="002F4D9D" w:rsidRDefault="002F4D9D" w:rsidP="002F4D9D">
      <w:pPr>
        <w:rPr>
          <w:rStyle w:val="IntenseEmphasis"/>
        </w:rPr>
      </w:pPr>
    </w:p>
    <w:p w14:paraId="3EA7D46D" w14:textId="77777777" w:rsidR="002F4D9D" w:rsidRPr="002F4D9D" w:rsidRDefault="002F4D9D" w:rsidP="002F4D9D">
      <w:pPr>
        <w:rPr>
          <w:rStyle w:val="IntenseEmphasis"/>
        </w:rPr>
      </w:pPr>
      <w:r w:rsidRPr="002F4D9D">
        <w:rPr>
          <w:rStyle w:val="IntenseEmphasis"/>
        </w:rPr>
        <w:t>Intervening acts of the victim:</w:t>
      </w:r>
    </w:p>
    <w:p w14:paraId="04099847" w14:textId="26E1C74E" w:rsidR="002F4D9D" w:rsidRPr="002F4D9D" w:rsidRDefault="002F4D9D" w:rsidP="002F4D9D">
      <w:pPr>
        <w:rPr>
          <w:b/>
          <w:bCs/>
        </w:rPr>
      </w:pPr>
      <w:r>
        <w:t xml:space="preserve"> </w:t>
      </w:r>
      <w:r w:rsidRPr="002F4D9D">
        <w:rPr>
          <w:b/>
          <w:bCs/>
        </w:rPr>
        <w:t>Refusal of medical treatment and pre-existing conditions of the victim</w:t>
      </w:r>
    </w:p>
    <w:p w14:paraId="7F2393E9" w14:textId="77777777" w:rsidR="002F4D9D" w:rsidRDefault="002F4D9D" w:rsidP="002F4D9D">
      <w:r>
        <w:t>In such cases it appears that the chain is not broken if the defendant’s conduct is still the operating and substantial cause of the further result (or according to Pagett [1983] at least the significant cause).</w:t>
      </w:r>
    </w:p>
    <w:p w14:paraId="12EE53B9" w14:textId="77777777" w:rsidR="002F4D9D" w:rsidRPr="002F4D9D" w:rsidRDefault="002F4D9D" w:rsidP="002F4D9D">
      <w:pPr>
        <w:rPr>
          <w:b/>
          <w:bCs/>
        </w:rPr>
      </w:pPr>
    </w:p>
    <w:p w14:paraId="5C0EA045" w14:textId="77777777" w:rsidR="002F4D9D" w:rsidRDefault="002F4D9D" w:rsidP="002F4D9D">
      <w:r w:rsidRPr="002F4D9D">
        <w:rPr>
          <w:b/>
          <w:bCs/>
        </w:rPr>
        <w:t>Refusal of treatment</w:t>
      </w:r>
      <w:r>
        <w:t xml:space="preserve">: In Holland (1841), the defendant cut the victim across his finger with an iron instrument. The victim refused to have his finger amputated, even though he was told that if he did not, his life would be in danger. The victim subsequently died of lockjaw (tetanus). The defendant was guilty of murder. Based on current law, the defendant’s conduct would be regarded as an operating and substantial cause of the result at the time of the intervening act. The victim’s intervening refusal did not ‘break the chain’ of causation because there can be more than one cause. Similarly, in </w:t>
      </w:r>
      <w:proofErr w:type="spellStart"/>
      <w:r>
        <w:t>Blaue</w:t>
      </w:r>
      <w:proofErr w:type="spellEnd"/>
      <w:r>
        <w:t xml:space="preserve"> [1975], the victim, a Jehovah’s Witness who had been stabbed by the defendant, refused a blood transfusion. The defendant was guilty of manslaughter despite the victim’s pre-existing religious belief. This is because of the rule that the defendant has to ‘take his victim as he finds him’. This is also known as the ‘thin skull’ rule.</w:t>
      </w:r>
    </w:p>
    <w:p w14:paraId="38275C85" w14:textId="77777777" w:rsidR="002F4D9D" w:rsidRDefault="002F4D9D" w:rsidP="002F4D9D"/>
    <w:p w14:paraId="591531E8" w14:textId="77777777" w:rsidR="002F4D9D" w:rsidRDefault="002F4D9D" w:rsidP="002F4D9D">
      <w:r w:rsidRPr="002F4D9D">
        <w:rPr>
          <w:b/>
          <w:bCs/>
        </w:rPr>
        <w:t>Pre-existing other causes:</w:t>
      </w:r>
      <w:r>
        <w:t xml:space="preserve"> It may be that another pre-existing situation or condition also contributes to the result. In relation to offences against the person, the defendant will be the legal cause of the result, even though a normal person would not have suffered the result. In Dyson [1908], a child injured by the defendant also had meningitis. The defendant was the legal cause of the child’s death despite the fact that the medical cause of death was meningitis.</w:t>
      </w:r>
    </w:p>
    <w:p w14:paraId="1D287816" w14:textId="77777777" w:rsidR="002F4D9D" w:rsidRDefault="002F4D9D" w:rsidP="002F4D9D"/>
    <w:p w14:paraId="34939F90" w14:textId="77777777" w:rsidR="002F4D9D" w:rsidRDefault="002F4D9D" w:rsidP="002F4D9D">
      <w:r>
        <w:t>In Hayward [1908], the defendant chased his wife into the road, where she dropped down dead. The victim was suffering from a pre-existing abnormal heart condition. Nonetheless, the defendant was found guilty of manslaughter. The fact that the defendant did not know of the victim’s condition was irrelevant. The defendant had to take his victim as he found her.</w:t>
      </w:r>
    </w:p>
    <w:p w14:paraId="1E5D1A4D" w14:textId="77777777" w:rsidR="002F4D9D" w:rsidRDefault="002F4D9D" w:rsidP="002F4D9D"/>
    <w:p w14:paraId="74C6BE48" w14:textId="77777777" w:rsidR="002F4D9D" w:rsidRDefault="002F4D9D" w:rsidP="002F4D9D">
      <w:r>
        <w:t>In Dear [1996], the defendant injured the victim after the victim had sexually assaulted the defendant’s child. The victim, who was depressed, picked at the wounds inflicted by the defendant, and subsequently died from blood loss. The defendant was the legal cause of the victim’s death even though the victim was depressed and had reopened their own wound. In all these cases, the fact that there was a pre-existing condition did not prevent the defendant from being the legal cause of the result.</w:t>
      </w:r>
    </w:p>
    <w:p w14:paraId="077EC6D9" w14:textId="77777777" w:rsidR="002F4D9D" w:rsidRPr="002F4D9D" w:rsidRDefault="002F4D9D" w:rsidP="002F4D9D">
      <w:pPr>
        <w:rPr>
          <w:rStyle w:val="IntenseEmphasis"/>
        </w:rPr>
      </w:pPr>
    </w:p>
    <w:p w14:paraId="259F1B85" w14:textId="77777777" w:rsidR="002F4D9D" w:rsidRPr="002F4D9D" w:rsidRDefault="002F4D9D" w:rsidP="002F4D9D">
      <w:pPr>
        <w:rPr>
          <w:rStyle w:val="IntenseEmphasis"/>
        </w:rPr>
      </w:pPr>
      <w:r w:rsidRPr="002F4D9D">
        <w:rPr>
          <w:rStyle w:val="IntenseEmphasis"/>
        </w:rPr>
        <w:t>Intervening acts of the victim: self-harm</w:t>
      </w:r>
    </w:p>
    <w:p w14:paraId="63EF88FE" w14:textId="77777777" w:rsidR="002F4D9D" w:rsidRDefault="002F4D9D" w:rsidP="002F4D9D">
      <w:r>
        <w:t xml:space="preserve">The most serious form of self-harm is suicide. In Dhaliwal [2006], the defendant’s wife hanged herself after enduring years of abuse from him. The defendant was charged with causing GBH contrary to s18 OAPA 1861 and manslaughter. The Court of Appeal upheld the trial judge’s decision </w:t>
      </w:r>
      <w:r>
        <w:lastRenderedPageBreak/>
        <w:t>to stop the case: there was no medical evidence that the defendant’s abuse had caused his wife’s psychological condition. The Court of Appeal also stated that where the defendant’s unlawful conduct does cause a recognisable psychiatric illness which then leads to suicide, the defendant can be prosecuted for unlawful act manslaughter. This decision recognises that the chain of causation can remain intact even where the victim takes the most drastic self-harm measure possible.</w:t>
      </w:r>
    </w:p>
    <w:p w14:paraId="776763A5" w14:textId="77777777" w:rsidR="002F4D9D" w:rsidRDefault="002F4D9D" w:rsidP="002F4D9D"/>
    <w:p w14:paraId="546695F2" w14:textId="77777777" w:rsidR="002F4D9D" w:rsidRDefault="002F4D9D" w:rsidP="002F4D9D">
      <w:r>
        <w:t>The principles discussed above were considered in Wallace [2018]. Here, the defendant was charged with murder after throwing acid over the victim. The victim suffered horrific injuries as a result, including being completely paralysed, severely disfigured and visually impaired. The victim was also left in a permanent state of unbearable physical and psychological pain. During the year following the attack, the victim’s father took him to Belgium and admitted him to hospital there. After being told that his condition was permanent with no prospect of improvement, the victim applied for euthanasia under Belgian law. Euthanasia was carried out on the victim. The question for the Court of Appeal was whether the actions of the doctors in administering euthanasia broke the chain of causation and whether the defendant could properly be charged with murder. The Court of Appeal said:</w:t>
      </w:r>
    </w:p>
    <w:p w14:paraId="7E93390E" w14:textId="77777777" w:rsidR="002F4D9D" w:rsidRDefault="002F4D9D" w:rsidP="002F4D9D"/>
    <w:p w14:paraId="7100CD9C" w14:textId="77777777" w:rsidR="002F4D9D" w:rsidRDefault="002F4D9D" w:rsidP="002F4D9D">
      <w:r>
        <w:t>it is well established that the defendant was not to be held responsible for the deliberate act of an informed adult, of sound mind, who was able to make their own decision about how to act, following Kennedy (No. 2) [2007] (see below);</w:t>
      </w:r>
    </w:p>
    <w:p w14:paraId="46DCDFDE" w14:textId="77777777" w:rsidR="002F4D9D" w:rsidRDefault="002F4D9D" w:rsidP="002F4D9D"/>
    <w:p w14:paraId="22852DC7" w14:textId="77777777" w:rsidR="002F4D9D" w:rsidRDefault="002F4D9D" w:rsidP="002F4D9D">
      <w:r>
        <w:t>on the facts of this case, however, it was clear that the victim’s unbearable suffering resulted from the injuries inflicted by the defendant, and that ‘but for’ those injuries and that suffering, the defendant would not have requested or received euthanasia;</w:t>
      </w:r>
    </w:p>
    <w:p w14:paraId="6A39F4DF" w14:textId="77777777" w:rsidR="002F4D9D" w:rsidRDefault="002F4D9D" w:rsidP="002F4D9D"/>
    <w:p w14:paraId="4C73F716" w14:textId="77777777" w:rsidR="002F4D9D" w:rsidRDefault="002F4D9D" w:rsidP="002F4D9D">
      <w:r>
        <w:t>there was a direct link between the injuries and death, which was not affected by any pre-existing condition or suicidal tendency on the victim’s part. The victim’s death, his request for and the act of euthanasia were not free, voluntary and informed as was required for them to break the chain of causation, but were a direct response to the injuries for which the defendant was responsible; and</w:t>
      </w:r>
    </w:p>
    <w:p w14:paraId="17DAEC4C" w14:textId="77777777" w:rsidR="002F4D9D" w:rsidRDefault="002F4D9D" w:rsidP="002F4D9D"/>
    <w:p w14:paraId="05ACD8F8" w14:textId="44A7E944" w:rsidR="00972D60" w:rsidRDefault="002F4D9D" w:rsidP="002F4D9D">
      <w:r>
        <w:t>the fact that the Belgian doctors regarded the victim’s request as ‘voluntary’ for the purposes of the national law on euthanasia did not determine whether it was voluntary in terms of the legal issues</w:t>
      </w:r>
    </w:p>
    <w:sectPr w:rsidR="00972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D9D"/>
    <w:rsid w:val="002F4D9D"/>
    <w:rsid w:val="00972D60"/>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C1018"/>
  <w15:chartTrackingRefBased/>
  <w15:docId w15:val="{0BE0E7D3-087D-4D54-A4EF-5A34F168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D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D9D"/>
    <w:rPr>
      <w:rFonts w:asciiTheme="majorHAnsi" w:eastAsiaTheme="majorEastAsia" w:hAnsiTheme="majorHAnsi" w:cstheme="majorBidi"/>
      <w:color w:val="2F5496" w:themeColor="accent1" w:themeShade="BF"/>
      <w:sz w:val="32"/>
      <w:szCs w:val="32"/>
    </w:rPr>
  </w:style>
  <w:style w:type="character" w:styleId="IntenseEmphasis">
    <w:name w:val="Intense Emphasis"/>
    <w:basedOn w:val="DefaultParagraphFont"/>
    <w:uiPriority w:val="21"/>
    <w:qFormat/>
    <w:rsid w:val="002F4D9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1771</Words>
  <Characters>10096</Characters>
  <Application>Microsoft Office Word</Application>
  <DocSecurity>0</DocSecurity>
  <Lines>84</Lines>
  <Paragraphs>23</Paragraphs>
  <ScaleCrop>false</ScaleCrop>
  <Company>University of Wales Trinity Saint David</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2023-01-29T21:19:00Z</dcterms:created>
  <dcterms:modified xsi:type="dcterms:W3CDTF">2023-01-29T21:22:00Z</dcterms:modified>
</cp:coreProperties>
</file>