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41958004"/>
        <w:docPartObj>
          <w:docPartGallery w:val="Cover Pages"/>
          <w:docPartUnique/>
        </w:docPartObj>
      </w:sdtPr>
      <w:sdtEndPr/>
      <w:sdtContent>
        <w:p w14:paraId="576D938E" w14:textId="115833C3" w:rsidR="00C76C23" w:rsidRDefault="00D30FD0">
          <w:r>
            <w:rPr>
              <w:noProof/>
            </w:rPr>
            <mc:AlternateContent>
              <mc:Choice Requires="wps">
                <w:drawing>
                  <wp:anchor distT="0" distB="0" distL="114300" distR="114300" simplePos="0" relativeHeight="251660288" behindDoc="0" locked="0" layoutInCell="1" allowOverlap="1" wp14:anchorId="1E610116" wp14:editId="7889B3D4">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2217420"/>
                    <wp:effectExtent l="0" t="0" r="635" b="0"/>
                    <wp:wrapNone/>
                    <wp:docPr id="467" name="Rectangle 259"/>
                    <wp:cNvGraphicFramePr/>
                    <a:graphic xmlns:a="http://schemas.openxmlformats.org/drawingml/2006/main">
                      <a:graphicData uri="http://schemas.microsoft.com/office/word/2010/wordprocessingShape">
                        <wps:wsp>
                          <wps:cNvSpPr/>
                          <wps:spPr>
                            <a:xfrm>
                              <a:off x="0" y="0"/>
                              <a:ext cx="2875915" cy="22174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C69067" w14:textId="74EBAE88" w:rsidR="00C76C23" w:rsidRDefault="00000E1A">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1B18A4">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1E610116" id="Rectangle 259" o:spid="_x0000_s1026" style="position:absolute;margin-left:0;margin-top:0;width:226.45pt;height:174.6pt;z-index:251660288;visibility:visible;mso-wrap-style:square;mso-width-percent:370;mso-height-percent:0;mso-left-percent:455;mso-top-percent:25;mso-wrap-distance-left:9pt;mso-wrap-distance-top:0;mso-wrap-distance-right:9pt;mso-wrap-distance-bottom:0;mso-position-horizontal-relative:page;mso-position-vertical-relative:page;mso-width-percent:370;mso-height-percent: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" fillcolor="#0e2841 [3215]" stroked="f" strokeweight="1pt">
                    <v:textbox inset="14.4pt,14.4pt,14.4pt,28.8pt">
                      <w:txbxContent>
                        <w:p w14:paraId="45C69067" w14:textId="74EBAE88" w:rsidR="00C76C23" w:rsidRDefault="005A7809">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1B18A4">
                                <w:rPr>
                                  <w:color w:val="FFFFFF" w:themeColor="background1"/>
                                </w:rPr>
                                <w:t xml:space="preserve">     </w:t>
                              </w:r>
                            </w:sdtContent>
                          </w:sdt>
                        </w:p>
                      </w:txbxContent>
                    </v:textbox>
                    <w10:wrap anchorx="page" anchory="page"/>
                  </v:rect>
                </w:pict>
              </mc:Fallback>
            </mc:AlternateContent>
          </w:r>
          <w:r w:rsidR="00C76C23">
            <w:rPr>
              <w:noProof/>
            </w:rPr>
            <mc:AlternateContent>
              <mc:Choice Requires="wps">
                <w:drawing>
                  <wp:anchor distT="0" distB="0" distL="114300" distR="114300" simplePos="0" relativeHeight="251663360" behindDoc="1" locked="0" layoutInCell="1" allowOverlap="1" wp14:anchorId="0BABDFEF" wp14:editId="339718E9">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2766F22" w14:textId="77777777" w:rsidR="00C76C23" w:rsidRDefault="00C76C2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BABDFEF"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02766F22" w14:textId="77777777" w:rsidR="00C76C23" w:rsidRDefault="00C76C23"/>
                      </w:txbxContent>
                    </v:textbox>
                    <w10:wrap anchorx="page" anchory="page"/>
                  </v:rect>
                </w:pict>
              </mc:Fallback>
            </mc:AlternateContent>
          </w:r>
          <w:r w:rsidR="00C76C23">
            <w:rPr>
              <w:noProof/>
            </w:rPr>
            <mc:AlternateContent>
              <mc:Choice Requires="wps">
                <w:drawing>
                  <wp:anchor distT="0" distB="0" distL="114300" distR="114300" simplePos="0" relativeHeight="251659264" behindDoc="0" locked="0" layoutInCell="1" allowOverlap="1" wp14:anchorId="08CE80D4" wp14:editId="7530EC6D">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669E468"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sidR="00C76C23">
            <w:rPr>
              <w:noProof/>
            </w:rPr>
            <mc:AlternateContent>
              <mc:Choice Requires="wps">
                <w:drawing>
                  <wp:anchor distT="0" distB="0" distL="114300" distR="114300" simplePos="0" relativeHeight="251662336" behindDoc="0" locked="0" layoutInCell="1" allowOverlap="1" wp14:anchorId="70EB0044" wp14:editId="0276157C">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1C54894"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p>
        <w:p w14:paraId="10A2D375" w14:textId="7FC67197" w:rsidR="00C76C23" w:rsidRDefault="00F7418D">
          <w:r>
            <w:rPr>
              <w:noProof/>
            </w:rPr>
            <mc:AlternateContent>
              <mc:Choice Requires="wps">
                <w:drawing>
                  <wp:anchor distT="0" distB="0" distL="114300" distR="114300" simplePos="0" relativeHeight="251664384" behindDoc="0" locked="0" layoutInCell="1" allowOverlap="1" wp14:anchorId="21C29311" wp14:editId="6C9AC236">
                    <wp:simplePos x="0" y="0"/>
                    <wp:positionH relativeFrom="page">
                      <wp:posOffset>3543300</wp:posOffset>
                    </wp:positionH>
                    <wp:positionV relativeFrom="page">
                      <wp:posOffset>5341620</wp:posOffset>
                    </wp:positionV>
                    <wp:extent cx="2797810" cy="1135380"/>
                    <wp:effectExtent l="0" t="0" r="0" b="762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1135380"/>
                            </a:xfrm>
                            <a:prstGeom prst="rect">
                              <a:avLst/>
                            </a:prstGeom>
                            <a:noFill/>
                            <a:ln w="6350">
                              <a:noFill/>
                            </a:ln>
                            <a:effectLst/>
                          </wps:spPr>
                          <wps:txbx>
                            <w:txbxContent>
                              <w:p w14:paraId="27EA0230" w14:textId="7CD1A5CE" w:rsidR="00C76C23" w:rsidRDefault="00000E1A">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76C23">
                                      <w:rPr>
                                        <w:noProof/>
                                        <w:color w:val="0E2841" w:themeColor="text2"/>
                                      </w:rPr>
                                      <w:t>John Shanks Paton (2336252)</w:t>
                                    </w:r>
                                  </w:sdtContent>
                                </w:sdt>
                              </w:p>
                              <w:p w14:paraId="2B055F15" w14:textId="52EEFB3E" w:rsidR="006B4CAF" w:rsidRDefault="006B4CAF">
                                <w:pPr>
                                  <w:pStyle w:val="NoSpacing"/>
                                  <w:rPr>
                                    <w:noProof/>
                                    <w:color w:val="0E2841" w:themeColor="text2"/>
                                  </w:rPr>
                                </w:pPr>
                                <w:r>
                                  <w:rPr>
                                    <w:noProof/>
                                    <w:color w:val="0E2841" w:themeColor="text2"/>
                                  </w:rPr>
                                  <w:t>University of Wales Trinity St David</w:t>
                                </w:r>
                              </w:p>
                              <w:p w14:paraId="217565DD" w14:textId="25A31BD4" w:rsidR="000D7017" w:rsidRDefault="00A7434C" w:rsidP="00F7418D">
                                <w:pPr>
                                  <w:pStyle w:val="NoSpacing"/>
                                  <w:rPr>
                                    <w:noProof/>
                                    <w:color w:val="0E2841" w:themeColor="text2"/>
                                  </w:rPr>
                                </w:pPr>
                                <w:r>
                                  <w:rPr>
                                    <w:noProof/>
                                    <w:color w:val="0E2841" w:themeColor="text2"/>
                                  </w:rPr>
                                  <w:br/>
                                  <w:t xml:space="preserve">Lecturer: </w:t>
                                </w:r>
                                <w:r w:rsidR="000D7017">
                                  <w:rPr>
                                    <w:noProof/>
                                    <w:color w:val="0E2841" w:themeColor="text2"/>
                                  </w:rPr>
                                  <w:t>Laila</w:t>
                                </w:r>
                                <w:r w:rsidR="00F7418D">
                                  <w:rPr>
                                    <w:noProof/>
                                    <w:color w:val="0E2841" w:themeColor="text2"/>
                                  </w:rPr>
                                  <w:t xml:space="preserve"> M</w:t>
                                </w:r>
                                <w:r w:rsidR="00433B74">
                                  <w:rPr>
                                    <w:noProof/>
                                    <w:color w:val="0E2841" w:themeColor="text2"/>
                                  </w:rPr>
                                  <w:t>a</w:t>
                                </w:r>
                                <w:r w:rsidR="00F7418D">
                                  <w:rPr>
                                    <w:noProof/>
                                    <w:color w:val="0E2841" w:themeColor="text2"/>
                                  </w:rPr>
                                  <w:t>azouz</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type w14:anchorId="21C29311" id="_x0000_t202" coordsize="21600,21600" o:spt="202" path="m,l,21600r21600,l21600,xe">
                    <v:stroke joinstyle="miter"/>
                    <v:path gradientshapeok="t" o:connecttype="rect"/>
                  </v:shapetype>
                  <v:shape id="Text Box 255" o:spid="_x0000_s1028" type="#_x0000_t202" style="position:absolute;margin-left:279pt;margin-top:420.6pt;width:220.3pt;height:89.4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" filled="f" stroked="f" strokeweight=".5pt">
                    <v:textbox>
                      <w:txbxContent>
                        <w:p w14:paraId="27EA0230" w14:textId="7CD1A5CE" w:rsidR="00C76C23" w:rsidRDefault="005A7809">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76C23">
                                <w:rPr>
                                  <w:noProof/>
                                  <w:color w:val="0E2841" w:themeColor="text2"/>
                                </w:rPr>
                                <w:t>John Shanks Paton (2336252)</w:t>
                              </w:r>
                            </w:sdtContent>
                          </w:sdt>
                        </w:p>
                        <w:p w14:paraId="2B055F15" w14:textId="52EEFB3E" w:rsidR="006B4CAF" w:rsidRDefault="006B4CAF">
                          <w:pPr>
                            <w:pStyle w:val="NoSpacing"/>
                            <w:rPr>
                              <w:noProof/>
                              <w:color w:val="0E2841" w:themeColor="text2"/>
                            </w:rPr>
                          </w:pPr>
                          <w:r>
                            <w:rPr>
                              <w:noProof/>
                              <w:color w:val="0E2841" w:themeColor="text2"/>
                            </w:rPr>
                            <w:t>University of Wales Trinity St David</w:t>
                          </w:r>
                        </w:p>
                        <w:p w14:paraId="217565DD" w14:textId="25A31BD4" w:rsidR="000D7017" w:rsidRDefault="00A7434C" w:rsidP="00F7418D">
                          <w:pPr>
                            <w:pStyle w:val="NoSpacing"/>
                            <w:rPr>
                              <w:noProof/>
                              <w:color w:val="0E2841" w:themeColor="text2"/>
                            </w:rPr>
                          </w:pPr>
                          <w:r>
                            <w:rPr>
                              <w:noProof/>
                              <w:color w:val="0E2841" w:themeColor="text2"/>
                            </w:rPr>
                            <w:br/>
                            <w:t xml:space="preserve">Lecturer: </w:t>
                          </w:r>
                          <w:r w:rsidR="000D7017">
                            <w:rPr>
                              <w:noProof/>
                              <w:color w:val="0E2841" w:themeColor="text2"/>
                            </w:rPr>
                            <w:t>Laila</w:t>
                          </w:r>
                          <w:r w:rsidR="00F7418D">
                            <w:rPr>
                              <w:noProof/>
                              <w:color w:val="0E2841" w:themeColor="text2"/>
                            </w:rPr>
                            <w:t xml:space="preserve"> M</w:t>
                          </w:r>
                          <w:r w:rsidR="00433B74">
                            <w:rPr>
                              <w:noProof/>
                              <w:color w:val="0E2841" w:themeColor="text2"/>
                            </w:rPr>
                            <w:t>a</w:t>
                          </w:r>
                          <w:r w:rsidR="00F7418D">
                            <w:rPr>
                              <w:noProof/>
                              <w:color w:val="0E2841" w:themeColor="text2"/>
                            </w:rPr>
                            <w:t>azouz</w:t>
                          </w:r>
                        </w:p>
                      </w:txbxContent>
                    </v:textbox>
                    <w10:wrap type="square" anchorx="page" anchory="page"/>
                  </v:shape>
                </w:pict>
              </mc:Fallback>
            </mc:AlternateContent>
          </w:r>
          <w:r w:rsidR="00D30FD0">
            <w:rPr>
              <w:noProof/>
            </w:rPr>
            <mc:AlternateContent>
              <mc:Choice Requires="wps">
                <w:drawing>
                  <wp:anchor distT="0" distB="0" distL="114300" distR="114300" simplePos="0" relativeHeight="251661312" behindDoc="0" locked="0" layoutInCell="1" allowOverlap="1" wp14:anchorId="0722F55D" wp14:editId="74DC7516">
                    <wp:simplePos x="0" y="0"/>
                    <wp:positionH relativeFrom="page">
                      <wp:posOffset>3559175</wp:posOffset>
                    </wp:positionH>
                    <wp:positionV relativeFrom="page">
                      <wp:posOffset>2606040</wp:posOffset>
                    </wp:positionV>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A9DB14C" w14:textId="4118BC95" w:rsidR="00C76C23" w:rsidRDefault="006609AF">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 xml:space="preserve">LCLM6001 Strategic </w:t>
                                    </w:r>
                                    <w:r w:rsidR="0081506C">
                                      <w:rPr>
                                        <w:rFonts w:asciiTheme="majorHAnsi" w:eastAsiaTheme="majorEastAsia" w:hAnsiTheme="majorHAnsi" w:cstheme="majorBidi"/>
                                        <w:noProof/>
                                        <w:color w:val="156082" w:themeColor="accent1"/>
                                        <w:sz w:val="72"/>
                                        <w:szCs w:val="72"/>
                                      </w:rPr>
                                      <w:t>Management for Business</w:t>
                                    </w:r>
                                  </w:p>
                                </w:sdtContent>
                              </w:sdt>
                              <w:sdt>
                                <w:sdt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EA7AE6B" w14:textId="77A5DD38" w:rsidR="00C76C23" w:rsidRDefault="00017115">
                                    <w:pPr>
                                      <w:rPr>
                                        <w:rFonts w:asciiTheme="majorHAnsi" w:eastAsiaTheme="majorEastAsia" w:hAnsiTheme="majorHAnsi" w:cstheme="majorBidi"/>
                                        <w:noProof/>
                                        <w:color w:val="0E2841" w:themeColor="text2"/>
                                        <w:sz w:val="32"/>
                                        <w:szCs w:val="40"/>
                                      </w:rPr>
                                    </w:pPr>
                                    <w:r w:rsidRPr="00017115">
                                      <w:t>Strategic Growth Report for Vodafone Group Plc</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722F55D" id="Text Box 265" o:spid="_x0000_s1029" type="#_x0000_t202" style="position:absolute;margin-left:280.25pt;margin-top:205.2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A9DB14C" w14:textId="4118BC95" w:rsidR="00C76C23" w:rsidRDefault="006609AF">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 xml:space="preserve">LCLM6001 Strategic </w:t>
                              </w:r>
                              <w:r w:rsidR="0081506C">
                                <w:rPr>
                                  <w:rFonts w:asciiTheme="majorHAnsi" w:eastAsiaTheme="majorEastAsia" w:hAnsiTheme="majorHAnsi" w:cstheme="majorBidi"/>
                                  <w:noProof/>
                                  <w:color w:val="156082" w:themeColor="accent1"/>
                                  <w:sz w:val="72"/>
                                  <w:szCs w:val="72"/>
                                </w:rPr>
                                <w:t>Management for Business</w:t>
                              </w:r>
                            </w:p>
                          </w:sdtContent>
                        </w:sdt>
                        <w:sdt>
                          <w:sdt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EA7AE6B" w14:textId="77A5DD38" w:rsidR="00C76C23" w:rsidRDefault="00017115">
                              <w:pPr>
                                <w:rPr>
                                  <w:rFonts w:asciiTheme="majorHAnsi" w:eastAsiaTheme="majorEastAsia" w:hAnsiTheme="majorHAnsi" w:cstheme="majorBidi"/>
                                  <w:noProof/>
                                  <w:color w:val="0E2841" w:themeColor="text2"/>
                                  <w:sz w:val="32"/>
                                  <w:szCs w:val="40"/>
                                </w:rPr>
                              </w:pPr>
                              <w:r w:rsidRPr="00017115">
                                <w:t>Strategic Growth Report for Vodafone Group Plc</w:t>
                              </w:r>
                            </w:p>
                          </w:sdtContent>
                        </w:sdt>
                      </w:txbxContent>
                    </v:textbox>
                    <w10:wrap type="square" anchorx="page" anchory="page"/>
                  </v:shape>
                </w:pict>
              </mc:Fallback>
            </mc:AlternateContent>
          </w:r>
          <w:r w:rsidR="00C76C23">
            <w:br w:type="page"/>
          </w:r>
        </w:p>
      </w:sdtContent>
    </w:sdt>
    <w:sdt>
      <w:sdtPr>
        <w:rPr>
          <w:rFonts w:asciiTheme="minorHAnsi" w:eastAsiaTheme="minorEastAsia" w:hAnsiTheme="minorHAnsi" w:cstheme="minorBidi"/>
          <w:color w:val="auto"/>
          <w:sz w:val="24"/>
          <w:szCs w:val="24"/>
          <w:lang w:eastAsia="ja-JP"/>
        </w:rPr>
        <w:id w:val="-2098237076"/>
        <w:docPartObj>
          <w:docPartGallery w:val="Table of Contents"/>
          <w:docPartUnique/>
        </w:docPartObj>
      </w:sdtPr>
      <w:sdtEndPr>
        <w:rPr>
          <w:b/>
          <w:bCs/>
          <w:noProof/>
        </w:rPr>
      </w:sdtEndPr>
      <w:sdtContent>
        <w:p w14:paraId="71CE2E10" w14:textId="660DFB8C" w:rsidR="00BE32AC" w:rsidRDefault="00BE32AC">
          <w:pPr>
            <w:pStyle w:val="TOCHeading"/>
          </w:pPr>
          <w:r>
            <w:t>Contents</w:t>
          </w:r>
        </w:p>
        <w:p w14:paraId="6C679620" w14:textId="77777777" w:rsidR="004F37FA" w:rsidRPr="004F37FA" w:rsidRDefault="004F37FA" w:rsidP="004F37FA">
          <w:pPr>
            <w:rPr>
              <w:lang w:eastAsia="en-US"/>
            </w:rPr>
          </w:pPr>
        </w:p>
        <w:p w14:paraId="1AA179F7" w14:textId="46CB707E" w:rsidR="00B014CD" w:rsidRDefault="00BE32AC">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237338914" w:history="1">
            <w:r w:rsidR="00B014CD" w:rsidRPr="0033577E">
              <w:rPr>
                <w:rStyle w:val="Hyperlink"/>
                <w:rFonts w:ascii="Arial" w:eastAsia="Times New Roman" w:hAnsi="Arial" w:cs="Arial"/>
                <w:b/>
                <w:bCs/>
                <w:noProof/>
                <w:kern w:val="36"/>
                <w:lang w:val="en-GB" w:eastAsia="en-GB"/>
              </w:rPr>
              <w:t>1.Executive Summary</w:t>
            </w:r>
            <w:r w:rsidR="00B014CD">
              <w:rPr>
                <w:noProof/>
                <w:webHidden/>
              </w:rPr>
              <w:tab/>
            </w:r>
            <w:r w:rsidR="00B014CD">
              <w:rPr>
                <w:noProof/>
                <w:webHidden/>
              </w:rPr>
              <w:fldChar w:fldCharType="begin"/>
            </w:r>
            <w:r w:rsidR="00B014CD">
              <w:rPr>
                <w:noProof/>
                <w:webHidden/>
              </w:rPr>
              <w:instrText xml:space="preserve"> PAGEREF _Toc237338914 \h </w:instrText>
            </w:r>
            <w:r w:rsidR="00B014CD">
              <w:rPr>
                <w:noProof/>
                <w:webHidden/>
              </w:rPr>
            </w:r>
            <w:r w:rsidR="00B014CD">
              <w:rPr>
                <w:noProof/>
                <w:webHidden/>
              </w:rPr>
              <w:fldChar w:fldCharType="separate"/>
            </w:r>
            <w:r w:rsidR="00B014CD">
              <w:rPr>
                <w:noProof/>
                <w:webHidden/>
              </w:rPr>
              <w:t>2</w:t>
            </w:r>
            <w:r w:rsidR="00B014CD">
              <w:rPr>
                <w:noProof/>
                <w:webHidden/>
              </w:rPr>
              <w:fldChar w:fldCharType="end"/>
            </w:r>
          </w:hyperlink>
        </w:p>
        <w:p w14:paraId="3FD0C528" w14:textId="0353D226" w:rsidR="00B014CD" w:rsidRDefault="00B014CD">
          <w:pPr>
            <w:pStyle w:val="TOC1"/>
            <w:tabs>
              <w:tab w:val="right" w:leader="dot" w:pos="9350"/>
            </w:tabs>
            <w:rPr>
              <w:noProof/>
              <w:kern w:val="2"/>
              <w:lang w:val="en-GB" w:eastAsia="en-GB"/>
              <w14:ligatures w14:val="standardContextual"/>
            </w:rPr>
          </w:pPr>
          <w:hyperlink w:anchor="_Toc237338915" w:history="1">
            <w:r w:rsidRPr="0033577E">
              <w:rPr>
                <w:rStyle w:val="Hyperlink"/>
                <w:rFonts w:ascii="Arial" w:hAnsi="Arial" w:cs="Arial"/>
                <w:b/>
                <w:bCs/>
                <w:noProof/>
              </w:rPr>
              <w:t>2. Introduction to Vodafone</w:t>
            </w:r>
            <w:r>
              <w:rPr>
                <w:noProof/>
                <w:webHidden/>
              </w:rPr>
              <w:tab/>
            </w:r>
            <w:r>
              <w:rPr>
                <w:noProof/>
                <w:webHidden/>
              </w:rPr>
              <w:fldChar w:fldCharType="begin"/>
            </w:r>
            <w:r>
              <w:rPr>
                <w:noProof/>
                <w:webHidden/>
              </w:rPr>
              <w:instrText xml:space="preserve"> PAGEREF _Toc237338915 \h </w:instrText>
            </w:r>
            <w:r>
              <w:rPr>
                <w:noProof/>
                <w:webHidden/>
              </w:rPr>
            </w:r>
            <w:r>
              <w:rPr>
                <w:noProof/>
                <w:webHidden/>
              </w:rPr>
              <w:fldChar w:fldCharType="separate"/>
            </w:r>
            <w:r>
              <w:rPr>
                <w:noProof/>
                <w:webHidden/>
              </w:rPr>
              <w:t>2</w:t>
            </w:r>
            <w:r>
              <w:rPr>
                <w:noProof/>
                <w:webHidden/>
              </w:rPr>
              <w:fldChar w:fldCharType="end"/>
            </w:r>
          </w:hyperlink>
        </w:p>
        <w:p w14:paraId="472873DC" w14:textId="5ABD7663" w:rsidR="00B014CD" w:rsidRDefault="00B014CD" w:rsidP="00B014CD">
          <w:pPr>
            <w:pStyle w:val="TOC2"/>
            <w:tabs>
              <w:tab w:val="right" w:leader="dot" w:pos="9350"/>
            </w:tabs>
            <w:ind w:left="0"/>
            <w:rPr>
              <w:noProof/>
              <w:kern w:val="2"/>
              <w:lang w:val="en-GB" w:eastAsia="en-GB"/>
              <w14:ligatures w14:val="standardContextual"/>
            </w:rPr>
          </w:pPr>
          <w:hyperlink w:anchor="_Toc237338916" w:history="1">
            <w:r w:rsidRPr="0033577E">
              <w:rPr>
                <w:rStyle w:val="Hyperlink"/>
                <w:b/>
                <w:bCs/>
                <w:noProof/>
              </w:rPr>
              <w:t>3. Evaluation of the Current Market Situation</w:t>
            </w:r>
            <w:r>
              <w:rPr>
                <w:noProof/>
                <w:webHidden/>
              </w:rPr>
              <w:tab/>
            </w:r>
            <w:r>
              <w:rPr>
                <w:noProof/>
                <w:webHidden/>
              </w:rPr>
              <w:fldChar w:fldCharType="begin"/>
            </w:r>
            <w:r>
              <w:rPr>
                <w:noProof/>
                <w:webHidden/>
              </w:rPr>
              <w:instrText xml:space="preserve"> PAGEREF _Toc237338916 \h </w:instrText>
            </w:r>
            <w:r>
              <w:rPr>
                <w:noProof/>
                <w:webHidden/>
              </w:rPr>
            </w:r>
            <w:r>
              <w:rPr>
                <w:noProof/>
                <w:webHidden/>
              </w:rPr>
              <w:fldChar w:fldCharType="separate"/>
            </w:r>
            <w:r>
              <w:rPr>
                <w:noProof/>
                <w:webHidden/>
              </w:rPr>
              <w:t>3</w:t>
            </w:r>
            <w:r>
              <w:rPr>
                <w:noProof/>
                <w:webHidden/>
              </w:rPr>
              <w:fldChar w:fldCharType="end"/>
            </w:r>
          </w:hyperlink>
        </w:p>
        <w:p w14:paraId="75F1A113" w14:textId="3AB796A0" w:rsidR="00B014CD" w:rsidRDefault="00B014CD">
          <w:pPr>
            <w:pStyle w:val="TOC3"/>
            <w:tabs>
              <w:tab w:val="right" w:leader="dot" w:pos="9350"/>
            </w:tabs>
            <w:rPr>
              <w:noProof/>
              <w:kern w:val="2"/>
              <w:lang w:val="en-GB" w:eastAsia="en-GB"/>
              <w14:ligatures w14:val="standardContextual"/>
            </w:rPr>
          </w:pPr>
          <w:hyperlink w:anchor="_Toc237338917" w:history="1">
            <w:r w:rsidRPr="0033577E">
              <w:rPr>
                <w:rStyle w:val="Hyperlink"/>
                <w:rFonts w:ascii="Arial" w:eastAsia="Times New Roman" w:hAnsi="Arial" w:cs="Arial"/>
                <w:b/>
                <w:bCs/>
                <w:noProof/>
                <w:lang w:val="en-GB" w:eastAsia="en-GB"/>
              </w:rPr>
              <w:t>3.1 SWOT Analysis’</w:t>
            </w:r>
            <w:r>
              <w:rPr>
                <w:noProof/>
                <w:webHidden/>
              </w:rPr>
              <w:tab/>
            </w:r>
            <w:r>
              <w:rPr>
                <w:noProof/>
                <w:webHidden/>
              </w:rPr>
              <w:fldChar w:fldCharType="begin"/>
            </w:r>
            <w:r>
              <w:rPr>
                <w:noProof/>
                <w:webHidden/>
              </w:rPr>
              <w:instrText xml:space="preserve"> PAGEREF _Toc237338917 \h </w:instrText>
            </w:r>
            <w:r>
              <w:rPr>
                <w:noProof/>
                <w:webHidden/>
              </w:rPr>
            </w:r>
            <w:r>
              <w:rPr>
                <w:noProof/>
                <w:webHidden/>
              </w:rPr>
              <w:fldChar w:fldCharType="separate"/>
            </w:r>
            <w:r>
              <w:rPr>
                <w:noProof/>
                <w:webHidden/>
              </w:rPr>
              <w:t>3</w:t>
            </w:r>
            <w:r>
              <w:rPr>
                <w:noProof/>
                <w:webHidden/>
              </w:rPr>
              <w:fldChar w:fldCharType="end"/>
            </w:r>
          </w:hyperlink>
        </w:p>
        <w:p w14:paraId="51BD5428" w14:textId="7E87AE39" w:rsidR="00B014CD" w:rsidRDefault="00B014CD">
          <w:pPr>
            <w:pStyle w:val="TOC3"/>
            <w:tabs>
              <w:tab w:val="right" w:leader="dot" w:pos="9350"/>
            </w:tabs>
            <w:rPr>
              <w:noProof/>
              <w:kern w:val="2"/>
              <w:lang w:val="en-GB" w:eastAsia="en-GB"/>
              <w14:ligatures w14:val="standardContextual"/>
            </w:rPr>
          </w:pPr>
          <w:hyperlink w:anchor="_Toc237338918" w:history="1">
            <w:r w:rsidRPr="0033577E">
              <w:rPr>
                <w:rStyle w:val="Hyperlink"/>
                <w:rFonts w:ascii="Arial" w:eastAsia="Times New Roman" w:hAnsi="Arial" w:cs="Arial"/>
                <w:b/>
                <w:bCs/>
                <w:noProof/>
                <w:lang w:val="en-GB" w:eastAsia="en-GB"/>
              </w:rPr>
              <w:t>3.2 PESTEL Analysis</w:t>
            </w:r>
            <w:r>
              <w:rPr>
                <w:noProof/>
                <w:webHidden/>
              </w:rPr>
              <w:tab/>
            </w:r>
            <w:r>
              <w:rPr>
                <w:noProof/>
                <w:webHidden/>
              </w:rPr>
              <w:fldChar w:fldCharType="begin"/>
            </w:r>
            <w:r>
              <w:rPr>
                <w:noProof/>
                <w:webHidden/>
              </w:rPr>
              <w:instrText xml:space="preserve"> PAGEREF _Toc237338918 \h </w:instrText>
            </w:r>
            <w:r>
              <w:rPr>
                <w:noProof/>
                <w:webHidden/>
              </w:rPr>
            </w:r>
            <w:r>
              <w:rPr>
                <w:noProof/>
                <w:webHidden/>
              </w:rPr>
              <w:fldChar w:fldCharType="separate"/>
            </w:r>
            <w:r>
              <w:rPr>
                <w:noProof/>
                <w:webHidden/>
              </w:rPr>
              <w:t>4</w:t>
            </w:r>
            <w:r>
              <w:rPr>
                <w:noProof/>
                <w:webHidden/>
              </w:rPr>
              <w:fldChar w:fldCharType="end"/>
            </w:r>
          </w:hyperlink>
        </w:p>
        <w:p w14:paraId="67525EEA" w14:textId="7BCFAD21" w:rsidR="00B014CD" w:rsidRDefault="00B014CD">
          <w:pPr>
            <w:pStyle w:val="TOC3"/>
            <w:tabs>
              <w:tab w:val="right" w:leader="dot" w:pos="9350"/>
            </w:tabs>
            <w:rPr>
              <w:noProof/>
              <w:kern w:val="2"/>
              <w:lang w:val="en-GB" w:eastAsia="en-GB"/>
              <w14:ligatures w14:val="standardContextual"/>
            </w:rPr>
          </w:pPr>
          <w:hyperlink w:anchor="_Toc237338919" w:history="1">
            <w:r w:rsidRPr="0033577E">
              <w:rPr>
                <w:rStyle w:val="Hyperlink"/>
                <w:rFonts w:ascii="Arial" w:eastAsia="Times New Roman" w:hAnsi="Arial" w:cs="Arial"/>
                <w:b/>
                <w:bCs/>
                <w:noProof/>
                <w:lang w:val="en-GB" w:eastAsia="en-GB"/>
              </w:rPr>
              <w:t>3.3 Porter's Five Forces Analysis</w:t>
            </w:r>
            <w:r>
              <w:rPr>
                <w:noProof/>
                <w:webHidden/>
              </w:rPr>
              <w:tab/>
            </w:r>
            <w:r>
              <w:rPr>
                <w:noProof/>
                <w:webHidden/>
              </w:rPr>
              <w:fldChar w:fldCharType="begin"/>
            </w:r>
            <w:r>
              <w:rPr>
                <w:noProof/>
                <w:webHidden/>
              </w:rPr>
              <w:instrText xml:space="preserve"> PAGEREF _Toc237338919 \h </w:instrText>
            </w:r>
            <w:r>
              <w:rPr>
                <w:noProof/>
                <w:webHidden/>
              </w:rPr>
            </w:r>
            <w:r>
              <w:rPr>
                <w:noProof/>
                <w:webHidden/>
              </w:rPr>
              <w:fldChar w:fldCharType="separate"/>
            </w:r>
            <w:r>
              <w:rPr>
                <w:noProof/>
                <w:webHidden/>
              </w:rPr>
              <w:t>4</w:t>
            </w:r>
            <w:r>
              <w:rPr>
                <w:noProof/>
                <w:webHidden/>
              </w:rPr>
              <w:fldChar w:fldCharType="end"/>
            </w:r>
          </w:hyperlink>
        </w:p>
        <w:p w14:paraId="5E1035C9" w14:textId="336469F8" w:rsidR="00B014CD" w:rsidRDefault="00B014CD">
          <w:pPr>
            <w:pStyle w:val="TOC2"/>
            <w:tabs>
              <w:tab w:val="right" w:leader="dot" w:pos="9350"/>
            </w:tabs>
            <w:rPr>
              <w:noProof/>
              <w:kern w:val="2"/>
              <w:lang w:val="en-GB" w:eastAsia="en-GB"/>
              <w14:ligatures w14:val="standardContextual"/>
            </w:rPr>
          </w:pPr>
          <w:hyperlink w:anchor="_Toc237338920" w:history="1">
            <w:r w:rsidRPr="0033577E">
              <w:rPr>
                <w:rStyle w:val="Hyperlink"/>
                <w:rFonts w:ascii="Arial" w:eastAsia="Times New Roman" w:hAnsi="Arial" w:cs="Arial"/>
                <w:b/>
                <w:bCs/>
                <w:noProof/>
                <w:lang w:val="en-GB" w:eastAsia="en-GB"/>
              </w:rPr>
              <w:t>4. Strategic Growth Options and Proposed Strategy</w:t>
            </w:r>
            <w:r>
              <w:rPr>
                <w:noProof/>
                <w:webHidden/>
              </w:rPr>
              <w:tab/>
            </w:r>
            <w:r>
              <w:rPr>
                <w:noProof/>
                <w:webHidden/>
              </w:rPr>
              <w:fldChar w:fldCharType="begin"/>
            </w:r>
            <w:r>
              <w:rPr>
                <w:noProof/>
                <w:webHidden/>
              </w:rPr>
              <w:instrText xml:space="preserve"> PAGEREF _Toc237338920 \h </w:instrText>
            </w:r>
            <w:r>
              <w:rPr>
                <w:noProof/>
                <w:webHidden/>
              </w:rPr>
            </w:r>
            <w:r>
              <w:rPr>
                <w:noProof/>
                <w:webHidden/>
              </w:rPr>
              <w:fldChar w:fldCharType="separate"/>
            </w:r>
            <w:r>
              <w:rPr>
                <w:noProof/>
                <w:webHidden/>
              </w:rPr>
              <w:t>5</w:t>
            </w:r>
            <w:r>
              <w:rPr>
                <w:noProof/>
                <w:webHidden/>
              </w:rPr>
              <w:fldChar w:fldCharType="end"/>
            </w:r>
          </w:hyperlink>
        </w:p>
        <w:p w14:paraId="2EEC46BF" w14:textId="3A12570B" w:rsidR="00B014CD" w:rsidRDefault="00B014CD">
          <w:pPr>
            <w:pStyle w:val="TOC2"/>
            <w:tabs>
              <w:tab w:val="right" w:leader="dot" w:pos="9350"/>
            </w:tabs>
            <w:rPr>
              <w:noProof/>
              <w:kern w:val="2"/>
              <w:lang w:val="en-GB" w:eastAsia="en-GB"/>
              <w14:ligatures w14:val="standardContextual"/>
            </w:rPr>
          </w:pPr>
          <w:hyperlink w:anchor="_Toc237338921" w:history="1">
            <w:r w:rsidRPr="0033577E">
              <w:rPr>
                <w:rStyle w:val="Hyperlink"/>
                <w:rFonts w:ascii="Arial" w:eastAsia="Times New Roman" w:hAnsi="Arial" w:cs="Arial"/>
                <w:b/>
                <w:bCs/>
                <w:noProof/>
                <w:lang w:val="en-GB" w:eastAsia="en-GB"/>
              </w:rPr>
              <w:t>5. Strategy Evaluation</w:t>
            </w:r>
            <w:r>
              <w:rPr>
                <w:noProof/>
                <w:webHidden/>
              </w:rPr>
              <w:tab/>
            </w:r>
            <w:r>
              <w:rPr>
                <w:noProof/>
                <w:webHidden/>
              </w:rPr>
              <w:fldChar w:fldCharType="begin"/>
            </w:r>
            <w:r>
              <w:rPr>
                <w:noProof/>
                <w:webHidden/>
              </w:rPr>
              <w:instrText xml:space="preserve"> PAGEREF _Toc237338921 \h </w:instrText>
            </w:r>
            <w:r>
              <w:rPr>
                <w:noProof/>
                <w:webHidden/>
              </w:rPr>
            </w:r>
            <w:r>
              <w:rPr>
                <w:noProof/>
                <w:webHidden/>
              </w:rPr>
              <w:fldChar w:fldCharType="separate"/>
            </w:r>
            <w:r>
              <w:rPr>
                <w:noProof/>
                <w:webHidden/>
              </w:rPr>
              <w:t>6</w:t>
            </w:r>
            <w:r>
              <w:rPr>
                <w:noProof/>
                <w:webHidden/>
              </w:rPr>
              <w:fldChar w:fldCharType="end"/>
            </w:r>
          </w:hyperlink>
        </w:p>
        <w:p w14:paraId="3962E85A" w14:textId="1E855C9A" w:rsidR="00B014CD" w:rsidRDefault="00B014CD">
          <w:pPr>
            <w:pStyle w:val="TOC3"/>
            <w:tabs>
              <w:tab w:val="right" w:leader="dot" w:pos="9350"/>
            </w:tabs>
            <w:rPr>
              <w:noProof/>
              <w:kern w:val="2"/>
              <w:lang w:val="en-GB" w:eastAsia="en-GB"/>
              <w14:ligatures w14:val="standardContextual"/>
            </w:rPr>
          </w:pPr>
          <w:hyperlink w:anchor="_Toc237338922" w:history="1">
            <w:r w:rsidRPr="0033577E">
              <w:rPr>
                <w:rStyle w:val="Hyperlink"/>
                <w:rFonts w:ascii="Arial" w:eastAsia="Times New Roman" w:hAnsi="Arial" w:cs="Arial"/>
                <w:b/>
                <w:bCs/>
                <w:noProof/>
                <w:lang w:val="en-GB" w:eastAsia="en-GB"/>
              </w:rPr>
              <w:t>5.1 Suitability</w:t>
            </w:r>
            <w:r>
              <w:rPr>
                <w:noProof/>
                <w:webHidden/>
              </w:rPr>
              <w:tab/>
            </w:r>
            <w:r>
              <w:rPr>
                <w:noProof/>
                <w:webHidden/>
              </w:rPr>
              <w:fldChar w:fldCharType="begin"/>
            </w:r>
            <w:r>
              <w:rPr>
                <w:noProof/>
                <w:webHidden/>
              </w:rPr>
              <w:instrText xml:space="preserve"> PAGEREF _Toc237338922 \h </w:instrText>
            </w:r>
            <w:r>
              <w:rPr>
                <w:noProof/>
                <w:webHidden/>
              </w:rPr>
            </w:r>
            <w:r>
              <w:rPr>
                <w:noProof/>
                <w:webHidden/>
              </w:rPr>
              <w:fldChar w:fldCharType="separate"/>
            </w:r>
            <w:r>
              <w:rPr>
                <w:noProof/>
                <w:webHidden/>
              </w:rPr>
              <w:t>6</w:t>
            </w:r>
            <w:r>
              <w:rPr>
                <w:noProof/>
                <w:webHidden/>
              </w:rPr>
              <w:fldChar w:fldCharType="end"/>
            </w:r>
          </w:hyperlink>
        </w:p>
        <w:p w14:paraId="22788BCE" w14:textId="5960E436" w:rsidR="00B014CD" w:rsidRDefault="00B014CD">
          <w:pPr>
            <w:pStyle w:val="TOC3"/>
            <w:tabs>
              <w:tab w:val="right" w:leader="dot" w:pos="9350"/>
            </w:tabs>
            <w:rPr>
              <w:noProof/>
              <w:kern w:val="2"/>
              <w:lang w:val="en-GB" w:eastAsia="en-GB"/>
              <w14:ligatures w14:val="standardContextual"/>
            </w:rPr>
          </w:pPr>
          <w:hyperlink w:anchor="_Toc237338923" w:history="1">
            <w:r w:rsidRPr="0033577E">
              <w:rPr>
                <w:rStyle w:val="Hyperlink"/>
                <w:rFonts w:ascii="Arial" w:eastAsia="Times New Roman" w:hAnsi="Arial" w:cs="Arial"/>
                <w:b/>
                <w:bCs/>
                <w:noProof/>
                <w:lang w:val="en-GB" w:eastAsia="en-GB"/>
              </w:rPr>
              <w:t>5.2 Feasibility</w:t>
            </w:r>
            <w:r>
              <w:rPr>
                <w:noProof/>
                <w:webHidden/>
              </w:rPr>
              <w:tab/>
            </w:r>
            <w:r>
              <w:rPr>
                <w:noProof/>
                <w:webHidden/>
              </w:rPr>
              <w:fldChar w:fldCharType="begin"/>
            </w:r>
            <w:r>
              <w:rPr>
                <w:noProof/>
                <w:webHidden/>
              </w:rPr>
              <w:instrText xml:space="preserve"> PAGEREF _Toc237338923 \h </w:instrText>
            </w:r>
            <w:r>
              <w:rPr>
                <w:noProof/>
                <w:webHidden/>
              </w:rPr>
            </w:r>
            <w:r>
              <w:rPr>
                <w:noProof/>
                <w:webHidden/>
              </w:rPr>
              <w:fldChar w:fldCharType="separate"/>
            </w:r>
            <w:r>
              <w:rPr>
                <w:noProof/>
                <w:webHidden/>
              </w:rPr>
              <w:t>7</w:t>
            </w:r>
            <w:r>
              <w:rPr>
                <w:noProof/>
                <w:webHidden/>
              </w:rPr>
              <w:fldChar w:fldCharType="end"/>
            </w:r>
          </w:hyperlink>
        </w:p>
        <w:p w14:paraId="05981FC7" w14:textId="60E0D46A" w:rsidR="00B014CD" w:rsidRDefault="00B014CD">
          <w:pPr>
            <w:pStyle w:val="TOC3"/>
            <w:tabs>
              <w:tab w:val="right" w:leader="dot" w:pos="9350"/>
            </w:tabs>
            <w:rPr>
              <w:noProof/>
              <w:kern w:val="2"/>
              <w:lang w:val="en-GB" w:eastAsia="en-GB"/>
              <w14:ligatures w14:val="standardContextual"/>
            </w:rPr>
          </w:pPr>
          <w:hyperlink w:anchor="_Toc237338924" w:history="1">
            <w:r w:rsidRPr="0033577E">
              <w:rPr>
                <w:rStyle w:val="Hyperlink"/>
                <w:rFonts w:ascii="Arial" w:eastAsia="Times New Roman" w:hAnsi="Arial" w:cs="Arial"/>
                <w:b/>
                <w:bCs/>
                <w:noProof/>
                <w:lang w:val="en-GB" w:eastAsia="en-GB"/>
              </w:rPr>
              <w:t>5.3 Acceptability</w:t>
            </w:r>
            <w:r>
              <w:rPr>
                <w:noProof/>
                <w:webHidden/>
              </w:rPr>
              <w:tab/>
            </w:r>
            <w:r>
              <w:rPr>
                <w:noProof/>
                <w:webHidden/>
              </w:rPr>
              <w:fldChar w:fldCharType="begin"/>
            </w:r>
            <w:r>
              <w:rPr>
                <w:noProof/>
                <w:webHidden/>
              </w:rPr>
              <w:instrText xml:space="preserve"> PAGEREF _Toc237338924 \h </w:instrText>
            </w:r>
            <w:r>
              <w:rPr>
                <w:noProof/>
                <w:webHidden/>
              </w:rPr>
            </w:r>
            <w:r>
              <w:rPr>
                <w:noProof/>
                <w:webHidden/>
              </w:rPr>
              <w:fldChar w:fldCharType="separate"/>
            </w:r>
            <w:r>
              <w:rPr>
                <w:noProof/>
                <w:webHidden/>
              </w:rPr>
              <w:t>7</w:t>
            </w:r>
            <w:r>
              <w:rPr>
                <w:noProof/>
                <w:webHidden/>
              </w:rPr>
              <w:fldChar w:fldCharType="end"/>
            </w:r>
          </w:hyperlink>
        </w:p>
        <w:p w14:paraId="3807C2C6" w14:textId="71FB6250" w:rsidR="00B014CD" w:rsidRDefault="00B014CD">
          <w:pPr>
            <w:pStyle w:val="TOC2"/>
            <w:tabs>
              <w:tab w:val="right" w:leader="dot" w:pos="9350"/>
            </w:tabs>
            <w:rPr>
              <w:noProof/>
              <w:kern w:val="2"/>
              <w:lang w:val="en-GB" w:eastAsia="en-GB"/>
              <w14:ligatures w14:val="standardContextual"/>
            </w:rPr>
          </w:pPr>
          <w:hyperlink w:anchor="_Toc237338925" w:history="1">
            <w:r w:rsidRPr="0033577E">
              <w:rPr>
                <w:rStyle w:val="Hyperlink"/>
                <w:rFonts w:ascii="Arial" w:eastAsia="Times New Roman" w:hAnsi="Arial" w:cs="Arial"/>
                <w:b/>
                <w:bCs/>
                <w:noProof/>
                <w:lang w:val="en-GB" w:eastAsia="en-GB"/>
              </w:rPr>
              <w:t>6. Stakeholder Analysis</w:t>
            </w:r>
            <w:r>
              <w:rPr>
                <w:noProof/>
                <w:webHidden/>
              </w:rPr>
              <w:tab/>
            </w:r>
            <w:r>
              <w:rPr>
                <w:noProof/>
                <w:webHidden/>
              </w:rPr>
              <w:fldChar w:fldCharType="begin"/>
            </w:r>
            <w:r>
              <w:rPr>
                <w:noProof/>
                <w:webHidden/>
              </w:rPr>
              <w:instrText xml:space="preserve"> PAGEREF _Toc237338925 \h </w:instrText>
            </w:r>
            <w:r>
              <w:rPr>
                <w:noProof/>
                <w:webHidden/>
              </w:rPr>
            </w:r>
            <w:r>
              <w:rPr>
                <w:noProof/>
                <w:webHidden/>
              </w:rPr>
              <w:fldChar w:fldCharType="separate"/>
            </w:r>
            <w:r>
              <w:rPr>
                <w:noProof/>
                <w:webHidden/>
              </w:rPr>
              <w:t>8</w:t>
            </w:r>
            <w:r>
              <w:rPr>
                <w:noProof/>
                <w:webHidden/>
              </w:rPr>
              <w:fldChar w:fldCharType="end"/>
            </w:r>
          </w:hyperlink>
        </w:p>
        <w:p w14:paraId="1CC80996" w14:textId="58344E55" w:rsidR="00B014CD" w:rsidRDefault="00B014CD">
          <w:pPr>
            <w:pStyle w:val="TOC2"/>
            <w:tabs>
              <w:tab w:val="right" w:leader="dot" w:pos="9350"/>
            </w:tabs>
            <w:rPr>
              <w:noProof/>
              <w:kern w:val="2"/>
              <w:lang w:val="en-GB" w:eastAsia="en-GB"/>
              <w14:ligatures w14:val="standardContextual"/>
            </w:rPr>
          </w:pPr>
          <w:hyperlink w:anchor="_Toc237338926" w:history="1">
            <w:r w:rsidRPr="0033577E">
              <w:rPr>
                <w:rStyle w:val="Hyperlink"/>
                <w:rFonts w:ascii="Arial" w:eastAsia="Times New Roman" w:hAnsi="Arial" w:cs="Arial"/>
                <w:b/>
                <w:bCs/>
                <w:noProof/>
                <w:lang w:val="en-GB" w:eastAsia="en-GB"/>
              </w:rPr>
              <w:t>7. Implementation and Monitoring</w:t>
            </w:r>
            <w:r>
              <w:rPr>
                <w:noProof/>
                <w:webHidden/>
              </w:rPr>
              <w:tab/>
            </w:r>
            <w:r>
              <w:rPr>
                <w:noProof/>
                <w:webHidden/>
              </w:rPr>
              <w:fldChar w:fldCharType="begin"/>
            </w:r>
            <w:r>
              <w:rPr>
                <w:noProof/>
                <w:webHidden/>
              </w:rPr>
              <w:instrText xml:space="preserve"> PAGEREF _Toc237338926 \h </w:instrText>
            </w:r>
            <w:r>
              <w:rPr>
                <w:noProof/>
                <w:webHidden/>
              </w:rPr>
            </w:r>
            <w:r>
              <w:rPr>
                <w:noProof/>
                <w:webHidden/>
              </w:rPr>
              <w:fldChar w:fldCharType="separate"/>
            </w:r>
            <w:r>
              <w:rPr>
                <w:noProof/>
                <w:webHidden/>
              </w:rPr>
              <w:t>9</w:t>
            </w:r>
            <w:r>
              <w:rPr>
                <w:noProof/>
                <w:webHidden/>
              </w:rPr>
              <w:fldChar w:fldCharType="end"/>
            </w:r>
          </w:hyperlink>
        </w:p>
        <w:p w14:paraId="4124894C" w14:textId="54D44D2C" w:rsidR="00B014CD" w:rsidRDefault="00B014CD">
          <w:pPr>
            <w:pStyle w:val="TOC2"/>
            <w:tabs>
              <w:tab w:val="right" w:leader="dot" w:pos="9350"/>
            </w:tabs>
            <w:rPr>
              <w:noProof/>
              <w:kern w:val="2"/>
              <w:lang w:val="en-GB" w:eastAsia="en-GB"/>
              <w14:ligatures w14:val="standardContextual"/>
            </w:rPr>
          </w:pPr>
          <w:hyperlink w:anchor="_Toc237338927" w:history="1">
            <w:r w:rsidRPr="0033577E">
              <w:rPr>
                <w:rStyle w:val="Hyperlink"/>
                <w:rFonts w:ascii="Arial" w:eastAsia="Times New Roman" w:hAnsi="Arial" w:cs="Arial"/>
                <w:b/>
                <w:bCs/>
                <w:noProof/>
                <w:lang w:val="en-GB" w:eastAsia="en-GB"/>
              </w:rPr>
              <w:t>8. Conclusion</w:t>
            </w:r>
            <w:r>
              <w:rPr>
                <w:noProof/>
                <w:webHidden/>
              </w:rPr>
              <w:tab/>
            </w:r>
            <w:r>
              <w:rPr>
                <w:noProof/>
                <w:webHidden/>
              </w:rPr>
              <w:fldChar w:fldCharType="begin"/>
            </w:r>
            <w:r>
              <w:rPr>
                <w:noProof/>
                <w:webHidden/>
              </w:rPr>
              <w:instrText xml:space="preserve"> PAGEREF _Toc237338927 \h </w:instrText>
            </w:r>
            <w:r>
              <w:rPr>
                <w:noProof/>
                <w:webHidden/>
              </w:rPr>
            </w:r>
            <w:r>
              <w:rPr>
                <w:noProof/>
                <w:webHidden/>
              </w:rPr>
              <w:fldChar w:fldCharType="separate"/>
            </w:r>
            <w:r>
              <w:rPr>
                <w:noProof/>
                <w:webHidden/>
              </w:rPr>
              <w:t>10</w:t>
            </w:r>
            <w:r>
              <w:rPr>
                <w:noProof/>
                <w:webHidden/>
              </w:rPr>
              <w:fldChar w:fldCharType="end"/>
            </w:r>
          </w:hyperlink>
        </w:p>
        <w:p w14:paraId="31B3FF3A" w14:textId="2082FBB2" w:rsidR="00B014CD" w:rsidRDefault="00B014CD">
          <w:pPr>
            <w:pStyle w:val="TOC2"/>
            <w:tabs>
              <w:tab w:val="right" w:leader="dot" w:pos="9350"/>
            </w:tabs>
            <w:rPr>
              <w:noProof/>
              <w:kern w:val="2"/>
              <w:lang w:val="en-GB" w:eastAsia="en-GB"/>
              <w14:ligatures w14:val="standardContextual"/>
            </w:rPr>
          </w:pPr>
          <w:hyperlink w:anchor="_Toc237338928" w:history="1">
            <w:r w:rsidRPr="0033577E">
              <w:rPr>
                <w:rStyle w:val="Hyperlink"/>
                <w:b/>
                <w:bCs/>
                <w:noProof/>
              </w:rPr>
              <w:t>9. References</w:t>
            </w:r>
            <w:r>
              <w:rPr>
                <w:noProof/>
                <w:webHidden/>
              </w:rPr>
              <w:tab/>
            </w:r>
            <w:r>
              <w:rPr>
                <w:noProof/>
                <w:webHidden/>
              </w:rPr>
              <w:fldChar w:fldCharType="begin"/>
            </w:r>
            <w:r>
              <w:rPr>
                <w:noProof/>
                <w:webHidden/>
              </w:rPr>
              <w:instrText xml:space="preserve"> PAGEREF _Toc237338928 \h </w:instrText>
            </w:r>
            <w:r>
              <w:rPr>
                <w:noProof/>
                <w:webHidden/>
              </w:rPr>
            </w:r>
            <w:r>
              <w:rPr>
                <w:noProof/>
                <w:webHidden/>
              </w:rPr>
              <w:fldChar w:fldCharType="separate"/>
            </w:r>
            <w:r>
              <w:rPr>
                <w:noProof/>
                <w:webHidden/>
              </w:rPr>
              <w:t>11</w:t>
            </w:r>
            <w:r>
              <w:rPr>
                <w:noProof/>
                <w:webHidden/>
              </w:rPr>
              <w:fldChar w:fldCharType="end"/>
            </w:r>
          </w:hyperlink>
        </w:p>
        <w:p w14:paraId="52A9EC34" w14:textId="03C60777" w:rsidR="00BE32AC" w:rsidRPr="00A7434C" w:rsidRDefault="00BE32AC" w:rsidP="00A7434C">
          <w:r>
            <w:rPr>
              <w:b/>
              <w:bCs/>
              <w:noProof/>
            </w:rPr>
            <w:fldChar w:fldCharType="end"/>
          </w:r>
        </w:p>
      </w:sdtContent>
    </w:sdt>
    <w:p w14:paraId="72F9BCD5" w14:textId="77777777" w:rsidR="00BE32AC" w:rsidRDefault="00BE32AC">
      <w:pPr>
        <w:rPr>
          <w:rFonts w:ascii="Arial" w:eastAsia="Times New Roman" w:hAnsi="Arial" w:cs="Arial"/>
          <w:b/>
          <w:bCs/>
          <w:kern w:val="36"/>
          <w:sz w:val="22"/>
          <w:szCs w:val="22"/>
          <w:lang w:val="en-GB" w:eastAsia="en-GB"/>
        </w:rPr>
      </w:pPr>
      <w:r>
        <w:rPr>
          <w:rFonts w:ascii="Arial" w:eastAsia="Times New Roman" w:hAnsi="Arial" w:cs="Arial"/>
          <w:b/>
          <w:bCs/>
          <w:kern w:val="36"/>
          <w:sz w:val="22"/>
          <w:szCs w:val="22"/>
          <w:lang w:val="en-GB" w:eastAsia="en-GB"/>
        </w:rPr>
        <w:br w:type="page"/>
      </w:r>
    </w:p>
    <w:p w14:paraId="35977954" w14:textId="672C3B4D" w:rsidR="00EF42D6" w:rsidRPr="00186DC0" w:rsidRDefault="00186DC0" w:rsidP="00186DC0">
      <w:pPr>
        <w:spacing w:before="100" w:beforeAutospacing="1" w:after="100" w:afterAutospacing="1" w:line="240" w:lineRule="auto"/>
        <w:outlineLvl w:val="0"/>
        <w:rPr>
          <w:rFonts w:ascii="Arial" w:eastAsia="Times New Roman" w:hAnsi="Arial" w:cs="Arial"/>
          <w:b/>
          <w:bCs/>
          <w:kern w:val="36"/>
          <w:sz w:val="22"/>
          <w:szCs w:val="22"/>
          <w:lang w:val="en-GB" w:eastAsia="en-GB"/>
        </w:rPr>
      </w:pPr>
      <w:bookmarkStart w:id="0" w:name="_Toc237338914"/>
      <w:r>
        <w:rPr>
          <w:rFonts w:ascii="Arial" w:eastAsia="Times New Roman" w:hAnsi="Arial" w:cs="Arial"/>
          <w:b/>
          <w:bCs/>
          <w:kern w:val="36"/>
          <w:sz w:val="22"/>
          <w:szCs w:val="22"/>
          <w:lang w:val="en-GB" w:eastAsia="en-GB"/>
        </w:rPr>
        <w:lastRenderedPageBreak/>
        <w:t>1.</w:t>
      </w:r>
      <w:r w:rsidR="007307F5" w:rsidRPr="00186DC0">
        <w:rPr>
          <w:rFonts w:ascii="Arial" w:eastAsia="Times New Roman" w:hAnsi="Arial" w:cs="Arial"/>
          <w:b/>
          <w:bCs/>
          <w:kern w:val="36"/>
          <w:sz w:val="22"/>
          <w:szCs w:val="22"/>
          <w:lang w:val="en-GB" w:eastAsia="en-GB"/>
        </w:rPr>
        <w:t>Executive Summary</w:t>
      </w:r>
      <w:bookmarkEnd w:id="0"/>
    </w:p>
    <w:p w14:paraId="3E1E4957" w14:textId="271DC7CD" w:rsidR="009A452D" w:rsidRPr="004944C7" w:rsidRDefault="009A452D" w:rsidP="004944C7">
      <w:pPr>
        <w:rPr>
          <w:rFonts w:ascii="Arial" w:hAnsi="Arial" w:cs="Arial"/>
          <w:sz w:val="22"/>
          <w:szCs w:val="22"/>
          <w:lang w:val="en-GB" w:eastAsia="en-GB"/>
        </w:rPr>
      </w:pPr>
      <w:r w:rsidRPr="004944C7">
        <w:rPr>
          <w:rFonts w:ascii="Arial" w:hAnsi="Arial" w:cs="Arial"/>
          <w:sz w:val="22"/>
          <w:szCs w:val="22"/>
          <w:lang w:val="en-GB" w:eastAsia="en-GB"/>
        </w:rPr>
        <w:t>This Report asses</w:t>
      </w:r>
      <w:r w:rsidR="00912747" w:rsidRPr="004944C7">
        <w:rPr>
          <w:rFonts w:ascii="Arial" w:hAnsi="Arial" w:cs="Arial"/>
          <w:sz w:val="22"/>
          <w:szCs w:val="22"/>
          <w:lang w:val="en-GB" w:eastAsia="en-GB"/>
        </w:rPr>
        <w:t>ses Vodafone’s strategic position and argues</w:t>
      </w:r>
      <w:r w:rsidR="00BA65C2" w:rsidRPr="004944C7">
        <w:rPr>
          <w:rFonts w:ascii="Arial" w:hAnsi="Arial" w:cs="Arial"/>
          <w:sz w:val="22"/>
          <w:szCs w:val="22"/>
          <w:lang w:val="en-GB" w:eastAsia="en-GB"/>
        </w:rPr>
        <w:t xml:space="preserve"> that Market Development </w:t>
      </w:r>
      <w:r w:rsidR="00A61D33" w:rsidRPr="004944C7">
        <w:rPr>
          <w:rFonts w:ascii="Arial" w:hAnsi="Arial" w:cs="Arial"/>
          <w:sz w:val="22"/>
          <w:szCs w:val="22"/>
          <w:lang w:val="en-GB" w:eastAsia="en-GB"/>
        </w:rPr>
        <w:t>–</w:t>
      </w:r>
      <w:r w:rsidR="00BA65C2" w:rsidRPr="004944C7">
        <w:rPr>
          <w:rFonts w:ascii="Arial" w:hAnsi="Arial" w:cs="Arial"/>
          <w:sz w:val="22"/>
          <w:szCs w:val="22"/>
          <w:lang w:val="en-GB" w:eastAsia="en-GB"/>
        </w:rPr>
        <w:t xml:space="preserve"> </w:t>
      </w:r>
      <w:r w:rsidR="00A61D33" w:rsidRPr="004944C7">
        <w:rPr>
          <w:rFonts w:ascii="Arial" w:hAnsi="Arial" w:cs="Arial"/>
          <w:sz w:val="22"/>
          <w:szCs w:val="22"/>
          <w:lang w:val="en-GB" w:eastAsia="en-GB"/>
        </w:rPr>
        <w:t xml:space="preserve">expanding existing products and services into </w:t>
      </w:r>
      <w:r w:rsidR="00563CEE" w:rsidRPr="004944C7">
        <w:rPr>
          <w:rFonts w:ascii="Arial" w:hAnsi="Arial" w:cs="Arial"/>
          <w:sz w:val="22"/>
          <w:szCs w:val="22"/>
          <w:lang w:val="en-GB" w:eastAsia="en-GB"/>
        </w:rPr>
        <w:t>higher-growth markets, particularly across Africa</w:t>
      </w:r>
      <w:r w:rsidR="00AD70B4" w:rsidRPr="004944C7">
        <w:rPr>
          <w:rFonts w:ascii="Arial" w:hAnsi="Arial" w:cs="Arial"/>
          <w:sz w:val="22"/>
          <w:szCs w:val="22"/>
          <w:lang w:val="en-GB" w:eastAsia="en-GB"/>
        </w:rPr>
        <w:t xml:space="preserve"> – offers a stronger path to sustainable</w:t>
      </w:r>
      <w:r w:rsidR="004B10FE" w:rsidRPr="004944C7">
        <w:rPr>
          <w:rFonts w:ascii="Arial" w:hAnsi="Arial" w:cs="Arial"/>
          <w:sz w:val="22"/>
          <w:szCs w:val="22"/>
          <w:lang w:val="en-GB" w:eastAsia="en-GB"/>
        </w:rPr>
        <w:t xml:space="preserve"> competitive advantage than the alternatives </w:t>
      </w:r>
      <w:r w:rsidR="00504197" w:rsidRPr="004944C7">
        <w:rPr>
          <w:rFonts w:ascii="Arial" w:hAnsi="Arial" w:cs="Arial"/>
          <w:sz w:val="22"/>
          <w:szCs w:val="22"/>
          <w:lang w:val="en-GB" w:eastAsia="en-GB"/>
        </w:rPr>
        <w:t>generated by the Ansoff Matrix, SWOT, PESTEL, and Porter</w:t>
      </w:r>
      <w:r w:rsidR="00A34A86" w:rsidRPr="004944C7">
        <w:rPr>
          <w:rFonts w:ascii="Arial" w:hAnsi="Arial" w:cs="Arial"/>
          <w:sz w:val="22"/>
          <w:szCs w:val="22"/>
          <w:lang w:val="en-GB" w:eastAsia="en-GB"/>
        </w:rPr>
        <w:t xml:space="preserve">’s Five Forces. Analyses </w:t>
      </w:r>
      <w:r w:rsidR="00481D80" w:rsidRPr="004944C7">
        <w:rPr>
          <w:rFonts w:ascii="Arial" w:hAnsi="Arial" w:cs="Arial"/>
          <w:sz w:val="22"/>
          <w:szCs w:val="22"/>
          <w:lang w:val="en-GB" w:eastAsia="en-GB"/>
        </w:rPr>
        <w:t>were used to test this conclusion against Vodafone</w:t>
      </w:r>
      <w:r w:rsidR="007072DA" w:rsidRPr="004944C7">
        <w:rPr>
          <w:rFonts w:ascii="Arial" w:hAnsi="Arial" w:cs="Arial"/>
          <w:sz w:val="22"/>
          <w:szCs w:val="22"/>
          <w:lang w:val="en-GB" w:eastAsia="en-GB"/>
        </w:rPr>
        <w:t xml:space="preserve">’s </w:t>
      </w:r>
      <w:r w:rsidR="008615BA" w:rsidRPr="004944C7">
        <w:rPr>
          <w:rFonts w:ascii="Arial" w:hAnsi="Arial" w:cs="Arial"/>
          <w:sz w:val="22"/>
          <w:szCs w:val="22"/>
          <w:lang w:val="en-GB" w:eastAsia="en-GB"/>
        </w:rPr>
        <w:t>internal</w:t>
      </w:r>
      <w:r w:rsidR="007072DA" w:rsidRPr="004944C7">
        <w:rPr>
          <w:rFonts w:ascii="Arial" w:hAnsi="Arial" w:cs="Arial"/>
          <w:sz w:val="22"/>
          <w:szCs w:val="22"/>
          <w:lang w:val="en-GB" w:eastAsia="en-GB"/>
        </w:rPr>
        <w:t xml:space="preserve"> capabilities</w:t>
      </w:r>
      <w:r w:rsidR="008615BA" w:rsidRPr="004944C7">
        <w:rPr>
          <w:rFonts w:ascii="Arial" w:hAnsi="Arial" w:cs="Arial"/>
          <w:sz w:val="22"/>
          <w:szCs w:val="22"/>
          <w:lang w:val="en-GB" w:eastAsia="en-GB"/>
        </w:rPr>
        <w:t xml:space="preserve"> and the external competitive environment.</w:t>
      </w:r>
    </w:p>
    <w:p w14:paraId="0D7FB0D4" w14:textId="57F79B58" w:rsidR="00327C7C" w:rsidRPr="004944C7" w:rsidRDefault="00327C7C" w:rsidP="004944C7">
      <w:pPr>
        <w:rPr>
          <w:rFonts w:ascii="Arial" w:hAnsi="Arial" w:cs="Arial"/>
          <w:sz w:val="22"/>
          <w:szCs w:val="22"/>
          <w:lang w:val="en-GB" w:eastAsia="en-GB"/>
        </w:rPr>
      </w:pPr>
      <w:r w:rsidRPr="004944C7">
        <w:rPr>
          <w:rFonts w:ascii="Arial" w:hAnsi="Arial" w:cs="Arial"/>
          <w:sz w:val="22"/>
          <w:szCs w:val="22"/>
          <w:lang w:val="en-GB" w:eastAsia="en-GB"/>
        </w:rPr>
        <w:t>The case for Market Development</w:t>
      </w:r>
      <w:r w:rsidR="00375456" w:rsidRPr="004944C7">
        <w:rPr>
          <w:rFonts w:ascii="Arial" w:hAnsi="Arial" w:cs="Arial"/>
          <w:sz w:val="22"/>
          <w:szCs w:val="22"/>
          <w:lang w:val="en-GB" w:eastAsia="en-GB"/>
        </w:rPr>
        <w:t xml:space="preserve"> rests on a clear </w:t>
      </w:r>
      <w:r w:rsidR="007003F5" w:rsidRPr="004944C7">
        <w:rPr>
          <w:rFonts w:ascii="Arial" w:hAnsi="Arial" w:cs="Arial"/>
          <w:sz w:val="22"/>
          <w:szCs w:val="22"/>
          <w:lang w:val="en-GB" w:eastAsia="en-GB"/>
        </w:rPr>
        <w:t>asymmetry</w:t>
      </w:r>
      <w:r w:rsidR="0014601B" w:rsidRPr="004944C7">
        <w:rPr>
          <w:rFonts w:ascii="Arial" w:hAnsi="Arial" w:cs="Arial"/>
          <w:sz w:val="22"/>
          <w:szCs w:val="22"/>
          <w:lang w:val="en-GB" w:eastAsia="en-GB"/>
        </w:rPr>
        <w:t xml:space="preserve"> in Vodafone’s own numbers. European markets </w:t>
      </w:r>
      <w:r w:rsidR="00291E05" w:rsidRPr="004944C7">
        <w:rPr>
          <w:rFonts w:ascii="Arial" w:hAnsi="Arial" w:cs="Arial"/>
          <w:sz w:val="22"/>
          <w:szCs w:val="22"/>
          <w:lang w:val="en-GB" w:eastAsia="en-GB"/>
        </w:rPr>
        <w:t xml:space="preserve">remain intensely contested </w:t>
      </w:r>
      <w:r w:rsidR="00EB0776" w:rsidRPr="004944C7">
        <w:rPr>
          <w:rFonts w:ascii="Arial" w:hAnsi="Arial" w:cs="Arial"/>
          <w:sz w:val="22"/>
          <w:szCs w:val="22"/>
          <w:lang w:val="en-GB" w:eastAsia="en-GB"/>
        </w:rPr>
        <w:t>and</w:t>
      </w:r>
      <w:r w:rsidR="00A9530F" w:rsidRPr="004944C7">
        <w:rPr>
          <w:rFonts w:ascii="Arial" w:hAnsi="Arial" w:cs="Arial"/>
          <w:sz w:val="22"/>
          <w:szCs w:val="22"/>
          <w:lang w:val="en-GB" w:eastAsia="en-GB"/>
        </w:rPr>
        <w:t xml:space="preserve"> largely saturated, constraining organic growth regardless of investments. Africa tells a different story:</w:t>
      </w:r>
      <w:r w:rsidR="00344EB5" w:rsidRPr="004944C7">
        <w:rPr>
          <w:rFonts w:ascii="Arial" w:hAnsi="Arial" w:cs="Arial"/>
          <w:sz w:val="22"/>
          <w:szCs w:val="22"/>
          <w:lang w:val="en-GB" w:eastAsia="en-GB"/>
        </w:rPr>
        <w:t xml:space="preserve"> M-Pesa revenue grew by 10%</w:t>
      </w:r>
      <w:r w:rsidR="00BD06DF" w:rsidRPr="004944C7">
        <w:rPr>
          <w:rFonts w:ascii="Arial" w:hAnsi="Arial" w:cs="Arial"/>
          <w:sz w:val="22"/>
          <w:szCs w:val="22"/>
          <w:lang w:val="en-GB" w:eastAsia="en-GB"/>
        </w:rPr>
        <w:t xml:space="preserve"> to €427.9 million and now accounts for 26.7% of </w:t>
      </w:r>
      <w:r w:rsidR="004944C7" w:rsidRPr="004944C7">
        <w:rPr>
          <w:rFonts w:ascii="Arial" w:hAnsi="Arial" w:cs="Arial"/>
          <w:sz w:val="22"/>
          <w:szCs w:val="22"/>
          <w:lang w:val="en-GB" w:eastAsia="en-GB"/>
        </w:rPr>
        <w:t>Vodacom’s</w:t>
      </w:r>
      <w:r w:rsidR="00BD06DF" w:rsidRPr="004944C7">
        <w:rPr>
          <w:rFonts w:ascii="Arial" w:hAnsi="Arial" w:cs="Arial"/>
          <w:sz w:val="22"/>
          <w:szCs w:val="22"/>
          <w:lang w:val="en-GB" w:eastAsia="en-GB"/>
        </w:rPr>
        <w:t xml:space="preserve"> international service revenue, and rising smartphone penetration continues to expand the addressable market for both connectivity and financial services.</w:t>
      </w:r>
      <w:r w:rsidR="00352DBF" w:rsidRPr="004944C7">
        <w:rPr>
          <w:rFonts w:ascii="Arial" w:hAnsi="Arial" w:cs="Arial"/>
          <w:sz w:val="22"/>
          <w:szCs w:val="22"/>
          <w:lang w:val="en-GB" w:eastAsia="en-GB"/>
        </w:rPr>
        <w:t xml:space="preserve"> Serving over 340 million customers across Europe and Africa, with network partnerships in further 40 markets, Vodafone already has the infrastructure and brand recognition that market development requires</w:t>
      </w:r>
      <w:r w:rsidR="00F94CA3" w:rsidRPr="004944C7">
        <w:rPr>
          <w:rFonts w:ascii="Arial" w:hAnsi="Arial" w:cs="Arial"/>
          <w:sz w:val="22"/>
          <w:szCs w:val="22"/>
          <w:lang w:val="en-GB" w:eastAsia="en-GB"/>
        </w:rPr>
        <w:t xml:space="preserve"> - this is not a strategy that demands building new capabilities from scratch, but one that leverages what the organisation already does well in a market that is growing fast.</w:t>
      </w:r>
    </w:p>
    <w:p w14:paraId="5B62ACCA" w14:textId="7A78FADA" w:rsidR="00F94CA3" w:rsidRPr="004944C7" w:rsidRDefault="00042D87" w:rsidP="004944C7">
      <w:pPr>
        <w:rPr>
          <w:rFonts w:ascii="Arial" w:hAnsi="Arial" w:cs="Arial"/>
          <w:sz w:val="22"/>
          <w:szCs w:val="22"/>
          <w:lang w:val="en-GB" w:eastAsia="en-GB"/>
        </w:rPr>
      </w:pPr>
      <w:r w:rsidRPr="004944C7">
        <w:rPr>
          <w:rFonts w:ascii="Arial" w:hAnsi="Arial" w:cs="Arial"/>
          <w:sz w:val="22"/>
          <w:szCs w:val="22"/>
          <w:lang w:val="en-GB" w:eastAsia="en-GB"/>
        </w:rPr>
        <w:t>This is not to say the strategy is without risk. Currency volatility, regulatory fragmentation across African markets, and</w:t>
      </w:r>
      <w:r w:rsidR="00FF47D5" w:rsidRPr="004944C7">
        <w:rPr>
          <w:rFonts w:ascii="Arial" w:hAnsi="Arial" w:cs="Arial"/>
          <w:sz w:val="22"/>
          <w:szCs w:val="22"/>
          <w:lang w:val="en-GB" w:eastAsia="en-GB"/>
        </w:rPr>
        <w:t xml:space="preserve"> intensifying competition from local mobile</w:t>
      </w:r>
      <w:r w:rsidR="002B4EDC" w:rsidRPr="004944C7">
        <w:rPr>
          <w:rFonts w:ascii="Arial" w:hAnsi="Arial" w:cs="Arial"/>
          <w:sz w:val="22"/>
          <w:szCs w:val="22"/>
          <w:lang w:val="en-GB" w:eastAsia="en-GB"/>
        </w:rPr>
        <w:t>-</w:t>
      </w:r>
      <w:r w:rsidR="00FF47D5" w:rsidRPr="004944C7">
        <w:rPr>
          <w:rFonts w:ascii="Arial" w:hAnsi="Arial" w:cs="Arial"/>
          <w:sz w:val="22"/>
          <w:szCs w:val="22"/>
          <w:lang w:val="en-GB" w:eastAsia="en-GB"/>
        </w:rPr>
        <w:t>money entran</w:t>
      </w:r>
      <w:r w:rsidR="002B4EDC" w:rsidRPr="004944C7">
        <w:rPr>
          <w:rFonts w:ascii="Arial" w:hAnsi="Arial" w:cs="Arial"/>
          <w:sz w:val="22"/>
          <w:szCs w:val="22"/>
          <w:lang w:val="en-GB" w:eastAsia="en-GB"/>
        </w:rPr>
        <w:t>ts</w:t>
      </w:r>
      <w:r w:rsidR="00FF47D5" w:rsidRPr="004944C7">
        <w:rPr>
          <w:rFonts w:ascii="Arial" w:hAnsi="Arial" w:cs="Arial"/>
          <w:sz w:val="22"/>
          <w:szCs w:val="22"/>
          <w:lang w:val="en-GB" w:eastAsia="en-GB"/>
        </w:rPr>
        <w:t xml:space="preserve"> </w:t>
      </w:r>
      <w:r w:rsidR="00566DA0" w:rsidRPr="004944C7">
        <w:rPr>
          <w:rFonts w:ascii="Arial" w:hAnsi="Arial" w:cs="Arial"/>
          <w:sz w:val="22"/>
          <w:szCs w:val="22"/>
          <w:lang w:val="en-GB" w:eastAsia="en-GB"/>
        </w:rPr>
        <w:t>(</w:t>
      </w:r>
      <w:r w:rsidR="00FF47D5" w:rsidRPr="004944C7">
        <w:rPr>
          <w:rFonts w:ascii="Arial" w:hAnsi="Arial" w:cs="Arial"/>
          <w:sz w:val="22"/>
          <w:szCs w:val="22"/>
          <w:lang w:val="en-GB" w:eastAsia="en-GB"/>
        </w:rPr>
        <w:t xml:space="preserve">such as </w:t>
      </w:r>
      <w:r w:rsidR="002B4EDC" w:rsidRPr="004944C7">
        <w:rPr>
          <w:rFonts w:ascii="Arial" w:hAnsi="Arial" w:cs="Arial"/>
          <w:sz w:val="22"/>
          <w:szCs w:val="22"/>
          <w:lang w:val="en-GB" w:eastAsia="en-GB"/>
        </w:rPr>
        <w:t>W</w:t>
      </w:r>
      <w:r w:rsidR="00FF47D5" w:rsidRPr="004944C7">
        <w:rPr>
          <w:rFonts w:ascii="Arial" w:hAnsi="Arial" w:cs="Arial"/>
          <w:sz w:val="22"/>
          <w:szCs w:val="22"/>
          <w:lang w:val="en-GB" w:eastAsia="en-GB"/>
        </w:rPr>
        <w:t>ave in East Africa)</w:t>
      </w:r>
      <w:r w:rsidR="00566DA0" w:rsidRPr="004944C7">
        <w:rPr>
          <w:rFonts w:ascii="Arial" w:hAnsi="Arial" w:cs="Arial"/>
          <w:sz w:val="22"/>
          <w:szCs w:val="22"/>
          <w:lang w:val="en-GB" w:eastAsia="en-GB"/>
        </w:rPr>
        <w:t xml:space="preserve"> </w:t>
      </w:r>
      <w:r w:rsidR="002B4EDC" w:rsidRPr="004944C7">
        <w:rPr>
          <w:rFonts w:ascii="Arial" w:hAnsi="Arial" w:cs="Arial"/>
          <w:sz w:val="22"/>
          <w:szCs w:val="22"/>
          <w:lang w:val="en-GB" w:eastAsia="en-GB"/>
        </w:rPr>
        <w:t>all</w:t>
      </w:r>
      <w:r w:rsidR="00566DA0" w:rsidRPr="004944C7">
        <w:rPr>
          <w:rFonts w:ascii="Arial" w:hAnsi="Arial" w:cs="Arial"/>
          <w:sz w:val="22"/>
          <w:szCs w:val="22"/>
          <w:lang w:val="en-GB" w:eastAsia="en-GB"/>
        </w:rPr>
        <w:t xml:space="preserve"> pose genuine threats to execution.</w:t>
      </w:r>
      <w:r w:rsidR="00AA494C" w:rsidRPr="004944C7">
        <w:rPr>
          <w:rFonts w:ascii="Arial" w:hAnsi="Arial" w:cs="Arial"/>
          <w:sz w:val="22"/>
          <w:szCs w:val="22"/>
          <w:lang w:val="en-GB" w:eastAsia="en-GB"/>
        </w:rPr>
        <w:t xml:space="preserve"> The report addresses these directly through the SFA framework and a phased, KPI driven implementation plan, arguing that these risks are manageable relative to the alternative - continuing to compete primarily on the price and the markets where it has already plateaued</w:t>
      </w:r>
      <w:r w:rsidR="00A35263" w:rsidRPr="004944C7">
        <w:rPr>
          <w:rFonts w:ascii="Arial" w:hAnsi="Arial" w:cs="Arial"/>
          <w:sz w:val="22"/>
          <w:szCs w:val="22"/>
          <w:lang w:val="en-GB" w:eastAsia="en-GB"/>
        </w:rPr>
        <w:t>.</w:t>
      </w:r>
    </w:p>
    <w:p w14:paraId="6845AA59" w14:textId="4B3AA6A1" w:rsidR="006405C5" w:rsidRDefault="006405C5" w:rsidP="006405C5">
      <w:pPr>
        <w:pStyle w:val="Heading1"/>
        <w:rPr>
          <w:rFonts w:ascii="Arial" w:hAnsi="Arial" w:cs="Arial"/>
          <w:b/>
          <w:bCs/>
          <w:color w:val="000000" w:themeColor="text1"/>
          <w:sz w:val="22"/>
          <w:szCs w:val="22"/>
        </w:rPr>
      </w:pPr>
      <w:bookmarkStart w:id="1" w:name="_Toc237338915"/>
      <w:r>
        <w:rPr>
          <w:rFonts w:ascii="Arial" w:hAnsi="Arial" w:cs="Arial"/>
          <w:b/>
          <w:bCs/>
          <w:color w:val="000000" w:themeColor="text1"/>
          <w:sz w:val="22"/>
          <w:szCs w:val="22"/>
        </w:rPr>
        <w:t xml:space="preserve">2. </w:t>
      </w:r>
      <w:r w:rsidR="4896F6AF" w:rsidRPr="006405C5">
        <w:rPr>
          <w:rFonts w:ascii="Arial" w:hAnsi="Arial" w:cs="Arial"/>
          <w:b/>
          <w:bCs/>
          <w:color w:val="000000" w:themeColor="text1"/>
          <w:sz w:val="22"/>
          <w:szCs w:val="22"/>
        </w:rPr>
        <w:t>Introduction to Vodafone</w:t>
      </w:r>
      <w:bookmarkEnd w:id="1"/>
    </w:p>
    <w:p w14:paraId="1008FA15" w14:textId="77777777" w:rsidR="006405C5" w:rsidRPr="006405C5" w:rsidRDefault="006405C5" w:rsidP="006405C5"/>
    <w:p w14:paraId="3ECA7874" w14:textId="476CC061" w:rsidR="00D5041A" w:rsidRPr="00D85D9C" w:rsidRDefault="4896F6AF">
      <w:pPr>
        <w:rPr>
          <w:rFonts w:ascii="Arial" w:eastAsia="Aptos" w:hAnsi="Arial" w:cs="Arial"/>
          <w:sz w:val="22"/>
          <w:szCs w:val="22"/>
        </w:rPr>
      </w:pPr>
      <w:r w:rsidRPr="00D85D9C">
        <w:rPr>
          <w:rFonts w:ascii="Arial" w:eastAsia="Aptos" w:hAnsi="Arial" w:cs="Arial"/>
          <w:sz w:val="22"/>
          <w:szCs w:val="22"/>
        </w:rPr>
        <w:t xml:space="preserve">Vodafone is one of the world's leading telecommunications and technology companies, operating across Europe and Africa and serving millions of customers through its mobile, broadband, digital, and business communication services. Founded in 1984 in the United Kingdom, Vodafone has grown into a global </w:t>
      </w:r>
      <w:proofErr w:type="spellStart"/>
      <w:r w:rsidRPr="00D85D9C">
        <w:rPr>
          <w:rFonts w:ascii="Arial" w:eastAsia="Aptos" w:hAnsi="Arial" w:cs="Arial"/>
          <w:sz w:val="22"/>
          <w:szCs w:val="22"/>
        </w:rPr>
        <w:t>organisation</w:t>
      </w:r>
      <w:proofErr w:type="spellEnd"/>
      <w:r w:rsidRPr="00D85D9C">
        <w:rPr>
          <w:rFonts w:ascii="Arial" w:eastAsia="Aptos" w:hAnsi="Arial" w:cs="Arial"/>
          <w:sz w:val="22"/>
          <w:szCs w:val="22"/>
        </w:rPr>
        <w:t xml:space="preserve"> that plays a significant role in connecting individuals, businesses, and communities through advanced digital technologies and network infrastructure. The company focuses on providing reliable connectivity while supporting innovation, sustainability, and digital inclusion.</w:t>
      </w:r>
    </w:p>
    <w:p w14:paraId="43BC1C1F" w14:textId="347F9686" w:rsidR="00D5041A" w:rsidRPr="00D85D9C" w:rsidRDefault="00D5041A">
      <w:pPr>
        <w:rPr>
          <w:rFonts w:ascii="Arial" w:hAnsi="Arial" w:cs="Arial"/>
          <w:sz w:val="22"/>
          <w:szCs w:val="22"/>
        </w:rPr>
      </w:pPr>
      <w:r w:rsidRPr="00D85D9C">
        <w:rPr>
          <w:rFonts w:ascii="Arial" w:hAnsi="Arial" w:cs="Arial"/>
          <w:sz w:val="22"/>
          <w:szCs w:val="22"/>
        </w:rPr>
        <w:t xml:space="preserve">Vodafone's vision is to become a best-in-class telecommunications company that shapes the future of connectivity in the countries where it operates. Its mission is to connect everyone through trusted networks and technology, helping to build an inclusive, sustainable, and digitally connected society. These ambitions are underpinned by the </w:t>
      </w:r>
      <w:proofErr w:type="spellStart"/>
      <w:r w:rsidRPr="00D85D9C">
        <w:rPr>
          <w:rFonts w:ascii="Arial" w:hAnsi="Arial" w:cs="Arial"/>
          <w:sz w:val="22"/>
          <w:szCs w:val="22"/>
        </w:rPr>
        <w:t>organisation's</w:t>
      </w:r>
      <w:proofErr w:type="spellEnd"/>
      <w:r w:rsidRPr="00D85D9C">
        <w:rPr>
          <w:rFonts w:ascii="Arial" w:hAnsi="Arial" w:cs="Arial"/>
          <w:sz w:val="22"/>
          <w:szCs w:val="22"/>
        </w:rPr>
        <w:t xml:space="preserve"> core values of empowering people, protecting the planet, and earning customer trust. Together, these principles guide strategic decision-making and reinforce Vodafone's commitment to responsible connectivity, environmental sustainability, ethical business practices, and long-term stakeholder value.</w:t>
      </w:r>
    </w:p>
    <w:p w14:paraId="444C4222" w14:textId="03E8E683" w:rsidR="00564238" w:rsidRPr="00D85D9C" w:rsidRDefault="00564238">
      <w:pPr>
        <w:rPr>
          <w:rFonts w:ascii="Arial" w:hAnsi="Arial" w:cs="Arial"/>
          <w:sz w:val="22"/>
          <w:szCs w:val="22"/>
        </w:rPr>
      </w:pPr>
      <w:r w:rsidRPr="00D85D9C">
        <w:rPr>
          <w:rFonts w:ascii="Arial" w:hAnsi="Arial" w:cs="Arial"/>
          <w:sz w:val="22"/>
          <w:szCs w:val="22"/>
        </w:rPr>
        <w:lastRenderedPageBreak/>
        <w:t xml:space="preserve">The telecommunications industry is </w:t>
      </w:r>
      <w:proofErr w:type="spellStart"/>
      <w:r w:rsidRPr="00D85D9C">
        <w:rPr>
          <w:rFonts w:ascii="Arial" w:hAnsi="Arial" w:cs="Arial"/>
          <w:sz w:val="22"/>
          <w:szCs w:val="22"/>
        </w:rPr>
        <w:t>characterised</w:t>
      </w:r>
      <w:proofErr w:type="spellEnd"/>
      <w:r w:rsidRPr="00D85D9C">
        <w:rPr>
          <w:rFonts w:ascii="Arial" w:hAnsi="Arial" w:cs="Arial"/>
          <w:sz w:val="22"/>
          <w:szCs w:val="22"/>
        </w:rPr>
        <w:t xml:space="preserve"> by rapid technological innovation, increasing competition, evolving customer expectations, and significant regulatory oversight. Emerging technologies such as artificial intelligence (AI), 5G networks, cloud computing, and digital financial services continue to reshape customer </w:t>
      </w:r>
      <w:proofErr w:type="spellStart"/>
      <w:r w:rsidRPr="00D85D9C">
        <w:rPr>
          <w:rFonts w:ascii="Arial" w:hAnsi="Arial" w:cs="Arial"/>
          <w:sz w:val="22"/>
          <w:szCs w:val="22"/>
        </w:rPr>
        <w:t>behaviour</w:t>
      </w:r>
      <w:proofErr w:type="spellEnd"/>
      <w:r w:rsidRPr="00D85D9C">
        <w:rPr>
          <w:rFonts w:ascii="Arial" w:hAnsi="Arial" w:cs="Arial"/>
          <w:sz w:val="22"/>
          <w:szCs w:val="22"/>
        </w:rPr>
        <w:t xml:space="preserve"> and create new opportunities for growth. To remain competitive, </w:t>
      </w:r>
      <w:proofErr w:type="spellStart"/>
      <w:r w:rsidRPr="00D85D9C">
        <w:rPr>
          <w:rFonts w:ascii="Arial" w:hAnsi="Arial" w:cs="Arial"/>
          <w:sz w:val="22"/>
          <w:szCs w:val="22"/>
        </w:rPr>
        <w:t>organisations</w:t>
      </w:r>
      <w:proofErr w:type="spellEnd"/>
      <w:r w:rsidRPr="00D85D9C">
        <w:rPr>
          <w:rFonts w:ascii="Arial" w:hAnsi="Arial" w:cs="Arial"/>
          <w:sz w:val="22"/>
          <w:szCs w:val="22"/>
        </w:rPr>
        <w:t xml:space="preserve"> such as Vodafone must continually adapt their strategies, invest in innovation, and respond proactively to changes in the external business environment.</w:t>
      </w:r>
    </w:p>
    <w:p w14:paraId="44F6A749" w14:textId="56F8CFD9" w:rsidR="00564238" w:rsidRDefault="00564238">
      <w:pPr>
        <w:rPr>
          <w:rFonts w:ascii="Arial" w:hAnsi="Arial" w:cs="Arial"/>
          <w:sz w:val="22"/>
          <w:szCs w:val="22"/>
        </w:rPr>
      </w:pPr>
      <w:r w:rsidRPr="00D85D9C">
        <w:rPr>
          <w:rFonts w:ascii="Arial" w:hAnsi="Arial" w:cs="Arial"/>
          <w:sz w:val="22"/>
          <w:szCs w:val="22"/>
        </w:rPr>
        <w:t>This report evaluates Vodafone's current strategic position through an assessment of its internal capabilities and external business environment. It then examines strategic growth opportunities before recommending an appropriate growth strategy that supports sustainable competitive advantage while remaining aligned with Vodafone's mission, values, and long-term corporate objectives.</w:t>
      </w:r>
    </w:p>
    <w:p w14:paraId="0F591965" w14:textId="77777777" w:rsidR="001D6167" w:rsidRDefault="001D6167">
      <w:pPr>
        <w:rPr>
          <w:rFonts w:ascii="Arial" w:hAnsi="Arial" w:cs="Arial"/>
          <w:sz w:val="22"/>
          <w:szCs w:val="22"/>
        </w:rPr>
      </w:pPr>
    </w:p>
    <w:tbl>
      <w:tblPr>
        <w:tblStyle w:val="TableGrid"/>
        <w:tblW w:w="0" w:type="auto"/>
        <w:tblLook w:val="04A0" w:firstRow="1" w:lastRow="0" w:firstColumn="1" w:lastColumn="0" w:noHBand="0" w:noVBand="1"/>
      </w:tblPr>
      <w:tblGrid>
        <w:gridCol w:w="3116"/>
        <w:gridCol w:w="3117"/>
        <w:gridCol w:w="3117"/>
      </w:tblGrid>
      <w:tr w:rsidR="001F593C" w14:paraId="2BC0EEE5" w14:textId="77777777" w:rsidTr="001F593C">
        <w:tc>
          <w:tcPr>
            <w:tcW w:w="3116" w:type="dxa"/>
          </w:tcPr>
          <w:p w14:paraId="44E1E60B" w14:textId="4BBC921B" w:rsidR="001F593C" w:rsidRPr="001D6167" w:rsidRDefault="00F065CC">
            <w:pPr>
              <w:rPr>
                <w:rFonts w:ascii="Arial" w:eastAsia="Aptos" w:hAnsi="Arial" w:cs="Arial"/>
                <w:b/>
                <w:bCs/>
                <w:sz w:val="22"/>
                <w:szCs w:val="22"/>
              </w:rPr>
            </w:pPr>
            <w:r w:rsidRPr="001D6167">
              <w:rPr>
                <w:rFonts w:ascii="Arial" w:eastAsia="Aptos" w:hAnsi="Arial" w:cs="Arial"/>
                <w:b/>
                <w:bCs/>
                <w:sz w:val="22"/>
                <w:szCs w:val="22"/>
              </w:rPr>
              <w:t>Ansoff Mat</w:t>
            </w:r>
            <w:r w:rsidR="001D6167" w:rsidRPr="001D6167">
              <w:rPr>
                <w:rFonts w:ascii="Arial" w:eastAsia="Aptos" w:hAnsi="Arial" w:cs="Arial"/>
                <w:b/>
                <w:bCs/>
                <w:sz w:val="22"/>
                <w:szCs w:val="22"/>
              </w:rPr>
              <w:t>rix</w:t>
            </w:r>
          </w:p>
        </w:tc>
        <w:tc>
          <w:tcPr>
            <w:tcW w:w="3117" w:type="dxa"/>
          </w:tcPr>
          <w:p w14:paraId="2943090B" w14:textId="1F97AB64" w:rsidR="001F593C" w:rsidRPr="005D0497" w:rsidRDefault="00843E40" w:rsidP="005D0497">
            <w:pPr>
              <w:jc w:val="center"/>
              <w:rPr>
                <w:rFonts w:ascii="Arial" w:eastAsia="Aptos" w:hAnsi="Arial" w:cs="Arial"/>
                <w:b/>
                <w:bCs/>
                <w:sz w:val="22"/>
                <w:szCs w:val="22"/>
              </w:rPr>
            </w:pPr>
            <w:r w:rsidRPr="005D0497">
              <w:rPr>
                <w:b/>
                <w:bCs/>
              </w:rPr>
              <w:t>Existing Markets</w:t>
            </w:r>
          </w:p>
        </w:tc>
        <w:tc>
          <w:tcPr>
            <w:tcW w:w="3117" w:type="dxa"/>
          </w:tcPr>
          <w:p w14:paraId="0BBEA4B2" w14:textId="7BD6F5D9" w:rsidR="001F593C" w:rsidRPr="005D0497" w:rsidRDefault="00843E40" w:rsidP="005D0497">
            <w:pPr>
              <w:jc w:val="center"/>
              <w:rPr>
                <w:rFonts w:ascii="Arial" w:eastAsia="Aptos" w:hAnsi="Arial" w:cs="Arial"/>
                <w:b/>
                <w:bCs/>
                <w:sz w:val="22"/>
                <w:szCs w:val="22"/>
              </w:rPr>
            </w:pPr>
            <w:r w:rsidRPr="005D0497">
              <w:rPr>
                <w:b/>
                <w:bCs/>
              </w:rPr>
              <w:t>New Markets</w:t>
            </w:r>
          </w:p>
        </w:tc>
      </w:tr>
      <w:tr w:rsidR="001F593C" w14:paraId="219B3843" w14:textId="77777777" w:rsidTr="001F593C">
        <w:tc>
          <w:tcPr>
            <w:tcW w:w="3116" w:type="dxa"/>
          </w:tcPr>
          <w:p w14:paraId="49DA79A2" w14:textId="77777777" w:rsidR="005D0497" w:rsidRDefault="005D0497" w:rsidP="005D0497">
            <w:pPr>
              <w:jc w:val="center"/>
            </w:pPr>
          </w:p>
          <w:p w14:paraId="082845A6" w14:textId="77777777" w:rsidR="005D0497" w:rsidRDefault="005D0497" w:rsidP="005D0497">
            <w:pPr>
              <w:jc w:val="center"/>
            </w:pPr>
          </w:p>
          <w:p w14:paraId="2C293C30" w14:textId="77777777" w:rsidR="005D0497" w:rsidRDefault="005D0497" w:rsidP="005D0497">
            <w:pPr>
              <w:jc w:val="center"/>
            </w:pPr>
          </w:p>
          <w:p w14:paraId="4A8B6909" w14:textId="77777777" w:rsidR="005D0497" w:rsidRDefault="005D0497" w:rsidP="005D0497">
            <w:pPr>
              <w:jc w:val="center"/>
            </w:pPr>
          </w:p>
          <w:p w14:paraId="2399A3CE" w14:textId="44F6C90A" w:rsidR="001F593C" w:rsidRPr="005D0497" w:rsidRDefault="00AF040C" w:rsidP="005D0497">
            <w:pPr>
              <w:jc w:val="center"/>
              <w:rPr>
                <w:rFonts w:ascii="Arial" w:eastAsia="Aptos" w:hAnsi="Arial" w:cs="Arial"/>
                <w:b/>
                <w:bCs/>
                <w:sz w:val="22"/>
                <w:szCs w:val="22"/>
              </w:rPr>
            </w:pPr>
            <w:r w:rsidRPr="005D0497">
              <w:rPr>
                <w:b/>
                <w:bCs/>
              </w:rPr>
              <w:t>Existing Products</w:t>
            </w:r>
          </w:p>
        </w:tc>
        <w:tc>
          <w:tcPr>
            <w:tcW w:w="3117" w:type="dxa"/>
          </w:tcPr>
          <w:p w14:paraId="582DDCCB" w14:textId="174108A4" w:rsidR="001F593C" w:rsidRDefault="00AF040C">
            <w:pPr>
              <w:rPr>
                <w:rFonts w:ascii="Arial" w:eastAsia="Aptos" w:hAnsi="Arial" w:cs="Arial"/>
                <w:sz w:val="22"/>
                <w:szCs w:val="22"/>
              </w:rPr>
            </w:pPr>
            <w:r>
              <w:rPr>
                <w:rStyle w:val="Strong"/>
              </w:rPr>
              <w:t>Market Penetration</w:t>
            </w:r>
            <w:r>
              <w:br/>
              <w:t>• 5G network expansion</w:t>
            </w:r>
            <w:r>
              <w:br/>
              <w:t>• AI-powered customer support</w:t>
            </w:r>
            <w:r>
              <w:br/>
              <w:t>• Bundled mobile &amp; broadband services</w:t>
            </w:r>
            <w:r>
              <w:br/>
              <w:t>• Three UK merger to increase market share</w:t>
            </w:r>
          </w:p>
        </w:tc>
        <w:tc>
          <w:tcPr>
            <w:tcW w:w="3117" w:type="dxa"/>
          </w:tcPr>
          <w:p w14:paraId="727C321B" w14:textId="7CD3E29A" w:rsidR="001F593C" w:rsidRDefault="00136876">
            <w:pPr>
              <w:rPr>
                <w:rFonts w:ascii="Arial" w:eastAsia="Aptos" w:hAnsi="Arial" w:cs="Arial"/>
                <w:sz w:val="22"/>
                <w:szCs w:val="22"/>
              </w:rPr>
            </w:pPr>
            <w:r>
              <w:rPr>
                <w:rStyle w:val="Strong"/>
              </w:rPr>
              <w:t>Market Development</w:t>
            </w:r>
            <w:r>
              <w:t xml:space="preserve"> </w:t>
            </w:r>
            <w:r>
              <w:rPr>
                <w:rStyle w:val="Emphasis"/>
              </w:rPr>
              <w:t>(Recommended Strategy)</w:t>
            </w:r>
            <w:r>
              <w:br/>
              <w:t>• Expand enterprise services across Africa</w:t>
            </w:r>
            <w:r>
              <w:br/>
              <w:t>• Growth of M-Pesa</w:t>
            </w:r>
            <w:r>
              <w:br/>
              <w:t>• Cloud &amp; cybersecurity solutions</w:t>
            </w:r>
            <w:r>
              <w:br/>
              <w:t>• IoT services in emerging markets</w:t>
            </w:r>
          </w:p>
        </w:tc>
      </w:tr>
      <w:tr w:rsidR="001F593C" w14:paraId="56CC296B" w14:textId="77777777" w:rsidTr="001F593C">
        <w:tc>
          <w:tcPr>
            <w:tcW w:w="3116" w:type="dxa"/>
          </w:tcPr>
          <w:p w14:paraId="35BCE70B" w14:textId="77777777" w:rsidR="005D0497" w:rsidRDefault="005D0497" w:rsidP="005D0497">
            <w:pPr>
              <w:ind w:firstLine="720"/>
              <w:jc w:val="both"/>
            </w:pPr>
          </w:p>
          <w:p w14:paraId="14EE3F06" w14:textId="77777777" w:rsidR="005D0497" w:rsidRDefault="005D0497" w:rsidP="005D0497">
            <w:pPr>
              <w:ind w:firstLine="720"/>
              <w:jc w:val="both"/>
            </w:pPr>
          </w:p>
          <w:p w14:paraId="5ACA1EF5" w14:textId="2AF85C00" w:rsidR="001F593C" w:rsidRPr="005D0497" w:rsidRDefault="00136876" w:rsidP="005D0497">
            <w:pPr>
              <w:ind w:firstLine="720"/>
              <w:jc w:val="both"/>
              <w:rPr>
                <w:rFonts w:ascii="Arial" w:eastAsia="Aptos" w:hAnsi="Arial" w:cs="Arial"/>
                <w:b/>
                <w:bCs/>
                <w:sz w:val="22"/>
                <w:szCs w:val="22"/>
              </w:rPr>
            </w:pPr>
            <w:r w:rsidRPr="005D0497">
              <w:rPr>
                <w:b/>
                <w:bCs/>
              </w:rPr>
              <w:t>New Products</w:t>
            </w:r>
          </w:p>
        </w:tc>
        <w:tc>
          <w:tcPr>
            <w:tcW w:w="3117" w:type="dxa"/>
          </w:tcPr>
          <w:p w14:paraId="171274D3" w14:textId="0B0D2D56" w:rsidR="001F593C" w:rsidRDefault="00136876">
            <w:pPr>
              <w:rPr>
                <w:rFonts w:ascii="Arial" w:eastAsia="Aptos" w:hAnsi="Arial" w:cs="Arial"/>
                <w:sz w:val="22"/>
                <w:szCs w:val="22"/>
              </w:rPr>
            </w:pPr>
            <w:r>
              <w:rPr>
                <w:rStyle w:val="Strong"/>
              </w:rPr>
              <w:t>Product Development</w:t>
            </w:r>
            <w:r>
              <w:br/>
              <w:t>• Private 5G networks</w:t>
            </w:r>
            <w:r>
              <w:br/>
              <w:t>• AI-enabled digital services</w:t>
            </w:r>
            <w:r>
              <w:br/>
              <w:t>• Cloud computing</w:t>
            </w:r>
            <w:r>
              <w:br/>
              <w:t>• Cybersecurity solutions</w:t>
            </w:r>
          </w:p>
        </w:tc>
        <w:tc>
          <w:tcPr>
            <w:tcW w:w="3117" w:type="dxa"/>
          </w:tcPr>
          <w:p w14:paraId="3A1871A2" w14:textId="1A1D3208" w:rsidR="001F593C" w:rsidRDefault="00425230">
            <w:pPr>
              <w:rPr>
                <w:rFonts w:ascii="Arial" w:eastAsia="Aptos" w:hAnsi="Arial" w:cs="Arial"/>
                <w:sz w:val="22"/>
                <w:szCs w:val="22"/>
              </w:rPr>
            </w:pPr>
            <w:r>
              <w:rPr>
                <w:rStyle w:val="Strong"/>
              </w:rPr>
              <w:t>Diversification</w:t>
            </w:r>
            <w:r>
              <w:br/>
              <w:t>• Strategic partnerships (Microsoft &amp; Google)</w:t>
            </w:r>
            <w:r>
              <w:br/>
              <w:t>• New AI technologies</w:t>
            </w:r>
            <w:r>
              <w:br/>
              <w:t>• Digital financial innovations</w:t>
            </w:r>
          </w:p>
        </w:tc>
      </w:tr>
    </w:tbl>
    <w:p w14:paraId="270834E0" w14:textId="77777777" w:rsidR="005818A8" w:rsidRPr="00D85D9C" w:rsidRDefault="005818A8">
      <w:pPr>
        <w:rPr>
          <w:rFonts w:ascii="Arial" w:eastAsia="Aptos" w:hAnsi="Arial" w:cs="Arial"/>
          <w:sz w:val="22"/>
          <w:szCs w:val="22"/>
        </w:rPr>
      </w:pPr>
    </w:p>
    <w:p w14:paraId="0914836D" w14:textId="19FC999E" w:rsidR="00FF4C17" w:rsidRPr="006B7D53" w:rsidRDefault="000D5C6F" w:rsidP="006B7D53">
      <w:pPr>
        <w:pStyle w:val="Heading2"/>
        <w:rPr>
          <w:b/>
          <w:bCs/>
          <w:color w:val="000000" w:themeColor="text1"/>
        </w:rPr>
      </w:pPr>
      <w:bookmarkStart w:id="2" w:name="_Toc237338916"/>
      <w:r w:rsidRPr="006B7D53">
        <w:rPr>
          <w:b/>
          <w:bCs/>
          <w:color w:val="000000" w:themeColor="text1"/>
        </w:rPr>
        <w:t xml:space="preserve">3. </w:t>
      </w:r>
      <w:r w:rsidR="0059226A" w:rsidRPr="006B7D53">
        <w:rPr>
          <w:b/>
          <w:bCs/>
          <w:color w:val="000000" w:themeColor="text1"/>
        </w:rPr>
        <w:t>Evaluation of the Current Market Situation</w:t>
      </w:r>
      <w:bookmarkEnd w:id="2"/>
      <w:r w:rsidR="006B7D53" w:rsidRPr="006B7D53">
        <w:rPr>
          <w:b/>
          <w:bCs/>
          <w:color w:val="000000" w:themeColor="text1"/>
        </w:rPr>
        <w:t xml:space="preserve"> </w:t>
      </w:r>
    </w:p>
    <w:p w14:paraId="2F338570" w14:textId="10099C25" w:rsidR="003B1B17" w:rsidRPr="00D85D9C" w:rsidRDefault="003B1B17" w:rsidP="003B1B17">
      <w:pPr>
        <w:spacing w:before="100" w:beforeAutospacing="1" w:after="100" w:afterAutospacing="1" w:line="240" w:lineRule="auto"/>
        <w:outlineLvl w:val="2"/>
        <w:rPr>
          <w:rFonts w:ascii="Arial" w:eastAsia="Times New Roman" w:hAnsi="Arial" w:cs="Arial"/>
          <w:b/>
          <w:bCs/>
          <w:sz w:val="22"/>
          <w:szCs w:val="22"/>
          <w:lang w:val="en-GB" w:eastAsia="en-GB"/>
        </w:rPr>
      </w:pPr>
      <w:bookmarkStart w:id="3" w:name="_Toc237338917"/>
      <w:r w:rsidRPr="00D85D9C">
        <w:rPr>
          <w:rFonts w:ascii="Arial" w:eastAsia="Times New Roman" w:hAnsi="Arial" w:cs="Arial"/>
          <w:b/>
          <w:bCs/>
          <w:sz w:val="22"/>
          <w:szCs w:val="22"/>
          <w:lang w:val="en-GB" w:eastAsia="en-GB"/>
        </w:rPr>
        <w:t>3.1 SWOT Analysis</w:t>
      </w:r>
      <w:bookmarkEnd w:id="3"/>
    </w:p>
    <w:p w14:paraId="0CF02701" w14:textId="77777777" w:rsidR="00D06374" w:rsidRPr="00D85D9C" w:rsidRDefault="00D06374" w:rsidP="00D06374">
      <w:pPr>
        <w:pStyle w:val="isselectedend"/>
        <w:rPr>
          <w:rFonts w:ascii="Arial" w:hAnsi="Arial" w:cs="Arial"/>
          <w:sz w:val="22"/>
          <w:szCs w:val="22"/>
        </w:rPr>
      </w:pPr>
      <w:r w:rsidRPr="00D85D9C">
        <w:rPr>
          <w:rFonts w:ascii="Arial" w:hAnsi="Arial" w:cs="Arial"/>
          <w:sz w:val="22"/>
          <w:szCs w:val="22"/>
        </w:rPr>
        <w:t>A SWOT analysis evaluates Vodafone's internal strengths and weaknesses alongside the external opportunities and threats affecting its strategic position. The analysis shows that while Vodafone has significant competitive advantages, it must continue adapting to technological change and evolving market conditions to achieve sustainable growth.</w:t>
      </w:r>
    </w:p>
    <w:p w14:paraId="741513D2" w14:textId="77777777" w:rsidR="00D06374" w:rsidRPr="00D85D9C" w:rsidRDefault="00D06374" w:rsidP="00D06374">
      <w:pPr>
        <w:pStyle w:val="isselectedend"/>
        <w:rPr>
          <w:rFonts w:ascii="Arial" w:hAnsi="Arial" w:cs="Arial"/>
          <w:sz w:val="22"/>
          <w:szCs w:val="22"/>
        </w:rPr>
      </w:pPr>
      <w:r w:rsidRPr="00D85D9C">
        <w:rPr>
          <w:rFonts w:ascii="Arial" w:hAnsi="Arial" w:cs="Arial"/>
          <w:sz w:val="22"/>
          <w:szCs w:val="22"/>
        </w:rPr>
        <w:t xml:space="preserve">Vodafone's key strengths include its globally recognised brand, extensive telecommunications infrastructure, and strong presence across Europe and Africa. Continued investment in 5G, fibre broadband, cloud computing, cybersecurity, and Internet of Things (IoT) solutions has </w:t>
      </w:r>
      <w:r w:rsidRPr="00D85D9C">
        <w:rPr>
          <w:rFonts w:ascii="Arial" w:hAnsi="Arial" w:cs="Arial"/>
          <w:sz w:val="22"/>
          <w:szCs w:val="22"/>
        </w:rPr>
        <w:lastRenderedPageBreak/>
        <w:t>strengthened its competitive position. The company has also diversified its revenue through enterprise services and digital financial platforms such as M-Pesa, reducing its reliance on traditional mobile subscriptions and creating a strong platform for future expansion.</w:t>
      </w:r>
    </w:p>
    <w:p w14:paraId="67A663E9" w14:textId="77777777" w:rsidR="00D06374" w:rsidRPr="00D85D9C" w:rsidRDefault="00D06374" w:rsidP="00D06374">
      <w:pPr>
        <w:pStyle w:val="isselectedend"/>
        <w:rPr>
          <w:rFonts w:ascii="Arial" w:hAnsi="Arial" w:cs="Arial"/>
          <w:sz w:val="22"/>
          <w:szCs w:val="22"/>
        </w:rPr>
      </w:pPr>
      <w:r w:rsidRPr="00D85D9C">
        <w:rPr>
          <w:rFonts w:ascii="Arial" w:hAnsi="Arial" w:cs="Arial"/>
          <w:sz w:val="22"/>
          <w:szCs w:val="22"/>
        </w:rPr>
        <w:t>However, Vodafone faces several internal weaknesses. Maintaining and upgrading telecommunications infrastructure requires substantial capital investment, creating high operating costs and financial pressure. In addition, intense competition within mature European markets has constrained revenue growth, while operating across multiple countries increases organisational complexity and regulatory exposure.</w:t>
      </w:r>
    </w:p>
    <w:p w14:paraId="7553CEF6" w14:textId="77777777" w:rsidR="00D06374" w:rsidRPr="00D85D9C" w:rsidRDefault="00D06374" w:rsidP="00D06374">
      <w:pPr>
        <w:pStyle w:val="isselectedend"/>
        <w:rPr>
          <w:rFonts w:ascii="Arial" w:hAnsi="Arial" w:cs="Arial"/>
          <w:sz w:val="22"/>
          <w:szCs w:val="22"/>
        </w:rPr>
      </w:pPr>
      <w:r w:rsidRPr="00D85D9C">
        <w:rPr>
          <w:rFonts w:ascii="Arial" w:hAnsi="Arial" w:cs="Arial"/>
          <w:sz w:val="22"/>
          <w:szCs w:val="22"/>
        </w:rPr>
        <w:t>Externally, Vodafone has significant opportunities arising from growing demand for AI-enabled services, cloud computing, cybersecurity, IoT, and digital financial services. Increasing digitalisation and smartphone adoption, particularly across African markets, also provide opportunities to expand both consumer and enterprise services.</w:t>
      </w:r>
    </w:p>
    <w:p w14:paraId="15BB6AB7" w14:textId="17D26E4E" w:rsidR="00C05E27" w:rsidRDefault="00D06374" w:rsidP="00BC263C">
      <w:pPr>
        <w:pStyle w:val="NormalWeb"/>
        <w:rPr>
          <w:rFonts w:ascii="Arial" w:hAnsi="Arial" w:cs="Arial"/>
          <w:sz w:val="22"/>
          <w:szCs w:val="22"/>
        </w:rPr>
      </w:pPr>
      <w:r w:rsidRPr="00D85D9C">
        <w:rPr>
          <w:rFonts w:ascii="Arial" w:hAnsi="Arial" w:cs="Arial"/>
          <w:sz w:val="22"/>
          <w:szCs w:val="22"/>
        </w:rPr>
        <w:t>Nevertheless, Vodafone operates within an intensely competitive industry. Rival operators compete aggressively on price, network quality, and service innovation, while rapid technological advances require continuous investment to remain competitive. Regulatory change, cybersecurity threats, and economic uncertainty further increase strategic risk. Overall, Vodafone possesses the capabilities to achieve sustainable growth by leveraging its technological strengths while capitalising on opportunities in high-growth digital markets.</w:t>
      </w:r>
    </w:p>
    <w:p w14:paraId="36AEE9A0" w14:textId="77777777" w:rsidR="00BC263C" w:rsidRDefault="00BC263C" w:rsidP="00BC263C">
      <w:pPr>
        <w:pStyle w:val="NormalWeb"/>
        <w:rPr>
          <w:rFonts w:ascii="Arial" w:hAnsi="Arial" w:cs="Arial"/>
          <w:sz w:val="22"/>
          <w:szCs w:val="22"/>
        </w:rPr>
      </w:pPr>
    </w:p>
    <w:p w14:paraId="5893FC19" w14:textId="77777777" w:rsidR="00BC263C" w:rsidRPr="00BC263C" w:rsidRDefault="00BC263C" w:rsidP="00BC263C">
      <w:pPr>
        <w:pStyle w:val="NormalWeb"/>
        <w:rPr>
          <w:rFonts w:ascii="Arial" w:hAnsi="Arial" w:cs="Arial"/>
          <w:sz w:val="22"/>
          <w:szCs w:val="22"/>
        </w:rPr>
      </w:pPr>
    </w:p>
    <w:p w14:paraId="44302A91" w14:textId="77777777" w:rsidR="00ED5774" w:rsidRPr="00D85D9C" w:rsidRDefault="00ED5774" w:rsidP="00ED5774">
      <w:pPr>
        <w:spacing w:before="100" w:beforeAutospacing="1" w:after="100" w:afterAutospacing="1" w:line="240" w:lineRule="auto"/>
        <w:outlineLvl w:val="2"/>
        <w:rPr>
          <w:rFonts w:ascii="Arial" w:eastAsia="Times New Roman" w:hAnsi="Arial" w:cs="Arial"/>
          <w:b/>
          <w:bCs/>
          <w:sz w:val="22"/>
          <w:szCs w:val="22"/>
          <w:lang w:val="en-GB" w:eastAsia="en-GB"/>
        </w:rPr>
      </w:pPr>
      <w:bookmarkStart w:id="4" w:name="_Toc237338918"/>
      <w:r w:rsidRPr="00D85D9C">
        <w:rPr>
          <w:rFonts w:ascii="Arial" w:eastAsia="Times New Roman" w:hAnsi="Arial" w:cs="Arial"/>
          <w:b/>
          <w:bCs/>
          <w:sz w:val="22"/>
          <w:szCs w:val="22"/>
          <w:lang w:val="en-GB" w:eastAsia="en-GB"/>
        </w:rPr>
        <w:t>3.2 PESTEL Analysis</w:t>
      </w:r>
      <w:bookmarkEnd w:id="4"/>
    </w:p>
    <w:p w14:paraId="71078232" w14:textId="77777777" w:rsidR="004568FD" w:rsidRPr="00D85D9C" w:rsidRDefault="004568FD" w:rsidP="004568FD">
      <w:pPr>
        <w:pStyle w:val="isselectedend"/>
        <w:rPr>
          <w:rFonts w:ascii="Arial" w:hAnsi="Arial" w:cs="Arial"/>
          <w:sz w:val="22"/>
          <w:szCs w:val="22"/>
        </w:rPr>
      </w:pPr>
      <w:r w:rsidRPr="00D85D9C">
        <w:rPr>
          <w:rFonts w:ascii="Arial" w:hAnsi="Arial" w:cs="Arial"/>
          <w:sz w:val="22"/>
          <w:szCs w:val="22"/>
        </w:rPr>
        <w:t>A PESTEL analysis examines the external factors influencing Vodafone's strategic decision-making. As a global telecommunications provider, Vodafone operates within a dynamic environment shaped by political, economic, social, technological, environmental, and legal factors. Understanding these influences enables the company to identify opportunities while mitigating external risks.</w:t>
      </w:r>
    </w:p>
    <w:p w14:paraId="481ABA64" w14:textId="77777777" w:rsidR="004568FD" w:rsidRPr="00D85D9C" w:rsidRDefault="004568FD" w:rsidP="004568FD">
      <w:pPr>
        <w:pStyle w:val="isselectedend"/>
        <w:rPr>
          <w:rFonts w:ascii="Arial" w:hAnsi="Arial" w:cs="Arial"/>
          <w:sz w:val="22"/>
          <w:szCs w:val="22"/>
        </w:rPr>
      </w:pPr>
      <w:r w:rsidRPr="00D85D9C">
        <w:rPr>
          <w:rStyle w:val="Strong"/>
          <w:rFonts w:ascii="Arial" w:hAnsi="Arial" w:cs="Arial"/>
          <w:sz w:val="22"/>
          <w:szCs w:val="22"/>
        </w:rPr>
        <w:t>Political factors</w:t>
      </w:r>
      <w:r w:rsidRPr="00D85D9C">
        <w:rPr>
          <w:rFonts w:ascii="Arial" w:hAnsi="Arial" w:cs="Arial"/>
          <w:sz w:val="22"/>
          <w:szCs w:val="22"/>
        </w:rPr>
        <w:t xml:space="preserve"> significantly influence Vodafone due to the highly regulated nature of the telecommunications industry. Government control of spectrum licensing, network security, and competition policy affects infrastructure investment and market expansion. In addition, government initiatives promoting digital connectivity create opportunities for Vodafone to support national digital transformation programmes.</w:t>
      </w:r>
    </w:p>
    <w:p w14:paraId="446D5C7A" w14:textId="77777777" w:rsidR="004568FD" w:rsidRPr="00D85D9C" w:rsidRDefault="004568FD" w:rsidP="004568FD">
      <w:pPr>
        <w:pStyle w:val="isselectedend"/>
        <w:rPr>
          <w:rFonts w:ascii="Arial" w:hAnsi="Arial" w:cs="Arial"/>
          <w:sz w:val="22"/>
          <w:szCs w:val="22"/>
        </w:rPr>
      </w:pPr>
      <w:r w:rsidRPr="00D85D9C">
        <w:rPr>
          <w:rStyle w:val="Strong"/>
          <w:rFonts w:ascii="Arial" w:hAnsi="Arial" w:cs="Arial"/>
          <w:sz w:val="22"/>
          <w:szCs w:val="22"/>
        </w:rPr>
        <w:t>Economic factors</w:t>
      </w:r>
      <w:r w:rsidRPr="00D85D9C">
        <w:rPr>
          <w:rFonts w:ascii="Arial" w:hAnsi="Arial" w:cs="Arial"/>
          <w:sz w:val="22"/>
          <w:szCs w:val="22"/>
        </w:rPr>
        <w:t xml:space="preserve"> influence both consumer spending and business investment. Inflation and rising living costs have increased price sensitivity, intensifying competition across the sector. Conversely, growing investment in digital transformation, cloud computing, cybersecurity, and enterprise connectivity provides opportunities for Vodafone Business to diversify its revenue.</w:t>
      </w:r>
    </w:p>
    <w:p w14:paraId="32819F78" w14:textId="77777777" w:rsidR="004568FD" w:rsidRPr="00D85D9C" w:rsidRDefault="004568FD" w:rsidP="004568FD">
      <w:pPr>
        <w:pStyle w:val="isselectedend"/>
        <w:rPr>
          <w:rFonts w:ascii="Arial" w:hAnsi="Arial" w:cs="Arial"/>
          <w:sz w:val="22"/>
          <w:szCs w:val="22"/>
        </w:rPr>
      </w:pPr>
      <w:r w:rsidRPr="00D85D9C">
        <w:rPr>
          <w:rStyle w:val="Strong"/>
          <w:rFonts w:ascii="Arial" w:hAnsi="Arial" w:cs="Arial"/>
          <w:sz w:val="22"/>
          <w:szCs w:val="22"/>
        </w:rPr>
        <w:t>Social factors</w:t>
      </w:r>
      <w:r w:rsidRPr="00D85D9C">
        <w:rPr>
          <w:rFonts w:ascii="Arial" w:hAnsi="Arial" w:cs="Arial"/>
          <w:sz w:val="22"/>
          <w:szCs w:val="22"/>
        </w:rPr>
        <w:t xml:space="preserve"> continue to increase demand for reliable digital connectivity. Remote working, online learning, e-commerce, streaming, and digital banking have raised customer expectations for fast and secure networks. Growing digital inclusion initiatives, particularly across African markets, further support Vodafone's expansion strategy.</w:t>
      </w:r>
    </w:p>
    <w:p w14:paraId="31CF8EB1" w14:textId="77777777" w:rsidR="004568FD" w:rsidRPr="00D85D9C" w:rsidRDefault="004568FD" w:rsidP="004568FD">
      <w:pPr>
        <w:pStyle w:val="isselectedend"/>
        <w:rPr>
          <w:rFonts w:ascii="Arial" w:hAnsi="Arial" w:cs="Arial"/>
          <w:sz w:val="22"/>
          <w:szCs w:val="22"/>
        </w:rPr>
      </w:pPr>
      <w:r w:rsidRPr="00D85D9C">
        <w:rPr>
          <w:rStyle w:val="Strong"/>
          <w:rFonts w:ascii="Arial" w:hAnsi="Arial" w:cs="Arial"/>
          <w:sz w:val="22"/>
          <w:szCs w:val="22"/>
        </w:rPr>
        <w:lastRenderedPageBreak/>
        <w:t>Technological factors</w:t>
      </w:r>
      <w:r w:rsidRPr="00D85D9C">
        <w:rPr>
          <w:rFonts w:ascii="Arial" w:hAnsi="Arial" w:cs="Arial"/>
          <w:sz w:val="22"/>
          <w:szCs w:val="22"/>
        </w:rPr>
        <w:t xml:space="preserve"> are the primary driver of change within the telecommunications industry. Advances in artificial intelligence (AI), 5G, cloud computing, Internet of Things (IoT), and cybersecurity enable Vodafone to develop innovative digital services while maintaining its competitive advantage.</w:t>
      </w:r>
    </w:p>
    <w:p w14:paraId="02A1FCD0" w14:textId="77777777" w:rsidR="004568FD" w:rsidRPr="00D85D9C" w:rsidRDefault="004568FD" w:rsidP="004568FD">
      <w:pPr>
        <w:pStyle w:val="isselectedend"/>
        <w:rPr>
          <w:rFonts w:ascii="Arial" w:hAnsi="Arial" w:cs="Arial"/>
          <w:sz w:val="22"/>
          <w:szCs w:val="22"/>
        </w:rPr>
      </w:pPr>
      <w:r w:rsidRPr="00D85D9C">
        <w:rPr>
          <w:rStyle w:val="Strong"/>
          <w:rFonts w:ascii="Arial" w:hAnsi="Arial" w:cs="Arial"/>
          <w:sz w:val="22"/>
          <w:szCs w:val="22"/>
        </w:rPr>
        <w:t>Environmental factors</w:t>
      </w:r>
      <w:r w:rsidRPr="00D85D9C">
        <w:rPr>
          <w:rFonts w:ascii="Arial" w:hAnsi="Arial" w:cs="Arial"/>
          <w:sz w:val="22"/>
          <w:szCs w:val="22"/>
        </w:rPr>
        <w:t xml:space="preserve"> have become increasingly important as stakeholders expect sustainable business practices. Vodafone's commitment to reducing carbon emissions, improving energy efficiency, and increasing renewable energy use strengthens both its environmental performance and corporate reputation.</w:t>
      </w:r>
    </w:p>
    <w:p w14:paraId="1B6C693E" w14:textId="77777777" w:rsidR="004568FD" w:rsidRPr="00D85D9C" w:rsidRDefault="004568FD" w:rsidP="004568FD">
      <w:pPr>
        <w:pStyle w:val="isselectedend"/>
        <w:rPr>
          <w:rFonts w:ascii="Arial" w:hAnsi="Arial" w:cs="Arial"/>
          <w:sz w:val="22"/>
          <w:szCs w:val="22"/>
        </w:rPr>
      </w:pPr>
      <w:r w:rsidRPr="00D85D9C">
        <w:rPr>
          <w:rStyle w:val="Strong"/>
          <w:rFonts w:ascii="Arial" w:hAnsi="Arial" w:cs="Arial"/>
          <w:sz w:val="22"/>
          <w:szCs w:val="22"/>
        </w:rPr>
        <w:t>Legal factors</w:t>
      </w:r>
      <w:r w:rsidRPr="00D85D9C">
        <w:rPr>
          <w:rFonts w:ascii="Arial" w:hAnsi="Arial" w:cs="Arial"/>
          <w:sz w:val="22"/>
          <w:szCs w:val="22"/>
        </w:rPr>
        <w:t xml:space="preserve"> remain critical due to extensive regulation surrounding telecommunications and data management. Compliance with data protection, cybersecurity, consumer rights, and competition legislation is essential to maintaining customer trust and avoiding regulatory penalties.</w:t>
      </w:r>
    </w:p>
    <w:p w14:paraId="377BA1F1" w14:textId="29A4C824" w:rsidR="004568FD" w:rsidRPr="00BC263C" w:rsidRDefault="004568FD" w:rsidP="00BC263C">
      <w:pPr>
        <w:pStyle w:val="NormalWeb"/>
        <w:rPr>
          <w:rFonts w:ascii="Arial" w:hAnsi="Arial" w:cs="Arial"/>
          <w:sz w:val="22"/>
          <w:szCs w:val="22"/>
        </w:rPr>
      </w:pPr>
      <w:r w:rsidRPr="00D85D9C">
        <w:rPr>
          <w:rFonts w:ascii="Arial" w:hAnsi="Arial" w:cs="Arial"/>
          <w:sz w:val="22"/>
          <w:szCs w:val="22"/>
        </w:rPr>
        <w:t>Overall, the PESTEL analysis indicates that while Vodafone faces regulatory and economic challenges, advances in technology, digital transformation, and increasing demand for connectivity present significant opportunities for market development and sustainable growth.</w:t>
      </w:r>
    </w:p>
    <w:p w14:paraId="3567B5C8" w14:textId="77777777" w:rsidR="001A1A8C" w:rsidRPr="00D85D9C" w:rsidRDefault="001A1A8C" w:rsidP="001A1A8C">
      <w:pPr>
        <w:spacing w:before="100" w:beforeAutospacing="1" w:after="100" w:afterAutospacing="1" w:line="240" w:lineRule="auto"/>
        <w:outlineLvl w:val="2"/>
        <w:rPr>
          <w:rFonts w:ascii="Arial" w:eastAsia="Times New Roman" w:hAnsi="Arial" w:cs="Arial"/>
          <w:b/>
          <w:bCs/>
          <w:sz w:val="22"/>
          <w:szCs w:val="22"/>
          <w:lang w:val="en-GB" w:eastAsia="en-GB"/>
        </w:rPr>
      </w:pPr>
      <w:bookmarkStart w:id="5" w:name="_Toc237338919"/>
      <w:r w:rsidRPr="00D85D9C">
        <w:rPr>
          <w:rFonts w:ascii="Arial" w:eastAsia="Times New Roman" w:hAnsi="Arial" w:cs="Arial"/>
          <w:b/>
          <w:bCs/>
          <w:sz w:val="22"/>
          <w:szCs w:val="22"/>
          <w:lang w:val="en-GB" w:eastAsia="en-GB"/>
        </w:rPr>
        <w:t>3.3 Porter's Five Forces Analysis</w:t>
      </w:r>
      <w:bookmarkEnd w:id="5"/>
    </w:p>
    <w:p w14:paraId="70F966B9" w14:textId="77777777" w:rsidR="00DE64C7" w:rsidRPr="00D85D9C" w:rsidRDefault="00DE64C7" w:rsidP="00DE64C7">
      <w:pPr>
        <w:pStyle w:val="isselectedend"/>
        <w:rPr>
          <w:rFonts w:ascii="Arial" w:hAnsi="Arial" w:cs="Arial"/>
          <w:sz w:val="22"/>
          <w:szCs w:val="22"/>
        </w:rPr>
      </w:pPr>
      <w:r w:rsidRPr="00D85D9C">
        <w:rPr>
          <w:rFonts w:ascii="Arial" w:hAnsi="Arial" w:cs="Arial"/>
          <w:sz w:val="22"/>
          <w:szCs w:val="22"/>
        </w:rPr>
        <w:t>Porter's Five Forces framework evaluates the competitive forces within an industry and their influence on organisational profitability and long-term strategy. The analysis indicates that Vodafone operates in a highly competitive telecommunications market where sustained competitive advantage depends on continuous innovation, investment, and service differentiation.</w:t>
      </w:r>
    </w:p>
    <w:p w14:paraId="2AE6C3D0" w14:textId="77777777" w:rsidR="00DE64C7" w:rsidRPr="00D85D9C" w:rsidRDefault="00DE64C7" w:rsidP="00DE64C7">
      <w:pPr>
        <w:pStyle w:val="isselectedend"/>
        <w:rPr>
          <w:rFonts w:ascii="Arial" w:hAnsi="Arial" w:cs="Arial"/>
          <w:sz w:val="22"/>
          <w:szCs w:val="22"/>
        </w:rPr>
      </w:pPr>
      <w:r w:rsidRPr="00D85D9C">
        <w:rPr>
          <w:rStyle w:val="Strong"/>
          <w:rFonts w:ascii="Arial" w:hAnsi="Arial" w:cs="Arial"/>
          <w:sz w:val="22"/>
          <w:szCs w:val="22"/>
        </w:rPr>
        <w:t>Competitive rivalry</w:t>
      </w:r>
      <w:r w:rsidRPr="00D85D9C">
        <w:rPr>
          <w:rFonts w:ascii="Arial" w:hAnsi="Arial" w:cs="Arial"/>
          <w:sz w:val="22"/>
          <w:szCs w:val="22"/>
        </w:rPr>
        <w:t xml:space="preserve"> is extremely high. Vodafone competes with EE, Virgin Media O2, and Three UK on network quality, pricing, customer service, and bundled digital services. As the market is relatively mature, opportunities for organic growth are limited, increasing pressure to retain customers. Consequently, Vodafone must differentiate itself through superior network performance, digital innovation, enterprise services, and customer experience rather than competing primarily on price.</w:t>
      </w:r>
    </w:p>
    <w:p w14:paraId="71F2DF19" w14:textId="77777777" w:rsidR="00DE64C7" w:rsidRPr="00D85D9C" w:rsidRDefault="00DE64C7" w:rsidP="00DE64C7">
      <w:pPr>
        <w:pStyle w:val="isselectedend"/>
        <w:rPr>
          <w:rFonts w:ascii="Arial" w:hAnsi="Arial" w:cs="Arial"/>
          <w:sz w:val="22"/>
          <w:szCs w:val="22"/>
        </w:rPr>
      </w:pPr>
      <w:r w:rsidRPr="00D85D9C">
        <w:rPr>
          <w:rFonts w:ascii="Arial" w:hAnsi="Arial" w:cs="Arial"/>
          <w:sz w:val="22"/>
          <w:szCs w:val="22"/>
        </w:rPr>
        <w:t xml:space="preserve">The </w:t>
      </w:r>
      <w:r w:rsidRPr="00D85D9C">
        <w:rPr>
          <w:rStyle w:val="Strong"/>
          <w:rFonts w:ascii="Arial" w:hAnsi="Arial" w:cs="Arial"/>
          <w:sz w:val="22"/>
          <w:szCs w:val="22"/>
        </w:rPr>
        <w:t>threat of new entrants</w:t>
      </w:r>
      <w:r w:rsidRPr="00D85D9C">
        <w:rPr>
          <w:rFonts w:ascii="Arial" w:hAnsi="Arial" w:cs="Arial"/>
          <w:sz w:val="22"/>
          <w:szCs w:val="22"/>
        </w:rPr>
        <w:t xml:space="preserve"> is low due to high barriers, including substantial infrastructure investment, spectrum licensing, technological expertise, and regulatory compliance. However, Mobile Virtual Network Operators (MVNOs), which lease network capacity from established providers, have increased competition within lower-cost market segments.</w:t>
      </w:r>
    </w:p>
    <w:p w14:paraId="0D65A870" w14:textId="77777777" w:rsidR="00DE64C7" w:rsidRPr="00D85D9C" w:rsidRDefault="00DE64C7" w:rsidP="00DE64C7">
      <w:pPr>
        <w:pStyle w:val="isselectedend"/>
        <w:rPr>
          <w:rFonts w:ascii="Arial" w:hAnsi="Arial" w:cs="Arial"/>
          <w:sz w:val="22"/>
          <w:szCs w:val="22"/>
        </w:rPr>
      </w:pPr>
      <w:r w:rsidRPr="00D85D9C">
        <w:rPr>
          <w:rFonts w:ascii="Arial" w:hAnsi="Arial" w:cs="Arial"/>
          <w:sz w:val="22"/>
          <w:szCs w:val="22"/>
        </w:rPr>
        <w:t xml:space="preserve">The </w:t>
      </w:r>
      <w:r w:rsidRPr="00D85D9C">
        <w:rPr>
          <w:rStyle w:val="Strong"/>
          <w:rFonts w:ascii="Arial" w:hAnsi="Arial" w:cs="Arial"/>
          <w:sz w:val="22"/>
          <w:szCs w:val="22"/>
        </w:rPr>
        <w:t>bargaining power of suppliers</w:t>
      </w:r>
      <w:r w:rsidRPr="00D85D9C">
        <w:rPr>
          <w:rFonts w:ascii="Arial" w:hAnsi="Arial" w:cs="Arial"/>
          <w:sz w:val="22"/>
          <w:szCs w:val="22"/>
        </w:rPr>
        <w:t xml:space="preserve"> is moderate. Vodafone relies on specialist suppliers such as Ericsson, Nokia, and major cloud providers for network infrastructure. Nevertheless, its global scale and purchasing power strengthen its negotiating position and support long-term strategic partnerships.</w:t>
      </w:r>
    </w:p>
    <w:p w14:paraId="0FFB88F6" w14:textId="77777777" w:rsidR="00DE64C7" w:rsidRPr="00D85D9C" w:rsidRDefault="00DE64C7" w:rsidP="00DE64C7">
      <w:pPr>
        <w:pStyle w:val="isselectedend"/>
        <w:rPr>
          <w:rFonts w:ascii="Arial" w:hAnsi="Arial" w:cs="Arial"/>
          <w:sz w:val="22"/>
          <w:szCs w:val="22"/>
        </w:rPr>
      </w:pPr>
      <w:r w:rsidRPr="00D85D9C">
        <w:rPr>
          <w:rFonts w:ascii="Arial" w:hAnsi="Arial" w:cs="Arial"/>
          <w:sz w:val="22"/>
          <w:szCs w:val="22"/>
        </w:rPr>
        <w:t xml:space="preserve">The </w:t>
      </w:r>
      <w:r w:rsidRPr="00D85D9C">
        <w:rPr>
          <w:rStyle w:val="Strong"/>
          <w:rFonts w:ascii="Arial" w:hAnsi="Arial" w:cs="Arial"/>
          <w:sz w:val="22"/>
          <w:szCs w:val="22"/>
        </w:rPr>
        <w:t>bargaining power of buyers</w:t>
      </w:r>
      <w:r w:rsidRPr="00D85D9C">
        <w:rPr>
          <w:rFonts w:ascii="Arial" w:hAnsi="Arial" w:cs="Arial"/>
          <w:sz w:val="22"/>
          <w:szCs w:val="22"/>
        </w:rPr>
        <w:t xml:space="preserve"> is high because customers can easily compare providers and switch networks. Price transparency and increasing expectations for high-quality digital services require Vodafone to continually improve network reliability, customer service, and value-added offerings to reduce customer churn.</w:t>
      </w:r>
    </w:p>
    <w:p w14:paraId="3FC208A7" w14:textId="77777777" w:rsidR="00DE64C7" w:rsidRPr="00D85D9C" w:rsidRDefault="00DE64C7" w:rsidP="00DE64C7">
      <w:pPr>
        <w:pStyle w:val="isselectedend"/>
        <w:rPr>
          <w:rFonts w:ascii="Arial" w:hAnsi="Arial" w:cs="Arial"/>
          <w:sz w:val="22"/>
          <w:szCs w:val="22"/>
        </w:rPr>
      </w:pPr>
      <w:r w:rsidRPr="00D85D9C">
        <w:rPr>
          <w:rFonts w:ascii="Arial" w:hAnsi="Arial" w:cs="Arial"/>
          <w:sz w:val="22"/>
          <w:szCs w:val="22"/>
        </w:rPr>
        <w:lastRenderedPageBreak/>
        <w:t xml:space="preserve">The </w:t>
      </w:r>
      <w:r w:rsidRPr="00D85D9C">
        <w:rPr>
          <w:rStyle w:val="Strong"/>
          <w:rFonts w:ascii="Arial" w:hAnsi="Arial" w:cs="Arial"/>
          <w:sz w:val="22"/>
          <w:szCs w:val="22"/>
        </w:rPr>
        <w:t>threat of substitutes</w:t>
      </w:r>
      <w:r w:rsidRPr="00D85D9C">
        <w:rPr>
          <w:rFonts w:ascii="Arial" w:hAnsi="Arial" w:cs="Arial"/>
          <w:sz w:val="22"/>
          <w:szCs w:val="22"/>
        </w:rPr>
        <w:t xml:space="preserve"> is moderate. Platforms such as WhatsApp, Microsoft Teams, Zoom, and Wi-Fi calling reduce reliance on traditional voice and messaging services, while emerging technologies such as satellite broadband may increase future competition. These developments reinforce the need for Vodafone to expand beyond traditional telecommunications through integrated digital services, cloud computing, cybersecurity, and Internet of Things (IoT) solutions.</w:t>
      </w:r>
    </w:p>
    <w:p w14:paraId="11D2CCDB" w14:textId="77777777" w:rsidR="00DE64C7" w:rsidRPr="00D85D9C" w:rsidRDefault="00DE64C7" w:rsidP="00DE64C7">
      <w:pPr>
        <w:pStyle w:val="NormalWeb"/>
        <w:rPr>
          <w:rFonts w:ascii="Arial" w:hAnsi="Arial" w:cs="Arial"/>
          <w:sz w:val="22"/>
          <w:szCs w:val="22"/>
        </w:rPr>
      </w:pPr>
      <w:r w:rsidRPr="00D85D9C">
        <w:rPr>
          <w:rFonts w:ascii="Arial" w:hAnsi="Arial" w:cs="Arial"/>
          <w:sz w:val="22"/>
          <w:szCs w:val="22"/>
        </w:rPr>
        <w:t>Overall, Porter's Five Forces analysis indicates that Vodafone operates within an intensely competitive industry characterised by high buyer power and strong competitive rivalry. Despite these pressures, substantial barriers to entry and Vodafone's technological capabilities provide a strong platform for growth. Continued differentiation and expansion into high-growth digital markets will be essential to maintaining long-term competitive advantage.</w:t>
      </w:r>
    </w:p>
    <w:p w14:paraId="34672738" w14:textId="77777777" w:rsidR="00ED5774" w:rsidRPr="00D85D9C" w:rsidRDefault="00ED5774" w:rsidP="003B1B17">
      <w:pPr>
        <w:spacing w:before="100" w:beforeAutospacing="1" w:after="100" w:afterAutospacing="1" w:line="240" w:lineRule="auto"/>
        <w:rPr>
          <w:rFonts w:ascii="Arial" w:eastAsia="Times New Roman" w:hAnsi="Arial" w:cs="Arial"/>
          <w:sz w:val="22"/>
          <w:szCs w:val="22"/>
          <w:lang w:val="en-GB" w:eastAsia="en-GB"/>
        </w:rPr>
      </w:pPr>
    </w:p>
    <w:p w14:paraId="3594BE89" w14:textId="77777777" w:rsidR="00D0579D" w:rsidRPr="00D85D9C" w:rsidRDefault="00D0579D" w:rsidP="00D0579D">
      <w:pPr>
        <w:spacing w:before="100" w:beforeAutospacing="1" w:after="100" w:afterAutospacing="1" w:line="240" w:lineRule="auto"/>
        <w:outlineLvl w:val="1"/>
        <w:rPr>
          <w:rFonts w:ascii="Arial" w:eastAsia="Times New Roman" w:hAnsi="Arial" w:cs="Arial"/>
          <w:b/>
          <w:bCs/>
          <w:sz w:val="22"/>
          <w:szCs w:val="22"/>
          <w:lang w:val="en-GB" w:eastAsia="en-GB"/>
        </w:rPr>
      </w:pPr>
      <w:bookmarkStart w:id="6" w:name="_Toc237338920"/>
      <w:r w:rsidRPr="00D85D9C">
        <w:rPr>
          <w:rFonts w:ascii="Arial" w:eastAsia="Times New Roman" w:hAnsi="Arial" w:cs="Arial"/>
          <w:b/>
          <w:bCs/>
          <w:sz w:val="22"/>
          <w:szCs w:val="22"/>
          <w:lang w:val="en-GB" w:eastAsia="en-GB"/>
        </w:rPr>
        <w:t>4. Strategic Growth Options and Proposed Strategy</w:t>
      </w:r>
      <w:bookmarkEnd w:id="6"/>
    </w:p>
    <w:p w14:paraId="67F2731D" w14:textId="77777777" w:rsidR="0097369C" w:rsidRPr="00D85D9C" w:rsidRDefault="0097369C" w:rsidP="0097369C">
      <w:pPr>
        <w:pStyle w:val="isselectedend"/>
        <w:rPr>
          <w:rFonts w:ascii="Arial" w:hAnsi="Arial" w:cs="Arial"/>
          <w:sz w:val="22"/>
          <w:szCs w:val="22"/>
        </w:rPr>
      </w:pPr>
      <w:r w:rsidRPr="00D85D9C">
        <w:rPr>
          <w:rFonts w:ascii="Arial" w:hAnsi="Arial" w:cs="Arial"/>
          <w:sz w:val="22"/>
          <w:szCs w:val="22"/>
        </w:rPr>
        <w:t>Following the evaluation of Vodafone's strategic position, it is evident that the organisation must continue pursuing growth while responding to increasing competition, technological change, and evolving customer expectations. The Ansoff Matrix provides a suitable framework for evaluating Vodafone's strategic growth options by assessing opportunities across existing and new products and markets.</w:t>
      </w:r>
    </w:p>
    <w:p w14:paraId="5B370FB4" w14:textId="77777777" w:rsidR="0097369C" w:rsidRPr="00D85D9C" w:rsidRDefault="0097369C" w:rsidP="0097369C">
      <w:pPr>
        <w:pStyle w:val="isselectedend"/>
        <w:rPr>
          <w:rFonts w:ascii="Arial" w:hAnsi="Arial" w:cs="Arial"/>
          <w:sz w:val="22"/>
          <w:szCs w:val="22"/>
        </w:rPr>
      </w:pPr>
      <w:r w:rsidRPr="00D85D9C">
        <w:rPr>
          <w:rStyle w:val="Strong"/>
          <w:rFonts w:ascii="Arial" w:hAnsi="Arial" w:cs="Arial"/>
          <w:sz w:val="22"/>
          <w:szCs w:val="22"/>
        </w:rPr>
        <w:t>Market Penetration</w:t>
      </w:r>
      <w:r w:rsidRPr="00D85D9C">
        <w:rPr>
          <w:rFonts w:ascii="Arial" w:hAnsi="Arial" w:cs="Arial"/>
          <w:sz w:val="22"/>
          <w:szCs w:val="22"/>
        </w:rPr>
        <w:t xml:space="preserve"> focuses on increasing sales of existing products within existing markets and represents the lowest-risk growth strategy. Vodafone continues to invest in 5G infrastructure, AI-powered customer support, and bundled mobile, broadband, and entertainment services. The merger with Three UK further strengthens its market position through greater network coverage and operational efficiencies. However, growth opportunities remain limited due to market maturity and intense competition across European markets.</w:t>
      </w:r>
    </w:p>
    <w:p w14:paraId="6A624301" w14:textId="77777777" w:rsidR="0097369C" w:rsidRPr="00D85D9C" w:rsidRDefault="0097369C" w:rsidP="0097369C">
      <w:pPr>
        <w:pStyle w:val="isselectedend"/>
        <w:rPr>
          <w:rFonts w:ascii="Arial" w:hAnsi="Arial" w:cs="Arial"/>
          <w:sz w:val="22"/>
          <w:szCs w:val="22"/>
        </w:rPr>
      </w:pPr>
      <w:r w:rsidRPr="00D85D9C">
        <w:rPr>
          <w:rStyle w:val="Strong"/>
          <w:rFonts w:ascii="Arial" w:hAnsi="Arial" w:cs="Arial"/>
          <w:sz w:val="22"/>
          <w:szCs w:val="22"/>
        </w:rPr>
        <w:t>Product Development</w:t>
      </w:r>
      <w:r w:rsidRPr="00D85D9C">
        <w:rPr>
          <w:rFonts w:ascii="Arial" w:hAnsi="Arial" w:cs="Arial"/>
          <w:sz w:val="22"/>
          <w:szCs w:val="22"/>
        </w:rPr>
        <w:t xml:space="preserve"> involves introducing new products to existing customers. Vodafone has expanded its portfolio through cloud computing, cybersecurity, Internet of Things (IoT), private 5G networks, and AI-enabled digital services. These innovations strengthen customer loyalty, diversify revenue streams, and support businesses undergoing digital transformation. However, this strategy requires significant ongoing investment in technology and innovation.</w:t>
      </w:r>
    </w:p>
    <w:p w14:paraId="56B17CAA" w14:textId="77777777" w:rsidR="0097369C" w:rsidRDefault="0097369C" w:rsidP="0097369C">
      <w:pPr>
        <w:pStyle w:val="isselectedend"/>
        <w:rPr>
          <w:rFonts w:ascii="Arial" w:hAnsi="Arial" w:cs="Arial"/>
          <w:sz w:val="22"/>
          <w:szCs w:val="22"/>
        </w:rPr>
      </w:pPr>
      <w:r w:rsidRPr="00D85D9C">
        <w:rPr>
          <w:rStyle w:val="Strong"/>
          <w:rFonts w:ascii="Arial" w:hAnsi="Arial" w:cs="Arial"/>
          <w:sz w:val="22"/>
          <w:szCs w:val="22"/>
        </w:rPr>
        <w:t>Diversification</w:t>
      </w:r>
      <w:r w:rsidRPr="00D85D9C">
        <w:rPr>
          <w:rFonts w:ascii="Arial" w:hAnsi="Arial" w:cs="Arial"/>
          <w:sz w:val="22"/>
          <w:szCs w:val="22"/>
        </w:rPr>
        <w:t xml:space="preserve"> represents the highest-risk strategy because it involves entering new markets with new products. Vodafone has pursued selective diversification through digital financial services, strategic partnerships with Microsoft and Google, and investments in emerging technologies. Although this creates future growth opportunities, it also increases financial risk and may divert resources from the company's core telecommunications business.</w:t>
      </w:r>
    </w:p>
    <w:p w14:paraId="38639322" w14:textId="19648304" w:rsidR="00975420" w:rsidRPr="00D85D9C" w:rsidRDefault="00975420" w:rsidP="0097369C">
      <w:pPr>
        <w:pStyle w:val="isselectedend"/>
        <w:rPr>
          <w:rFonts w:ascii="Arial" w:hAnsi="Arial" w:cs="Arial"/>
          <w:sz w:val="22"/>
          <w:szCs w:val="22"/>
        </w:rPr>
      </w:pPr>
      <w:r>
        <w:rPr>
          <w:rFonts w:ascii="Arial" w:hAnsi="Arial" w:cs="Arial"/>
          <w:sz w:val="22"/>
          <w:szCs w:val="22"/>
        </w:rPr>
        <w:t xml:space="preserve">Among the </w:t>
      </w:r>
      <w:r w:rsidR="00D855EC">
        <w:rPr>
          <w:rFonts w:ascii="Arial" w:hAnsi="Arial" w:cs="Arial"/>
          <w:sz w:val="22"/>
          <w:szCs w:val="22"/>
        </w:rPr>
        <w:t xml:space="preserve">available options, </w:t>
      </w:r>
      <w:r w:rsidR="00D855EC" w:rsidRPr="00A80B85">
        <w:rPr>
          <w:rFonts w:ascii="Arial" w:hAnsi="Arial" w:cs="Arial"/>
          <w:b/>
          <w:bCs/>
          <w:sz w:val="22"/>
          <w:szCs w:val="22"/>
        </w:rPr>
        <w:t>Market Development</w:t>
      </w:r>
      <w:r w:rsidR="00D855EC">
        <w:rPr>
          <w:rFonts w:ascii="Arial" w:hAnsi="Arial" w:cs="Arial"/>
          <w:sz w:val="22"/>
          <w:szCs w:val="22"/>
        </w:rPr>
        <w:t xml:space="preserve"> </w:t>
      </w:r>
      <w:r w:rsidR="00A80B85">
        <w:rPr>
          <w:rFonts w:ascii="Arial" w:hAnsi="Arial" w:cs="Arial"/>
          <w:sz w:val="22"/>
          <w:szCs w:val="22"/>
        </w:rPr>
        <w:t xml:space="preserve">offers </w:t>
      </w:r>
      <w:proofErr w:type="gramStart"/>
      <w:r w:rsidR="00A80B85" w:rsidRPr="00A80B85">
        <w:rPr>
          <w:rFonts w:ascii="Arial" w:hAnsi="Arial" w:cs="Arial"/>
          <w:sz w:val="22"/>
          <w:szCs w:val="22"/>
        </w:rPr>
        <w:t>The</w:t>
      </w:r>
      <w:proofErr w:type="gramEnd"/>
      <w:r w:rsidR="00A80B85" w:rsidRPr="00A80B85">
        <w:rPr>
          <w:rFonts w:ascii="Arial" w:hAnsi="Arial" w:cs="Arial"/>
          <w:sz w:val="22"/>
          <w:szCs w:val="22"/>
        </w:rPr>
        <w:t xml:space="preserve"> strongest strategic fit,</w:t>
      </w:r>
      <w:r w:rsidR="00CD30CA" w:rsidRPr="00CD30CA">
        <w:rPr>
          <w:rFonts w:ascii="Arial" w:hAnsi="Arial" w:cs="Arial"/>
          <w:sz w:val="22"/>
          <w:szCs w:val="22"/>
        </w:rPr>
        <w:t xml:space="preserve"> and the reasoning is quantifiable rather than aspirational. Product development would deepen Vodafone's technology portfolio but not resolve the underlying problem of European market saturation while diversification carries execution risk that the organisation does not need to take on when a lower risk higher growth option or already exists within its own footprint</w:t>
      </w:r>
      <w:r w:rsidR="000656EC">
        <w:rPr>
          <w:rFonts w:ascii="Arial" w:hAnsi="Arial" w:cs="Arial"/>
          <w:sz w:val="22"/>
          <w:szCs w:val="22"/>
        </w:rPr>
        <w:t xml:space="preserve">. </w:t>
      </w:r>
      <w:r w:rsidR="000656EC" w:rsidRPr="000656EC">
        <w:rPr>
          <w:rFonts w:ascii="Arial" w:hAnsi="Arial" w:cs="Arial"/>
          <w:sz w:val="22"/>
          <w:szCs w:val="22"/>
        </w:rPr>
        <w:t xml:space="preserve">Vodafone has already established a significant presence across Africa through Vodacom, where </w:t>
      </w:r>
      <w:r w:rsidR="0047407C">
        <w:rPr>
          <w:rFonts w:ascii="Arial" w:hAnsi="Arial" w:cs="Arial"/>
          <w:sz w:val="22"/>
          <w:szCs w:val="22"/>
        </w:rPr>
        <w:t>M-Pesa</w:t>
      </w:r>
      <w:r w:rsidR="000656EC" w:rsidRPr="000656EC">
        <w:rPr>
          <w:rFonts w:ascii="Arial" w:hAnsi="Arial" w:cs="Arial"/>
          <w:sz w:val="22"/>
          <w:szCs w:val="22"/>
        </w:rPr>
        <w:t xml:space="preserve"> revenue grew 10.0% to </w:t>
      </w:r>
      <w:r w:rsidR="00F17753">
        <w:rPr>
          <w:rFonts w:ascii="Arial" w:hAnsi="Arial" w:cs="Arial"/>
          <w:sz w:val="22"/>
          <w:szCs w:val="22"/>
        </w:rPr>
        <w:t>€</w:t>
      </w:r>
      <w:r w:rsidR="000656EC" w:rsidRPr="000656EC">
        <w:rPr>
          <w:rFonts w:ascii="Arial" w:hAnsi="Arial" w:cs="Arial"/>
          <w:sz w:val="22"/>
          <w:szCs w:val="22"/>
        </w:rPr>
        <w:t xml:space="preserve">427.9 million and now represents 27% of the </w:t>
      </w:r>
      <w:r w:rsidR="0047407C" w:rsidRPr="000656EC">
        <w:rPr>
          <w:rFonts w:ascii="Arial" w:hAnsi="Arial" w:cs="Arial"/>
          <w:sz w:val="22"/>
          <w:szCs w:val="22"/>
        </w:rPr>
        <w:t>Vodacom’s</w:t>
      </w:r>
      <w:r w:rsidR="000656EC" w:rsidRPr="000656EC">
        <w:rPr>
          <w:rFonts w:ascii="Arial" w:hAnsi="Arial" w:cs="Arial"/>
          <w:sz w:val="22"/>
          <w:szCs w:val="22"/>
        </w:rPr>
        <w:t xml:space="preserve"> international service revenue</w:t>
      </w:r>
      <w:r w:rsidR="00780325" w:rsidRPr="00780325">
        <w:rPr>
          <w:rFonts w:ascii="Arial" w:hAnsi="Arial" w:cs="Arial"/>
          <w:sz w:val="22"/>
          <w:szCs w:val="22"/>
        </w:rPr>
        <w:t xml:space="preserve"> a growth rate no mature European market is currently delivering. Rising </w:t>
      </w:r>
      <w:r w:rsidR="00780325" w:rsidRPr="00780325">
        <w:rPr>
          <w:rFonts w:ascii="Arial" w:hAnsi="Arial" w:cs="Arial"/>
          <w:sz w:val="22"/>
          <w:szCs w:val="22"/>
        </w:rPr>
        <w:lastRenderedPageBreak/>
        <w:t>smartphone adoption, expanding digital infrastructure, and growing demand for financial technology extend this opportunity beyond financial services and to enterprise connectivity, cloud, and IoT</w:t>
      </w:r>
      <w:r w:rsidR="00F926FB" w:rsidRPr="00F926FB">
        <w:rPr>
          <w:rFonts w:ascii="Arial" w:hAnsi="Arial" w:cs="Arial"/>
          <w:sz w:val="22"/>
          <w:szCs w:val="22"/>
        </w:rPr>
        <w:t xml:space="preserve">. Expanding these services alongside </w:t>
      </w:r>
      <w:r w:rsidR="0047407C">
        <w:rPr>
          <w:rFonts w:ascii="Arial" w:hAnsi="Arial" w:cs="Arial"/>
          <w:sz w:val="22"/>
          <w:szCs w:val="22"/>
        </w:rPr>
        <w:t>M-Pes</w:t>
      </w:r>
      <w:r w:rsidR="00F926FB" w:rsidRPr="00F926FB">
        <w:rPr>
          <w:rFonts w:ascii="Arial" w:hAnsi="Arial" w:cs="Arial"/>
          <w:sz w:val="22"/>
          <w:szCs w:val="22"/>
        </w:rPr>
        <w:t xml:space="preserve"> enable Vodafone to leverage capabilities it already built, rather than acquiring new ones, while accessing markets market</w:t>
      </w:r>
      <w:r w:rsidR="00B443C7">
        <w:rPr>
          <w:rFonts w:ascii="Arial" w:hAnsi="Arial" w:cs="Arial"/>
          <w:sz w:val="22"/>
          <w:szCs w:val="22"/>
        </w:rPr>
        <w:t xml:space="preserve"> </w:t>
      </w:r>
      <w:r w:rsidR="0047407C" w:rsidRPr="0047407C">
        <w:rPr>
          <w:rFonts w:ascii="Arial" w:hAnsi="Arial" w:cs="Arial"/>
          <w:sz w:val="22"/>
          <w:szCs w:val="22"/>
        </w:rPr>
        <w:t>that are structurally faster growing than its mature European base</w:t>
      </w:r>
    </w:p>
    <w:p w14:paraId="49C63A09" w14:textId="77777777" w:rsidR="0097369C" w:rsidRPr="00D85D9C" w:rsidRDefault="0097369C" w:rsidP="0097369C">
      <w:pPr>
        <w:pStyle w:val="isselectedend"/>
        <w:rPr>
          <w:rFonts w:ascii="Arial" w:hAnsi="Arial" w:cs="Arial"/>
          <w:sz w:val="22"/>
          <w:szCs w:val="22"/>
        </w:rPr>
      </w:pPr>
      <w:r w:rsidRPr="00D85D9C">
        <w:rPr>
          <w:rFonts w:ascii="Arial" w:hAnsi="Arial" w:cs="Arial"/>
          <w:sz w:val="22"/>
          <w:szCs w:val="22"/>
        </w:rPr>
        <w:t xml:space="preserve">To support this strategy, Vodafone should adopt </w:t>
      </w:r>
      <w:r w:rsidRPr="00D85D9C">
        <w:rPr>
          <w:rStyle w:val="Strong"/>
          <w:rFonts w:ascii="Arial" w:hAnsi="Arial" w:cs="Arial"/>
          <w:sz w:val="22"/>
          <w:szCs w:val="22"/>
        </w:rPr>
        <w:t>Porter's Differentiation Strategy</w:t>
      </w:r>
      <w:r w:rsidRPr="00D85D9C">
        <w:rPr>
          <w:rFonts w:ascii="Arial" w:hAnsi="Arial" w:cs="Arial"/>
          <w:sz w:val="22"/>
          <w:szCs w:val="22"/>
        </w:rPr>
        <w:t xml:space="preserve"> rather than competing primarily on price. Differentiation through superior network quality, innovative digital services, cybersecurity, AI-enabled customer experiences, and responsible connectivity will strengthen customer loyalty and create sustainable competitive advantage. This approach also aligns closely with Vodafone's mission of delivering trusted technology while promoting digital inclusion and sustainable development.</w:t>
      </w:r>
    </w:p>
    <w:p w14:paraId="54AD3513" w14:textId="77777777" w:rsidR="0097369C" w:rsidRPr="00D85D9C" w:rsidRDefault="0097369C" w:rsidP="0097369C">
      <w:pPr>
        <w:pStyle w:val="NormalWeb"/>
        <w:rPr>
          <w:rFonts w:ascii="Arial" w:hAnsi="Arial" w:cs="Arial"/>
          <w:sz w:val="22"/>
          <w:szCs w:val="22"/>
        </w:rPr>
      </w:pPr>
      <w:r w:rsidRPr="00D85D9C">
        <w:rPr>
          <w:rFonts w:ascii="Arial" w:hAnsi="Arial" w:cs="Arial"/>
          <w:sz w:val="22"/>
          <w:szCs w:val="22"/>
        </w:rPr>
        <w:t xml:space="preserve">Overall, Market Development, supported by a Differentiation Strategy, represents the most appropriate strategic direction for Vodafone. It builds on the company's existing strengths, addresses opportunities identified through the environmental </w:t>
      </w:r>
      <w:proofErr w:type="gramStart"/>
      <w:r w:rsidRPr="00D85D9C">
        <w:rPr>
          <w:rFonts w:ascii="Arial" w:hAnsi="Arial" w:cs="Arial"/>
          <w:sz w:val="22"/>
          <w:szCs w:val="22"/>
        </w:rPr>
        <w:t>analysis, and</w:t>
      </w:r>
      <w:proofErr w:type="gramEnd"/>
      <w:r w:rsidRPr="00D85D9C">
        <w:rPr>
          <w:rFonts w:ascii="Arial" w:hAnsi="Arial" w:cs="Arial"/>
          <w:sz w:val="22"/>
          <w:szCs w:val="22"/>
        </w:rPr>
        <w:t xml:space="preserve"> provides a sustainable platform for long-term growth while remaining aligned with Vodafone's mission and values.</w:t>
      </w:r>
    </w:p>
    <w:p w14:paraId="46C0EAB4" w14:textId="77777777" w:rsidR="00FF4C17" w:rsidRPr="00D85D9C" w:rsidRDefault="00FF4C17">
      <w:pPr>
        <w:rPr>
          <w:rFonts w:ascii="Arial" w:eastAsia="Aptos" w:hAnsi="Arial" w:cs="Arial"/>
          <w:sz w:val="22"/>
          <w:szCs w:val="22"/>
        </w:rPr>
      </w:pPr>
    </w:p>
    <w:p w14:paraId="0475AACF" w14:textId="77777777" w:rsidR="00C9263A" w:rsidRPr="00D85D9C" w:rsidRDefault="00C9263A" w:rsidP="00C9263A">
      <w:pPr>
        <w:spacing w:before="100" w:beforeAutospacing="1" w:after="100" w:afterAutospacing="1" w:line="240" w:lineRule="auto"/>
        <w:outlineLvl w:val="1"/>
        <w:rPr>
          <w:rFonts w:ascii="Arial" w:eastAsia="Times New Roman" w:hAnsi="Arial" w:cs="Arial"/>
          <w:b/>
          <w:bCs/>
          <w:sz w:val="22"/>
          <w:szCs w:val="22"/>
          <w:lang w:val="en-GB" w:eastAsia="en-GB"/>
        </w:rPr>
      </w:pPr>
      <w:bookmarkStart w:id="7" w:name="_Toc237338921"/>
      <w:r w:rsidRPr="00D85D9C">
        <w:rPr>
          <w:rFonts w:ascii="Arial" w:eastAsia="Times New Roman" w:hAnsi="Arial" w:cs="Arial"/>
          <w:b/>
          <w:bCs/>
          <w:sz w:val="22"/>
          <w:szCs w:val="22"/>
          <w:lang w:val="en-GB" w:eastAsia="en-GB"/>
        </w:rPr>
        <w:t>5. Strategy Evaluation</w:t>
      </w:r>
      <w:bookmarkEnd w:id="7"/>
    </w:p>
    <w:p w14:paraId="5D93BC8C" w14:textId="77777777" w:rsidR="00FC3FF9" w:rsidRPr="00FC3FF9" w:rsidRDefault="00FC3FF9" w:rsidP="00FC3FF9">
      <w:pPr>
        <w:spacing w:before="100" w:beforeAutospacing="1" w:after="100" w:afterAutospacing="1" w:line="240" w:lineRule="auto"/>
        <w:rPr>
          <w:rFonts w:ascii="Times New Roman" w:eastAsia="Times New Roman" w:hAnsi="Times New Roman" w:cs="Times New Roman"/>
          <w:lang w:val="en-GB" w:eastAsia="en-GB"/>
        </w:rPr>
      </w:pPr>
      <w:r w:rsidRPr="00FC3FF9">
        <w:rPr>
          <w:rFonts w:ascii="Times New Roman" w:eastAsia="Times New Roman" w:hAnsi="Times New Roman" w:cs="Times New Roman"/>
          <w:lang w:val="en-GB" w:eastAsia="en-GB"/>
        </w:rPr>
        <w:t xml:space="preserve">The proposed Market Development strategy is evaluated using the </w:t>
      </w:r>
      <w:r w:rsidRPr="00FC3FF9">
        <w:rPr>
          <w:rFonts w:ascii="Times New Roman" w:eastAsia="Times New Roman" w:hAnsi="Times New Roman" w:cs="Times New Roman"/>
          <w:b/>
          <w:bCs/>
          <w:lang w:val="en-GB" w:eastAsia="en-GB"/>
        </w:rPr>
        <w:t>Suitability, Feasibility and Acceptability (SFA)</w:t>
      </w:r>
      <w:r w:rsidRPr="00FC3FF9">
        <w:rPr>
          <w:rFonts w:ascii="Times New Roman" w:eastAsia="Times New Roman" w:hAnsi="Times New Roman" w:cs="Times New Roman"/>
          <w:lang w:val="en-GB" w:eastAsia="en-GB"/>
        </w:rPr>
        <w:t xml:space="preserve"> framework developed by Johnson, Scholes and Whittington (2023). The framework assesses whether the strategy addresses Vodafone's strategic challenges, can be implemented with available resources, and is acceptable to key stakeholders.</w:t>
      </w:r>
    </w:p>
    <w:p w14:paraId="07B53CCD" w14:textId="2DCB70A9" w:rsidR="00FC3FF9" w:rsidRPr="00C3622E" w:rsidRDefault="00C3622E" w:rsidP="00FC3FF9">
      <w:pPr>
        <w:spacing w:before="100" w:beforeAutospacing="1" w:after="100" w:afterAutospacing="1" w:line="240" w:lineRule="auto"/>
        <w:outlineLvl w:val="2"/>
        <w:rPr>
          <w:rFonts w:ascii="Arial" w:eastAsia="Times New Roman" w:hAnsi="Arial" w:cs="Arial"/>
          <w:b/>
          <w:bCs/>
          <w:sz w:val="22"/>
          <w:szCs w:val="22"/>
          <w:lang w:val="en-GB" w:eastAsia="en-GB"/>
        </w:rPr>
      </w:pPr>
      <w:r w:rsidRPr="00C3622E">
        <w:rPr>
          <w:rFonts w:ascii="Arial" w:eastAsia="Times New Roman" w:hAnsi="Arial" w:cs="Arial"/>
          <w:b/>
          <w:bCs/>
          <w:sz w:val="22"/>
          <w:szCs w:val="22"/>
          <w:lang w:val="en-GB" w:eastAsia="en-GB"/>
        </w:rPr>
        <w:t>5</w:t>
      </w:r>
      <w:r w:rsidR="00FC3FF9" w:rsidRPr="00C3622E">
        <w:rPr>
          <w:rFonts w:ascii="Arial" w:eastAsia="Times New Roman" w:hAnsi="Arial" w:cs="Arial"/>
          <w:b/>
          <w:bCs/>
          <w:sz w:val="22"/>
          <w:szCs w:val="22"/>
          <w:lang w:val="en-GB" w:eastAsia="en-GB"/>
        </w:rPr>
        <w:t>.1 Suitability</w:t>
      </w:r>
    </w:p>
    <w:p w14:paraId="4EEA3434" w14:textId="77777777" w:rsidR="00FC3FF9" w:rsidRPr="00FC3FF9" w:rsidRDefault="00FC3FF9" w:rsidP="00FC3FF9">
      <w:pPr>
        <w:spacing w:before="100" w:beforeAutospacing="1" w:after="100" w:afterAutospacing="1" w:line="240" w:lineRule="auto"/>
        <w:rPr>
          <w:rFonts w:ascii="Times New Roman" w:eastAsia="Times New Roman" w:hAnsi="Times New Roman" w:cs="Times New Roman"/>
          <w:lang w:val="en-GB" w:eastAsia="en-GB"/>
        </w:rPr>
      </w:pPr>
      <w:r w:rsidRPr="00FC3FF9">
        <w:rPr>
          <w:rFonts w:ascii="Times New Roman" w:eastAsia="Times New Roman" w:hAnsi="Times New Roman" w:cs="Times New Roman"/>
          <w:lang w:val="en-GB" w:eastAsia="en-GB"/>
        </w:rPr>
        <w:t xml:space="preserve">The proposed strategy is highly suitable because it addresses the opportunities and challenges identified in the SWOT, PESTEL and Porter's Five Forces analyses. While growth in mature European markets is constrained by intense competition, </w:t>
      </w:r>
      <w:r w:rsidRPr="00C3622E">
        <w:rPr>
          <w:rFonts w:ascii="Times New Roman" w:eastAsia="Times New Roman" w:hAnsi="Times New Roman" w:cs="Times New Roman"/>
          <w:sz w:val="22"/>
          <w:szCs w:val="22"/>
          <w:lang w:val="en-GB" w:eastAsia="en-GB"/>
        </w:rPr>
        <w:t>increasing</w:t>
      </w:r>
      <w:r w:rsidRPr="00FC3FF9">
        <w:rPr>
          <w:rFonts w:ascii="Times New Roman" w:eastAsia="Times New Roman" w:hAnsi="Times New Roman" w:cs="Times New Roman"/>
          <w:lang w:val="en-GB" w:eastAsia="en-GB"/>
        </w:rPr>
        <w:t xml:space="preserve"> digitalisation, smartphone adoption and demand for financial technology across African markets create significant opportunities. Expanding </w:t>
      </w:r>
      <w:r w:rsidRPr="00C3622E">
        <w:rPr>
          <w:rFonts w:ascii="Arial" w:eastAsia="Times New Roman" w:hAnsi="Arial" w:cs="Arial"/>
          <w:lang w:val="en-GB" w:eastAsia="en-GB"/>
        </w:rPr>
        <w:t>5G</w:t>
      </w:r>
      <w:r w:rsidRPr="00FC3FF9">
        <w:rPr>
          <w:rFonts w:ascii="Times New Roman" w:eastAsia="Times New Roman" w:hAnsi="Times New Roman" w:cs="Times New Roman"/>
          <w:lang w:val="en-GB" w:eastAsia="en-GB"/>
        </w:rPr>
        <w:t>, cloud computing, cybersecurity, IoT and M-Pesa also aligns with Vodafone's mission of promoting digital inclusion and responsible connectivity.</w:t>
      </w:r>
    </w:p>
    <w:p w14:paraId="09E17D6B" w14:textId="2478FBF6" w:rsidR="00FC3FF9" w:rsidRPr="00C3622E" w:rsidRDefault="00C3622E" w:rsidP="00FC3FF9">
      <w:pPr>
        <w:spacing w:before="100" w:beforeAutospacing="1" w:after="100" w:afterAutospacing="1" w:line="240" w:lineRule="auto"/>
        <w:outlineLvl w:val="2"/>
        <w:rPr>
          <w:rFonts w:ascii="Arial" w:eastAsia="Times New Roman" w:hAnsi="Arial" w:cs="Arial"/>
          <w:b/>
          <w:bCs/>
          <w:sz w:val="22"/>
          <w:szCs w:val="22"/>
          <w:lang w:val="en-GB" w:eastAsia="en-GB"/>
        </w:rPr>
      </w:pPr>
      <w:r>
        <w:rPr>
          <w:rFonts w:ascii="Arial" w:eastAsia="Times New Roman" w:hAnsi="Arial" w:cs="Arial"/>
          <w:b/>
          <w:bCs/>
          <w:sz w:val="22"/>
          <w:szCs w:val="22"/>
          <w:lang w:val="en-GB" w:eastAsia="en-GB"/>
        </w:rPr>
        <w:t xml:space="preserve">5.2 </w:t>
      </w:r>
      <w:r w:rsidR="00FC3FF9" w:rsidRPr="00C3622E">
        <w:rPr>
          <w:rFonts w:ascii="Arial" w:eastAsia="Times New Roman" w:hAnsi="Arial" w:cs="Arial"/>
          <w:b/>
          <w:bCs/>
          <w:sz w:val="22"/>
          <w:szCs w:val="22"/>
          <w:lang w:val="en-GB" w:eastAsia="en-GB"/>
        </w:rPr>
        <w:t>Feasibility</w:t>
      </w:r>
    </w:p>
    <w:p w14:paraId="2A953323" w14:textId="77777777" w:rsidR="00FC3FF9" w:rsidRPr="00FC3FF9" w:rsidRDefault="00FC3FF9" w:rsidP="00FC3FF9">
      <w:pPr>
        <w:spacing w:before="100" w:beforeAutospacing="1" w:after="100" w:afterAutospacing="1" w:line="240" w:lineRule="auto"/>
        <w:rPr>
          <w:rFonts w:ascii="Times New Roman" w:eastAsia="Times New Roman" w:hAnsi="Times New Roman" w:cs="Times New Roman"/>
          <w:lang w:val="en-GB" w:eastAsia="en-GB"/>
        </w:rPr>
      </w:pPr>
      <w:r w:rsidRPr="00FC3FF9">
        <w:rPr>
          <w:rFonts w:ascii="Times New Roman" w:eastAsia="Times New Roman" w:hAnsi="Times New Roman" w:cs="Times New Roman"/>
          <w:lang w:val="en-GB" w:eastAsia="en-GB"/>
        </w:rPr>
        <w:t>The strategy is feasible because Vodafone possesses the financial resources, technological expertise and international experience to support expansion. Existing operations through Vodacom, together with partnerships with Microsoft and Google, provide a strong platform for implementation. Although continued investment in infrastructure, digital platforms and employee development is required, these investments align with Vodafone's long-term strategic priorities. It is assumed that Vodafone will maintain sufficient capital investment and strategic partnerships to support implementation.</w:t>
      </w:r>
    </w:p>
    <w:p w14:paraId="38D78135" w14:textId="1462B81A" w:rsidR="00FC3FF9" w:rsidRPr="00C3622E" w:rsidRDefault="00C3622E" w:rsidP="00FC3FF9">
      <w:pPr>
        <w:spacing w:before="100" w:beforeAutospacing="1" w:after="100" w:afterAutospacing="1" w:line="240" w:lineRule="auto"/>
        <w:outlineLvl w:val="2"/>
        <w:rPr>
          <w:rFonts w:ascii="Arial" w:eastAsia="Times New Roman" w:hAnsi="Arial" w:cs="Arial"/>
          <w:b/>
          <w:bCs/>
          <w:sz w:val="22"/>
          <w:szCs w:val="22"/>
          <w:lang w:val="en-GB" w:eastAsia="en-GB"/>
        </w:rPr>
      </w:pPr>
      <w:r>
        <w:rPr>
          <w:rFonts w:ascii="Arial" w:eastAsia="Times New Roman" w:hAnsi="Arial" w:cs="Arial"/>
          <w:b/>
          <w:bCs/>
          <w:sz w:val="22"/>
          <w:szCs w:val="22"/>
          <w:lang w:val="en-GB" w:eastAsia="en-GB"/>
        </w:rPr>
        <w:t>5</w:t>
      </w:r>
      <w:r w:rsidR="00FC3FF9" w:rsidRPr="00C3622E">
        <w:rPr>
          <w:rFonts w:ascii="Arial" w:eastAsia="Times New Roman" w:hAnsi="Arial" w:cs="Arial"/>
          <w:b/>
          <w:bCs/>
          <w:sz w:val="22"/>
          <w:szCs w:val="22"/>
          <w:lang w:val="en-GB" w:eastAsia="en-GB"/>
        </w:rPr>
        <w:t>.3 Acceptability</w:t>
      </w:r>
    </w:p>
    <w:p w14:paraId="3E84B0A3" w14:textId="77777777" w:rsidR="00FC3FF9" w:rsidRPr="00FC3FF9" w:rsidRDefault="00FC3FF9" w:rsidP="00FC3FF9">
      <w:pPr>
        <w:spacing w:before="100" w:beforeAutospacing="1" w:after="100" w:afterAutospacing="1" w:line="240" w:lineRule="auto"/>
        <w:rPr>
          <w:rFonts w:ascii="Times New Roman" w:eastAsia="Times New Roman" w:hAnsi="Times New Roman" w:cs="Times New Roman"/>
          <w:lang w:val="en-GB" w:eastAsia="en-GB"/>
        </w:rPr>
      </w:pPr>
      <w:r w:rsidRPr="00FC3FF9">
        <w:rPr>
          <w:rFonts w:ascii="Times New Roman" w:eastAsia="Times New Roman" w:hAnsi="Times New Roman" w:cs="Times New Roman"/>
          <w:lang w:val="en-GB" w:eastAsia="en-GB"/>
        </w:rPr>
        <w:lastRenderedPageBreak/>
        <w:t xml:space="preserve">The strategy is expected to be acceptable to Vodafone's key stakeholders. Shareholders benefit from improved growth opportunities, customers gain enhanced digital services, employees develop new capabilities, and governments and local </w:t>
      </w:r>
      <w:proofErr w:type="gramStart"/>
      <w:r w:rsidRPr="00FC3FF9">
        <w:rPr>
          <w:rFonts w:ascii="Times New Roman" w:eastAsia="Times New Roman" w:hAnsi="Times New Roman" w:cs="Times New Roman"/>
          <w:lang w:val="en-GB" w:eastAsia="en-GB"/>
        </w:rPr>
        <w:t>communities</w:t>
      </w:r>
      <w:proofErr w:type="gramEnd"/>
      <w:r w:rsidRPr="00FC3FF9">
        <w:rPr>
          <w:rFonts w:ascii="Times New Roman" w:eastAsia="Times New Roman" w:hAnsi="Times New Roman" w:cs="Times New Roman"/>
          <w:lang w:val="en-GB" w:eastAsia="en-GB"/>
        </w:rPr>
        <w:t xml:space="preserve"> benefit from improved digital infrastructure and financial inclusion. While risks include investment costs, regulatory uncertainty and cybersecurity threats, these can be mitigated through phased implementation, strategic partnerships and effective governance.</w:t>
      </w:r>
    </w:p>
    <w:p w14:paraId="037923A7" w14:textId="6E290C6E" w:rsidR="00FC3FF9" w:rsidRPr="00FC3FF9" w:rsidRDefault="00AB54E9" w:rsidP="00FC3FF9">
      <w:pPr>
        <w:spacing w:before="100" w:beforeAutospacing="1" w:after="100" w:afterAutospacing="1" w:line="24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Taken together, the S</w:t>
      </w:r>
      <w:r w:rsidR="002E3465">
        <w:rPr>
          <w:rFonts w:ascii="Times New Roman" w:eastAsia="Times New Roman" w:hAnsi="Times New Roman" w:cs="Times New Roman"/>
          <w:lang w:val="en-GB" w:eastAsia="en-GB"/>
        </w:rPr>
        <w:t xml:space="preserve">FA </w:t>
      </w:r>
      <w:r w:rsidR="002E3465" w:rsidRPr="002E3465">
        <w:rPr>
          <w:rFonts w:ascii="Times New Roman" w:eastAsia="Times New Roman" w:hAnsi="Times New Roman" w:cs="Times New Roman"/>
          <w:lang w:val="en-GB" w:eastAsia="en-GB"/>
        </w:rPr>
        <w:t>Evaluation does not simply confirm the strategy on all three counts, it shows where the real work of implementation will sit:</w:t>
      </w:r>
      <w:r w:rsidR="00896470" w:rsidRPr="00896470">
        <w:rPr>
          <w:rFonts w:ascii="Times New Roman" w:eastAsia="Times New Roman" w:hAnsi="Times New Roman" w:cs="Times New Roman"/>
          <w:lang w:val="en-GB" w:eastAsia="en-GB"/>
        </w:rPr>
        <w:t xml:space="preserve"> sustaining capital discipline under </w:t>
      </w:r>
      <w:r w:rsidR="00BA4151">
        <w:rPr>
          <w:rFonts w:ascii="Times New Roman" w:eastAsia="Times New Roman" w:hAnsi="Times New Roman" w:cs="Times New Roman"/>
          <w:lang w:val="en-GB" w:eastAsia="en-GB"/>
        </w:rPr>
        <w:t>F</w:t>
      </w:r>
      <w:r w:rsidR="00896470" w:rsidRPr="00896470">
        <w:rPr>
          <w:rFonts w:ascii="Times New Roman" w:eastAsia="Times New Roman" w:hAnsi="Times New Roman" w:cs="Times New Roman"/>
          <w:lang w:val="en-GB" w:eastAsia="en-GB"/>
        </w:rPr>
        <w:t>easibility,</w:t>
      </w:r>
      <w:r w:rsidR="00BA4151">
        <w:rPr>
          <w:rFonts w:ascii="Times New Roman" w:eastAsia="Times New Roman" w:hAnsi="Times New Roman" w:cs="Times New Roman"/>
          <w:lang w:val="en-GB" w:eastAsia="en-GB"/>
        </w:rPr>
        <w:t xml:space="preserve"> </w:t>
      </w:r>
      <w:r w:rsidR="00896470" w:rsidRPr="00896470">
        <w:rPr>
          <w:rFonts w:ascii="Times New Roman" w:eastAsia="Times New Roman" w:hAnsi="Times New Roman" w:cs="Times New Roman"/>
          <w:lang w:val="en-GB" w:eastAsia="en-GB"/>
        </w:rPr>
        <w:t xml:space="preserve">and managing regulatory and workforce transition under </w:t>
      </w:r>
      <w:r w:rsidR="00BA4151">
        <w:rPr>
          <w:rFonts w:ascii="Times New Roman" w:eastAsia="Times New Roman" w:hAnsi="Times New Roman" w:cs="Times New Roman"/>
          <w:lang w:val="en-GB" w:eastAsia="en-GB"/>
        </w:rPr>
        <w:t>A</w:t>
      </w:r>
      <w:r w:rsidR="00896470" w:rsidRPr="00896470">
        <w:rPr>
          <w:rFonts w:ascii="Times New Roman" w:eastAsia="Times New Roman" w:hAnsi="Times New Roman" w:cs="Times New Roman"/>
          <w:lang w:val="en-GB" w:eastAsia="en-GB"/>
        </w:rPr>
        <w:t>ccessibility. Suitability is the strongest of these three tests, since it is grounded in performance Vodafone already delivered rather than rather than projected potential</w:t>
      </w:r>
    </w:p>
    <w:p w14:paraId="02503577" w14:textId="77777777" w:rsidR="009C6FA7" w:rsidRPr="00D85D9C" w:rsidRDefault="009C6FA7" w:rsidP="00C9263A">
      <w:pPr>
        <w:spacing w:before="100" w:beforeAutospacing="1" w:after="100" w:afterAutospacing="1" w:line="240" w:lineRule="auto"/>
        <w:rPr>
          <w:rFonts w:ascii="Arial" w:eastAsia="Times New Roman" w:hAnsi="Arial" w:cs="Arial"/>
          <w:sz w:val="22"/>
          <w:szCs w:val="22"/>
          <w:lang w:val="en-GB" w:eastAsia="en-GB"/>
        </w:rPr>
      </w:pPr>
    </w:p>
    <w:p w14:paraId="69594D7B" w14:textId="77777777" w:rsidR="009C6FA7" w:rsidRPr="00D85D9C" w:rsidRDefault="009C6FA7" w:rsidP="009C6FA7">
      <w:pPr>
        <w:spacing w:before="100" w:beforeAutospacing="1" w:after="100" w:afterAutospacing="1" w:line="240" w:lineRule="auto"/>
        <w:outlineLvl w:val="1"/>
        <w:rPr>
          <w:rFonts w:ascii="Arial" w:eastAsia="Times New Roman" w:hAnsi="Arial" w:cs="Arial"/>
          <w:b/>
          <w:bCs/>
          <w:sz w:val="22"/>
          <w:szCs w:val="22"/>
          <w:lang w:val="en-GB" w:eastAsia="en-GB"/>
        </w:rPr>
      </w:pPr>
      <w:bookmarkStart w:id="8" w:name="_Toc237338925"/>
      <w:r w:rsidRPr="00D85D9C">
        <w:rPr>
          <w:rFonts w:ascii="Arial" w:eastAsia="Times New Roman" w:hAnsi="Arial" w:cs="Arial"/>
          <w:b/>
          <w:bCs/>
          <w:sz w:val="22"/>
          <w:szCs w:val="22"/>
          <w:lang w:val="en-GB" w:eastAsia="en-GB"/>
        </w:rPr>
        <w:t>6. Stakeholder Analysis</w:t>
      </w:r>
      <w:bookmarkEnd w:id="8"/>
    </w:p>
    <w:p w14:paraId="0DF618C0" w14:textId="77777777" w:rsidR="00E30060" w:rsidRDefault="00E30060" w:rsidP="00E30060">
      <w:pPr>
        <w:pStyle w:val="pdq2pgselectionanchorcontainer"/>
      </w:pPr>
      <w:r>
        <w:t xml:space="preserve">The successful implementation of Vodafone's proposed Market Development strategy depends on effective stakeholder engagement. </w:t>
      </w:r>
      <w:r>
        <w:rPr>
          <w:rStyle w:val="Strong"/>
        </w:rPr>
        <w:t>Freeman's Stakeholder Theory</w:t>
      </w:r>
      <w:r>
        <w:t xml:space="preserve"> (Freeman, 1984) suggests organisations achieve long-term success by creating value for all stakeholders. As Vodafone expands its digital services in high-growth markets, understanding stakeholder interests and influence will be essential.</w:t>
      </w:r>
    </w:p>
    <w:p w14:paraId="35203C3E" w14:textId="77777777" w:rsidR="00E30060" w:rsidRDefault="00E30060" w:rsidP="00E30060">
      <w:pPr>
        <w:pStyle w:val="NormalWeb"/>
      </w:pPr>
      <w:r>
        <w:rPr>
          <w:rStyle w:val="Strong"/>
        </w:rPr>
        <w:t>Mendelow's Matrix</w:t>
      </w:r>
      <w:r>
        <w:t xml:space="preserve"> (Mendelow, 1991) provides a framework for assessing stakeholder power and interest. Stakeholders with </w:t>
      </w:r>
      <w:r>
        <w:rPr>
          <w:rStyle w:val="Strong"/>
        </w:rPr>
        <w:t>high power and high interest</w:t>
      </w:r>
      <w:r>
        <w:t>, including shareholders, the Board of Directors and regulators, should be managed closely through regular reporting, transparent communication and consultation to maintain their support.</w:t>
      </w:r>
    </w:p>
    <w:p w14:paraId="30B3EB1A" w14:textId="77777777" w:rsidR="00E30060" w:rsidRDefault="00E30060" w:rsidP="00E30060">
      <w:pPr>
        <w:pStyle w:val="NormalWeb"/>
      </w:pPr>
      <w:r>
        <w:t xml:space="preserve">Stakeholders with </w:t>
      </w:r>
      <w:r>
        <w:rPr>
          <w:rStyle w:val="Strong"/>
        </w:rPr>
        <w:t>high interest but lower power</w:t>
      </w:r>
      <w:r>
        <w:t>, such as employees and customers, should be kept informed throughout implementation. Employees will require training to support new technologies, while customers should receive clear communication about improved digital services and network capabilities to strengthen loyalty.</w:t>
      </w:r>
    </w:p>
    <w:p w14:paraId="014F0291" w14:textId="77777777" w:rsidR="00E30060" w:rsidRDefault="00E30060" w:rsidP="00E30060">
      <w:pPr>
        <w:pStyle w:val="NormalWeb"/>
      </w:pPr>
      <w:r>
        <w:t>Technology partners, suppliers, governments and local communities should also be actively engaged to support reliable service delivery, regulatory compliance and digital inclusion initiatives. These relationships will strengthen Vodafone's reputation while supporting successful implementation.</w:t>
      </w:r>
    </w:p>
    <w:p w14:paraId="4F22180B" w14:textId="77777777" w:rsidR="00E30060" w:rsidRDefault="00E30060" w:rsidP="00E30060">
      <w:pPr>
        <w:pStyle w:val="NormalWeb"/>
      </w:pPr>
      <w:r>
        <w:t>Overall, effective stakeholder engagement will reduce implementation risks and improve the successful delivery of Vodafone's Market Development strategy. By balancing stakeholder expectations with strategic objectives, Vodafone can create sustainable value for customers, investors, employees, regulators and local communities.</w:t>
      </w:r>
    </w:p>
    <w:p w14:paraId="72A8C3A3" w14:textId="77777777" w:rsidR="00FF4C17" w:rsidRPr="00D85D9C" w:rsidRDefault="00FF4C17">
      <w:pPr>
        <w:rPr>
          <w:rFonts w:ascii="Arial" w:eastAsia="Aptos" w:hAnsi="Arial" w:cs="Arial"/>
          <w:sz w:val="22"/>
          <w:szCs w:val="22"/>
        </w:rPr>
      </w:pPr>
    </w:p>
    <w:tbl>
      <w:tblPr>
        <w:tblStyle w:val="TableGrid"/>
        <w:tblW w:w="0" w:type="auto"/>
        <w:tblLook w:val="04A0" w:firstRow="1" w:lastRow="0" w:firstColumn="1" w:lastColumn="0" w:noHBand="0" w:noVBand="1"/>
      </w:tblPr>
      <w:tblGrid>
        <w:gridCol w:w="2337"/>
        <w:gridCol w:w="2337"/>
        <w:gridCol w:w="2338"/>
        <w:gridCol w:w="2338"/>
      </w:tblGrid>
      <w:tr w:rsidR="008D026F" w:rsidRPr="00D85D9C" w14:paraId="0BA6BB86" w14:textId="77777777" w:rsidTr="008D026F">
        <w:tc>
          <w:tcPr>
            <w:tcW w:w="2337" w:type="dxa"/>
          </w:tcPr>
          <w:p w14:paraId="39CAD0A6" w14:textId="6566AAE6" w:rsidR="008D026F" w:rsidRPr="00D85D9C" w:rsidRDefault="004B2639" w:rsidP="00C81460">
            <w:pPr>
              <w:jc w:val="center"/>
              <w:rPr>
                <w:rFonts w:ascii="Arial" w:hAnsi="Arial" w:cs="Arial"/>
                <w:b/>
                <w:bCs/>
                <w:sz w:val="22"/>
                <w:szCs w:val="22"/>
              </w:rPr>
            </w:pPr>
            <w:r w:rsidRPr="00D85D9C">
              <w:rPr>
                <w:rFonts w:ascii="Arial" w:hAnsi="Arial" w:cs="Arial"/>
                <w:b/>
                <w:bCs/>
                <w:sz w:val="22"/>
                <w:szCs w:val="22"/>
              </w:rPr>
              <w:t>Stakeholder</w:t>
            </w:r>
          </w:p>
        </w:tc>
        <w:tc>
          <w:tcPr>
            <w:tcW w:w="2337" w:type="dxa"/>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643"/>
            </w:tblGrid>
            <w:tr w:rsidR="00C81460" w:rsidRPr="00D85D9C" w14:paraId="63185D11" w14:textId="77777777" w:rsidTr="00C81460">
              <w:trPr>
                <w:tblCellSpacing w:w="15" w:type="dxa"/>
                <w:jc w:val="center"/>
              </w:trPr>
              <w:tc>
                <w:tcPr>
                  <w:tcW w:w="0" w:type="auto"/>
                  <w:vAlign w:val="center"/>
                  <w:hideMark/>
                </w:tcPr>
                <w:p w14:paraId="71ABB3A9" w14:textId="77777777" w:rsidR="00C81460" w:rsidRPr="00D85D9C" w:rsidRDefault="00C81460" w:rsidP="00C81460">
                  <w:pPr>
                    <w:spacing w:after="0" w:line="240" w:lineRule="auto"/>
                    <w:jc w:val="center"/>
                    <w:rPr>
                      <w:rFonts w:ascii="Arial" w:eastAsia="Times New Roman" w:hAnsi="Arial" w:cs="Arial"/>
                      <w:b/>
                      <w:bCs/>
                      <w:sz w:val="22"/>
                      <w:szCs w:val="22"/>
                      <w:lang w:val="en-GB" w:eastAsia="en-GB"/>
                    </w:rPr>
                  </w:pPr>
                  <w:r w:rsidRPr="00D85D9C">
                    <w:rPr>
                      <w:rFonts w:ascii="Arial" w:eastAsia="Times New Roman" w:hAnsi="Arial" w:cs="Arial"/>
                      <w:b/>
                      <w:bCs/>
                      <w:sz w:val="22"/>
                      <w:szCs w:val="22"/>
                      <w:lang w:val="en-GB" w:eastAsia="en-GB"/>
                    </w:rPr>
                    <w:t>Level of Power</w:t>
                  </w:r>
                </w:p>
              </w:tc>
            </w:tr>
          </w:tbl>
          <w:p w14:paraId="38B74CFD" w14:textId="77777777" w:rsidR="00C81460" w:rsidRPr="00D85D9C" w:rsidRDefault="00C81460" w:rsidP="00C81460">
            <w:pPr>
              <w:rPr>
                <w:rFonts w:ascii="Arial" w:eastAsia="Times New Roman" w:hAnsi="Arial" w:cs="Arial"/>
                <w:vanish/>
                <w:sz w:val="22"/>
                <w:szCs w:val="22"/>
                <w:lang w:val="en-GB"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81460" w:rsidRPr="00D85D9C" w14:paraId="115FDF48" w14:textId="77777777">
              <w:trPr>
                <w:tblCellSpacing w:w="15" w:type="dxa"/>
              </w:trPr>
              <w:tc>
                <w:tcPr>
                  <w:tcW w:w="0" w:type="auto"/>
                  <w:vAlign w:val="center"/>
                  <w:hideMark/>
                </w:tcPr>
                <w:p w14:paraId="6B114A64" w14:textId="77777777" w:rsidR="00C81460" w:rsidRPr="00D85D9C" w:rsidRDefault="00C81460" w:rsidP="00C81460">
                  <w:pPr>
                    <w:spacing w:after="0" w:line="240" w:lineRule="auto"/>
                    <w:rPr>
                      <w:rFonts w:ascii="Arial" w:eastAsia="Times New Roman" w:hAnsi="Arial" w:cs="Arial"/>
                      <w:sz w:val="22"/>
                      <w:szCs w:val="22"/>
                      <w:lang w:val="en-GB" w:eastAsia="en-GB"/>
                    </w:rPr>
                  </w:pPr>
                </w:p>
              </w:tc>
            </w:tr>
          </w:tbl>
          <w:p w14:paraId="34B3346A" w14:textId="77777777" w:rsidR="008D026F" w:rsidRPr="00D85D9C" w:rsidRDefault="008D026F">
            <w:pPr>
              <w:rPr>
                <w:rFonts w:ascii="Arial" w:eastAsia="Aptos" w:hAnsi="Arial" w:cs="Arial"/>
                <w:sz w:val="22"/>
                <w:szCs w:val="22"/>
              </w:rPr>
            </w:pPr>
          </w:p>
        </w:tc>
        <w:tc>
          <w:tcPr>
            <w:tcW w:w="2338" w:type="dxa"/>
          </w:tcPr>
          <w:p w14:paraId="59EEA49E" w14:textId="3AEBE804" w:rsidR="008D026F" w:rsidRPr="00D85D9C" w:rsidRDefault="00C81460" w:rsidP="00C81460">
            <w:pPr>
              <w:jc w:val="center"/>
              <w:rPr>
                <w:rFonts w:ascii="Arial" w:eastAsia="Aptos" w:hAnsi="Arial" w:cs="Arial"/>
                <w:b/>
                <w:bCs/>
                <w:sz w:val="22"/>
                <w:szCs w:val="22"/>
              </w:rPr>
            </w:pPr>
            <w:r w:rsidRPr="00D85D9C">
              <w:rPr>
                <w:rFonts w:ascii="Arial" w:eastAsia="Aptos" w:hAnsi="Arial" w:cs="Arial"/>
                <w:b/>
                <w:bCs/>
                <w:sz w:val="22"/>
                <w:szCs w:val="22"/>
              </w:rPr>
              <w:t>Level of Interest</w:t>
            </w:r>
          </w:p>
        </w:tc>
        <w:tc>
          <w:tcPr>
            <w:tcW w:w="2338" w:type="dxa"/>
          </w:tcPr>
          <w:p w14:paraId="332E20A2" w14:textId="5440AEBC" w:rsidR="008D026F" w:rsidRPr="00D85D9C" w:rsidRDefault="00C81460" w:rsidP="00C81460">
            <w:pPr>
              <w:jc w:val="center"/>
              <w:rPr>
                <w:rFonts w:ascii="Arial" w:eastAsia="Aptos" w:hAnsi="Arial" w:cs="Arial"/>
                <w:b/>
                <w:bCs/>
                <w:sz w:val="22"/>
                <w:szCs w:val="22"/>
              </w:rPr>
            </w:pPr>
            <w:r w:rsidRPr="00D85D9C">
              <w:rPr>
                <w:rFonts w:ascii="Arial" w:eastAsia="Aptos" w:hAnsi="Arial" w:cs="Arial"/>
                <w:b/>
                <w:bCs/>
                <w:sz w:val="22"/>
                <w:szCs w:val="22"/>
              </w:rPr>
              <w:t>Engagement Strategy</w:t>
            </w:r>
          </w:p>
        </w:tc>
      </w:tr>
      <w:tr w:rsidR="008D026F" w:rsidRPr="00D85D9C" w14:paraId="01FC4C54" w14:textId="77777777" w:rsidTr="008D026F">
        <w:tc>
          <w:tcPr>
            <w:tcW w:w="2337" w:type="dxa"/>
          </w:tcPr>
          <w:p w14:paraId="1674C0E6" w14:textId="39AE3483" w:rsidR="008D026F" w:rsidRPr="00D85D9C" w:rsidRDefault="0031624D" w:rsidP="00155693">
            <w:pPr>
              <w:jc w:val="center"/>
              <w:rPr>
                <w:rFonts w:ascii="Arial" w:eastAsia="Aptos" w:hAnsi="Arial" w:cs="Arial"/>
                <w:sz w:val="22"/>
                <w:szCs w:val="22"/>
              </w:rPr>
            </w:pPr>
            <w:r w:rsidRPr="00D85D9C">
              <w:rPr>
                <w:rFonts w:ascii="Arial" w:eastAsia="Aptos" w:hAnsi="Arial" w:cs="Arial"/>
                <w:sz w:val="22"/>
                <w:szCs w:val="22"/>
              </w:rPr>
              <w:lastRenderedPageBreak/>
              <w:t>Stakeholders &amp; Board</w:t>
            </w:r>
          </w:p>
        </w:tc>
        <w:tc>
          <w:tcPr>
            <w:tcW w:w="2337" w:type="dxa"/>
          </w:tcPr>
          <w:p w14:paraId="1818FA65" w14:textId="29B8B635" w:rsidR="008D026F" w:rsidRPr="00D85D9C" w:rsidRDefault="0031624D" w:rsidP="00155693">
            <w:pPr>
              <w:jc w:val="center"/>
              <w:rPr>
                <w:rFonts w:ascii="Arial" w:eastAsia="Aptos" w:hAnsi="Arial" w:cs="Arial"/>
                <w:sz w:val="22"/>
                <w:szCs w:val="22"/>
              </w:rPr>
            </w:pPr>
            <w:r w:rsidRPr="00D85D9C">
              <w:rPr>
                <w:rFonts w:ascii="Arial" w:eastAsia="Aptos" w:hAnsi="Arial" w:cs="Arial"/>
                <w:sz w:val="22"/>
                <w:szCs w:val="22"/>
              </w:rPr>
              <w:t>High</w:t>
            </w:r>
          </w:p>
        </w:tc>
        <w:tc>
          <w:tcPr>
            <w:tcW w:w="2338" w:type="dxa"/>
          </w:tcPr>
          <w:p w14:paraId="114AA912" w14:textId="25CB5FBA" w:rsidR="008D026F" w:rsidRPr="00D85D9C" w:rsidRDefault="0031624D" w:rsidP="00155693">
            <w:pPr>
              <w:jc w:val="center"/>
              <w:rPr>
                <w:rFonts w:ascii="Arial" w:eastAsia="Aptos" w:hAnsi="Arial" w:cs="Arial"/>
                <w:sz w:val="22"/>
                <w:szCs w:val="22"/>
              </w:rPr>
            </w:pPr>
            <w:r w:rsidRPr="00D85D9C">
              <w:rPr>
                <w:rFonts w:ascii="Arial" w:eastAsia="Aptos" w:hAnsi="Arial" w:cs="Arial"/>
                <w:sz w:val="22"/>
                <w:szCs w:val="22"/>
              </w:rPr>
              <w:t>High</w:t>
            </w:r>
          </w:p>
        </w:tc>
        <w:tc>
          <w:tcPr>
            <w:tcW w:w="2338" w:type="dxa"/>
          </w:tcPr>
          <w:p w14:paraId="7844C9BD" w14:textId="00F3BECC" w:rsidR="008D026F" w:rsidRPr="00D85D9C" w:rsidRDefault="0026274C" w:rsidP="00155693">
            <w:pPr>
              <w:jc w:val="center"/>
              <w:rPr>
                <w:rFonts w:ascii="Arial" w:eastAsia="Aptos" w:hAnsi="Arial" w:cs="Arial"/>
                <w:sz w:val="22"/>
                <w:szCs w:val="22"/>
              </w:rPr>
            </w:pPr>
            <w:r w:rsidRPr="00D85D9C">
              <w:rPr>
                <w:rFonts w:ascii="Arial" w:eastAsia="Aptos" w:hAnsi="Arial" w:cs="Arial"/>
                <w:sz w:val="22"/>
                <w:szCs w:val="22"/>
              </w:rPr>
              <w:t>Quarterly performance reporting, strategic updates</w:t>
            </w:r>
            <w:r w:rsidR="00760360" w:rsidRPr="00D85D9C">
              <w:rPr>
                <w:rFonts w:ascii="Arial" w:eastAsia="Aptos" w:hAnsi="Arial" w:cs="Arial"/>
                <w:sz w:val="22"/>
                <w:szCs w:val="22"/>
              </w:rPr>
              <w:t>, investment reviews</w:t>
            </w:r>
          </w:p>
        </w:tc>
      </w:tr>
      <w:tr w:rsidR="008D026F" w:rsidRPr="00D85D9C" w14:paraId="11432CD1" w14:textId="77777777" w:rsidTr="008D026F">
        <w:tc>
          <w:tcPr>
            <w:tcW w:w="2337" w:type="dxa"/>
          </w:tcPr>
          <w:p w14:paraId="4708DEF3" w14:textId="1A3CA10D" w:rsidR="008D026F" w:rsidRPr="00D85D9C" w:rsidRDefault="00760360" w:rsidP="00155693">
            <w:pPr>
              <w:jc w:val="center"/>
              <w:rPr>
                <w:rFonts w:ascii="Arial" w:eastAsia="Aptos" w:hAnsi="Arial" w:cs="Arial"/>
                <w:sz w:val="22"/>
                <w:szCs w:val="22"/>
              </w:rPr>
            </w:pPr>
            <w:r w:rsidRPr="00D85D9C">
              <w:rPr>
                <w:rFonts w:ascii="Arial" w:eastAsia="Aptos" w:hAnsi="Arial" w:cs="Arial"/>
                <w:sz w:val="22"/>
                <w:szCs w:val="22"/>
              </w:rPr>
              <w:t>Regulator</w:t>
            </w:r>
            <w:r w:rsidR="00DB7128" w:rsidRPr="00D85D9C">
              <w:rPr>
                <w:rFonts w:ascii="Arial" w:eastAsia="Aptos" w:hAnsi="Arial" w:cs="Arial"/>
                <w:sz w:val="22"/>
                <w:szCs w:val="22"/>
              </w:rPr>
              <w:t>s &amp; Government</w:t>
            </w:r>
          </w:p>
        </w:tc>
        <w:tc>
          <w:tcPr>
            <w:tcW w:w="2337" w:type="dxa"/>
          </w:tcPr>
          <w:p w14:paraId="3A5DDF1B" w14:textId="73F24063" w:rsidR="008D026F" w:rsidRPr="00D85D9C" w:rsidRDefault="00DB7128" w:rsidP="00155693">
            <w:pPr>
              <w:jc w:val="center"/>
              <w:rPr>
                <w:rFonts w:ascii="Arial" w:eastAsia="Aptos" w:hAnsi="Arial" w:cs="Arial"/>
                <w:sz w:val="22"/>
                <w:szCs w:val="22"/>
              </w:rPr>
            </w:pPr>
            <w:r w:rsidRPr="00D85D9C">
              <w:rPr>
                <w:rFonts w:ascii="Arial" w:eastAsia="Aptos" w:hAnsi="Arial" w:cs="Arial"/>
                <w:sz w:val="22"/>
                <w:szCs w:val="22"/>
              </w:rPr>
              <w:t>High</w:t>
            </w:r>
          </w:p>
        </w:tc>
        <w:tc>
          <w:tcPr>
            <w:tcW w:w="2338" w:type="dxa"/>
          </w:tcPr>
          <w:p w14:paraId="3E44DC96" w14:textId="0DDF2290" w:rsidR="008D026F" w:rsidRPr="00D85D9C" w:rsidRDefault="00DB7128" w:rsidP="00155693">
            <w:pPr>
              <w:jc w:val="center"/>
              <w:rPr>
                <w:rFonts w:ascii="Arial" w:eastAsia="Aptos" w:hAnsi="Arial" w:cs="Arial"/>
                <w:sz w:val="22"/>
                <w:szCs w:val="22"/>
              </w:rPr>
            </w:pPr>
            <w:r w:rsidRPr="00D85D9C">
              <w:rPr>
                <w:rFonts w:ascii="Arial" w:eastAsia="Aptos" w:hAnsi="Arial" w:cs="Arial"/>
                <w:sz w:val="22"/>
                <w:szCs w:val="22"/>
              </w:rPr>
              <w:t>High</w:t>
            </w:r>
          </w:p>
        </w:tc>
        <w:tc>
          <w:tcPr>
            <w:tcW w:w="2338" w:type="dxa"/>
          </w:tcPr>
          <w:p w14:paraId="72CF2ECC" w14:textId="308041A2" w:rsidR="008D026F" w:rsidRPr="00D85D9C" w:rsidRDefault="00DB7128" w:rsidP="00155693">
            <w:pPr>
              <w:jc w:val="center"/>
              <w:rPr>
                <w:rFonts w:ascii="Arial" w:eastAsia="Aptos" w:hAnsi="Arial" w:cs="Arial"/>
                <w:sz w:val="22"/>
                <w:szCs w:val="22"/>
              </w:rPr>
            </w:pPr>
            <w:r w:rsidRPr="00D85D9C">
              <w:rPr>
                <w:rFonts w:ascii="Arial" w:eastAsia="Aptos" w:hAnsi="Arial" w:cs="Arial"/>
                <w:sz w:val="22"/>
                <w:szCs w:val="22"/>
              </w:rPr>
              <w:t xml:space="preserve">Ongoing </w:t>
            </w:r>
            <w:r w:rsidR="0020720E" w:rsidRPr="00D85D9C">
              <w:rPr>
                <w:rFonts w:ascii="Arial" w:eastAsia="Aptos" w:hAnsi="Arial" w:cs="Arial"/>
                <w:sz w:val="22"/>
                <w:szCs w:val="22"/>
              </w:rPr>
              <w:t xml:space="preserve">compliance, consultation, and </w:t>
            </w:r>
            <w:r w:rsidR="00D325CF" w:rsidRPr="00D85D9C">
              <w:rPr>
                <w:rFonts w:ascii="Arial" w:eastAsia="Aptos" w:hAnsi="Arial" w:cs="Arial"/>
                <w:sz w:val="22"/>
                <w:szCs w:val="22"/>
              </w:rPr>
              <w:t>t</w:t>
            </w:r>
            <w:r w:rsidR="0020720E" w:rsidRPr="00D85D9C">
              <w:rPr>
                <w:rFonts w:ascii="Arial" w:eastAsia="Aptos" w:hAnsi="Arial" w:cs="Arial"/>
                <w:sz w:val="22"/>
                <w:szCs w:val="22"/>
              </w:rPr>
              <w:t>ransparent communication</w:t>
            </w:r>
          </w:p>
        </w:tc>
      </w:tr>
      <w:tr w:rsidR="008D026F" w:rsidRPr="00D85D9C" w14:paraId="6D899C46" w14:textId="77777777" w:rsidTr="008D026F">
        <w:tc>
          <w:tcPr>
            <w:tcW w:w="2337" w:type="dxa"/>
          </w:tcPr>
          <w:p w14:paraId="591B0632" w14:textId="49A62128" w:rsidR="008D026F" w:rsidRPr="00D85D9C" w:rsidRDefault="00D325CF" w:rsidP="00155693">
            <w:pPr>
              <w:jc w:val="center"/>
              <w:rPr>
                <w:rFonts w:ascii="Arial" w:eastAsia="Aptos" w:hAnsi="Arial" w:cs="Arial"/>
                <w:sz w:val="22"/>
                <w:szCs w:val="22"/>
              </w:rPr>
            </w:pPr>
            <w:r w:rsidRPr="00D85D9C">
              <w:rPr>
                <w:rFonts w:ascii="Arial" w:eastAsia="Aptos" w:hAnsi="Arial" w:cs="Arial"/>
                <w:sz w:val="22"/>
                <w:szCs w:val="22"/>
              </w:rPr>
              <w:t>Employees</w:t>
            </w:r>
          </w:p>
        </w:tc>
        <w:tc>
          <w:tcPr>
            <w:tcW w:w="2337" w:type="dxa"/>
          </w:tcPr>
          <w:p w14:paraId="7CC995CF" w14:textId="76CC92DD" w:rsidR="008D026F" w:rsidRPr="00D85D9C" w:rsidRDefault="00D325CF" w:rsidP="00155693">
            <w:pPr>
              <w:jc w:val="center"/>
              <w:rPr>
                <w:rFonts w:ascii="Arial" w:eastAsia="Aptos" w:hAnsi="Arial" w:cs="Arial"/>
                <w:sz w:val="22"/>
                <w:szCs w:val="22"/>
              </w:rPr>
            </w:pPr>
            <w:r w:rsidRPr="00D85D9C">
              <w:rPr>
                <w:rFonts w:ascii="Arial" w:eastAsia="Aptos" w:hAnsi="Arial" w:cs="Arial"/>
                <w:sz w:val="22"/>
                <w:szCs w:val="22"/>
              </w:rPr>
              <w:t>Medium</w:t>
            </w:r>
          </w:p>
        </w:tc>
        <w:tc>
          <w:tcPr>
            <w:tcW w:w="2338" w:type="dxa"/>
          </w:tcPr>
          <w:p w14:paraId="5C852ABF" w14:textId="510346F0" w:rsidR="008D026F" w:rsidRPr="00D85D9C" w:rsidRDefault="00D325CF" w:rsidP="00155693">
            <w:pPr>
              <w:jc w:val="center"/>
              <w:rPr>
                <w:rFonts w:ascii="Arial" w:eastAsia="Aptos" w:hAnsi="Arial" w:cs="Arial"/>
                <w:sz w:val="22"/>
                <w:szCs w:val="22"/>
              </w:rPr>
            </w:pPr>
            <w:r w:rsidRPr="00D85D9C">
              <w:rPr>
                <w:rFonts w:ascii="Arial" w:eastAsia="Aptos" w:hAnsi="Arial" w:cs="Arial"/>
                <w:sz w:val="22"/>
                <w:szCs w:val="22"/>
              </w:rPr>
              <w:t>High</w:t>
            </w:r>
          </w:p>
        </w:tc>
        <w:tc>
          <w:tcPr>
            <w:tcW w:w="2338" w:type="dxa"/>
          </w:tcPr>
          <w:p w14:paraId="7BC5C7A9" w14:textId="58BFBEF1" w:rsidR="008D026F" w:rsidRPr="00D85D9C" w:rsidRDefault="00D325CF" w:rsidP="00155693">
            <w:pPr>
              <w:jc w:val="center"/>
              <w:rPr>
                <w:rFonts w:ascii="Arial" w:eastAsia="Aptos" w:hAnsi="Arial" w:cs="Arial"/>
                <w:sz w:val="22"/>
                <w:szCs w:val="22"/>
              </w:rPr>
            </w:pPr>
            <w:r w:rsidRPr="00D85D9C">
              <w:rPr>
                <w:rFonts w:ascii="Arial" w:eastAsia="Aptos" w:hAnsi="Arial" w:cs="Arial"/>
                <w:sz w:val="22"/>
                <w:szCs w:val="22"/>
              </w:rPr>
              <w:t>Training,</w:t>
            </w:r>
            <w:r w:rsidR="00E35425" w:rsidRPr="00D85D9C">
              <w:rPr>
                <w:rFonts w:ascii="Arial" w:eastAsia="Aptos" w:hAnsi="Arial" w:cs="Arial"/>
                <w:sz w:val="22"/>
                <w:szCs w:val="22"/>
              </w:rPr>
              <w:t xml:space="preserve"> internal communication, </w:t>
            </w:r>
            <w:proofErr w:type="gramStart"/>
            <w:r w:rsidR="00E35425" w:rsidRPr="00D85D9C">
              <w:rPr>
                <w:rFonts w:ascii="Arial" w:eastAsia="Aptos" w:hAnsi="Arial" w:cs="Arial"/>
                <w:sz w:val="22"/>
                <w:szCs w:val="22"/>
              </w:rPr>
              <w:t>change</w:t>
            </w:r>
            <w:proofErr w:type="gramEnd"/>
            <w:r w:rsidR="00E35425" w:rsidRPr="00D85D9C">
              <w:rPr>
                <w:rFonts w:ascii="Arial" w:eastAsia="Aptos" w:hAnsi="Arial" w:cs="Arial"/>
                <w:sz w:val="22"/>
                <w:szCs w:val="22"/>
              </w:rPr>
              <w:t xml:space="preserve"> management </w:t>
            </w:r>
            <w:proofErr w:type="spellStart"/>
            <w:r w:rsidR="00E35425" w:rsidRPr="00D85D9C">
              <w:rPr>
                <w:rFonts w:ascii="Arial" w:eastAsia="Aptos" w:hAnsi="Arial" w:cs="Arial"/>
                <w:sz w:val="22"/>
                <w:szCs w:val="22"/>
              </w:rPr>
              <w:t>programmes</w:t>
            </w:r>
            <w:proofErr w:type="spellEnd"/>
          </w:p>
        </w:tc>
      </w:tr>
      <w:tr w:rsidR="008D026F" w:rsidRPr="00D85D9C" w14:paraId="3A245AD4" w14:textId="77777777" w:rsidTr="008D026F">
        <w:tc>
          <w:tcPr>
            <w:tcW w:w="2337" w:type="dxa"/>
          </w:tcPr>
          <w:p w14:paraId="533D0943" w14:textId="56659560" w:rsidR="008D026F" w:rsidRPr="00D85D9C" w:rsidRDefault="0029507B" w:rsidP="00155693">
            <w:pPr>
              <w:jc w:val="center"/>
              <w:rPr>
                <w:rFonts w:ascii="Arial" w:eastAsia="Aptos" w:hAnsi="Arial" w:cs="Arial"/>
                <w:sz w:val="22"/>
                <w:szCs w:val="22"/>
              </w:rPr>
            </w:pPr>
            <w:r w:rsidRPr="00D85D9C">
              <w:rPr>
                <w:rFonts w:ascii="Arial" w:eastAsia="Aptos" w:hAnsi="Arial" w:cs="Arial"/>
                <w:sz w:val="22"/>
                <w:szCs w:val="22"/>
              </w:rPr>
              <w:t>Customers</w:t>
            </w:r>
          </w:p>
        </w:tc>
        <w:tc>
          <w:tcPr>
            <w:tcW w:w="2337" w:type="dxa"/>
          </w:tcPr>
          <w:p w14:paraId="67993577" w14:textId="00CC8464" w:rsidR="008D026F" w:rsidRPr="00D85D9C" w:rsidRDefault="0029507B" w:rsidP="00155693">
            <w:pPr>
              <w:jc w:val="center"/>
              <w:rPr>
                <w:rFonts w:ascii="Arial" w:eastAsia="Aptos" w:hAnsi="Arial" w:cs="Arial"/>
                <w:sz w:val="22"/>
                <w:szCs w:val="22"/>
              </w:rPr>
            </w:pPr>
            <w:r w:rsidRPr="00D85D9C">
              <w:rPr>
                <w:rFonts w:ascii="Arial" w:eastAsia="Aptos" w:hAnsi="Arial" w:cs="Arial"/>
                <w:sz w:val="22"/>
                <w:szCs w:val="22"/>
              </w:rPr>
              <w:t>Medium</w:t>
            </w:r>
          </w:p>
        </w:tc>
        <w:tc>
          <w:tcPr>
            <w:tcW w:w="2338" w:type="dxa"/>
          </w:tcPr>
          <w:p w14:paraId="7BA5062C" w14:textId="2FB33567" w:rsidR="008D026F" w:rsidRPr="00D85D9C" w:rsidRDefault="0029507B" w:rsidP="00155693">
            <w:pPr>
              <w:jc w:val="center"/>
              <w:rPr>
                <w:rFonts w:ascii="Arial" w:eastAsia="Aptos" w:hAnsi="Arial" w:cs="Arial"/>
                <w:sz w:val="22"/>
                <w:szCs w:val="22"/>
              </w:rPr>
            </w:pPr>
            <w:r w:rsidRPr="00D85D9C">
              <w:rPr>
                <w:rFonts w:ascii="Arial" w:eastAsia="Aptos" w:hAnsi="Arial" w:cs="Arial"/>
                <w:sz w:val="22"/>
                <w:szCs w:val="22"/>
              </w:rPr>
              <w:t>High</w:t>
            </w:r>
          </w:p>
        </w:tc>
        <w:tc>
          <w:tcPr>
            <w:tcW w:w="2338" w:type="dxa"/>
          </w:tcPr>
          <w:p w14:paraId="04EAAE10" w14:textId="072D27AC" w:rsidR="008D026F" w:rsidRPr="00D85D9C" w:rsidRDefault="0029507B" w:rsidP="00155693">
            <w:pPr>
              <w:jc w:val="center"/>
              <w:rPr>
                <w:rFonts w:ascii="Arial" w:eastAsia="Aptos" w:hAnsi="Arial" w:cs="Arial"/>
                <w:sz w:val="22"/>
                <w:szCs w:val="22"/>
              </w:rPr>
            </w:pPr>
            <w:r w:rsidRPr="00D85D9C">
              <w:rPr>
                <w:rFonts w:ascii="Arial" w:eastAsia="Aptos" w:hAnsi="Arial" w:cs="Arial"/>
                <w:sz w:val="22"/>
                <w:szCs w:val="22"/>
              </w:rPr>
              <w:t>Marketing campaigns</w:t>
            </w:r>
            <w:r w:rsidR="00F837FD" w:rsidRPr="00D85D9C">
              <w:rPr>
                <w:rFonts w:ascii="Arial" w:eastAsia="Aptos" w:hAnsi="Arial" w:cs="Arial"/>
                <w:sz w:val="22"/>
                <w:szCs w:val="22"/>
              </w:rPr>
              <w:t>, customer support, feedback surveys, di</w:t>
            </w:r>
            <w:r w:rsidR="00276EAC" w:rsidRPr="00D85D9C">
              <w:rPr>
                <w:rFonts w:ascii="Arial" w:eastAsia="Aptos" w:hAnsi="Arial" w:cs="Arial"/>
                <w:sz w:val="22"/>
                <w:szCs w:val="22"/>
              </w:rPr>
              <w:t>gital engagement</w:t>
            </w:r>
          </w:p>
        </w:tc>
      </w:tr>
      <w:tr w:rsidR="008D026F" w:rsidRPr="00D85D9C" w14:paraId="1703F41B" w14:textId="77777777" w:rsidTr="008D026F">
        <w:tc>
          <w:tcPr>
            <w:tcW w:w="2337" w:type="dxa"/>
          </w:tcPr>
          <w:p w14:paraId="1FBD47A4" w14:textId="676868CF" w:rsidR="008D026F" w:rsidRPr="00D85D9C" w:rsidRDefault="00BA0F85" w:rsidP="00155693">
            <w:pPr>
              <w:jc w:val="center"/>
              <w:rPr>
                <w:rFonts w:ascii="Arial" w:eastAsia="Aptos" w:hAnsi="Arial" w:cs="Arial"/>
                <w:sz w:val="22"/>
                <w:szCs w:val="22"/>
              </w:rPr>
            </w:pPr>
            <w:r w:rsidRPr="00D85D9C">
              <w:rPr>
                <w:rFonts w:ascii="Arial" w:eastAsia="Aptos" w:hAnsi="Arial" w:cs="Arial"/>
                <w:sz w:val="22"/>
                <w:szCs w:val="22"/>
              </w:rPr>
              <w:t>Technology Partners and Suppliers</w:t>
            </w:r>
          </w:p>
        </w:tc>
        <w:tc>
          <w:tcPr>
            <w:tcW w:w="2337" w:type="dxa"/>
          </w:tcPr>
          <w:p w14:paraId="3B722323" w14:textId="1470DFB6" w:rsidR="008D026F" w:rsidRPr="00D85D9C" w:rsidRDefault="00BA0F85" w:rsidP="00155693">
            <w:pPr>
              <w:jc w:val="center"/>
              <w:rPr>
                <w:rFonts w:ascii="Arial" w:eastAsia="Aptos" w:hAnsi="Arial" w:cs="Arial"/>
                <w:sz w:val="22"/>
                <w:szCs w:val="22"/>
              </w:rPr>
            </w:pPr>
            <w:r w:rsidRPr="00D85D9C">
              <w:rPr>
                <w:rFonts w:ascii="Arial" w:eastAsia="Aptos" w:hAnsi="Arial" w:cs="Arial"/>
                <w:sz w:val="22"/>
                <w:szCs w:val="22"/>
              </w:rPr>
              <w:t>Medium</w:t>
            </w:r>
          </w:p>
        </w:tc>
        <w:tc>
          <w:tcPr>
            <w:tcW w:w="2338" w:type="dxa"/>
          </w:tcPr>
          <w:p w14:paraId="24BAD746" w14:textId="512CA7DA" w:rsidR="008D026F" w:rsidRPr="00D85D9C" w:rsidRDefault="00BA0F85" w:rsidP="00155693">
            <w:pPr>
              <w:jc w:val="center"/>
              <w:rPr>
                <w:rFonts w:ascii="Arial" w:eastAsia="Aptos" w:hAnsi="Arial" w:cs="Arial"/>
                <w:sz w:val="22"/>
                <w:szCs w:val="22"/>
              </w:rPr>
            </w:pPr>
            <w:r w:rsidRPr="00D85D9C">
              <w:rPr>
                <w:rFonts w:ascii="Arial" w:eastAsia="Aptos" w:hAnsi="Arial" w:cs="Arial"/>
                <w:sz w:val="22"/>
                <w:szCs w:val="22"/>
              </w:rPr>
              <w:t>Medium</w:t>
            </w:r>
          </w:p>
        </w:tc>
        <w:tc>
          <w:tcPr>
            <w:tcW w:w="2338" w:type="dxa"/>
          </w:tcPr>
          <w:p w14:paraId="2EE15EF0" w14:textId="0449CECD" w:rsidR="008D026F" w:rsidRPr="00D85D9C" w:rsidRDefault="005615D4" w:rsidP="00155693">
            <w:pPr>
              <w:jc w:val="center"/>
              <w:rPr>
                <w:rFonts w:ascii="Arial" w:eastAsia="Aptos" w:hAnsi="Arial" w:cs="Arial"/>
                <w:sz w:val="22"/>
                <w:szCs w:val="22"/>
              </w:rPr>
            </w:pPr>
            <w:r w:rsidRPr="00D85D9C">
              <w:rPr>
                <w:rFonts w:ascii="Arial" w:eastAsia="Aptos" w:hAnsi="Arial" w:cs="Arial"/>
                <w:sz w:val="22"/>
                <w:szCs w:val="22"/>
              </w:rPr>
              <w:t>Strategic par</w:t>
            </w:r>
            <w:r w:rsidR="00B96950" w:rsidRPr="00D85D9C">
              <w:rPr>
                <w:rFonts w:ascii="Arial" w:eastAsia="Aptos" w:hAnsi="Arial" w:cs="Arial"/>
                <w:sz w:val="22"/>
                <w:szCs w:val="22"/>
              </w:rPr>
              <w:t>t</w:t>
            </w:r>
            <w:r w:rsidRPr="00D85D9C">
              <w:rPr>
                <w:rFonts w:ascii="Arial" w:eastAsia="Aptos" w:hAnsi="Arial" w:cs="Arial"/>
                <w:sz w:val="22"/>
                <w:szCs w:val="22"/>
              </w:rPr>
              <w:t>nerships, regular project meetings</w:t>
            </w:r>
            <w:r w:rsidR="00B96950" w:rsidRPr="00D85D9C">
              <w:rPr>
                <w:rFonts w:ascii="Arial" w:eastAsia="Aptos" w:hAnsi="Arial" w:cs="Arial"/>
                <w:sz w:val="22"/>
                <w:szCs w:val="22"/>
              </w:rPr>
              <w:t>, performance reviews</w:t>
            </w:r>
          </w:p>
        </w:tc>
      </w:tr>
      <w:tr w:rsidR="008D026F" w:rsidRPr="00D85D9C" w14:paraId="3BA17901" w14:textId="77777777" w:rsidTr="008D026F">
        <w:tc>
          <w:tcPr>
            <w:tcW w:w="2337" w:type="dxa"/>
          </w:tcPr>
          <w:p w14:paraId="0DB87E43" w14:textId="7C1AF007" w:rsidR="008D026F" w:rsidRPr="00D85D9C" w:rsidRDefault="00B96950" w:rsidP="00155693">
            <w:pPr>
              <w:jc w:val="center"/>
              <w:rPr>
                <w:rFonts w:ascii="Arial" w:eastAsia="Aptos" w:hAnsi="Arial" w:cs="Arial"/>
                <w:sz w:val="22"/>
                <w:szCs w:val="22"/>
              </w:rPr>
            </w:pPr>
            <w:r w:rsidRPr="00D85D9C">
              <w:rPr>
                <w:rFonts w:ascii="Arial" w:eastAsia="Aptos" w:hAnsi="Arial" w:cs="Arial"/>
                <w:sz w:val="22"/>
                <w:szCs w:val="22"/>
              </w:rPr>
              <w:t>Local Communities</w:t>
            </w:r>
          </w:p>
        </w:tc>
        <w:tc>
          <w:tcPr>
            <w:tcW w:w="2337" w:type="dxa"/>
          </w:tcPr>
          <w:p w14:paraId="79D08AA1" w14:textId="417B613C" w:rsidR="008D026F" w:rsidRPr="00D85D9C" w:rsidRDefault="00B96950" w:rsidP="00155693">
            <w:pPr>
              <w:jc w:val="center"/>
              <w:rPr>
                <w:rFonts w:ascii="Arial" w:eastAsia="Aptos" w:hAnsi="Arial" w:cs="Arial"/>
                <w:sz w:val="22"/>
                <w:szCs w:val="22"/>
              </w:rPr>
            </w:pPr>
            <w:r w:rsidRPr="00D85D9C">
              <w:rPr>
                <w:rFonts w:ascii="Arial" w:eastAsia="Aptos" w:hAnsi="Arial" w:cs="Arial"/>
                <w:sz w:val="22"/>
                <w:szCs w:val="22"/>
              </w:rPr>
              <w:t>Low</w:t>
            </w:r>
          </w:p>
        </w:tc>
        <w:tc>
          <w:tcPr>
            <w:tcW w:w="2338" w:type="dxa"/>
          </w:tcPr>
          <w:p w14:paraId="50634ED4" w14:textId="7EE332EE" w:rsidR="008D026F" w:rsidRPr="00D85D9C" w:rsidRDefault="00B96950" w:rsidP="00155693">
            <w:pPr>
              <w:jc w:val="center"/>
              <w:rPr>
                <w:rFonts w:ascii="Arial" w:eastAsia="Aptos" w:hAnsi="Arial" w:cs="Arial"/>
                <w:sz w:val="22"/>
                <w:szCs w:val="22"/>
              </w:rPr>
            </w:pPr>
            <w:r w:rsidRPr="00D85D9C">
              <w:rPr>
                <w:rFonts w:ascii="Arial" w:eastAsia="Aptos" w:hAnsi="Arial" w:cs="Arial"/>
                <w:sz w:val="22"/>
                <w:szCs w:val="22"/>
              </w:rPr>
              <w:t>Medium</w:t>
            </w:r>
          </w:p>
        </w:tc>
        <w:tc>
          <w:tcPr>
            <w:tcW w:w="2338" w:type="dxa"/>
          </w:tcPr>
          <w:p w14:paraId="0CD3FD1A" w14:textId="31C2E5BE" w:rsidR="008D026F" w:rsidRPr="00D85D9C" w:rsidRDefault="001F5D01" w:rsidP="00155693">
            <w:pPr>
              <w:jc w:val="center"/>
              <w:rPr>
                <w:rFonts w:ascii="Arial" w:eastAsia="Aptos" w:hAnsi="Arial" w:cs="Arial"/>
                <w:sz w:val="22"/>
                <w:szCs w:val="22"/>
              </w:rPr>
            </w:pPr>
            <w:r w:rsidRPr="00D85D9C">
              <w:rPr>
                <w:rFonts w:ascii="Arial" w:eastAsia="Aptos" w:hAnsi="Arial" w:cs="Arial"/>
                <w:sz w:val="22"/>
                <w:szCs w:val="22"/>
              </w:rPr>
              <w:t xml:space="preserve">CSR initiatives, digital inclusion, </w:t>
            </w:r>
            <w:proofErr w:type="spellStart"/>
            <w:r w:rsidRPr="00D85D9C">
              <w:rPr>
                <w:rFonts w:ascii="Arial" w:eastAsia="Aptos" w:hAnsi="Arial" w:cs="Arial"/>
                <w:sz w:val="22"/>
                <w:szCs w:val="22"/>
              </w:rPr>
              <w:t>programmes</w:t>
            </w:r>
            <w:proofErr w:type="spellEnd"/>
            <w:r w:rsidR="00155693" w:rsidRPr="00D85D9C">
              <w:rPr>
                <w:rFonts w:ascii="Arial" w:eastAsia="Aptos" w:hAnsi="Arial" w:cs="Arial"/>
                <w:sz w:val="22"/>
                <w:szCs w:val="22"/>
              </w:rPr>
              <w:t>, community engagement</w:t>
            </w:r>
          </w:p>
        </w:tc>
      </w:tr>
    </w:tbl>
    <w:p w14:paraId="1F2827F8" w14:textId="77777777" w:rsidR="00FF4C17" w:rsidRPr="00D85D9C" w:rsidRDefault="00FF4C17">
      <w:pPr>
        <w:rPr>
          <w:rFonts w:ascii="Arial" w:eastAsia="Aptos" w:hAnsi="Arial" w:cs="Arial"/>
          <w:sz w:val="22"/>
          <w:szCs w:val="22"/>
        </w:rPr>
      </w:pPr>
    </w:p>
    <w:p w14:paraId="7AF8F9CE" w14:textId="77777777" w:rsidR="0021727A" w:rsidRPr="00D85D9C" w:rsidRDefault="0021727A" w:rsidP="0021727A">
      <w:pPr>
        <w:spacing w:before="100" w:beforeAutospacing="1" w:after="100" w:afterAutospacing="1" w:line="240" w:lineRule="auto"/>
        <w:outlineLvl w:val="1"/>
        <w:rPr>
          <w:rFonts w:ascii="Arial" w:eastAsia="Times New Roman" w:hAnsi="Arial" w:cs="Arial"/>
          <w:b/>
          <w:bCs/>
          <w:sz w:val="22"/>
          <w:szCs w:val="22"/>
          <w:lang w:val="en-GB" w:eastAsia="en-GB"/>
        </w:rPr>
      </w:pPr>
      <w:bookmarkStart w:id="9" w:name="_Toc237338926"/>
      <w:r w:rsidRPr="00D85D9C">
        <w:rPr>
          <w:rFonts w:ascii="Arial" w:eastAsia="Times New Roman" w:hAnsi="Arial" w:cs="Arial"/>
          <w:b/>
          <w:bCs/>
          <w:sz w:val="22"/>
          <w:szCs w:val="22"/>
          <w:lang w:val="en-GB" w:eastAsia="en-GB"/>
        </w:rPr>
        <w:t>7. Implementation and Monitoring</w:t>
      </w:r>
      <w:bookmarkEnd w:id="9"/>
    </w:p>
    <w:p w14:paraId="3C94541D" w14:textId="77777777" w:rsidR="0021727A" w:rsidRPr="00D85D9C" w:rsidRDefault="0021727A" w:rsidP="0021727A">
      <w:pPr>
        <w:spacing w:before="100" w:beforeAutospacing="1" w:after="100" w:afterAutospacing="1" w:line="240" w:lineRule="auto"/>
        <w:rPr>
          <w:rFonts w:ascii="Arial" w:eastAsia="Times New Roman" w:hAnsi="Arial" w:cs="Arial"/>
          <w:sz w:val="22"/>
          <w:szCs w:val="22"/>
          <w:lang w:val="en-GB" w:eastAsia="en-GB"/>
        </w:rPr>
      </w:pPr>
      <w:r w:rsidRPr="00D85D9C">
        <w:rPr>
          <w:rFonts w:ascii="Arial" w:eastAsia="Times New Roman" w:hAnsi="Arial" w:cs="Arial"/>
          <w:sz w:val="22"/>
          <w:szCs w:val="22"/>
          <w:lang w:val="en-GB" w:eastAsia="en-GB"/>
        </w:rPr>
        <w:t>The successful implementation of Vodafone's proposed Market Development strategy will require a structured and phased approach that aligns strategic objectives with operational activities. Effective implementation should focus on expanding digital services within high-growth markets while maintaining service quality, regulatory compliance, and financial sustainability. Continuous monitoring will enable Vodafone to measure progress, identify emerging risks, and make timely adjustments where necessary.</w:t>
      </w:r>
    </w:p>
    <w:p w14:paraId="216BB52D" w14:textId="77777777" w:rsidR="0021727A" w:rsidRPr="00D85D9C" w:rsidRDefault="0021727A" w:rsidP="0021727A">
      <w:pPr>
        <w:spacing w:before="100" w:beforeAutospacing="1" w:after="100" w:afterAutospacing="1" w:line="240" w:lineRule="auto"/>
        <w:rPr>
          <w:rFonts w:ascii="Arial" w:eastAsia="Times New Roman" w:hAnsi="Arial" w:cs="Arial"/>
          <w:sz w:val="22"/>
          <w:szCs w:val="22"/>
          <w:lang w:val="en-GB" w:eastAsia="en-GB"/>
        </w:rPr>
      </w:pPr>
      <w:r w:rsidRPr="00D85D9C">
        <w:rPr>
          <w:rFonts w:ascii="Arial" w:eastAsia="Times New Roman" w:hAnsi="Arial" w:cs="Arial"/>
          <w:sz w:val="22"/>
          <w:szCs w:val="22"/>
          <w:lang w:val="en-GB" w:eastAsia="en-GB"/>
        </w:rPr>
        <w:t>During the first phase, Vodafone should strengthen its existing presence within selected African markets by expanding 5G infrastructure, fibre broadband, cloud services, cybersecurity solutions, and digital financial services such as M-Pesa. Simultaneously, investment should continue in artificial intelligence (AI) technologies to enhance customer service, improve operational efficiency, and support data-driven decision-making. Employee training programmes should also be introduced to ensure staff possess the technical skills required to deliver new products and services effectively.</w:t>
      </w:r>
    </w:p>
    <w:p w14:paraId="3C12549E" w14:textId="77777777" w:rsidR="0021727A" w:rsidRPr="00D85D9C" w:rsidRDefault="0021727A" w:rsidP="0021727A">
      <w:pPr>
        <w:spacing w:before="100" w:beforeAutospacing="1" w:after="100" w:afterAutospacing="1" w:line="240" w:lineRule="auto"/>
        <w:rPr>
          <w:rFonts w:ascii="Arial" w:eastAsia="Times New Roman" w:hAnsi="Arial" w:cs="Arial"/>
          <w:sz w:val="22"/>
          <w:szCs w:val="22"/>
          <w:lang w:val="en-GB" w:eastAsia="en-GB"/>
        </w:rPr>
      </w:pPr>
      <w:r w:rsidRPr="00D85D9C">
        <w:rPr>
          <w:rFonts w:ascii="Arial" w:eastAsia="Times New Roman" w:hAnsi="Arial" w:cs="Arial"/>
          <w:sz w:val="22"/>
          <w:szCs w:val="22"/>
          <w:lang w:val="en-GB" w:eastAsia="en-GB"/>
        </w:rPr>
        <w:t xml:space="preserve">The second phase should focus on increasing customer adoption through targeted marketing campaigns, strategic partnerships with governments and technology providers, and the continued development of enterprise solutions for business customers. Collaboration with </w:t>
      </w:r>
      <w:r w:rsidRPr="00D85D9C">
        <w:rPr>
          <w:rFonts w:ascii="Arial" w:eastAsia="Times New Roman" w:hAnsi="Arial" w:cs="Arial"/>
          <w:sz w:val="22"/>
          <w:szCs w:val="22"/>
          <w:lang w:val="en-GB" w:eastAsia="en-GB"/>
        </w:rPr>
        <w:lastRenderedPageBreak/>
        <w:t>regulators and local stakeholders will be essential to ensure compliance while supporting national digital transformation initiatives.</w:t>
      </w:r>
    </w:p>
    <w:p w14:paraId="26450000" w14:textId="77777777" w:rsidR="0021727A" w:rsidRPr="00D85D9C" w:rsidRDefault="0021727A" w:rsidP="0021727A">
      <w:pPr>
        <w:spacing w:before="100" w:beforeAutospacing="1" w:after="100" w:afterAutospacing="1" w:line="240" w:lineRule="auto"/>
        <w:rPr>
          <w:rFonts w:ascii="Arial" w:eastAsia="Times New Roman" w:hAnsi="Arial" w:cs="Arial"/>
          <w:sz w:val="22"/>
          <w:szCs w:val="22"/>
          <w:lang w:val="en-GB" w:eastAsia="en-GB"/>
        </w:rPr>
      </w:pPr>
      <w:r w:rsidRPr="00D85D9C">
        <w:rPr>
          <w:rFonts w:ascii="Arial" w:eastAsia="Times New Roman" w:hAnsi="Arial" w:cs="Arial"/>
          <w:sz w:val="22"/>
          <w:szCs w:val="22"/>
          <w:lang w:val="en-GB" w:eastAsia="en-GB"/>
        </w:rPr>
        <w:t>Performance should be monitored using clearly defined Key Performance Indicators (KPIs) that measure both financial performance and strategic outcomes. Quarterly management reviews should assess progress against targets, enabling Vodafone to respond proactively to changing market conditions, technological developments, or implementation risks. Regular reporting to senior management and the Board will ensure accountability and support informed strategic decision-making.</w:t>
      </w:r>
    </w:p>
    <w:p w14:paraId="401DC83B" w14:textId="77777777" w:rsidR="0021727A" w:rsidRPr="00D85D9C" w:rsidRDefault="0021727A" w:rsidP="0021727A">
      <w:pPr>
        <w:spacing w:before="100" w:beforeAutospacing="1" w:after="100" w:afterAutospacing="1" w:line="240" w:lineRule="auto"/>
        <w:rPr>
          <w:rFonts w:ascii="Arial" w:eastAsia="Times New Roman" w:hAnsi="Arial" w:cs="Arial"/>
          <w:sz w:val="22"/>
          <w:szCs w:val="22"/>
          <w:lang w:val="en-GB" w:eastAsia="en-GB"/>
        </w:rPr>
      </w:pPr>
      <w:r w:rsidRPr="00D85D9C">
        <w:rPr>
          <w:rFonts w:ascii="Arial" w:eastAsia="Times New Roman" w:hAnsi="Arial" w:cs="Arial"/>
          <w:sz w:val="22"/>
          <w:szCs w:val="22"/>
          <w:lang w:val="en-GB" w:eastAsia="en-GB"/>
        </w:rPr>
        <w:t>The implementation plan outlined below provides measurable objectives, associated actions, success indicators, and proposed timescales for delivering the recommended strategy.</w:t>
      </w:r>
    </w:p>
    <w:tbl>
      <w:tblPr>
        <w:tblStyle w:val="TableGrid"/>
        <w:tblW w:w="0" w:type="auto"/>
        <w:tblLook w:val="04A0" w:firstRow="1" w:lastRow="0" w:firstColumn="1" w:lastColumn="0" w:noHBand="0" w:noVBand="1"/>
      </w:tblPr>
      <w:tblGrid>
        <w:gridCol w:w="2337"/>
        <w:gridCol w:w="2337"/>
        <w:gridCol w:w="2338"/>
        <w:gridCol w:w="2338"/>
      </w:tblGrid>
      <w:tr w:rsidR="009E1A2F" w:rsidRPr="00D85D9C" w14:paraId="06412F06" w14:textId="77777777" w:rsidTr="009E1A2F">
        <w:tc>
          <w:tcPr>
            <w:tcW w:w="2337" w:type="dxa"/>
          </w:tcPr>
          <w:p w14:paraId="6C1BED71" w14:textId="1A1A4DC2" w:rsidR="009E1A2F" w:rsidRPr="00D85D9C" w:rsidRDefault="009E1A2F" w:rsidP="00FF6218">
            <w:pPr>
              <w:jc w:val="center"/>
              <w:rPr>
                <w:rFonts w:ascii="Arial" w:eastAsia="Aptos" w:hAnsi="Arial" w:cs="Arial"/>
                <w:b/>
                <w:bCs/>
                <w:sz w:val="22"/>
                <w:szCs w:val="22"/>
              </w:rPr>
            </w:pPr>
            <w:r w:rsidRPr="00D85D9C">
              <w:rPr>
                <w:rFonts w:ascii="Arial" w:eastAsia="Aptos" w:hAnsi="Arial" w:cs="Arial"/>
                <w:b/>
                <w:bCs/>
                <w:sz w:val="22"/>
                <w:szCs w:val="22"/>
              </w:rPr>
              <w:t>Strategic</w:t>
            </w:r>
            <w:r w:rsidR="00FF6218" w:rsidRPr="00D85D9C">
              <w:rPr>
                <w:rFonts w:ascii="Arial" w:eastAsia="Aptos" w:hAnsi="Arial" w:cs="Arial"/>
                <w:b/>
                <w:bCs/>
                <w:sz w:val="22"/>
                <w:szCs w:val="22"/>
              </w:rPr>
              <w:t xml:space="preserve"> Objective</w:t>
            </w:r>
          </w:p>
        </w:tc>
        <w:tc>
          <w:tcPr>
            <w:tcW w:w="2337" w:type="dxa"/>
          </w:tcPr>
          <w:p w14:paraId="0670F992" w14:textId="59D9F927" w:rsidR="009E1A2F" w:rsidRPr="00D85D9C" w:rsidRDefault="00FF6218" w:rsidP="00FF6218">
            <w:pPr>
              <w:jc w:val="center"/>
              <w:rPr>
                <w:rFonts w:ascii="Arial" w:eastAsia="Aptos" w:hAnsi="Arial" w:cs="Arial"/>
                <w:b/>
                <w:bCs/>
                <w:sz w:val="22"/>
                <w:szCs w:val="22"/>
              </w:rPr>
            </w:pPr>
            <w:r w:rsidRPr="00D85D9C">
              <w:rPr>
                <w:rFonts w:ascii="Arial" w:eastAsia="Aptos" w:hAnsi="Arial" w:cs="Arial"/>
                <w:b/>
                <w:bCs/>
                <w:sz w:val="22"/>
                <w:szCs w:val="22"/>
              </w:rPr>
              <w:t>Key Actions</w:t>
            </w:r>
          </w:p>
        </w:tc>
        <w:tc>
          <w:tcPr>
            <w:tcW w:w="2338" w:type="dxa"/>
          </w:tcPr>
          <w:p w14:paraId="372310B5" w14:textId="0C54C347" w:rsidR="009E1A2F" w:rsidRPr="00D85D9C" w:rsidRDefault="00FF6218" w:rsidP="00FF6218">
            <w:pPr>
              <w:jc w:val="center"/>
              <w:rPr>
                <w:rFonts w:ascii="Arial" w:eastAsia="Aptos" w:hAnsi="Arial" w:cs="Arial"/>
                <w:b/>
                <w:bCs/>
                <w:sz w:val="22"/>
                <w:szCs w:val="22"/>
              </w:rPr>
            </w:pPr>
            <w:r w:rsidRPr="00D85D9C">
              <w:rPr>
                <w:rFonts w:ascii="Arial" w:eastAsia="Aptos" w:hAnsi="Arial" w:cs="Arial"/>
                <w:b/>
                <w:bCs/>
                <w:sz w:val="22"/>
                <w:szCs w:val="22"/>
              </w:rPr>
              <w:t>KPI</w:t>
            </w:r>
          </w:p>
        </w:tc>
        <w:tc>
          <w:tcPr>
            <w:tcW w:w="2338" w:type="dxa"/>
          </w:tcPr>
          <w:p w14:paraId="5744D235" w14:textId="0B72BFEE" w:rsidR="009E1A2F" w:rsidRPr="00D85D9C" w:rsidRDefault="00FF6218" w:rsidP="00FF6218">
            <w:pPr>
              <w:jc w:val="center"/>
              <w:rPr>
                <w:rFonts w:ascii="Arial" w:eastAsia="Aptos" w:hAnsi="Arial" w:cs="Arial"/>
                <w:b/>
                <w:bCs/>
                <w:sz w:val="22"/>
                <w:szCs w:val="22"/>
              </w:rPr>
            </w:pPr>
            <w:r w:rsidRPr="00D85D9C">
              <w:rPr>
                <w:rFonts w:ascii="Arial" w:eastAsia="Aptos" w:hAnsi="Arial" w:cs="Arial"/>
                <w:b/>
                <w:bCs/>
                <w:sz w:val="22"/>
                <w:szCs w:val="22"/>
              </w:rPr>
              <w:t>Timescale</w:t>
            </w:r>
          </w:p>
        </w:tc>
      </w:tr>
      <w:tr w:rsidR="009E1A2F" w:rsidRPr="00D85D9C" w14:paraId="3BA089DA" w14:textId="77777777" w:rsidTr="009E1A2F">
        <w:tc>
          <w:tcPr>
            <w:tcW w:w="2337" w:type="dxa"/>
          </w:tcPr>
          <w:p w14:paraId="0DB59EA6" w14:textId="2BB41AAD" w:rsidR="009E1A2F" w:rsidRPr="00D85D9C" w:rsidRDefault="004D3C72">
            <w:pPr>
              <w:rPr>
                <w:rFonts w:ascii="Arial" w:eastAsia="Aptos" w:hAnsi="Arial" w:cs="Arial"/>
                <w:sz w:val="22"/>
                <w:szCs w:val="22"/>
              </w:rPr>
            </w:pPr>
            <w:r w:rsidRPr="00D85D9C">
              <w:rPr>
                <w:rFonts w:ascii="Arial" w:eastAsia="Aptos" w:hAnsi="Arial" w:cs="Arial"/>
                <w:sz w:val="22"/>
                <w:szCs w:val="22"/>
              </w:rPr>
              <w:t>Expand digital services across African markets</w:t>
            </w:r>
          </w:p>
        </w:tc>
        <w:tc>
          <w:tcPr>
            <w:tcW w:w="2337" w:type="dxa"/>
          </w:tcPr>
          <w:p w14:paraId="0B93F2E4" w14:textId="292A457F" w:rsidR="009E1A2F" w:rsidRPr="00D85D9C" w:rsidRDefault="004D3C72">
            <w:pPr>
              <w:rPr>
                <w:rFonts w:ascii="Arial" w:eastAsia="Aptos" w:hAnsi="Arial" w:cs="Arial"/>
                <w:sz w:val="22"/>
                <w:szCs w:val="22"/>
              </w:rPr>
            </w:pPr>
            <w:proofErr w:type="gramStart"/>
            <w:r w:rsidRPr="00D85D9C">
              <w:rPr>
                <w:rFonts w:ascii="Arial" w:eastAsia="Aptos" w:hAnsi="Arial" w:cs="Arial"/>
                <w:sz w:val="22"/>
                <w:szCs w:val="22"/>
              </w:rPr>
              <w:t>Increase</w:t>
            </w:r>
            <w:proofErr w:type="gramEnd"/>
            <w:r w:rsidRPr="00D85D9C">
              <w:rPr>
                <w:rFonts w:ascii="Arial" w:eastAsia="Aptos" w:hAnsi="Arial" w:cs="Arial"/>
                <w:sz w:val="22"/>
                <w:szCs w:val="22"/>
              </w:rPr>
              <w:t xml:space="preserve"> </w:t>
            </w:r>
            <w:r w:rsidR="00776061" w:rsidRPr="00D85D9C">
              <w:rPr>
                <w:rFonts w:ascii="Arial" w:eastAsia="Aptos" w:hAnsi="Arial" w:cs="Arial"/>
                <w:sz w:val="22"/>
                <w:szCs w:val="22"/>
              </w:rPr>
              <w:t xml:space="preserve">investment in 5G, </w:t>
            </w:r>
            <w:proofErr w:type="spellStart"/>
            <w:r w:rsidR="00776061" w:rsidRPr="00D85D9C">
              <w:rPr>
                <w:rFonts w:ascii="Arial" w:eastAsia="Aptos" w:hAnsi="Arial" w:cs="Arial"/>
                <w:sz w:val="22"/>
                <w:szCs w:val="22"/>
              </w:rPr>
              <w:t>fibre</w:t>
            </w:r>
            <w:proofErr w:type="spellEnd"/>
            <w:r w:rsidR="00776061" w:rsidRPr="00D85D9C">
              <w:rPr>
                <w:rFonts w:ascii="Arial" w:eastAsia="Aptos" w:hAnsi="Arial" w:cs="Arial"/>
                <w:sz w:val="22"/>
                <w:szCs w:val="22"/>
              </w:rPr>
              <w:t xml:space="preserve"> broadband, IoT, and M-Pesa</w:t>
            </w:r>
          </w:p>
        </w:tc>
        <w:tc>
          <w:tcPr>
            <w:tcW w:w="2338" w:type="dxa"/>
          </w:tcPr>
          <w:p w14:paraId="45D9CB3A" w14:textId="1B8FD82D" w:rsidR="009E1A2F" w:rsidRPr="00D85D9C" w:rsidRDefault="0099756D">
            <w:pPr>
              <w:rPr>
                <w:rFonts w:ascii="Arial" w:eastAsia="Aptos" w:hAnsi="Arial" w:cs="Arial"/>
                <w:sz w:val="22"/>
                <w:szCs w:val="22"/>
              </w:rPr>
            </w:pPr>
            <w:r w:rsidRPr="00D85D9C">
              <w:rPr>
                <w:rFonts w:ascii="Arial" w:eastAsia="Aptos" w:hAnsi="Arial" w:cs="Arial"/>
                <w:sz w:val="22"/>
                <w:szCs w:val="22"/>
              </w:rPr>
              <w:t xml:space="preserve">15% increase in customer base </w:t>
            </w:r>
            <w:r w:rsidR="00766133" w:rsidRPr="00D85D9C">
              <w:rPr>
                <w:rFonts w:ascii="Arial" w:eastAsia="Aptos" w:hAnsi="Arial" w:cs="Arial"/>
                <w:sz w:val="22"/>
                <w:szCs w:val="22"/>
              </w:rPr>
              <w:t>within</w:t>
            </w:r>
            <w:r w:rsidRPr="00D85D9C">
              <w:rPr>
                <w:rFonts w:ascii="Arial" w:eastAsia="Aptos" w:hAnsi="Arial" w:cs="Arial"/>
                <w:sz w:val="22"/>
                <w:szCs w:val="22"/>
              </w:rPr>
              <w:t xml:space="preserve"> target </w:t>
            </w:r>
            <w:r w:rsidR="00766133" w:rsidRPr="00D85D9C">
              <w:rPr>
                <w:rFonts w:ascii="Arial" w:eastAsia="Aptos" w:hAnsi="Arial" w:cs="Arial"/>
                <w:sz w:val="22"/>
                <w:szCs w:val="22"/>
              </w:rPr>
              <w:t>markets</w:t>
            </w:r>
          </w:p>
        </w:tc>
        <w:tc>
          <w:tcPr>
            <w:tcW w:w="2338" w:type="dxa"/>
          </w:tcPr>
          <w:p w14:paraId="4F5644F7" w14:textId="3663AA21" w:rsidR="009E1A2F" w:rsidRPr="00D85D9C" w:rsidRDefault="00F43CE9">
            <w:pPr>
              <w:rPr>
                <w:rFonts w:ascii="Arial" w:eastAsia="Aptos" w:hAnsi="Arial" w:cs="Arial"/>
                <w:sz w:val="22"/>
                <w:szCs w:val="22"/>
              </w:rPr>
            </w:pPr>
            <w:r w:rsidRPr="00D85D9C">
              <w:rPr>
                <w:rFonts w:ascii="Arial" w:eastAsia="Aptos" w:hAnsi="Arial" w:cs="Arial"/>
                <w:sz w:val="22"/>
                <w:szCs w:val="22"/>
              </w:rPr>
              <w:t>Years 1-3</w:t>
            </w:r>
          </w:p>
        </w:tc>
      </w:tr>
      <w:tr w:rsidR="009E1A2F" w:rsidRPr="00D85D9C" w14:paraId="5E0105CE" w14:textId="77777777" w:rsidTr="009E1A2F">
        <w:tc>
          <w:tcPr>
            <w:tcW w:w="2337" w:type="dxa"/>
          </w:tcPr>
          <w:p w14:paraId="18D54D09" w14:textId="0D97DD10" w:rsidR="009E1A2F" w:rsidRPr="00D85D9C" w:rsidRDefault="00F43CE9">
            <w:pPr>
              <w:rPr>
                <w:rFonts w:ascii="Arial" w:eastAsia="Aptos" w:hAnsi="Arial" w:cs="Arial"/>
                <w:sz w:val="22"/>
                <w:szCs w:val="22"/>
              </w:rPr>
            </w:pPr>
            <w:r w:rsidRPr="00D85D9C">
              <w:rPr>
                <w:rFonts w:ascii="Arial" w:eastAsia="Aptos" w:hAnsi="Arial" w:cs="Arial"/>
                <w:sz w:val="22"/>
                <w:szCs w:val="22"/>
              </w:rPr>
              <w:t xml:space="preserve">Increase </w:t>
            </w:r>
            <w:r w:rsidR="00BE1567" w:rsidRPr="00D85D9C">
              <w:rPr>
                <w:rFonts w:ascii="Arial" w:eastAsia="Aptos" w:hAnsi="Arial" w:cs="Arial"/>
                <w:sz w:val="22"/>
                <w:szCs w:val="22"/>
              </w:rPr>
              <w:t>enterprise revenue</w:t>
            </w:r>
          </w:p>
        </w:tc>
        <w:tc>
          <w:tcPr>
            <w:tcW w:w="2337" w:type="dxa"/>
          </w:tcPr>
          <w:p w14:paraId="49F907C5" w14:textId="16ABF5E6" w:rsidR="009E1A2F" w:rsidRPr="00D85D9C" w:rsidRDefault="00BE1567">
            <w:pPr>
              <w:rPr>
                <w:rFonts w:ascii="Arial" w:eastAsia="Aptos" w:hAnsi="Arial" w:cs="Arial"/>
                <w:sz w:val="22"/>
                <w:szCs w:val="22"/>
              </w:rPr>
            </w:pPr>
            <w:r w:rsidRPr="00D85D9C">
              <w:rPr>
                <w:rFonts w:ascii="Arial" w:eastAsia="Aptos" w:hAnsi="Arial" w:cs="Arial"/>
                <w:sz w:val="22"/>
                <w:szCs w:val="22"/>
              </w:rPr>
              <w:t>Expand cloud computing</w:t>
            </w:r>
            <w:r w:rsidR="00803B82" w:rsidRPr="00D85D9C">
              <w:rPr>
                <w:rFonts w:ascii="Arial" w:eastAsia="Aptos" w:hAnsi="Arial" w:cs="Arial"/>
                <w:sz w:val="22"/>
                <w:szCs w:val="22"/>
              </w:rPr>
              <w:t>, cybersecurity and private 5G services</w:t>
            </w:r>
          </w:p>
        </w:tc>
        <w:tc>
          <w:tcPr>
            <w:tcW w:w="2338" w:type="dxa"/>
          </w:tcPr>
          <w:p w14:paraId="71ABDE90" w14:textId="5D7CD6B2" w:rsidR="009E1A2F" w:rsidRPr="00D85D9C" w:rsidRDefault="00BB2682">
            <w:pPr>
              <w:rPr>
                <w:rFonts w:ascii="Arial" w:eastAsia="Aptos" w:hAnsi="Arial" w:cs="Arial"/>
                <w:sz w:val="22"/>
                <w:szCs w:val="22"/>
              </w:rPr>
            </w:pPr>
            <w:r w:rsidRPr="00D85D9C">
              <w:rPr>
                <w:rFonts w:ascii="Arial" w:eastAsia="Aptos" w:hAnsi="Arial" w:cs="Arial"/>
                <w:sz w:val="22"/>
                <w:szCs w:val="22"/>
              </w:rPr>
              <w:t>20% growth in Vodafone Business revenue</w:t>
            </w:r>
          </w:p>
        </w:tc>
        <w:tc>
          <w:tcPr>
            <w:tcW w:w="2338" w:type="dxa"/>
          </w:tcPr>
          <w:p w14:paraId="69863DE2" w14:textId="2BE639B3" w:rsidR="009E1A2F" w:rsidRPr="00D85D9C" w:rsidRDefault="004F753B">
            <w:pPr>
              <w:rPr>
                <w:rFonts w:ascii="Arial" w:eastAsia="Aptos" w:hAnsi="Arial" w:cs="Arial"/>
                <w:sz w:val="22"/>
                <w:szCs w:val="22"/>
              </w:rPr>
            </w:pPr>
            <w:r w:rsidRPr="00D85D9C">
              <w:rPr>
                <w:rFonts w:ascii="Arial" w:eastAsia="Aptos" w:hAnsi="Arial" w:cs="Arial"/>
                <w:sz w:val="22"/>
                <w:szCs w:val="22"/>
              </w:rPr>
              <w:t>Years 1-3</w:t>
            </w:r>
          </w:p>
        </w:tc>
      </w:tr>
      <w:tr w:rsidR="009E1A2F" w:rsidRPr="00D85D9C" w14:paraId="42B3C616" w14:textId="77777777" w:rsidTr="009E1A2F">
        <w:tc>
          <w:tcPr>
            <w:tcW w:w="2337" w:type="dxa"/>
          </w:tcPr>
          <w:p w14:paraId="68488F98" w14:textId="471A4502" w:rsidR="009E1A2F" w:rsidRPr="00D85D9C" w:rsidRDefault="004F753B">
            <w:pPr>
              <w:rPr>
                <w:rFonts w:ascii="Arial" w:eastAsia="Aptos" w:hAnsi="Arial" w:cs="Arial"/>
                <w:sz w:val="22"/>
                <w:szCs w:val="22"/>
              </w:rPr>
            </w:pPr>
            <w:r w:rsidRPr="00D85D9C">
              <w:rPr>
                <w:rFonts w:ascii="Arial" w:eastAsia="Aptos" w:hAnsi="Arial" w:cs="Arial"/>
                <w:sz w:val="22"/>
                <w:szCs w:val="22"/>
              </w:rPr>
              <w:t>Improve customer Experience</w:t>
            </w:r>
          </w:p>
        </w:tc>
        <w:tc>
          <w:tcPr>
            <w:tcW w:w="2337" w:type="dxa"/>
          </w:tcPr>
          <w:p w14:paraId="42B9994E" w14:textId="4AEA7885" w:rsidR="009E1A2F" w:rsidRPr="00D85D9C" w:rsidRDefault="00F04956">
            <w:pPr>
              <w:rPr>
                <w:rFonts w:ascii="Arial" w:eastAsia="Aptos" w:hAnsi="Arial" w:cs="Arial"/>
                <w:sz w:val="22"/>
                <w:szCs w:val="22"/>
              </w:rPr>
            </w:pPr>
            <w:r w:rsidRPr="00D85D9C">
              <w:rPr>
                <w:rFonts w:ascii="Arial" w:eastAsia="Aptos" w:hAnsi="Arial" w:cs="Arial"/>
                <w:sz w:val="22"/>
                <w:szCs w:val="22"/>
              </w:rPr>
              <w:t>Implement AI-powered customer support and digital</w:t>
            </w:r>
            <w:r w:rsidR="00E9284C" w:rsidRPr="00D85D9C">
              <w:rPr>
                <w:rFonts w:ascii="Arial" w:eastAsia="Aptos" w:hAnsi="Arial" w:cs="Arial"/>
                <w:sz w:val="22"/>
                <w:szCs w:val="22"/>
              </w:rPr>
              <w:t xml:space="preserve"> self-service platforms</w:t>
            </w:r>
          </w:p>
        </w:tc>
        <w:tc>
          <w:tcPr>
            <w:tcW w:w="2338" w:type="dxa"/>
          </w:tcPr>
          <w:p w14:paraId="653B0C11" w14:textId="001923BD" w:rsidR="009E1A2F" w:rsidRPr="00D85D9C" w:rsidRDefault="00E9284C">
            <w:pPr>
              <w:rPr>
                <w:rFonts w:ascii="Arial" w:eastAsia="Aptos" w:hAnsi="Arial" w:cs="Arial"/>
                <w:sz w:val="22"/>
                <w:szCs w:val="22"/>
              </w:rPr>
            </w:pPr>
            <w:r w:rsidRPr="00D85D9C">
              <w:rPr>
                <w:rFonts w:ascii="Arial" w:eastAsia="Aptos" w:hAnsi="Arial" w:cs="Arial"/>
                <w:sz w:val="22"/>
                <w:szCs w:val="22"/>
              </w:rPr>
              <w:t xml:space="preserve">Customer satisfaction </w:t>
            </w:r>
            <w:r w:rsidR="005C22E9" w:rsidRPr="00D85D9C">
              <w:rPr>
                <w:rFonts w:ascii="Arial" w:eastAsia="Aptos" w:hAnsi="Arial" w:cs="Arial"/>
                <w:sz w:val="22"/>
                <w:szCs w:val="22"/>
              </w:rPr>
              <w:t>score above 90&amp;; reduced customer churn</w:t>
            </w:r>
          </w:p>
        </w:tc>
        <w:tc>
          <w:tcPr>
            <w:tcW w:w="2338" w:type="dxa"/>
          </w:tcPr>
          <w:p w14:paraId="254AD400" w14:textId="2A01C0EE" w:rsidR="009E1A2F" w:rsidRPr="00D85D9C" w:rsidRDefault="006F5E0E">
            <w:pPr>
              <w:rPr>
                <w:rFonts w:ascii="Arial" w:eastAsia="Aptos" w:hAnsi="Arial" w:cs="Arial"/>
                <w:sz w:val="22"/>
                <w:szCs w:val="22"/>
              </w:rPr>
            </w:pPr>
            <w:r w:rsidRPr="00D85D9C">
              <w:rPr>
                <w:rFonts w:ascii="Arial" w:eastAsia="Aptos" w:hAnsi="Arial" w:cs="Arial"/>
                <w:sz w:val="22"/>
                <w:szCs w:val="22"/>
              </w:rPr>
              <w:t>Year 1-2</w:t>
            </w:r>
          </w:p>
        </w:tc>
      </w:tr>
      <w:tr w:rsidR="009E1A2F" w:rsidRPr="00D85D9C" w14:paraId="6D4B5FDA" w14:textId="77777777" w:rsidTr="009E1A2F">
        <w:tc>
          <w:tcPr>
            <w:tcW w:w="2337" w:type="dxa"/>
          </w:tcPr>
          <w:p w14:paraId="05C31BC7" w14:textId="3A3F9E80" w:rsidR="009E1A2F" w:rsidRPr="00D85D9C" w:rsidRDefault="006F5E0E">
            <w:pPr>
              <w:rPr>
                <w:rFonts w:ascii="Arial" w:eastAsia="Aptos" w:hAnsi="Arial" w:cs="Arial"/>
                <w:sz w:val="22"/>
                <w:szCs w:val="22"/>
              </w:rPr>
            </w:pPr>
            <w:r w:rsidRPr="00D85D9C">
              <w:rPr>
                <w:rFonts w:ascii="Arial" w:eastAsia="Aptos" w:hAnsi="Arial" w:cs="Arial"/>
                <w:sz w:val="22"/>
                <w:szCs w:val="22"/>
              </w:rPr>
              <w:t xml:space="preserve">Strengthen </w:t>
            </w:r>
            <w:r w:rsidR="00F12A9D" w:rsidRPr="00D85D9C">
              <w:rPr>
                <w:rFonts w:ascii="Arial" w:eastAsia="Aptos" w:hAnsi="Arial" w:cs="Arial"/>
                <w:sz w:val="22"/>
                <w:szCs w:val="22"/>
              </w:rPr>
              <w:t>sustainability performance</w:t>
            </w:r>
          </w:p>
        </w:tc>
        <w:tc>
          <w:tcPr>
            <w:tcW w:w="2337" w:type="dxa"/>
          </w:tcPr>
          <w:p w14:paraId="290D5658" w14:textId="3D855B02" w:rsidR="009E1A2F" w:rsidRPr="00D85D9C" w:rsidRDefault="00F12A9D">
            <w:pPr>
              <w:rPr>
                <w:rFonts w:ascii="Arial" w:eastAsia="Aptos" w:hAnsi="Arial" w:cs="Arial"/>
                <w:sz w:val="22"/>
                <w:szCs w:val="22"/>
              </w:rPr>
            </w:pPr>
            <w:r w:rsidRPr="00D85D9C">
              <w:rPr>
                <w:rFonts w:ascii="Arial" w:eastAsia="Aptos" w:hAnsi="Arial" w:cs="Arial"/>
                <w:sz w:val="22"/>
                <w:szCs w:val="22"/>
              </w:rPr>
              <w:t xml:space="preserve">Increase renewable </w:t>
            </w:r>
            <w:r w:rsidR="004A4956" w:rsidRPr="00D85D9C">
              <w:rPr>
                <w:rFonts w:ascii="Arial" w:eastAsia="Aptos" w:hAnsi="Arial" w:cs="Arial"/>
                <w:sz w:val="22"/>
                <w:szCs w:val="22"/>
              </w:rPr>
              <w:t>energy use and improve network energy efficiency</w:t>
            </w:r>
          </w:p>
        </w:tc>
        <w:tc>
          <w:tcPr>
            <w:tcW w:w="2338" w:type="dxa"/>
          </w:tcPr>
          <w:p w14:paraId="7FB63885" w14:textId="0EC5F09E" w:rsidR="009E1A2F" w:rsidRPr="00D85D9C" w:rsidRDefault="00F8662A">
            <w:pPr>
              <w:rPr>
                <w:rFonts w:ascii="Arial" w:eastAsia="Aptos" w:hAnsi="Arial" w:cs="Arial"/>
                <w:sz w:val="22"/>
                <w:szCs w:val="22"/>
              </w:rPr>
            </w:pPr>
            <w:r w:rsidRPr="00D85D9C">
              <w:rPr>
                <w:rFonts w:ascii="Arial" w:eastAsia="Aptos" w:hAnsi="Arial" w:cs="Arial"/>
                <w:sz w:val="22"/>
                <w:szCs w:val="22"/>
              </w:rPr>
              <w:t>Reduction in operational carbon emissions, pro</w:t>
            </w:r>
            <w:r w:rsidR="00D614D5" w:rsidRPr="00D85D9C">
              <w:rPr>
                <w:rFonts w:ascii="Arial" w:eastAsia="Aptos" w:hAnsi="Arial" w:cs="Arial"/>
                <w:sz w:val="22"/>
                <w:szCs w:val="22"/>
              </w:rPr>
              <w:t>gress towards Net Zero targets</w:t>
            </w:r>
          </w:p>
        </w:tc>
        <w:tc>
          <w:tcPr>
            <w:tcW w:w="2338" w:type="dxa"/>
          </w:tcPr>
          <w:p w14:paraId="0CA33C42" w14:textId="7042D440" w:rsidR="009E1A2F" w:rsidRPr="00D85D9C" w:rsidRDefault="00D614D5">
            <w:pPr>
              <w:rPr>
                <w:rFonts w:ascii="Arial" w:eastAsia="Aptos" w:hAnsi="Arial" w:cs="Arial"/>
                <w:sz w:val="22"/>
                <w:szCs w:val="22"/>
              </w:rPr>
            </w:pPr>
            <w:r w:rsidRPr="00D85D9C">
              <w:rPr>
                <w:rFonts w:ascii="Arial" w:eastAsia="Aptos" w:hAnsi="Arial" w:cs="Arial"/>
                <w:sz w:val="22"/>
                <w:szCs w:val="22"/>
              </w:rPr>
              <w:t>Years 1-5</w:t>
            </w:r>
          </w:p>
        </w:tc>
      </w:tr>
      <w:tr w:rsidR="009E1A2F" w:rsidRPr="00D85D9C" w14:paraId="57BAB62E" w14:textId="77777777" w:rsidTr="009E1A2F">
        <w:tc>
          <w:tcPr>
            <w:tcW w:w="2337" w:type="dxa"/>
          </w:tcPr>
          <w:p w14:paraId="7FA93104" w14:textId="04BA02FD" w:rsidR="009E1A2F" w:rsidRPr="00D85D9C" w:rsidRDefault="005E2ABC">
            <w:pPr>
              <w:rPr>
                <w:rFonts w:ascii="Arial" w:eastAsia="Aptos" w:hAnsi="Arial" w:cs="Arial"/>
                <w:sz w:val="22"/>
                <w:szCs w:val="22"/>
              </w:rPr>
            </w:pPr>
            <w:r w:rsidRPr="00D85D9C">
              <w:rPr>
                <w:rFonts w:ascii="Arial" w:eastAsia="Aptos" w:hAnsi="Arial" w:cs="Arial"/>
                <w:sz w:val="22"/>
                <w:szCs w:val="22"/>
              </w:rPr>
              <w:t xml:space="preserve">Enhance </w:t>
            </w:r>
            <w:proofErr w:type="spellStart"/>
            <w:r w:rsidRPr="00D85D9C">
              <w:rPr>
                <w:rFonts w:ascii="Arial" w:eastAsia="Aptos" w:hAnsi="Arial" w:cs="Arial"/>
                <w:sz w:val="22"/>
                <w:szCs w:val="22"/>
              </w:rPr>
              <w:t>organisational</w:t>
            </w:r>
            <w:proofErr w:type="spellEnd"/>
            <w:r w:rsidRPr="00D85D9C">
              <w:rPr>
                <w:rFonts w:ascii="Arial" w:eastAsia="Aptos" w:hAnsi="Arial" w:cs="Arial"/>
                <w:sz w:val="22"/>
                <w:szCs w:val="22"/>
              </w:rPr>
              <w:t xml:space="preserve"> capability</w:t>
            </w:r>
          </w:p>
        </w:tc>
        <w:tc>
          <w:tcPr>
            <w:tcW w:w="2337" w:type="dxa"/>
          </w:tcPr>
          <w:p w14:paraId="18CA6C5A" w14:textId="13C32949" w:rsidR="009E1A2F" w:rsidRPr="00D85D9C" w:rsidRDefault="000F4CC3">
            <w:pPr>
              <w:rPr>
                <w:rFonts w:ascii="Arial" w:eastAsia="Aptos" w:hAnsi="Arial" w:cs="Arial"/>
                <w:sz w:val="22"/>
                <w:szCs w:val="22"/>
              </w:rPr>
            </w:pPr>
            <w:r w:rsidRPr="00D85D9C">
              <w:rPr>
                <w:rFonts w:ascii="Arial" w:eastAsia="Aptos" w:hAnsi="Arial" w:cs="Arial"/>
                <w:sz w:val="22"/>
                <w:szCs w:val="22"/>
              </w:rPr>
              <w:t>Deliver employee training in digital technolog</w:t>
            </w:r>
            <w:r w:rsidR="00EB40EC" w:rsidRPr="00D85D9C">
              <w:rPr>
                <w:rFonts w:ascii="Arial" w:eastAsia="Aptos" w:hAnsi="Arial" w:cs="Arial"/>
                <w:sz w:val="22"/>
                <w:szCs w:val="22"/>
              </w:rPr>
              <w:t>ies and cybersecurity</w:t>
            </w:r>
          </w:p>
        </w:tc>
        <w:tc>
          <w:tcPr>
            <w:tcW w:w="2338" w:type="dxa"/>
          </w:tcPr>
          <w:p w14:paraId="28AB82F3" w14:textId="3AFD11A1" w:rsidR="009E1A2F" w:rsidRPr="00D85D9C" w:rsidRDefault="00EB40EC">
            <w:pPr>
              <w:rPr>
                <w:rFonts w:ascii="Arial" w:eastAsia="Aptos" w:hAnsi="Arial" w:cs="Arial"/>
                <w:sz w:val="22"/>
                <w:szCs w:val="22"/>
              </w:rPr>
            </w:pPr>
            <w:r w:rsidRPr="00D85D9C">
              <w:rPr>
                <w:rFonts w:ascii="Arial" w:eastAsia="Aptos" w:hAnsi="Arial" w:cs="Arial"/>
                <w:sz w:val="22"/>
                <w:szCs w:val="22"/>
              </w:rPr>
              <w:t xml:space="preserve">95% </w:t>
            </w:r>
            <w:proofErr w:type="gramStart"/>
            <w:r w:rsidRPr="00D85D9C">
              <w:rPr>
                <w:rFonts w:ascii="Arial" w:eastAsia="Aptos" w:hAnsi="Arial" w:cs="Arial"/>
                <w:sz w:val="22"/>
                <w:szCs w:val="22"/>
              </w:rPr>
              <w:t>completion</w:t>
            </w:r>
            <w:proofErr w:type="gramEnd"/>
            <w:r w:rsidRPr="00D85D9C">
              <w:rPr>
                <w:rFonts w:ascii="Arial" w:eastAsia="Aptos" w:hAnsi="Arial" w:cs="Arial"/>
                <w:sz w:val="22"/>
                <w:szCs w:val="22"/>
              </w:rPr>
              <w:t xml:space="preserve"> of training </w:t>
            </w:r>
            <w:proofErr w:type="spellStart"/>
            <w:r w:rsidRPr="00D85D9C">
              <w:rPr>
                <w:rFonts w:ascii="Arial" w:eastAsia="Aptos" w:hAnsi="Arial" w:cs="Arial"/>
                <w:sz w:val="22"/>
                <w:szCs w:val="22"/>
              </w:rPr>
              <w:t>programmes</w:t>
            </w:r>
            <w:proofErr w:type="spellEnd"/>
            <w:r w:rsidR="00C748AB" w:rsidRPr="00D85D9C">
              <w:rPr>
                <w:rFonts w:ascii="Arial" w:eastAsia="Aptos" w:hAnsi="Arial" w:cs="Arial"/>
                <w:sz w:val="22"/>
                <w:szCs w:val="22"/>
              </w:rPr>
              <w:t xml:space="preserve"> improved employee engagement</w:t>
            </w:r>
          </w:p>
        </w:tc>
        <w:tc>
          <w:tcPr>
            <w:tcW w:w="2338" w:type="dxa"/>
          </w:tcPr>
          <w:p w14:paraId="56CB7E57" w14:textId="31FA7CE4" w:rsidR="009E1A2F" w:rsidRPr="00D85D9C" w:rsidRDefault="007E6A1F">
            <w:pPr>
              <w:rPr>
                <w:rFonts w:ascii="Arial" w:eastAsia="Aptos" w:hAnsi="Arial" w:cs="Arial"/>
                <w:sz w:val="22"/>
                <w:szCs w:val="22"/>
              </w:rPr>
            </w:pPr>
            <w:r w:rsidRPr="00D85D9C">
              <w:rPr>
                <w:rFonts w:ascii="Arial" w:eastAsia="Aptos" w:hAnsi="Arial" w:cs="Arial"/>
                <w:sz w:val="22"/>
                <w:szCs w:val="22"/>
              </w:rPr>
              <w:t>Year 1</w:t>
            </w:r>
          </w:p>
        </w:tc>
      </w:tr>
    </w:tbl>
    <w:p w14:paraId="18AA2BD7" w14:textId="77777777" w:rsidR="00FF4C17" w:rsidRPr="00D85D9C" w:rsidRDefault="00FF4C17">
      <w:pPr>
        <w:rPr>
          <w:rFonts w:ascii="Arial" w:eastAsia="Aptos" w:hAnsi="Arial" w:cs="Arial"/>
          <w:sz w:val="22"/>
          <w:szCs w:val="22"/>
        </w:rPr>
      </w:pPr>
    </w:p>
    <w:p w14:paraId="3D577DC5" w14:textId="5D337542" w:rsidR="00FF4C17" w:rsidRPr="00D85D9C" w:rsidRDefault="007E6A1F">
      <w:pPr>
        <w:rPr>
          <w:rFonts w:ascii="Arial" w:hAnsi="Arial" w:cs="Arial"/>
          <w:sz w:val="22"/>
          <w:szCs w:val="22"/>
        </w:rPr>
      </w:pPr>
      <w:r w:rsidRPr="00D85D9C">
        <w:rPr>
          <w:rFonts w:ascii="Arial" w:hAnsi="Arial" w:cs="Arial"/>
          <w:sz w:val="22"/>
          <w:szCs w:val="22"/>
        </w:rPr>
        <w:t>Overall, a phased implementation plan supported by measurable KPIs and regular performance reviews will improve execution, reduce strategic risk, and ensure that Vodafone's Market Development strategy delivers sustainable long-term value for customers, shareholders, employees, and wider society.</w:t>
      </w:r>
    </w:p>
    <w:p w14:paraId="6DB6A5B4" w14:textId="63ED588B" w:rsidR="00F60E68" w:rsidRPr="00D85D9C" w:rsidRDefault="00F60E68">
      <w:pPr>
        <w:rPr>
          <w:rFonts w:ascii="Arial" w:hAnsi="Arial" w:cs="Arial"/>
          <w:sz w:val="22"/>
          <w:szCs w:val="22"/>
        </w:rPr>
      </w:pPr>
    </w:p>
    <w:p w14:paraId="1B331FBF" w14:textId="77777777" w:rsidR="00F60E68" w:rsidRPr="00D85D9C" w:rsidRDefault="00F60E68" w:rsidP="00F60E68">
      <w:pPr>
        <w:spacing w:before="100" w:beforeAutospacing="1" w:after="100" w:afterAutospacing="1" w:line="240" w:lineRule="auto"/>
        <w:outlineLvl w:val="1"/>
        <w:rPr>
          <w:rFonts w:ascii="Arial" w:eastAsia="Times New Roman" w:hAnsi="Arial" w:cs="Arial"/>
          <w:b/>
          <w:bCs/>
          <w:sz w:val="22"/>
          <w:szCs w:val="22"/>
          <w:lang w:val="en-GB" w:eastAsia="en-GB"/>
        </w:rPr>
      </w:pPr>
      <w:bookmarkStart w:id="10" w:name="_Toc237338927"/>
      <w:r w:rsidRPr="00D85D9C">
        <w:rPr>
          <w:rFonts w:ascii="Arial" w:eastAsia="Times New Roman" w:hAnsi="Arial" w:cs="Arial"/>
          <w:b/>
          <w:bCs/>
          <w:sz w:val="22"/>
          <w:szCs w:val="22"/>
          <w:lang w:val="en-GB" w:eastAsia="en-GB"/>
        </w:rPr>
        <w:t>8. Conclusion</w:t>
      </w:r>
      <w:bookmarkEnd w:id="10"/>
    </w:p>
    <w:p w14:paraId="159CE92F" w14:textId="77777777" w:rsidR="006111CD" w:rsidRPr="00D85D9C" w:rsidRDefault="006111CD" w:rsidP="006111CD">
      <w:pPr>
        <w:pStyle w:val="isselectedend"/>
        <w:rPr>
          <w:rFonts w:ascii="Arial" w:hAnsi="Arial" w:cs="Arial"/>
          <w:sz w:val="22"/>
          <w:szCs w:val="22"/>
        </w:rPr>
      </w:pPr>
      <w:r w:rsidRPr="00D85D9C">
        <w:rPr>
          <w:rFonts w:ascii="Arial" w:hAnsi="Arial" w:cs="Arial"/>
          <w:sz w:val="22"/>
          <w:szCs w:val="22"/>
        </w:rPr>
        <w:t xml:space="preserve">This report evaluated Vodafone's strategic position by analysing its internal capabilities and the external factors affecting the telecommunications industry. The SWOT, PESTEL, and Porter's Five Forces analyses demonstrated that while Vodafone benefits from a recognised global brand, advanced technological capabilities, and a strong presence across Europe and Africa, it </w:t>
      </w:r>
      <w:r w:rsidRPr="00D85D9C">
        <w:rPr>
          <w:rFonts w:ascii="Arial" w:hAnsi="Arial" w:cs="Arial"/>
          <w:sz w:val="22"/>
          <w:szCs w:val="22"/>
        </w:rPr>
        <w:lastRenderedPageBreak/>
        <w:t>also faces intense competition, rapid technological change, and slower growth in mature markets.</w:t>
      </w:r>
    </w:p>
    <w:p w14:paraId="3FAA5E3B" w14:textId="77777777" w:rsidR="006111CD" w:rsidRPr="00D85D9C" w:rsidRDefault="006111CD" w:rsidP="006111CD">
      <w:pPr>
        <w:pStyle w:val="isselectedend"/>
        <w:rPr>
          <w:rFonts w:ascii="Arial" w:hAnsi="Arial" w:cs="Arial"/>
          <w:sz w:val="22"/>
          <w:szCs w:val="22"/>
        </w:rPr>
      </w:pPr>
      <w:r w:rsidRPr="00D85D9C">
        <w:rPr>
          <w:rFonts w:ascii="Arial" w:hAnsi="Arial" w:cs="Arial"/>
          <w:sz w:val="22"/>
          <w:szCs w:val="22"/>
        </w:rPr>
        <w:t>The evaluation identified Market Development, supported by Porter's Differentiation Strategy, as the most appropriate approach for achieving sustainable growth. Expanding digital services, enterprise solutions, and financial technology into high-growth markets enables Vodafone to leverage its existing strengths while creating new revenue opportunities aligned with its mission and values.</w:t>
      </w:r>
    </w:p>
    <w:p w14:paraId="05EDD315" w14:textId="77777777" w:rsidR="006111CD" w:rsidRPr="00D85D9C" w:rsidRDefault="006111CD" w:rsidP="006111CD">
      <w:pPr>
        <w:pStyle w:val="NormalWeb"/>
        <w:rPr>
          <w:rFonts w:ascii="Arial" w:hAnsi="Arial" w:cs="Arial"/>
          <w:sz w:val="22"/>
          <w:szCs w:val="22"/>
        </w:rPr>
      </w:pPr>
      <w:r w:rsidRPr="00D85D9C">
        <w:rPr>
          <w:rFonts w:ascii="Arial" w:hAnsi="Arial" w:cs="Arial"/>
          <w:sz w:val="22"/>
          <w:szCs w:val="22"/>
        </w:rPr>
        <w:t>The SFA evaluation, stakeholder analysis, and implementation plan confirmed that the proposed strategy is suitable, feasible, and acceptable. Overall, the recommended strategy provides Vodafone with a practical framework for strengthening its competitive advantage and delivering sustainable long-term growth.</w:t>
      </w:r>
    </w:p>
    <w:p w14:paraId="0EF5D526" w14:textId="14FB2FD4" w:rsidR="00D85D9C" w:rsidRPr="00B014CD" w:rsidRDefault="00B014CD" w:rsidP="006405C5">
      <w:pPr>
        <w:pStyle w:val="Heading2"/>
        <w:rPr>
          <w:rStyle w:val="Strong"/>
          <w:color w:val="000000" w:themeColor="text1"/>
        </w:rPr>
      </w:pPr>
      <w:bookmarkStart w:id="11" w:name="_Toc237338928"/>
      <w:r w:rsidRPr="00B014CD">
        <w:rPr>
          <w:rStyle w:val="Strong"/>
          <w:color w:val="000000" w:themeColor="text1"/>
        </w:rPr>
        <w:t>9.</w:t>
      </w:r>
      <w:r>
        <w:rPr>
          <w:rStyle w:val="Strong"/>
          <w:color w:val="000000" w:themeColor="text1"/>
        </w:rPr>
        <w:t xml:space="preserve"> </w:t>
      </w:r>
      <w:r w:rsidR="00D85D9C" w:rsidRPr="00B014CD">
        <w:rPr>
          <w:rStyle w:val="Strong"/>
          <w:color w:val="000000" w:themeColor="text1"/>
        </w:rPr>
        <w:t>References</w:t>
      </w:r>
      <w:bookmarkEnd w:id="11"/>
    </w:p>
    <w:p w14:paraId="662186D6" w14:textId="77777777" w:rsidR="00F330B5" w:rsidRPr="00F330B5" w:rsidRDefault="00F330B5" w:rsidP="00F330B5">
      <w:pPr>
        <w:spacing w:before="100" w:beforeAutospacing="1" w:after="100" w:afterAutospacing="1" w:line="240" w:lineRule="auto"/>
        <w:rPr>
          <w:rFonts w:ascii="Times New Roman" w:eastAsia="Times New Roman" w:hAnsi="Times New Roman" w:cs="Times New Roman"/>
          <w:lang w:val="en-GB" w:eastAsia="en-GB"/>
        </w:rPr>
      </w:pPr>
      <w:r w:rsidRPr="00F330B5">
        <w:rPr>
          <w:rFonts w:ascii="Times New Roman" w:eastAsia="Times New Roman" w:hAnsi="Times New Roman" w:cs="Times New Roman"/>
          <w:lang w:val="en-GB" w:eastAsia="en-GB"/>
        </w:rPr>
        <w:t xml:space="preserve">Ansoff, H.I. (1957) 'Strategies for Diversification', </w:t>
      </w:r>
      <w:r w:rsidRPr="00F330B5">
        <w:rPr>
          <w:rFonts w:ascii="Times New Roman" w:eastAsia="Times New Roman" w:hAnsi="Times New Roman" w:cs="Times New Roman"/>
          <w:i/>
          <w:iCs/>
          <w:lang w:val="en-GB" w:eastAsia="en-GB"/>
        </w:rPr>
        <w:t>Harvard Business Review</w:t>
      </w:r>
      <w:r w:rsidRPr="00F330B5">
        <w:rPr>
          <w:rFonts w:ascii="Times New Roman" w:eastAsia="Times New Roman" w:hAnsi="Times New Roman" w:cs="Times New Roman"/>
          <w:lang w:val="en-GB" w:eastAsia="en-GB"/>
        </w:rPr>
        <w:t>, 35(5), pp. 113–124.</w:t>
      </w:r>
    </w:p>
    <w:p w14:paraId="2F3EAD10" w14:textId="77777777" w:rsidR="00F330B5" w:rsidRPr="00F330B5" w:rsidRDefault="00F330B5" w:rsidP="00F330B5">
      <w:pPr>
        <w:spacing w:before="100" w:beforeAutospacing="1" w:after="100" w:afterAutospacing="1" w:line="240" w:lineRule="auto"/>
        <w:rPr>
          <w:rFonts w:ascii="Times New Roman" w:eastAsia="Times New Roman" w:hAnsi="Times New Roman" w:cs="Times New Roman"/>
          <w:lang w:val="en-GB" w:eastAsia="en-GB"/>
        </w:rPr>
      </w:pPr>
      <w:r w:rsidRPr="00F330B5">
        <w:rPr>
          <w:rFonts w:ascii="Times New Roman" w:eastAsia="Times New Roman" w:hAnsi="Times New Roman" w:cs="Times New Roman"/>
          <w:lang w:val="en-GB" w:eastAsia="en-GB"/>
        </w:rPr>
        <w:t xml:space="preserve">Deloitte (2025) </w:t>
      </w:r>
      <w:r w:rsidRPr="00F330B5">
        <w:rPr>
          <w:rFonts w:ascii="Times New Roman" w:eastAsia="Times New Roman" w:hAnsi="Times New Roman" w:cs="Times New Roman"/>
          <w:i/>
          <w:iCs/>
          <w:lang w:val="en-GB" w:eastAsia="en-GB"/>
        </w:rPr>
        <w:t>2025 Telecommunications Industry Outlook</w:t>
      </w:r>
      <w:r w:rsidRPr="00F330B5">
        <w:rPr>
          <w:rFonts w:ascii="Times New Roman" w:eastAsia="Times New Roman" w:hAnsi="Times New Roman" w:cs="Times New Roman"/>
          <w:lang w:val="en-GB" w:eastAsia="en-GB"/>
        </w:rPr>
        <w:t>. Deloitte Insights.</w:t>
      </w:r>
    </w:p>
    <w:p w14:paraId="1282192E" w14:textId="77777777" w:rsidR="00F330B5" w:rsidRPr="00F330B5" w:rsidRDefault="00F330B5" w:rsidP="00F330B5">
      <w:pPr>
        <w:spacing w:before="100" w:beforeAutospacing="1" w:after="100" w:afterAutospacing="1" w:line="240" w:lineRule="auto"/>
        <w:rPr>
          <w:rFonts w:ascii="Times New Roman" w:eastAsia="Times New Roman" w:hAnsi="Times New Roman" w:cs="Times New Roman"/>
          <w:lang w:val="en-GB" w:eastAsia="en-GB"/>
        </w:rPr>
      </w:pPr>
      <w:r w:rsidRPr="00F330B5">
        <w:rPr>
          <w:rFonts w:ascii="Times New Roman" w:eastAsia="Times New Roman" w:hAnsi="Times New Roman" w:cs="Times New Roman"/>
          <w:lang w:val="en-GB" w:eastAsia="en-GB"/>
        </w:rPr>
        <w:t xml:space="preserve">Freeman, R.E. (1984) </w:t>
      </w:r>
      <w:r w:rsidRPr="00F330B5">
        <w:rPr>
          <w:rFonts w:ascii="Times New Roman" w:eastAsia="Times New Roman" w:hAnsi="Times New Roman" w:cs="Times New Roman"/>
          <w:i/>
          <w:iCs/>
          <w:lang w:val="en-GB" w:eastAsia="en-GB"/>
        </w:rPr>
        <w:t>Strategic Management: A Stakeholder Approach</w:t>
      </w:r>
      <w:r w:rsidRPr="00F330B5">
        <w:rPr>
          <w:rFonts w:ascii="Times New Roman" w:eastAsia="Times New Roman" w:hAnsi="Times New Roman" w:cs="Times New Roman"/>
          <w:lang w:val="en-GB" w:eastAsia="en-GB"/>
        </w:rPr>
        <w:t>. Boston: Pitman.</w:t>
      </w:r>
    </w:p>
    <w:p w14:paraId="240CAF70" w14:textId="77777777" w:rsidR="00F330B5" w:rsidRPr="00F330B5" w:rsidRDefault="00F330B5" w:rsidP="00F330B5">
      <w:pPr>
        <w:spacing w:before="100" w:beforeAutospacing="1" w:after="100" w:afterAutospacing="1" w:line="240" w:lineRule="auto"/>
        <w:rPr>
          <w:rFonts w:ascii="Times New Roman" w:eastAsia="Times New Roman" w:hAnsi="Times New Roman" w:cs="Times New Roman"/>
          <w:lang w:val="en-GB" w:eastAsia="en-GB"/>
        </w:rPr>
      </w:pPr>
      <w:r w:rsidRPr="00F330B5">
        <w:rPr>
          <w:rFonts w:ascii="Times New Roman" w:eastAsia="Times New Roman" w:hAnsi="Times New Roman" w:cs="Times New Roman"/>
          <w:lang w:val="en-GB" w:eastAsia="en-GB"/>
        </w:rPr>
        <w:t xml:space="preserve">GSMA (2025) </w:t>
      </w:r>
      <w:r w:rsidRPr="00F330B5">
        <w:rPr>
          <w:rFonts w:ascii="Times New Roman" w:eastAsia="Times New Roman" w:hAnsi="Times New Roman" w:cs="Times New Roman"/>
          <w:i/>
          <w:iCs/>
          <w:lang w:val="en-GB" w:eastAsia="en-GB"/>
        </w:rPr>
        <w:t>The Mobile Economy Europe 2025</w:t>
      </w:r>
      <w:r w:rsidRPr="00F330B5">
        <w:rPr>
          <w:rFonts w:ascii="Times New Roman" w:eastAsia="Times New Roman" w:hAnsi="Times New Roman" w:cs="Times New Roman"/>
          <w:lang w:val="en-GB" w:eastAsia="en-GB"/>
        </w:rPr>
        <w:t>. London: GSMA.</w:t>
      </w:r>
    </w:p>
    <w:p w14:paraId="15B3183C" w14:textId="77777777" w:rsidR="00F330B5" w:rsidRPr="00F330B5" w:rsidRDefault="00F330B5" w:rsidP="00F330B5">
      <w:pPr>
        <w:spacing w:before="100" w:beforeAutospacing="1" w:after="100" w:afterAutospacing="1" w:line="240" w:lineRule="auto"/>
        <w:rPr>
          <w:rFonts w:ascii="Times New Roman" w:eastAsia="Times New Roman" w:hAnsi="Times New Roman" w:cs="Times New Roman"/>
          <w:lang w:val="en-GB" w:eastAsia="en-GB"/>
        </w:rPr>
      </w:pPr>
      <w:r w:rsidRPr="00F330B5">
        <w:rPr>
          <w:rFonts w:ascii="Times New Roman" w:eastAsia="Times New Roman" w:hAnsi="Times New Roman" w:cs="Times New Roman"/>
          <w:lang w:val="en-GB" w:eastAsia="en-GB"/>
        </w:rPr>
        <w:t xml:space="preserve">GSMA (2025) </w:t>
      </w:r>
      <w:r w:rsidRPr="00F330B5">
        <w:rPr>
          <w:rFonts w:ascii="Times New Roman" w:eastAsia="Times New Roman" w:hAnsi="Times New Roman" w:cs="Times New Roman"/>
          <w:i/>
          <w:iCs/>
          <w:lang w:val="en-GB" w:eastAsia="en-GB"/>
        </w:rPr>
        <w:t>The Mobile Economy Sub-Saharan Africa 2025</w:t>
      </w:r>
      <w:r w:rsidRPr="00F330B5">
        <w:rPr>
          <w:rFonts w:ascii="Times New Roman" w:eastAsia="Times New Roman" w:hAnsi="Times New Roman" w:cs="Times New Roman"/>
          <w:lang w:val="en-GB" w:eastAsia="en-GB"/>
        </w:rPr>
        <w:t>. London: GSMA.</w:t>
      </w:r>
    </w:p>
    <w:p w14:paraId="12B56049" w14:textId="77777777" w:rsidR="00F330B5" w:rsidRPr="00F330B5" w:rsidRDefault="00F330B5" w:rsidP="00F330B5">
      <w:pPr>
        <w:spacing w:before="100" w:beforeAutospacing="1" w:after="100" w:afterAutospacing="1" w:line="240" w:lineRule="auto"/>
        <w:rPr>
          <w:rFonts w:ascii="Times New Roman" w:eastAsia="Times New Roman" w:hAnsi="Times New Roman" w:cs="Times New Roman"/>
          <w:lang w:val="en-GB" w:eastAsia="en-GB"/>
        </w:rPr>
      </w:pPr>
      <w:r w:rsidRPr="00F330B5">
        <w:rPr>
          <w:rFonts w:ascii="Times New Roman" w:eastAsia="Times New Roman" w:hAnsi="Times New Roman" w:cs="Times New Roman"/>
          <w:lang w:val="en-GB" w:eastAsia="en-GB"/>
        </w:rPr>
        <w:t xml:space="preserve">Johnson, G., Scholes, K. and Whittington, R. (2023) </w:t>
      </w:r>
      <w:r w:rsidRPr="00F330B5">
        <w:rPr>
          <w:rFonts w:ascii="Times New Roman" w:eastAsia="Times New Roman" w:hAnsi="Times New Roman" w:cs="Times New Roman"/>
          <w:i/>
          <w:iCs/>
          <w:lang w:val="en-GB" w:eastAsia="en-GB"/>
        </w:rPr>
        <w:t>Exploring Strategy</w:t>
      </w:r>
      <w:r w:rsidRPr="00F330B5">
        <w:rPr>
          <w:rFonts w:ascii="Times New Roman" w:eastAsia="Times New Roman" w:hAnsi="Times New Roman" w:cs="Times New Roman"/>
          <w:lang w:val="en-GB" w:eastAsia="en-GB"/>
        </w:rPr>
        <w:t xml:space="preserve">. 13th </w:t>
      </w:r>
      <w:proofErr w:type="spellStart"/>
      <w:r w:rsidRPr="00F330B5">
        <w:rPr>
          <w:rFonts w:ascii="Times New Roman" w:eastAsia="Times New Roman" w:hAnsi="Times New Roman" w:cs="Times New Roman"/>
          <w:lang w:val="en-GB" w:eastAsia="en-GB"/>
        </w:rPr>
        <w:t>edn</w:t>
      </w:r>
      <w:proofErr w:type="spellEnd"/>
      <w:r w:rsidRPr="00F330B5">
        <w:rPr>
          <w:rFonts w:ascii="Times New Roman" w:eastAsia="Times New Roman" w:hAnsi="Times New Roman" w:cs="Times New Roman"/>
          <w:lang w:val="en-GB" w:eastAsia="en-GB"/>
        </w:rPr>
        <w:t>. Harlow: Pearson.</w:t>
      </w:r>
    </w:p>
    <w:p w14:paraId="2D353FF5" w14:textId="77777777" w:rsidR="00F330B5" w:rsidRPr="00F330B5" w:rsidRDefault="00F330B5" w:rsidP="00F330B5">
      <w:pPr>
        <w:spacing w:before="100" w:beforeAutospacing="1" w:after="100" w:afterAutospacing="1" w:line="240" w:lineRule="auto"/>
        <w:rPr>
          <w:rFonts w:ascii="Times New Roman" w:eastAsia="Times New Roman" w:hAnsi="Times New Roman" w:cs="Times New Roman"/>
          <w:lang w:val="en-GB" w:eastAsia="en-GB"/>
        </w:rPr>
      </w:pPr>
      <w:r w:rsidRPr="00F330B5">
        <w:rPr>
          <w:rFonts w:ascii="Times New Roman" w:eastAsia="Times New Roman" w:hAnsi="Times New Roman" w:cs="Times New Roman"/>
          <w:lang w:val="en-GB" w:eastAsia="en-GB"/>
        </w:rPr>
        <w:t xml:space="preserve">Mendelow, A.L. (1991) 'Stakeholder Mapping', </w:t>
      </w:r>
      <w:r w:rsidRPr="00F330B5">
        <w:rPr>
          <w:rFonts w:ascii="Times New Roman" w:eastAsia="Times New Roman" w:hAnsi="Times New Roman" w:cs="Times New Roman"/>
          <w:i/>
          <w:iCs/>
          <w:lang w:val="en-GB" w:eastAsia="en-GB"/>
        </w:rPr>
        <w:t>Proceedings of the 2nd International Conference on Information Systems</w:t>
      </w:r>
      <w:r w:rsidRPr="00F330B5">
        <w:rPr>
          <w:rFonts w:ascii="Times New Roman" w:eastAsia="Times New Roman" w:hAnsi="Times New Roman" w:cs="Times New Roman"/>
          <w:lang w:val="en-GB" w:eastAsia="en-GB"/>
        </w:rPr>
        <w:t>, Cambridge, MA.</w:t>
      </w:r>
    </w:p>
    <w:p w14:paraId="6EE361A2" w14:textId="77777777" w:rsidR="00F330B5" w:rsidRPr="00F330B5" w:rsidRDefault="00F330B5" w:rsidP="00F330B5">
      <w:pPr>
        <w:spacing w:before="100" w:beforeAutospacing="1" w:after="100" w:afterAutospacing="1" w:line="240" w:lineRule="auto"/>
        <w:rPr>
          <w:rFonts w:ascii="Times New Roman" w:eastAsia="Times New Roman" w:hAnsi="Times New Roman" w:cs="Times New Roman"/>
          <w:lang w:val="en-GB" w:eastAsia="en-GB"/>
        </w:rPr>
      </w:pPr>
      <w:r w:rsidRPr="00F330B5">
        <w:rPr>
          <w:rFonts w:ascii="Times New Roman" w:eastAsia="Times New Roman" w:hAnsi="Times New Roman" w:cs="Times New Roman"/>
          <w:lang w:val="en-GB" w:eastAsia="en-GB"/>
        </w:rPr>
        <w:t xml:space="preserve">Ofcom (2025) </w:t>
      </w:r>
      <w:r w:rsidRPr="00F330B5">
        <w:rPr>
          <w:rFonts w:ascii="Times New Roman" w:eastAsia="Times New Roman" w:hAnsi="Times New Roman" w:cs="Times New Roman"/>
          <w:i/>
          <w:iCs/>
          <w:lang w:val="en-GB" w:eastAsia="en-GB"/>
        </w:rPr>
        <w:t>Connected Nations 2025</w:t>
      </w:r>
      <w:r w:rsidRPr="00F330B5">
        <w:rPr>
          <w:rFonts w:ascii="Times New Roman" w:eastAsia="Times New Roman" w:hAnsi="Times New Roman" w:cs="Times New Roman"/>
          <w:lang w:val="en-GB" w:eastAsia="en-GB"/>
        </w:rPr>
        <w:t>. London: Ofcom.</w:t>
      </w:r>
    </w:p>
    <w:p w14:paraId="24257692" w14:textId="77777777" w:rsidR="00F330B5" w:rsidRPr="00F330B5" w:rsidRDefault="00F330B5" w:rsidP="00F330B5">
      <w:pPr>
        <w:spacing w:before="100" w:beforeAutospacing="1" w:after="100" w:afterAutospacing="1" w:line="240" w:lineRule="auto"/>
        <w:rPr>
          <w:rFonts w:ascii="Times New Roman" w:eastAsia="Times New Roman" w:hAnsi="Times New Roman" w:cs="Times New Roman"/>
          <w:lang w:val="en-GB" w:eastAsia="en-GB"/>
        </w:rPr>
      </w:pPr>
      <w:r w:rsidRPr="00F330B5">
        <w:rPr>
          <w:rFonts w:ascii="Times New Roman" w:eastAsia="Times New Roman" w:hAnsi="Times New Roman" w:cs="Times New Roman"/>
          <w:lang w:val="en-GB" w:eastAsia="en-GB"/>
        </w:rPr>
        <w:t xml:space="preserve">Oughton, E.J., Comini, N., Foster, V. and Hall, J.W. (2021) 'Policy choices can help keep 4G and 5G universal broadband affordable', </w:t>
      </w:r>
      <w:r w:rsidRPr="00F330B5">
        <w:rPr>
          <w:rFonts w:ascii="Times New Roman" w:eastAsia="Times New Roman" w:hAnsi="Times New Roman" w:cs="Times New Roman"/>
          <w:i/>
          <w:iCs/>
          <w:lang w:val="en-GB" w:eastAsia="en-GB"/>
        </w:rPr>
        <w:t>Telecommunications Policy</w:t>
      </w:r>
      <w:r w:rsidRPr="00F330B5">
        <w:rPr>
          <w:rFonts w:ascii="Times New Roman" w:eastAsia="Times New Roman" w:hAnsi="Times New Roman" w:cs="Times New Roman"/>
          <w:lang w:val="en-GB" w:eastAsia="en-GB"/>
        </w:rPr>
        <w:t xml:space="preserve">, 45(6), 102141. </w:t>
      </w:r>
    </w:p>
    <w:p w14:paraId="4C42761C" w14:textId="77777777" w:rsidR="00F330B5" w:rsidRPr="00F330B5" w:rsidRDefault="00F330B5" w:rsidP="00F330B5">
      <w:pPr>
        <w:spacing w:before="100" w:beforeAutospacing="1" w:after="100" w:afterAutospacing="1" w:line="240" w:lineRule="auto"/>
        <w:rPr>
          <w:rFonts w:ascii="Times New Roman" w:eastAsia="Times New Roman" w:hAnsi="Times New Roman" w:cs="Times New Roman"/>
          <w:lang w:val="en-GB" w:eastAsia="en-GB"/>
        </w:rPr>
      </w:pPr>
      <w:r w:rsidRPr="00F330B5">
        <w:rPr>
          <w:rFonts w:ascii="Times New Roman" w:eastAsia="Times New Roman" w:hAnsi="Times New Roman" w:cs="Times New Roman"/>
          <w:lang w:val="en-GB" w:eastAsia="en-GB"/>
        </w:rPr>
        <w:t xml:space="preserve">Patwary, M.N., Nawaz, S.J., Rahman, M.A., Sharma, S.K., Rashid, M.M. and Barnes, S.J. (2019) 'The Potential Short- and Long-Term Disruptions and Transformative Impacts of 5G and Beyond Wireless Networks', </w:t>
      </w:r>
      <w:r w:rsidRPr="00F330B5">
        <w:rPr>
          <w:rFonts w:ascii="Times New Roman" w:eastAsia="Times New Roman" w:hAnsi="Times New Roman" w:cs="Times New Roman"/>
          <w:i/>
          <w:iCs/>
          <w:lang w:val="en-GB" w:eastAsia="en-GB"/>
        </w:rPr>
        <w:t>IEEE Access</w:t>
      </w:r>
      <w:r w:rsidRPr="00F330B5">
        <w:rPr>
          <w:rFonts w:ascii="Times New Roman" w:eastAsia="Times New Roman" w:hAnsi="Times New Roman" w:cs="Times New Roman"/>
          <w:lang w:val="en-GB" w:eastAsia="en-GB"/>
        </w:rPr>
        <w:t xml:space="preserve">. </w:t>
      </w:r>
    </w:p>
    <w:p w14:paraId="2CB9FD6B" w14:textId="77777777" w:rsidR="00F330B5" w:rsidRPr="00F330B5" w:rsidRDefault="00F330B5" w:rsidP="00F330B5">
      <w:pPr>
        <w:spacing w:before="100" w:beforeAutospacing="1" w:after="100" w:afterAutospacing="1" w:line="240" w:lineRule="auto"/>
        <w:rPr>
          <w:rFonts w:ascii="Times New Roman" w:eastAsia="Times New Roman" w:hAnsi="Times New Roman" w:cs="Times New Roman"/>
          <w:lang w:val="en-GB" w:eastAsia="en-GB"/>
        </w:rPr>
      </w:pPr>
      <w:r w:rsidRPr="00F330B5">
        <w:rPr>
          <w:rFonts w:ascii="Times New Roman" w:eastAsia="Times New Roman" w:hAnsi="Times New Roman" w:cs="Times New Roman"/>
          <w:lang w:val="en-GB" w:eastAsia="en-GB"/>
        </w:rPr>
        <w:t xml:space="preserve">Porter, M.E. (1980) </w:t>
      </w:r>
      <w:r w:rsidRPr="00F330B5">
        <w:rPr>
          <w:rFonts w:ascii="Times New Roman" w:eastAsia="Times New Roman" w:hAnsi="Times New Roman" w:cs="Times New Roman"/>
          <w:i/>
          <w:iCs/>
          <w:lang w:val="en-GB" w:eastAsia="en-GB"/>
        </w:rPr>
        <w:t>Competitive Strategy: Techniques for Analysing Industries and Competitors</w:t>
      </w:r>
      <w:r w:rsidRPr="00F330B5">
        <w:rPr>
          <w:rFonts w:ascii="Times New Roman" w:eastAsia="Times New Roman" w:hAnsi="Times New Roman" w:cs="Times New Roman"/>
          <w:lang w:val="en-GB" w:eastAsia="en-GB"/>
        </w:rPr>
        <w:t>. New York: Free Press.</w:t>
      </w:r>
    </w:p>
    <w:p w14:paraId="763BC543" w14:textId="77777777" w:rsidR="00F330B5" w:rsidRPr="00F330B5" w:rsidRDefault="00F330B5" w:rsidP="00F330B5">
      <w:pPr>
        <w:spacing w:before="100" w:beforeAutospacing="1" w:after="100" w:afterAutospacing="1" w:line="240" w:lineRule="auto"/>
        <w:rPr>
          <w:rFonts w:ascii="Times New Roman" w:eastAsia="Times New Roman" w:hAnsi="Times New Roman" w:cs="Times New Roman"/>
          <w:lang w:val="en-GB" w:eastAsia="en-GB"/>
        </w:rPr>
      </w:pPr>
      <w:r w:rsidRPr="00F330B5">
        <w:rPr>
          <w:rFonts w:ascii="Times New Roman" w:eastAsia="Times New Roman" w:hAnsi="Times New Roman" w:cs="Times New Roman"/>
          <w:lang w:val="en-GB" w:eastAsia="en-GB"/>
        </w:rPr>
        <w:t xml:space="preserve">Porter, M.E. (1985) </w:t>
      </w:r>
      <w:r w:rsidRPr="00F330B5">
        <w:rPr>
          <w:rFonts w:ascii="Times New Roman" w:eastAsia="Times New Roman" w:hAnsi="Times New Roman" w:cs="Times New Roman"/>
          <w:i/>
          <w:iCs/>
          <w:lang w:val="en-GB" w:eastAsia="en-GB"/>
        </w:rPr>
        <w:t>Competitive Advantage: Creating and Sustaining Superior Performance</w:t>
      </w:r>
      <w:r w:rsidRPr="00F330B5">
        <w:rPr>
          <w:rFonts w:ascii="Times New Roman" w:eastAsia="Times New Roman" w:hAnsi="Times New Roman" w:cs="Times New Roman"/>
          <w:lang w:val="en-GB" w:eastAsia="en-GB"/>
        </w:rPr>
        <w:t>. New York: Free Press.</w:t>
      </w:r>
    </w:p>
    <w:p w14:paraId="6E0BA1E9" w14:textId="77777777" w:rsidR="00F330B5" w:rsidRPr="00F330B5" w:rsidRDefault="00F330B5" w:rsidP="00F330B5">
      <w:pPr>
        <w:spacing w:before="100" w:beforeAutospacing="1" w:after="100" w:afterAutospacing="1" w:line="240" w:lineRule="auto"/>
        <w:rPr>
          <w:rFonts w:ascii="Times New Roman" w:eastAsia="Times New Roman" w:hAnsi="Times New Roman" w:cs="Times New Roman"/>
          <w:lang w:val="en-GB" w:eastAsia="en-GB"/>
        </w:rPr>
      </w:pPr>
      <w:r w:rsidRPr="00F330B5">
        <w:rPr>
          <w:rFonts w:ascii="Times New Roman" w:eastAsia="Times New Roman" w:hAnsi="Times New Roman" w:cs="Times New Roman"/>
          <w:lang w:val="en-GB" w:eastAsia="en-GB"/>
        </w:rPr>
        <w:lastRenderedPageBreak/>
        <w:t xml:space="preserve">Vodafone Group Plc (2025) </w:t>
      </w:r>
      <w:r w:rsidRPr="00F330B5">
        <w:rPr>
          <w:rFonts w:ascii="Times New Roman" w:eastAsia="Times New Roman" w:hAnsi="Times New Roman" w:cs="Times New Roman"/>
          <w:i/>
          <w:iCs/>
          <w:lang w:val="en-GB" w:eastAsia="en-GB"/>
        </w:rPr>
        <w:t>Annual Report 2025</w:t>
      </w:r>
      <w:r w:rsidRPr="00F330B5">
        <w:rPr>
          <w:rFonts w:ascii="Times New Roman" w:eastAsia="Times New Roman" w:hAnsi="Times New Roman" w:cs="Times New Roman"/>
          <w:lang w:val="en-GB" w:eastAsia="en-GB"/>
        </w:rPr>
        <w:t xml:space="preserve">. Available at: </w:t>
      </w:r>
      <w:hyperlink r:id="rId8" w:tgtFrame="_blank" w:history="1">
        <w:r w:rsidRPr="00F330B5">
          <w:rPr>
            <w:rFonts w:ascii="Times New Roman" w:eastAsia="Times New Roman" w:hAnsi="Times New Roman" w:cs="Times New Roman"/>
            <w:color w:val="0000FF"/>
            <w:u w:val="single"/>
            <w:lang w:val="en-GB" w:eastAsia="en-GB"/>
          </w:rPr>
          <w:t>Vodafone Annual Report 2025</w:t>
        </w:r>
      </w:hyperlink>
    </w:p>
    <w:p w14:paraId="4F4F4A2D" w14:textId="77777777" w:rsidR="00F330B5" w:rsidRPr="00F330B5" w:rsidRDefault="00F330B5" w:rsidP="00F330B5">
      <w:pPr>
        <w:spacing w:before="100" w:beforeAutospacing="1" w:after="100" w:afterAutospacing="1" w:line="240" w:lineRule="auto"/>
        <w:rPr>
          <w:rFonts w:ascii="Times New Roman" w:eastAsia="Times New Roman" w:hAnsi="Times New Roman" w:cs="Times New Roman"/>
          <w:lang w:val="en-GB" w:eastAsia="en-GB"/>
        </w:rPr>
      </w:pPr>
      <w:r w:rsidRPr="00F330B5">
        <w:rPr>
          <w:rFonts w:ascii="Times New Roman" w:eastAsia="Times New Roman" w:hAnsi="Times New Roman" w:cs="Times New Roman"/>
          <w:lang w:val="en-GB" w:eastAsia="en-GB"/>
        </w:rPr>
        <w:t xml:space="preserve">Vodafone Group Plc (2025) </w:t>
      </w:r>
      <w:r w:rsidRPr="00F330B5">
        <w:rPr>
          <w:rFonts w:ascii="Times New Roman" w:eastAsia="Times New Roman" w:hAnsi="Times New Roman" w:cs="Times New Roman"/>
          <w:i/>
          <w:iCs/>
          <w:lang w:val="en-GB" w:eastAsia="en-GB"/>
        </w:rPr>
        <w:t>Sustainability Report 2025</w:t>
      </w:r>
      <w:r w:rsidRPr="00F330B5">
        <w:rPr>
          <w:rFonts w:ascii="Times New Roman" w:eastAsia="Times New Roman" w:hAnsi="Times New Roman" w:cs="Times New Roman"/>
          <w:lang w:val="en-GB" w:eastAsia="en-GB"/>
        </w:rPr>
        <w:t xml:space="preserve">. Available at: </w:t>
      </w:r>
      <w:hyperlink r:id="rId9" w:tgtFrame="_blank" w:history="1">
        <w:r w:rsidRPr="00F330B5">
          <w:rPr>
            <w:rFonts w:ascii="Times New Roman" w:eastAsia="Times New Roman" w:hAnsi="Times New Roman" w:cs="Times New Roman"/>
            <w:color w:val="0000FF"/>
            <w:u w:val="single"/>
            <w:lang w:val="en-GB" w:eastAsia="en-GB"/>
          </w:rPr>
          <w:t>Vodafone Annual Reporting</w:t>
        </w:r>
      </w:hyperlink>
    </w:p>
    <w:p w14:paraId="2FDD74CB" w14:textId="77777777" w:rsidR="00F330B5" w:rsidRPr="00F330B5" w:rsidRDefault="00F330B5" w:rsidP="00F330B5">
      <w:pPr>
        <w:spacing w:before="100" w:beforeAutospacing="1" w:after="100" w:afterAutospacing="1" w:line="240" w:lineRule="auto"/>
        <w:rPr>
          <w:rFonts w:ascii="Times New Roman" w:eastAsia="Times New Roman" w:hAnsi="Times New Roman" w:cs="Times New Roman"/>
          <w:lang w:val="en-GB" w:eastAsia="en-GB"/>
        </w:rPr>
      </w:pPr>
      <w:r w:rsidRPr="00F330B5">
        <w:rPr>
          <w:rFonts w:ascii="Times New Roman" w:eastAsia="Times New Roman" w:hAnsi="Times New Roman" w:cs="Times New Roman"/>
          <w:lang w:val="en-GB" w:eastAsia="en-GB"/>
        </w:rPr>
        <w:t xml:space="preserve">Vodafone Group Plc (2025) </w:t>
      </w:r>
      <w:r w:rsidRPr="00F330B5">
        <w:rPr>
          <w:rFonts w:ascii="Times New Roman" w:eastAsia="Times New Roman" w:hAnsi="Times New Roman" w:cs="Times New Roman"/>
          <w:i/>
          <w:iCs/>
          <w:lang w:val="en-GB" w:eastAsia="en-GB"/>
        </w:rPr>
        <w:t>Investor Relations</w:t>
      </w:r>
      <w:r w:rsidRPr="00F330B5">
        <w:rPr>
          <w:rFonts w:ascii="Times New Roman" w:eastAsia="Times New Roman" w:hAnsi="Times New Roman" w:cs="Times New Roman"/>
          <w:lang w:val="en-GB" w:eastAsia="en-GB"/>
        </w:rPr>
        <w:t xml:space="preserve">. Available at: </w:t>
      </w:r>
      <w:hyperlink r:id="rId10" w:tgtFrame="_blank" w:history="1">
        <w:r w:rsidRPr="00F330B5">
          <w:rPr>
            <w:rFonts w:ascii="Times New Roman" w:eastAsia="Times New Roman" w:hAnsi="Times New Roman" w:cs="Times New Roman"/>
            <w:color w:val="0000FF"/>
            <w:u w:val="single"/>
            <w:lang w:val="en-GB" w:eastAsia="en-GB"/>
          </w:rPr>
          <w:t>Vodafone Investor Relations</w:t>
        </w:r>
      </w:hyperlink>
    </w:p>
    <w:p w14:paraId="4FF18697" w14:textId="77777777" w:rsidR="00F60E68" w:rsidRPr="00D85D9C" w:rsidRDefault="00F60E68">
      <w:pPr>
        <w:rPr>
          <w:rFonts w:ascii="Arial" w:hAnsi="Arial" w:cs="Arial"/>
          <w:sz w:val="22"/>
          <w:szCs w:val="22"/>
        </w:rPr>
      </w:pPr>
    </w:p>
    <w:sectPr w:rsidR="00F60E68" w:rsidRPr="00D85D9C" w:rsidSect="00C76C23">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00FBD" w14:textId="77777777" w:rsidR="00000E1A" w:rsidRDefault="00000E1A" w:rsidP="004F4F13">
      <w:pPr>
        <w:spacing w:after="0" w:line="240" w:lineRule="auto"/>
      </w:pPr>
      <w:r>
        <w:separator/>
      </w:r>
    </w:p>
  </w:endnote>
  <w:endnote w:type="continuationSeparator" w:id="0">
    <w:p w14:paraId="540B5759" w14:textId="77777777" w:rsidR="00000E1A" w:rsidRDefault="00000E1A" w:rsidP="004F4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200811"/>
      <w:docPartObj>
        <w:docPartGallery w:val="Page Numbers (Bottom of Page)"/>
        <w:docPartUnique/>
      </w:docPartObj>
    </w:sdtPr>
    <w:sdtEndPr>
      <w:rPr>
        <w:noProof/>
      </w:rPr>
    </w:sdtEndPr>
    <w:sdtContent>
      <w:p w14:paraId="55396C7E" w14:textId="52E3A09E" w:rsidR="004F4F13" w:rsidRDefault="004F4F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2445A1" w14:textId="77777777" w:rsidR="004F4F13" w:rsidRDefault="004F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0CD04" w14:textId="77777777" w:rsidR="00000E1A" w:rsidRDefault="00000E1A" w:rsidP="004F4F13">
      <w:pPr>
        <w:spacing w:after="0" w:line="240" w:lineRule="auto"/>
      </w:pPr>
      <w:r>
        <w:separator/>
      </w:r>
    </w:p>
  </w:footnote>
  <w:footnote w:type="continuationSeparator" w:id="0">
    <w:p w14:paraId="5F5308FE" w14:textId="77777777" w:rsidR="00000E1A" w:rsidRDefault="00000E1A" w:rsidP="004F4F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A1A6D"/>
    <w:multiLevelType w:val="hybridMultilevel"/>
    <w:tmpl w:val="245C44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5C79AE"/>
    <w:multiLevelType w:val="multilevel"/>
    <w:tmpl w:val="D9785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9232028">
    <w:abstractNumId w:val="1"/>
  </w:num>
  <w:num w:numId="2" w16cid:durableId="471366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96DA9B"/>
    <w:rsid w:val="00000E1A"/>
    <w:rsid w:val="00003213"/>
    <w:rsid w:val="00017115"/>
    <w:rsid w:val="00042D87"/>
    <w:rsid w:val="000656EC"/>
    <w:rsid w:val="000A0247"/>
    <w:rsid w:val="000D3DB0"/>
    <w:rsid w:val="000D5C6F"/>
    <w:rsid w:val="000D7017"/>
    <w:rsid w:val="000E3AA7"/>
    <w:rsid w:val="000F4CC3"/>
    <w:rsid w:val="001118E1"/>
    <w:rsid w:val="00133883"/>
    <w:rsid w:val="00136876"/>
    <w:rsid w:val="0014601B"/>
    <w:rsid w:val="00155693"/>
    <w:rsid w:val="00156024"/>
    <w:rsid w:val="00171C55"/>
    <w:rsid w:val="00172275"/>
    <w:rsid w:val="00186DC0"/>
    <w:rsid w:val="001A1A8C"/>
    <w:rsid w:val="001A2E73"/>
    <w:rsid w:val="001B18A4"/>
    <w:rsid w:val="001D59FB"/>
    <w:rsid w:val="001D6167"/>
    <w:rsid w:val="001F593C"/>
    <w:rsid w:val="001F5D01"/>
    <w:rsid w:val="0020720E"/>
    <w:rsid w:val="0021727A"/>
    <w:rsid w:val="0026274C"/>
    <w:rsid w:val="00266CE4"/>
    <w:rsid w:val="00273126"/>
    <w:rsid w:val="00276EAC"/>
    <w:rsid w:val="00291E05"/>
    <w:rsid w:val="0029507B"/>
    <w:rsid w:val="0029631D"/>
    <w:rsid w:val="002B4EDC"/>
    <w:rsid w:val="002D2BE6"/>
    <w:rsid w:val="002E3465"/>
    <w:rsid w:val="0031624D"/>
    <w:rsid w:val="00327C7C"/>
    <w:rsid w:val="00335112"/>
    <w:rsid w:val="00344EB5"/>
    <w:rsid w:val="00352DBF"/>
    <w:rsid w:val="00375456"/>
    <w:rsid w:val="003B1B17"/>
    <w:rsid w:val="00425230"/>
    <w:rsid w:val="00433B74"/>
    <w:rsid w:val="00453989"/>
    <w:rsid w:val="004568FD"/>
    <w:rsid w:val="0047407C"/>
    <w:rsid w:val="0047781F"/>
    <w:rsid w:val="00481D80"/>
    <w:rsid w:val="004944C7"/>
    <w:rsid w:val="004A4956"/>
    <w:rsid w:val="004B10FE"/>
    <w:rsid w:val="004B2639"/>
    <w:rsid w:val="004D3C72"/>
    <w:rsid w:val="004F37FA"/>
    <w:rsid w:val="004F4F13"/>
    <w:rsid w:val="004F753B"/>
    <w:rsid w:val="00502B63"/>
    <w:rsid w:val="00504197"/>
    <w:rsid w:val="005531A1"/>
    <w:rsid w:val="005615D4"/>
    <w:rsid w:val="00563CEE"/>
    <w:rsid w:val="00564238"/>
    <w:rsid w:val="00566DA0"/>
    <w:rsid w:val="005818A8"/>
    <w:rsid w:val="00586759"/>
    <w:rsid w:val="0059226A"/>
    <w:rsid w:val="005A7809"/>
    <w:rsid w:val="005C22E9"/>
    <w:rsid w:val="005D0497"/>
    <w:rsid w:val="005E2ABC"/>
    <w:rsid w:val="006111CD"/>
    <w:rsid w:val="00613FAD"/>
    <w:rsid w:val="006405C5"/>
    <w:rsid w:val="00653252"/>
    <w:rsid w:val="006558BB"/>
    <w:rsid w:val="006609AF"/>
    <w:rsid w:val="00671DD0"/>
    <w:rsid w:val="00675395"/>
    <w:rsid w:val="00687B08"/>
    <w:rsid w:val="006B4CAF"/>
    <w:rsid w:val="006B7D53"/>
    <w:rsid w:val="006F5E0E"/>
    <w:rsid w:val="007003F5"/>
    <w:rsid w:val="007072DA"/>
    <w:rsid w:val="007307F5"/>
    <w:rsid w:val="00760360"/>
    <w:rsid w:val="00766133"/>
    <w:rsid w:val="00776061"/>
    <w:rsid w:val="00777DA3"/>
    <w:rsid w:val="00780325"/>
    <w:rsid w:val="007D46F9"/>
    <w:rsid w:val="007E6A1F"/>
    <w:rsid w:val="00803B82"/>
    <w:rsid w:val="0081506C"/>
    <w:rsid w:val="008326FE"/>
    <w:rsid w:val="008377DE"/>
    <w:rsid w:val="00843E40"/>
    <w:rsid w:val="008615BA"/>
    <w:rsid w:val="00866552"/>
    <w:rsid w:val="00896470"/>
    <w:rsid w:val="008A4A47"/>
    <w:rsid w:val="008D026F"/>
    <w:rsid w:val="00912747"/>
    <w:rsid w:val="00942DC7"/>
    <w:rsid w:val="00946572"/>
    <w:rsid w:val="0097369C"/>
    <w:rsid w:val="00975420"/>
    <w:rsid w:val="0099756D"/>
    <w:rsid w:val="009A452D"/>
    <w:rsid w:val="009C6FA7"/>
    <w:rsid w:val="009E1A2F"/>
    <w:rsid w:val="00A043B4"/>
    <w:rsid w:val="00A07ABE"/>
    <w:rsid w:val="00A34A86"/>
    <w:rsid w:val="00A35263"/>
    <w:rsid w:val="00A61D33"/>
    <w:rsid w:val="00A7434C"/>
    <w:rsid w:val="00A77916"/>
    <w:rsid w:val="00A80B85"/>
    <w:rsid w:val="00A9530F"/>
    <w:rsid w:val="00A9608B"/>
    <w:rsid w:val="00AA494C"/>
    <w:rsid w:val="00AB54E9"/>
    <w:rsid w:val="00AC46A8"/>
    <w:rsid w:val="00AD70B4"/>
    <w:rsid w:val="00AF040C"/>
    <w:rsid w:val="00B014CD"/>
    <w:rsid w:val="00B443C7"/>
    <w:rsid w:val="00B96950"/>
    <w:rsid w:val="00B9754A"/>
    <w:rsid w:val="00BA0F85"/>
    <w:rsid w:val="00BA4151"/>
    <w:rsid w:val="00BA65C2"/>
    <w:rsid w:val="00BB2682"/>
    <w:rsid w:val="00BC263C"/>
    <w:rsid w:val="00BD06DF"/>
    <w:rsid w:val="00BE1567"/>
    <w:rsid w:val="00BE32AC"/>
    <w:rsid w:val="00BE6A70"/>
    <w:rsid w:val="00BE7E42"/>
    <w:rsid w:val="00C05E27"/>
    <w:rsid w:val="00C3622E"/>
    <w:rsid w:val="00C748AB"/>
    <w:rsid w:val="00C76C23"/>
    <w:rsid w:val="00C81460"/>
    <w:rsid w:val="00C9263A"/>
    <w:rsid w:val="00CC6B14"/>
    <w:rsid w:val="00CD30CA"/>
    <w:rsid w:val="00D0579D"/>
    <w:rsid w:val="00D06374"/>
    <w:rsid w:val="00D2388A"/>
    <w:rsid w:val="00D30FD0"/>
    <w:rsid w:val="00D325CF"/>
    <w:rsid w:val="00D5041A"/>
    <w:rsid w:val="00D614D5"/>
    <w:rsid w:val="00D855EC"/>
    <w:rsid w:val="00D85D9C"/>
    <w:rsid w:val="00DB7128"/>
    <w:rsid w:val="00DD3958"/>
    <w:rsid w:val="00DE64C7"/>
    <w:rsid w:val="00E05951"/>
    <w:rsid w:val="00E248D7"/>
    <w:rsid w:val="00E30060"/>
    <w:rsid w:val="00E35425"/>
    <w:rsid w:val="00E41590"/>
    <w:rsid w:val="00E9284C"/>
    <w:rsid w:val="00E96B5D"/>
    <w:rsid w:val="00EB0776"/>
    <w:rsid w:val="00EB40EC"/>
    <w:rsid w:val="00EB4736"/>
    <w:rsid w:val="00ED2A60"/>
    <w:rsid w:val="00ED5774"/>
    <w:rsid w:val="00EF42D6"/>
    <w:rsid w:val="00F04956"/>
    <w:rsid w:val="00F065CC"/>
    <w:rsid w:val="00F12A9D"/>
    <w:rsid w:val="00F17753"/>
    <w:rsid w:val="00F32BEE"/>
    <w:rsid w:val="00F330B5"/>
    <w:rsid w:val="00F43CE9"/>
    <w:rsid w:val="00F60E68"/>
    <w:rsid w:val="00F7418D"/>
    <w:rsid w:val="00F837FD"/>
    <w:rsid w:val="00F8662A"/>
    <w:rsid w:val="00F926FB"/>
    <w:rsid w:val="00F94CA3"/>
    <w:rsid w:val="00FC3FF9"/>
    <w:rsid w:val="00FE5CD2"/>
    <w:rsid w:val="00FF47D5"/>
    <w:rsid w:val="00FF4C17"/>
    <w:rsid w:val="00FF6218"/>
    <w:rsid w:val="24E7D06C"/>
    <w:rsid w:val="4896F6AF"/>
    <w:rsid w:val="5C96DA9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9D11B"/>
  <w15:chartTrackingRefBased/>
  <w15:docId w15:val="{4DADD588-840B-46D9-B85F-F27EA9D4D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32AC"/>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6405C5"/>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FC3FF9"/>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F4C17"/>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FF4C17"/>
    <w:rPr>
      <w:b/>
      <w:bCs/>
    </w:rPr>
  </w:style>
  <w:style w:type="table" w:styleId="TableGrid">
    <w:name w:val="Table Grid"/>
    <w:basedOn w:val="TableNormal"/>
    <w:uiPriority w:val="39"/>
    <w:rsid w:val="008D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D06374"/>
    <w:pPr>
      <w:spacing w:before="100" w:beforeAutospacing="1" w:after="100" w:afterAutospacing="1" w:line="240" w:lineRule="auto"/>
    </w:pPr>
    <w:rPr>
      <w:rFonts w:ascii="Times New Roman" w:eastAsia="Times New Roman" w:hAnsi="Times New Roman" w:cs="Times New Roman"/>
      <w:lang w:val="en-GB" w:eastAsia="en-GB"/>
    </w:rPr>
  </w:style>
  <w:style w:type="paragraph" w:styleId="Header">
    <w:name w:val="header"/>
    <w:basedOn w:val="Normal"/>
    <w:link w:val="HeaderChar"/>
    <w:uiPriority w:val="99"/>
    <w:unhideWhenUsed/>
    <w:rsid w:val="004F4F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F13"/>
  </w:style>
  <w:style w:type="paragraph" w:styleId="Footer">
    <w:name w:val="footer"/>
    <w:basedOn w:val="Normal"/>
    <w:link w:val="FooterChar"/>
    <w:uiPriority w:val="99"/>
    <w:unhideWhenUsed/>
    <w:rsid w:val="004F4F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F13"/>
  </w:style>
  <w:style w:type="paragraph" w:styleId="NoSpacing">
    <w:name w:val="No Spacing"/>
    <w:link w:val="NoSpacingChar"/>
    <w:uiPriority w:val="1"/>
    <w:qFormat/>
    <w:rsid w:val="00C76C23"/>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C76C23"/>
    <w:rPr>
      <w:sz w:val="22"/>
      <w:szCs w:val="22"/>
      <w:lang w:eastAsia="en-US"/>
    </w:rPr>
  </w:style>
  <w:style w:type="character" w:customStyle="1" w:styleId="Heading1Char">
    <w:name w:val="Heading 1 Char"/>
    <w:basedOn w:val="DefaultParagraphFont"/>
    <w:link w:val="Heading1"/>
    <w:uiPriority w:val="9"/>
    <w:rsid w:val="00BE32AC"/>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BE32AC"/>
    <w:pPr>
      <w:spacing w:line="259" w:lineRule="auto"/>
      <w:outlineLvl w:val="9"/>
    </w:pPr>
    <w:rPr>
      <w:lang w:eastAsia="en-US"/>
    </w:rPr>
  </w:style>
  <w:style w:type="paragraph" w:styleId="TOC1">
    <w:name w:val="toc 1"/>
    <w:basedOn w:val="Normal"/>
    <w:next w:val="Normal"/>
    <w:autoRedefine/>
    <w:uiPriority w:val="39"/>
    <w:unhideWhenUsed/>
    <w:rsid w:val="00BE32AC"/>
    <w:pPr>
      <w:spacing w:after="100"/>
    </w:pPr>
  </w:style>
  <w:style w:type="paragraph" w:styleId="TOC3">
    <w:name w:val="toc 3"/>
    <w:basedOn w:val="Normal"/>
    <w:next w:val="Normal"/>
    <w:autoRedefine/>
    <w:uiPriority w:val="39"/>
    <w:unhideWhenUsed/>
    <w:rsid w:val="00BE32AC"/>
    <w:pPr>
      <w:spacing w:after="100"/>
      <w:ind w:left="480"/>
    </w:pPr>
  </w:style>
  <w:style w:type="paragraph" w:styleId="TOC2">
    <w:name w:val="toc 2"/>
    <w:basedOn w:val="Normal"/>
    <w:next w:val="Normal"/>
    <w:autoRedefine/>
    <w:uiPriority w:val="39"/>
    <w:unhideWhenUsed/>
    <w:rsid w:val="00BE32AC"/>
    <w:pPr>
      <w:spacing w:after="100"/>
      <w:ind w:left="240"/>
    </w:pPr>
  </w:style>
  <w:style w:type="character" w:styleId="Hyperlink">
    <w:name w:val="Hyperlink"/>
    <w:basedOn w:val="DefaultParagraphFont"/>
    <w:uiPriority w:val="99"/>
    <w:unhideWhenUsed/>
    <w:rsid w:val="00BE32AC"/>
    <w:rPr>
      <w:color w:val="467886" w:themeColor="hyperlink"/>
      <w:u w:val="single"/>
    </w:rPr>
  </w:style>
  <w:style w:type="character" w:customStyle="1" w:styleId="Heading2Char">
    <w:name w:val="Heading 2 Char"/>
    <w:basedOn w:val="DefaultParagraphFont"/>
    <w:link w:val="Heading2"/>
    <w:uiPriority w:val="9"/>
    <w:rsid w:val="006405C5"/>
    <w:rPr>
      <w:rFonts w:asciiTheme="majorHAnsi" w:eastAsiaTheme="majorEastAsia" w:hAnsiTheme="majorHAnsi" w:cstheme="majorBidi"/>
      <w:color w:val="0F4761" w:themeColor="accent1" w:themeShade="BF"/>
      <w:sz w:val="26"/>
      <w:szCs w:val="26"/>
    </w:rPr>
  </w:style>
  <w:style w:type="character" w:styleId="Emphasis">
    <w:name w:val="Emphasis"/>
    <w:basedOn w:val="DefaultParagraphFont"/>
    <w:uiPriority w:val="20"/>
    <w:qFormat/>
    <w:rsid w:val="00136876"/>
    <w:rPr>
      <w:i/>
      <w:iCs/>
    </w:rPr>
  </w:style>
  <w:style w:type="paragraph" w:customStyle="1" w:styleId="pdq2pgselectionanchorcontainer">
    <w:name w:val="pdq2pg_selectionanchorcontainer"/>
    <w:basedOn w:val="Normal"/>
    <w:rsid w:val="00E30060"/>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3Char">
    <w:name w:val="Heading 3 Char"/>
    <w:basedOn w:val="DefaultParagraphFont"/>
    <w:link w:val="Heading3"/>
    <w:uiPriority w:val="9"/>
    <w:semiHidden/>
    <w:rsid w:val="00FC3FF9"/>
    <w:rPr>
      <w:rFonts w:asciiTheme="majorHAnsi" w:eastAsiaTheme="majorEastAsia" w:hAnsiTheme="majorHAnsi" w:cstheme="majorBidi"/>
      <w:color w:val="0A2F40" w:themeColor="accent1" w:themeShade="7F"/>
    </w:rPr>
  </w:style>
  <w:style w:type="paragraph" w:styleId="ListParagraph">
    <w:name w:val="List Paragraph"/>
    <w:basedOn w:val="Normal"/>
    <w:uiPriority w:val="34"/>
    <w:qFormat/>
    <w:rsid w:val="001722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rts.investors.vodafone.com/view/897876789/toc/?utm_source=chatgpt.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vodafone.com/investors/performance-and-reports/annual-reporting?utm_source=chatgpt.com" TargetMode="External"/><Relationship Id="rId4" Type="http://schemas.openxmlformats.org/officeDocument/2006/relationships/settings" Target="settings.xml"/><Relationship Id="rId9" Type="http://schemas.openxmlformats.org/officeDocument/2006/relationships/hyperlink" Target="https://www.vodafone.com/investors/performance-and-reports/annual-reporting?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EB483-859B-4932-8247-EB442D4FA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35289</TotalTime>
  <Pages>13</Pages>
  <Words>4347</Words>
  <Characters>24782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LCLM6001 Strategic Management for Business</dc:title>
  <dc:subject>Strategic Growth Report for Vodafone Group Plc</dc:subject>
  <dc:creator>John Shanks Paton (2336252)</dc:creator>
  <cp:keywords/>
  <dc:description/>
  <cp:lastModifiedBy>John Shanks Paton (2336252)</cp:lastModifiedBy>
  <cp:revision>183</cp:revision>
  <dcterms:created xsi:type="dcterms:W3CDTF">2026-06-11T18:10:00Z</dcterms:created>
  <dcterms:modified xsi:type="dcterms:W3CDTF">2026-08-18T13:32:00Z</dcterms:modified>
</cp:coreProperties>
</file>