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B20F5A" wp14:paraId="3CB4EC38" wp14:textId="63AAD7F2">
      <w:pPr>
        <w:pStyle w:val="Normal"/>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r w:rsidR="4693882A">
        <w:rPr/>
        <w:t xml:space="preserve">                                  </w:t>
      </w:r>
      <w:r w:rsidR="4DDC1EA9">
        <w:drawing>
          <wp:inline xmlns:wp14="http://schemas.microsoft.com/office/word/2010/wordprocessingDrawing" wp14:editId="4429D2FC" wp14:anchorId="19FB8DFC">
            <wp:extent cx="2958800" cy="1179360"/>
            <wp:effectExtent l="0" t="0" r="0" b="0"/>
            <wp:docPr id="4632975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3297562" name="Picture 463297562"/>
                    <pic:cNvPicPr/>
                  </pic:nvPicPr>
                  <pic:blipFill>
                    <a:blip xmlns:r="http://schemas.openxmlformats.org/officeDocument/2006/relationships" r:embed="rId160343408">
                      <a:extLst>
                        <a:ext uri="{28A0092B-C50C-407E-A947-70E740481C1C}">
                          <a14:useLocalDpi xmlns:a14="http://schemas.microsoft.com/office/drawing/2010/main"/>
                        </a:ext>
                      </a:extLst>
                    </a:blip>
                    <a:stretch>
                      <a:fillRect/>
                    </a:stretch>
                  </pic:blipFill>
                  <pic:spPr>
                    <a:xfrm rot="0">
                      <a:off x="0" y="0"/>
                      <a:ext cx="2958800" cy="1179360"/>
                    </a:xfrm>
                    <a:prstGeom prst="rect">
                      <a:avLst/>
                    </a:prstGeom>
                  </pic:spPr>
                </pic:pic>
              </a:graphicData>
            </a:graphic>
          </wp:inline>
        </w:drawing>
      </w:r>
      <w:r w:rsidRPr="26B20F5A" w:rsidR="3533B818">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r w:rsidRPr="26B20F5A" w:rsidR="4EA69488">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p>
    <w:p xmlns:wp14="http://schemas.microsoft.com/office/word/2010/wordml" w:rsidP="26B20F5A" wp14:paraId="78C4179D" wp14:textId="6559CDE1">
      <w:pPr>
        <w:pStyle w:val="Normal"/>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26B20F5A" wp14:paraId="11D72D0A" wp14:textId="63247FB0">
      <w:pPr>
        <w:pStyle w:val="Normal"/>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26B20F5A" wp14:paraId="13511CBF" wp14:textId="500C6366">
      <w:pPr>
        <w:pStyle w:val="Normal"/>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r w:rsidRPr="26B20F5A" w:rsidR="3533B818">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Module </w:t>
      </w:r>
      <w:r w:rsidRPr="26B20F5A" w:rsidR="57292BDC">
        <w:rPr>
          <w:rFonts w:ascii="Aptos" w:hAnsi="Aptos" w:eastAsia="Aptos" w:cs="Aptos"/>
          <w:b w:val="0"/>
          <w:bCs w:val="0"/>
          <w:i w:val="0"/>
          <w:iCs w:val="0"/>
          <w:strike w:val="0"/>
          <w:dstrike w:val="0"/>
          <w:noProof w:val="0"/>
          <w:color w:val="000000" w:themeColor="text1" w:themeTint="FF" w:themeShade="FF"/>
          <w:sz w:val="36"/>
          <w:szCs w:val="36"/>
          <w:u w:val="none"/>
          <w:lang w:val="en-US"/>
        </w:rPr>
        <w:t>:</w:t>
      </w:r>
      <w:r w:rsidRPr="26B20F5A" w:rsidR="3533B818">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w:t>
      </w:r>
      <w:r w:rsidRPr="26B20F5A" w:rsidR="6E602BA9">
        <w:rPr>
          <w:rFonts w:ascii="Aptos" w:hAnsi="Aptos" w:eastAsia="Aptos" w:cs="Aptos"/>
          <w:b w:val="0"/>
          <w:bCs w:val="0"/>
          <w:i w:val="0"/>
          <w:iCs w:val="0"/>
          <w:strike w:val="0"/>
          <w:dstrike w:val="0"/>
          <w:noProof w:val="0"/>
          <w:color w:val="000000" w:themeColor="text1" w:themeTint="FF" w:themeShade="FF"/>
          <w:sz w:val="36"/>
          <w:szCs w:val="36"/>
          <w:u w:val="none"/>
          <w:lang w:val="en-US"/>
        </w:rPr>
        <w:t>Problem Solving and Innovation</w:t>
      </w:r>
      <w:r w:rsidRPr="26B20F5A" w:rsidR="325A6E33">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(BMSW4014)</w:t>
      </w:r>
    </w:p>
    <w:p w:rsidR="26B20F5A" w:rsidP="26B20F5A" w:rsidRDefault="26B20F5A" w14:paraId="45CC41B1" w14:textId="2F7DC6E8">
      <w:pPr>
        <w:pStyle w:val="Normal"/>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26B20F5A" wp14:paraId="035B55EC" wp14:textId="3328019C">
      <w:pPr>
        <w:pStyle w:val="Normal"/>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r w:rsidRPr="26B20F5A" w:rsidR="63C13FD7">
        <w:rPr>
          <w:rFonts w:ascii="Aptos" w:hAnsi="Aptos" w:eastAsia="Aptos" w:cs="Aptos"/>
          <w:b w:val="0"/>
          <w:bCs w:val="0"/>
          <w:i w:val="0"/>
          <w:iCs w:val="0"/>
          <w:strike w:val="0"/>
          <w:dstrike w:val="0"/>
          <w:noProof w:val="0"/>
          <w:color w:val="000000" w:themeColor="text1" w:themeTint="FF" w:themeShade="FF"/>
          <w:sz w:val="36"/>
          <w:szCs w:val="36"/>
          <w:u w:val="none"/>
          <w:lang w:val="en-US"/>
        </w:rPr>
        <w:t>Title :</w:t>
      </w:r>
      <w:r w:rsidRPr="26B20F5A" w:rsidR="63C13FD7">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 Greenwashing in the Automobile Industr</w:t>
      </w:r>
      <w:r w:rsidRPr="26B20F5A" w:rsidR="267125F5">
        <w:rPr>
          <w:rFonts w:ascii="Aptos" w:hAnsi="Aptos" w:eastAsia="Aptos" w:cs="Aptos"/>
          <w:b w:val="0"/>
          <w:bCs w:val="0"/>
          <w:i w:val="0"/>
          <w:iCs w:val="0"/>
          <w:strike w:val="0"/>
          <w:dstrike w:val="0"/>
          <w:noProof w:val="0"/>
          <w:color w:val="000000" w:themeColor="text1" w:themeTint="FF" w:themeShade="FF"/>
          <w:sz w:val="36"/>
          <w:szCs w:val="36"/>
          <w:u w:val="none"/>
          <w:lang w:val="en-US"/>
        </w:rPr>
        <w:t xml:space="preserve">y – A Root Cause Analysis </w:t>
      </w:r>
      <w:r w:rsidRPr="26B20F5A" w:rsidR="5B345269">
        <w:rPr>
          <w:rFonts w:ascii="Aptos" w:hAnsi="Aptos" w:eastAsia="Aptos" w:cs="Aptos"/>
          <w:b w:val="0"/>
          <w:bCs w:val="0"/>
          <w:i w:val="0"/>
          <w:iCs w:val="0"/>
          <w:strike w:val="0"/>
          <w:dstrike w:val="0"/>
          <w:noProof w:val="0"/>
          <w:color w:val="000000" w:themeColor="text1" w:themeTint="FF" w:themeShade="FF"/>
          <w:sz w:val="36"/>
          <w:szCs w:val="36"/>
          <w:u w:val="none"/>
          <w:lang w:val="en-US"/>
        </w:rPr>
        <w:t>(RCA)</w:t>
      </w:r>
    </w:p>
    <w:p w:rsidR="26B20F5A" w:rsidP="26B20F5A" w:rsidRDefault="26B20F5A" w14:paraId="2A992FA1" w14:textId="726FC61E">
      <w:pPr>
        <w:pStyle w:val="ListParagraph"/>
        <w:spacing w:before="0" w:beforeAutospacing="off" w:after="160" w:afterAutospacing="off"/>
        <w:ind w:left="1080"/>
        <w:rPr>
          <w:rFonts w:ascii="Aptos" w:hAnsi="Aptos" w:eastAsia="Aptos" w:cs="Aptos"/>
          <w:b w:val="0"/>
          <w:bCs w:val="0"/>
          <w:i w:val="0"/>
          <w:iCs w:val="0"/>
          <w:strike w:val="0"/>
          <w:dstrike w:val="0"/>
          <w:noProof w:val="0"/>
          <w:color w:val="000000" w:themeColor="text1" w:themeTint="FF" w:themeShade="FF"/>
          <w:sz w:val="36"/>
          <w:szCs w:val="36"/>
          <w:u w:val="none"/>
          <w:lang w:val="en-US"/>
        </w:rPr>
      </w:pPr>
    </w:p>
    <w:p w:rsidR="26B20F5A" w:rsidP="26B20F5A" w:rsidRDefault="26B20F5A" w14:paraId="277C8B57" w14:textId="0392240D">
      <w:pPr>
        <w:pStyle w:val="ListParagraph"/>
        <w:spacing w:before="0" w:beforeAutospacing="off" w:after="160" w:afterAutospacing="off"/>
        <w:ind w:left="1080"/>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2B8AF4BB" wp14:paraId="4263844D" wp14:textId="391B670C">
      <w:pPr>
        <w:pStyle w:val="ListParagraph"/>
        <w:spacing w:before="0" w:beforeAutospacing="off" w:after="160" w:afterAutospacing="off"/>
        <w:ind w:left="720"/>
        <w:rPr>
          <w:rFonts w:ascii="Aptos" w:hAnsi="Aptos" w:eastAsia="Aptos" w:cs="Aptos"/>
          <w:b w:val="0"/>
          <w:bCs w:val="0"/>
          <w:i w:val="0"/>
          <w:iCs w:val="0"/>
          <w:strike w:val="0"/>
          <w:dstrike w:val="0"/>
          <w:noProof w:val="0"/>
          <w:color w:val="000000" w:themeColor="text1" w:themeTint="FF" w:themeShade="FF"/>
          <w:sz w:val="36"/>
          <w:szCs w:val="36"/>
          <w:u w:val="none"/>
          <w:lang w:val="en-US"/>
        </w:rPr>
      </w:pPr>
    </w:p>
    <w:p xmlns:wp14="http://schemas.microsoft.com/office/word/2010/wordml" w:rsidP="2B8AF4BB" wp14:paraId="6FD10E9E" wp14:textId="3AFF5E70">
      <w:pPr>
        <w:rPr>
          <w:sz w:val="28"/>
          <w:szCs w:val="28"/>
        </w:rPr>
      </w:pPr>
      <w:r w:rsidRPr="2B8AF4BB" w:rsidR="7D1CD4FA">
        <w:rPr>
          <w:sz w:val="28"/>
          <w:szCs w:val="28"/>
        </w:rPr>
        <w:t xml:space="preserve">Student </w:t>
      </w:r>
      <w:r w:rsidRPr="2B8AF4BB" w:rsidR="7D1CD4FA">
        <w:rPr>
          <w:sz w:val="28"/>
          <w:szCs w:val="28"/>
        </w:rPr>
        <w:t>Name :</w:t>
      </w:r>
      <w:r w:rsidRPr="2B8AF4BB" w:rsidR="7D1CD4FA">
        <w:rPr>
          <w:sz w:val="28"/>
          <w:szCs w:val="28"/>
        </w:rPr>
        <w:t xml:space="preserve"> Alexandra Cirjoi </w:t>
      </w:r>
    </w:p>
    <w:p xmlns:wp14="http://schemas.microsoft.com/office/word/2010/wordml" w:rsidP="2B8AF4BB" wp14:paraId="617D66A3" wp14:textId="64B991C0">
      <w:pPr>
        <w:rPr>
          <w:sz w:val="28"/>
          <w:szCs w:val="28"/>
        </w:rPr>
      </w:pPr>
      <w:r w:rsidRPr="2B8AF4BB" w:rsidR="7D1CD4FA">
        <w:rPr>
          <w:sz w:val="28"/>
          <w:szCs w:val="28"/>
        </w:rPr>
        <w:t xml:space="preserve">Student </w:t>
      </w:r>
      <w:r w:rsidRPr="2B8AF4BB" w:rsidR="7D1CD4FA">
        <w:rPr>
          <w:sz w:val="28"/>
          <w:szCs w:val="28"/>
        </w:rPr>
        <w:t>Number :</w:t>
      </w:r>
      <w:r w:rsidRPr="2B8AF4BB" w:rsidR="7D1CD4FA">
        <w:rPr>
          <w:sz w:val="28"/>
          <w:szCs w:val="28"/>
        </w:rPr>
        <w:t xml:space="preserve"> 1919382</w:t>
      </w:r>
    </w:p>
    <w:p xmlns:wp14="http://schemas.microsoft.com/office/word/2010/wordml" w:rsidP="2B8AF4BB" wp14:paraId="18CD9353" wp14:textId="53CAF82E">
      <w:pPr>
        <w:rPr>
          <w:sz w:val="28"/>
          <w:szCs w:val="28"/>
        </w:rPr>
      </w:pPr>
      <w:r w:rsidRPr="2B8AF4BB" w:rsidR="6A9087B9">
        <w:rPr>
          <w:sz w:val="28"/>
          <w:szCs w:val="28"/>
        </w:rPr>
        <w:t>Lecturer :</w:t>
      </w:r>
      <w:r w:rsidRPr="2B8AF4BB" w:rsidR="6E1F0F12">
        <w:rPr>
          <w:sz w:val="28"/>
          <w:szCs w:val="28"/>
        </w:rPr>
        <w:t xml:space="preserve"> </w:t>
      </w:r>
      <w:r w:rsidRPr="2B8AF4BB" w:rsidR="6E1F0F12">
        <w:rPr>
          <w:sz w:val="28"/>
          <w:szCs w:val="28"/>
        </w:rPr>
        <w:t>Arpu</w:t>
      </w:r>
      <w:r w:rsidRPr="2B8AF4BB" w:rsidR="6E1F0F12">
        <w:rPr>
          <w:sz w:val="28"/>
          <w:szCs w:val="28"/>
        </w:rPr>
        <w:t xml:space="preserve"> Kumar</w:t>
      </w:r>
    </w:p>
    <w:p xmlns:wp14="http://schemas.microsoft.com/office/word/2010/wordml" w:rsidP="2B8AF4BB" wp14:paraId="4078056D" wp14:textId="7FAA1554">
      <w:pPr>
        <w:rPr>
          <w:sz w:val="28"/>
          <w:szCs w:val="28"/>
        </w:rPr>
      </w:pPr>
      <w:r w:rsidRPr="26B20F5A" w:rsidR="45F4FA52">
        <w:rPr>
          <w:sz w:val="28"/>
          <w:szCs w:val="28"/>
        </w:rPr>
        <w:t xml:space="preserve">Date of </w:t>
      </w:r>
      <w:r w:rsidRPr="26B20F5A" w:rsidR="45F4FA52">
        <w:rPr>
          <w:sz w:val="28"/>
          <w:szCs w:val="28"/>
        </w:rPr>
        <w:t>Submission :</w:t>
      </w:r>
      <w:r w:rsidRPr="26B20F5A" w:rsidR="45F4FA52">
        <w:rPr>
          <w:sz w:val="28"/>
          <w:szCs w:val="28"/>
        </w:rPr>
        <w:t xml:space="preserve"> 14 November 2025</w:t>
      </w:r>
    </w:p>
    <w:p w:rsidR="26B20F5A" w:rsidP="26B20F5A" w:rsidRDefault="26B20F5A" w14:paraId="0665D6E4" w14:textId="6B05A237">
      <w:pPr>
        <w:rPr>
          <w:sz w:val="28"/>
          <w:szCs w:val="28"/>
        </w:rPr>
      </w:pPr>
    </w:p>
    <w:p w:rsidR="26B20F5A" w:rsidP="26B20F5A" w:rsidRDefault="26B20F5A" w14:paraId="0F31B7C0" w14:textId="306DEB06">
      <w:pPr>
        <w:rPr>
          <w:sz w:val="28"/>
          <w:szCs w:val="28"/>
        </w:rPr>
      </w:pPr>
    </w:p>
    <w:p w:rsidR="26B20F5A" w:rsidP="26B20F5A" w:rsidRDefault="26B20F5A" w14:paraId="2FB0C2E8" w14:textId="1BB685C2">
      <w:pPr>
        <w:rPr>
          <w:sz w:val="28"/>
          <w:szCs w:val="28"/>
        </w:rPr>
      </w:pPr>
    </w:p>
    <w:p w:rsidR="26B20F5A" w:rsidP="26B20F5A" w:rsidRDefault="26B20F5A" w14:paraId="361F03D4" w14:textId="036B244A">
      <w:pPr>
        <w:rPr>
          <w:sz w:val="28"/>
          <w:szCs w:val="28"/>
        </w:rPr>
      </w:pPr>
    </w:p>
    <w:p w:rsidR="26B20F5A" w:rsidP="26B20F5A" w:rsidRDefault="26B20F5A" w14:paraId="2905287A" w14:textId="6D7B8988">
      <w:pPr>
        <w:rPr>
          <w:sz w:val="28"/>
          <w:szCs w:val="28"/>
        </w:rPr>
      </w:pPr>
    </w:p>
    <w:p w:rsidR="26B20F5A" w:rsidP="26B20F5A" w:rsidRDefault="26B20F5A" w14:paraId="14A16B56" w14:textId="3AA625E9">
      <w:pPr>
        <w:rPr>
          <w:sz w:val="28"/>
          <w:szCs w:val="28"/>
        </w:rPr>
      </w:pPr>
    </w:p>
    <w:p w:rsidR="26B20F5A" w:rsidP="26B20F5A" w:rsidRDefault="26B20F5A" w14:paraId="1D9D113A" w14:textId="6ADEB05B">
      <w:pPr>
        <w:rPr>
          <w:sz w:val="28"/>
          <w:szCs w:val="28"/>
        </w:rPr>
      </w:pPr>
    </w:p>
    <w:p xmlns:wp14="http://schemas.microsoft.com/office/word/2010/wordml" w:rsidP="2B8AF4BB" wp14:paraId="737E1F2B" wp14:textId="6EE5FFD5">
      <w:pPr>
        <w:rPr>
          <w:sz w:val="28"/>
          <w:szCs w:val="28"/>
        </w:rPr>
      </w:pPr>
    </w:p>
    <w:p xmlns:wp14="http://schemas.microsoft.com/office/word/2010/wordml" w:rsidP="2B8AF4BB" wp14:paraId="446B648D" wp14:textId="41C89A1D">
      <w:pPr>
        <w:rPr>
          <w:sz w:val="28"/>
          <w:szCs w:val="28"/>
        </w:rPr>
      </w:pPr>
    </w:p>
    <w:p xmlns:wp14="http://schemas.microsoft.com/office/word/2010/wordml" w:rsidP="2B8AF4BB" wp14:paraId="4F87155C" wp14:textId="72822781">
      <w:pPr>
        <w:spacing w:before="0" w:beforeAutospacing="off" w:after="160" w:afterAutospacing="off"/>
      </w:pPr>
      <w:r w:rsidRPr="2B8AF4BB" w:rsidR="5584687D">
        <w:rPr>
          <w:rFonts w:ascii="Aptos" w:hAnsi="Aptos" w:eastAsia="Aptos" w:cs="Aptos"/>
          <w:b w:val="1"/>
          <w:bCs w:val="1"/>
          <w:i w:val="0"/>
          <w:iCs w:val="0"/>
          <w:strike w:val="0"/>
          <w:dstrike w:val="0"/>
          <w:noProof w:val="0"/>
          <w:color w:val="000000" w:themeColor="text1" w:themeTint="FF" w:themeShade="FF"/>
          <w:sz w:val="28"/>
          <w:szCs w:val="28"/>
          <w:u w:val="none"/>
          <w:lang w:val="en-US"/>
        </w:rPr>
        <w:t>Introduction</w:t>
      </w:r>
    </w:p>
    <w:p xmlns:wp14="http://schemas.microsoft.com/office/word/2010/wordml" w:rsidP="2B8AF4BB" wp14:paraId="0175FFBB" wp14:textId="1715100F">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Greenwashing = misleading environmental claims (Koch and Denner, 2025).</w:t>
      </w:r>
    </w:p>
    <w:p xmlns:wp14="http://schemas.microsoft.com/office/word/2010/wordml" w:rsidP="2B8AF4BB" wp14:paraId="3856FC83" wp14:textId="29C76B53">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Common in sustainability marketing.</w:t>
      </w:r>
    </w:p>
    <w:p xmlns:wp14="http://schemas.microsoft.com/office/word/2010/wordml" w:rsidP="2B8AF4BB" wp14:paraId="4BD4F8F6" wp14:textId="129490F9">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The automobile sector as a high-impact example.</w:t>
      </w:r>
    </w:p>
    <w:p xmlns:wp14="http://schemas.microsoft.com/office/word/2010/wordml" w:rsidP="2B8AF4BB" wp14:paraId="3771B9A8" wp14:textId="34F699C6">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Case focus: Volkswagen’s Dieselgate scandal.</w:t>
      </w:r>
    </w:p>
    <w:p xmlns:wp14="http://schemas.microsoft.com/office/word/2010/wordml" w:rsidP="2B8AF4BB" wp14:paraId="79BF6280" wp14:textId="08452BA8">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Analytical framework: Root Cause Analysis (RCA).</w:t>
      </w:r>
    </w:p>
    <w:p xmlns:wp14="http://schemas.microsoft.com/office/word/2010/wordml" wp14:paraId="36998288" wp14:textId="5EBF29C1"/>
    <w:p xmlns:wp14="http://schemas.microsoft.com/office/word/2010/wordml" w:rsidP="2B8AF4BB" wp14:paraId="3F12F2C7" wp14:textId="5BF9C0A0">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Greenwashing is when a product or policies appear to be environmental-considerate, yet the reality is a far-off thing (Koch and Denner, 2025). Its sustainability claims in the car sector tend to hide the continued use of fossil fuels. Mass manipulation of emissions was noted in the case of Volkswagen Dieselgate and this is symptomatic of gross ethic and governance failures. In this presentation, the root cause analysis is adopted to investigate how the organisational culture, rivalry and lax regulation encourage false environmental practice, and how honest innovation and transparency can replace false practices of green marketing.</w:t>
      </w:r>
    </w:p>
    <w:p xmlns:wp14="http://schemas.microsoft.com/office/word/2010/wordml" wp14:paraId="552B68C2" wp14:textId="044DB916"/>
    <w:p xmlns:wp14="http://schemas.microsoft.com/office/word/2010/wordml" w:rsidP="2B8AF4BB" wp14:paraId="3D16C1C1" wp14:textId="66F10D37">
      <w:pPr>
        <w:spacing w:before="0" w:beforeAutospacing="off" w:after="160" w:afterAutospacing="off"/>
      </w:pPr>
      <w:r w:rsidRPr="2B8AF4BB" w:rsidR="5584687D">
        <w:rPr>
          <w:rFonts w:ascii="Aptos" w:hAnsi="Aptos" w:eastAsia="Aptos" w:cs="Aptos"/>
          <w:b w:val="1"/>
          <w:bCs w:val="1"/>
          <w:i w:val="0"/>
          <w:iCs w:val="0"/>
          <w:strike w:val="0"/>
          <w:dstrike w:val="0"/>
          <w:noProof w:val="0"/>
          <w:color w:val="000000" w:themeColor="text1" w:themeTint="FF" w:themeShade="FF"/>
          <w:sz w:val="32"/>
          <w:szCs w:val="32"/>
          <w:u w:val="none"/>
          <w:lang w:val="en-US"/>
        </w:rPr>
        <w:t>Summary of the Current Situation and Impact</w:t>
      </w:r>
    </w:p>
    <w:p xmlns:wp14="http://schemas.microsoft.com/office/word/2010/wordml" w:rsidP="2B8AF4BB" wp14:paraId="3565FC9F" wp14:textId="47D5FC9E">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Volkswagen’s emission manipulation (“Dieselgate”) (Boiral, Brotherton and Heras‐Saizarbitoria, 2022).</w:t>
      </w:r>
    </w:p>
    <w:p xmlns:wp14="http://schemas.microsoft.com/office/word/2010/wordml" w:rsidP="2B8AF4BB" wp14:paraId="0CC83D53" wp14:textId="0183DA40">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Huge financial penalties and global legal actions.</w:t>
      </w:r>
    </w:p>
    <w:p xmlns:wp14="http://schemas.microsoft.com/office/word/2010/wordml" w:rsidP="2B8AF4BB" wp14:paraId="09E50387" wp14:textId="55B04291">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Loss of consumer trust and corporate credibility.</w:t>
      </w:r>
    </w:p>
    <w:p xmlns:wp14="http://schemas.microsoft.com/office/word/2010/wordml" w:rsidP="2B8AF4BB" wp14:paraId="36348ECB" wp14:textId="4FD05294">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Wider impact across the automobile sector.</w:t>
      </w:r>
    </w:p>
    <w:p xmlns:wp14="http://schemas.microsoft.com/office/word/2010/wordml" w:rsidP="2B8AF4BB" wp14:paraId="6053EA19" wp14:textId="14712FDA">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When Volkswagen decided to cheat in the emission tests, the world was amazed and the perception of the automotive sustainability changed (Boiral, Brotherton and Heras‐Saizarbitoria, 2022). The company paid billions of fines, criminal charges and reputation that would not be restored. Consumers who once trusted the so called clean diesel technology were no longer convinced by these words of corporations as far as environmental protection was concerned. Soon other producers were to be scrutinised and that exposed the level of misleading advertising. The incident was not only a blow to the trust in individual brands, but it was also a blow to the confidence in the entire shift to low-emissions cars, halting progress made to actual innovation and regulatory change across the entire global industry.</w:t>
      </w:r>
    </w:p>
    <w:p xmlns:wp14="http://schemas.microsoft.com/office/word/2010/wordml" wp14:paraId="038D963F" wp14:textId="6085ABEF"/>
    <w:p xmlns:wp14="http://schemas.microsoft.com/office/word/2010/wordml" w:rsidP="2B8AF4BB" wp14:paraId="50B28CF1" wp14:textId="10F7851B">
      <w:pPr>
        <w:spacing w:before="0" w:beforeAutospacing="off" w:after="160" w:afterAutospacing="off"/>
      </w:pPr>
      <w:r w:rsidRPr="2B8AF4BB" w:rsidR="5584687D">
        <w:rPr>
          <w:rFonts w:ascii="Aptos" w:hAnsi="Aptos" w:eastAsia="Aptos" w:cs="Aptos"/>
          <w:b w:val="1"/>
          <w:bCs w:val="1"/>
          <w:i w:val="0"/>
          <w:iCs w:val="0"/>
          <w:strike w:val="0"/>
          <w:dstrike w:val="0"/>
          <w:noProof w:val="0"/>
          <w:color w:val="000000" w:themeColor="text1" w:themeTint="FF" w:themeShade="FF"/>
          <w:sz w:val="32"/>
          <w:szCs w:val="32"/>
          <w:u w:val="none"/>
          <w:lang w:val="en-US"/>
        </w:rPr>
        <w:t>Root Cause Analysis (RCA)</w:t>
      </w:r>
    </w:p>
    <w:p xmlns:wp14="http://schemas.microsoft.com/office/word/2010/wordml" w:rsidP="2B8AF4BB" wp14:paraId="0EC26FD2" wp14:textId="65E9AFA1">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Corporate Culture: Performance and profit prioritised over ethics.</w:t>
      </w:r>
    </w:p>
    <w:p xmlns:wp14="http://schemas.microsoft.com/office/word/2010/wordml" w:rsidP="2B8AF4BB" wp14:paraId="354D10BB" wp14:textId="665B2C68">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Market Pressure: Competition for green reputation (Kell, 2022).</w:t>
      </w:r>
    </w:p>
    <w:p xmlns:wp14="http://schemas.microsoft.com/office/word/2010/wordml" w:rsidP="2B8AF4BB" wp14:paraId="55730C46" wp14:textId="142AC975">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Regulatory Weakness: Loopholes in emission testing (Syal, 2025).</w:t>
      </w:r>
    </w:p>
    <w:p xmlns:wp14="http://schemas.microsoft.com/office/word/2010/wordml" w:rsidP="2B8AF4BB" wp14:paraId="4A2F7C1B" wp14:textId="5A1C46C8">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Communication Failure: Overpromising sustainability goals.</w:t>
      </w:r>
    </w:p>
    <w:p xmlns:wp14="http://schemas.microsoft.com/office/word/2010/wordml" wp14:paraId="4DD20F97" wp14:textId="35C3D844"/>
    <w:p xmlns:wp14="http://schemas.microsoft.com/office/word/2010/wordml" wp14:paraId="52AD3521" wp14:textId="711AFFA8"/>
    <w:p xmlns:wp14="http://schemas.microsoft.com/office/word/2010/wordml" w:rsidP="2B8AF4BB" wp14:paraId="39607DB8" wp14:textId="574AA50F">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The genesis at times may be found to be organisational, economic and systemic by the Greenwashing.</w:t>
      </w:r>
    </w:p>
    <w:p xmlns:wp14="http://schemas.microsoft.com/office/word/2010/wordml" w:rsidP="2B8AF4BB" wp14:paraId="0CA6204A" wp14:textId="4793030D">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Corporate Culture: Market share and performance objectives are held in higher esteem than being ethical. The top management demands compliance with short term profitability as an option.</w:t>
      </w:r>
    </w:p>
    <w:p xmlns:wp14="http://schemas.microsoft.com/office/word/2010/wordml" w:rsidP="2B8AF4BB" wp14:paraId="4186D46C" wp14:textId="7D909A53">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Market Pressure: This is because the global competition is great and firms are forced to show a sustainable image in a short time. Cleaner technologies are expensive to invest and therefore companies can juice the minimal gains to pacify the eco-friendly customers (Kell, 2022).</w:t>
      </w:r>
    </w:p>
    <w:p xmlns:wp14="http://schemas.microsoft.com/office/word/2010/wordml" w:rsidP="2B8AF4BB" wp14:paraId="15FC060F" wp14:textId="4165F5D4">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Regulatory Weakness: There is a variation in regulatory requirements of emissions in countries and the manufacturers can exploit the loopholes and evade the responsibility. The absence of control gives a chance to abuse statistics and marketing discourse (Syal, 2025).</w:t>
      </w:r>
    </w:p>
    <w:p xmlns:wp14="http://schemas.microsoft.com/office/word/2010/wordml" w:rsidP="2B8AF4BB" wp14:paraId="0733CD2F" wp14:textId="1F9623BB">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Lack of communication: Sustainability becomes a game of branding as opposed to becoming a working concept. The PR units create positive messages which are not associated with reality of production.</w:t>
      </w:r>
    </w:p>
    <w:p xmlns:wp14="http://schemas.microsoft.com/office/word/2010/wordml" w:rsidP="2B8AF4BB" wp14:paraId="37F156BA" wp14:textId="24384214">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All this background proves that greenwashing is not a coincidence and not a spontaneous event but a systematic issue as the leadership unit, lenient governance and poor ethical structure support greenwashing.</w:t>
      </w:r>
    </w:p>
    <w:p xmlns:wp14="http://schemas.microsoft.com/office/word/2010/wordml" w:rsidP="2B8AF4BB" wp14:paraId="6F1B5194" wp14:textId="068DCEB2">
      <w:pPr>
        <w:spacing w:before="0" w:beforeAutospacing="off" w:after="160" w:afterAutospacing="off"/>
      </w:pPr>
      <w:r w:rsidRPr="2B8AF4BB" w:rsidR="5584687D">
        <w:rPr>
          <w:rFonts w:ascii="Aptos" w:hAnsi="Aptos" w:eastAsia="Aptos" w:cs="Aptos"/>
          <w:b w:val="1"/>
          <w:bCs w:val="1"/>
          <w:i w:val="0"/>
          <w:iCs w:val="0"/>
          <w:strike w:val="0"/>
          <w:dstrike w:val="0"/>
          <w:noProof w:val="0"/>
          <w:color w:val="000000" w:themeColor="text1" w:themeTint="FF" w:themeShade="FF"/>
          <w:sz w:val="32"/>
          <w:szCs w:val="32"/>
          <w:u w:val="none"/>
          <w:lang w:val="en-US"/>
        </w:rPr>
        <w:t>Conclusion</w:t>
      </w:r>
    </w:p>
    <w:p xmlns:wp14="http://schemas.microsoft.com/office/word/2010/wordml" w:rsidP="2B8AF4BB" wp14:paraId="159B74A2" wp14:textId="4535060E">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Greenwashing in the auto sector is not a one-time failure of the ethics and rules. Prerequisites to real results include a business culture of improved corporate governance, uniformity on international standards and reporting on the environment to the outside world. Lying in marketing must be replaced by real innovation that is founded on honesty and responsibility. Only then the industry could be able to win the confidence of the people and experience a realistic low-carbon future as it establishes its profit motives with a real sense of sustainability</w:t>
      </w:r>
    </w:p>
    <w:p xmlns:wp14="http://schemas.microsoft.com/office/word/2010/wordml" w:rsidP="2B8AF4BB" wp14:paraId="3020AC02" wp14:textId="0FDCA60B">
      <w:pPr>
        <w:spacing w:before="0" w:beforeAutospacing="off" w:after="160" w:afterAutospacing="off"/>
      </w:pPr>
      <w:r w:rsidRPr="2B8AF4BB" w:rsidR="5584687D">
        <w:rPr>
          <w:rFonts w:ascii="Aptos" w:hAnsi="Aptos" w:eastAsia="Aptos" w:cs="Aptos"/>
          <w:b w:val="1"/>
          <w:bCs w:val="1"/>
          <w:i w:val="0"/>
          <w:iCs w:val="0"/>
          <w:strike w:val="0"/>
          <w:dstrike w:val="0"/>
          <w:noProof w:val="0"/>
          <w:color w:val="000000" w:themeColor="text1" w:themeTint="FF" w:themeShade="FF"/>
          <w:sz w:val="24"/>
          <w:szCs w:val="24"/>
          <w:u w:val="none"/>
          <w:lang w:val="en-US"/>
        </w:rPr>
        <w:t>References</w:t>
      </w:r>
    </w:p>
    <w:p xmlns:wp14="http://schemas.microsoft.com/office/word/2010/wordml" w:rsidP="2B8AF4BB" wp14:paraId="15BE8F95" wp14:textId="6B3F5CD1">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Boiral, O., Brotherton, M.C. and Heras‐Saizarbitoria, I. (2022) Through the Smokescreen of the Dieselgate Disclosure: Neutralizing the Impacts of a Major Sustainability Scandal. Journal of Business Ethics, 179(3), pp. 745–762.</w:t>
      </w:r>
    </w:p>
    <w:p xmlns:wp14="http://schemas.microsoft.com/office/word/2010/wordml" w:rsidP="2B8AF4BB" wp14:paraId="7E84C056" wp14:textId="74B43FB6">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Kell, G. (2022) Volkswagen’s “Dieselgate” Scandal Continues to Shape Debates on Greenwashing in the Auto Sector. Forbes.</w:t>
      </w:r>
    </w:p>
    <w:p xmlns:wp14="http://schemas.microsoft.com/office/word/2010/wordml" w:rsidP="2B8AF4BB" wp14:paraId="3D07D8E3" wp14:textId="52AEB48C">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Koch, T. and Denner, M. (2025) Different Shades of Green Deception: Greenwashing’s Adverse Effects on Corporate Image and Credibility. Business &amp; Society Review, 130(1), pp. 44–60.</w:t>
      </w:r>
    </w:p>
    <w:p xmlns:wp14="http://schemas.microsoft.com/office/word/2010/wordml" w:rsidP="2B8AF4BB" wp14:paraId="26726C49" wp14:textId="166DE8B3">
      <w:pPr>
        <w:spacing w:before="0" w:beforeAutospacing="off" w:after="160" w:afterAutospacing="off"/>
      </w:pPr>
      <w:r w:rsidRPr="2B8AF4BB" w:rsidR="5584687D">
        <w:rPr>
          <w:rFonts w:ascii="Aptos" w:hAnsi="Aptos" w:eastAsia="Aptos" w:cs="Aptos"/>
          <w:b w:val="0"/>
          <w:bCs w:val="0"/>
          <w:i w:val="0"/>
          <w:iCs w:val="0"/>
          <w:strike w:val="0"/>
          <w:dstrike w:val="0"/>
          <w:noProof w:val="0"/>
          <w:color w:val="000000" w:themeColor="text1" w:themeTint="FF" w:themeShade="FF"/>
          <w:sz w:val="24"/>
          <w:szCs w:val="24"/>
          <w:u w:val="none"/>
          <w:lang w:val="en-US"/>
        </w:rPr>
        <w:t>Syal, R. (2025) Green Claims Under Scrutiny: How Carmakers Mislead Consumers on Emissions and Sustainability. The Guardian.</w:t>
      </w:r>
    </w:p>
    <w:p xmlns:wp14="http://schemas.microsoft.com/office/word/2010/wordml" wp14:paraId="4899BA26" wp14:textId="52EF9A18"/>
    <w:p xmlns:wp14="http://schemas.microsoft.com/office/word/2010/wordml" wp14:paraId="2C078E63" wp14:textId="1F2AA60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4039eca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21c18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E1D06"/>
    <w:rsid w:val="09556F0F"/>
    <w:rsid w:val="0EE92DA5"/>
    <w:rsid w:val="109A8091"/>
    <w:rsid w:val="1DD7B2D1"/>
    <w:rsid w:val="1FEACC42"/>
    <w:rsid w:val="21C6BB48"/>
    <w:rsid w:val="267125F5"/>
    <w:rsid w:val="26B20F5A"/>
    <w:rsid w:val="2841BD08"/>
    <w:rsid w:val="2B8AF4BB"/>
    <w:rsid w:val="325A6E33"/>
    <w:rsid w:val="3533B818"/>
    <w:rsid w:val="3693DE85"/>
    <w:rsid w:val="369DBF42"/>
    <w:rsid w:val="3B258F7E"/>
    <w:rsid w:val="3CFB8B8E"/>
    <w:rsid w:val="3DDD30B8"/>
    <w:rsid w:val="45F4FA52"/>
    <w:rsid w:val="467E240D"/>
    <w:rsid w:val="4693882A"/>
    <w:rsid w:val="4DDC1EA9"/>
    <w:rsid w:val="4EA69488"/>
    <w:rsid w:val="5584687D"/>
    <w:rsid w:val="55908C3E"/>
    <w:rsid w:val="57292BDC"/>
    <w:rsid w:val="5B345269"/>
    <w:rsid w:val="5FFA3ACE"/>
    <w:rsid w:val="6069D826"/>
    <w:rsid w:val="60B349DD"/>
    <w:rsid w:val="63C13FD7"/>
    <w:rsid w:val="6842AB94"/>
    <w:rsid w:val="69E72B56"/>
    <w:rsid w:val="6A593B0E"/>
    <w:rsid w:val="6A9087B9"/>
    <w:rsid w:val="6E1F0F12"/>
    <w:rsid w:val="6E602BA9"/>
    <w:rsid w:val="6FCE1D06"/>
    <w:rsid w:val="70532E62"/>
    <w:rsid w:val="752AD172"/>
    <w:rsid w:val="78EED8EE"/>
    <w:rsid w:val="7A0BC1E1"/>
    <w:rsid w:val="7B6E2D29"/>
    <w:rsid w:val="7D1CD4FA"/>
    <w:rsid w:val="7D6677C3"/>
    <w:rsid w:val="7F7DCB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E1D06"/>
  <w15:chartTrackingRefBased/>
  <w15:docId w15:val="{A5FC0AEF-320A-472C-A105-072748A86B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B8AF4B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f48a532c4d24f13" /><Relationship Type="http://schemas.openxmlformats.org/officeDocument/2006/relationships/image" Target="/media/image.png" Id="rId1603434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2025-11-14T15:22:36.7298047Z</dcterms:created>
  <dcterms:modified xsi:type="dcterms:W3CDTF">2025-11-14T16:10:44.1078717Z</dcterms:modified>
  <dc:creator>Alexandra Nicoleta Cirjoi (1919382)</dc:creator>
  <lastModifiedBy>Alexandra Nicoleta Cirjoi (1919382)</lastModifiedBy>
</coreProperties>
</file>