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6A0" w:firstRow="1" w:lastRow="0" w:firstColumn="1" w:lastColumn="0" w:noHBand="1" w:noVBand="1"/>
      </w:tblPr>
      <w:tblGrid>
        <w:gridCol w:w="3450"/>
        <w:gridCol w:w="2760"/>
        <w:gridCol w:w="2790"/>
      </w:tblGrid>
      <w:tr w:rsidR="431DF142" w:rsidTr="2B41E1D0" w14:paraId="2A898010" w14:textId="77777777">
        <w:trPr>
          <w:trHeight w:val="300"/>
        </w:trPr>
        <w:tc>
          <w:tcPr>
            <w:tcW w:w="3450" w:type="dxa"/>
            <w:tcMar>
              <w:left w:w="105" w:type="dxa"/>
              <w:right w:w="105" w:type="dxa"/>
            </w:tcMar>
          </w:tcPr>
          <w:p w:rsidR="431DF142" w:rsidP="431DF142" w:rsidRDefault="431DF142" w14:paraId="5FA072DC" w14:textId="17F149F1">
            <w:pPr>
              <w:spacing w:line="259" w:lineRule="auto"/>
              <w:rPr>
                <w:rFonts w:ascii="Calibri" w:hAnsi="Calibri" w:eastAsia="Calibri" w:cs="Calibri"/>
                <w:color w:val="000000" w:themeColor="text1"/>
              </w:rPr>
            </w:pPr>
            <w:r w:rsidRPr="431DF142">
              <w:rPr>
                <w:rFonts w:ascii="Calibri" w:hAnsi="Calibri" w:eastAsia="Calibri" w:cs="Calibri"/>
                <w:b/>
                <w:bCs/>
                <w:color w:val="000000" w:themeColor="text1"/>
              </w:rPr>
              <w:t>Targets</w:t>
            </w:r>
          </w:p>
        </w:tc>
        <w:tc>
          <w:tcPr>
            <w:tcW w:w="2760" w:type="dxa"/>
            <w:tcMar>
              <w:left w:w="105" w:type="dxa"/>
              <w:right w:w="105" w:type="dxa"/>
            </w:tcMar>
          </w:tcPr>
          <w:p w:rsidR="431DF142" w:rsidP="431DF142" w:rsidRDefault="431DF142" w14:paraId="77EFBDED" w14:textId="0A07FC1F">
            <w:pPr>
              <w:spacing w:line="259" w:lineRule="auto"/>
              <w:rPr>
                <w:rFonts w:ascii="Calibri" w:hAnsi="Calibri" w:eastAsia="Calibri" w:cs="Calibri"/>
                <w:color w:val="000000" w:themeColor="text1"/>
              </w:rPr>
            </w:pPr>
            <w:r w:rsidRPr="431DF142">
              <w:rPr>
                <w:rFonts w:ascii="Calibri" w:hAnsi="Calibri" w:eastAsia="Calibri" w:cs="Calibri"/>
                <w:b/>
                <w:bCs/>
                <w:color w:val="000000" w:themeColor="text1"/>
              </w:rPr>
              <w:t>How have you worked on this</w:t>
            </w:r>
          </w:p>
        </w:tc>
        <w:tc>
          <w:tcPr>
            <w:tcW w:w="2790" w:type="dxa"/>
            <w:tcMar>
              <w:left w:w="105" w:type="dxa"/>
              <w:right w:w="105" w:type="dxa"/>
            </w:tcMar>
          </w:tcPr>
          <w:p w:rsidR="431DF142" w:rsidP="431DF142" w:rsidRDefault="431DF142" w14:paraId="5C7014D0" w14:textId="72607507">
            <w:pPr>
              <w:spacing w:line="259" w:lineRule="auto"/>
              <w:rPr>
                <w:rFonts w:ascii="Calibri" w:hAnsi="Calibri" w:eastAsia="Calibri" w:cs="Calibri"/>
                <w:color w:val="000000" w:themeColor="text1"/>
              </w:rPr>
            </w:pPr>
            <w:r w:rsidRPr="431DF142">
              <w:rPr>
                <w:rFonts w:ascii="Calibri" w:hAnsi="Calibri" w:eastAsia="Calibri" w:cs="Calibri"/>
                <w:b/>
                <w:bCs/>
                <w:color w:val="000000" w:themeColor="text1"/>
              </w:rPr>
              <w:t>An example can be found on</w:t>
            </w:r>
          </w:p>
        </w:tc>
      </w:tr>
      <w:tr w:rsidR="431DF142" w:rsidTr="2B41E1D0" w14:paraId="0203A700" w14:textId="77777777">
        <w:trPr>
          <w:trHeight w:val="300"/>
        </w:trPr>
        <w:tc>
          <w:tcPr>
            <w:tcW w:w="3450" w:type="dxa"/>
            <w:tcMar>
              <w:left w:w="105" w:type="dxa"/>
              <w:right w:w="105" w:type="dxa"/>
            </w:tcMar>
          </w:tcPr>
          <w:p w:rsidR="431DF142" w:rsidP="431DF142" w:rsidRDefault="431DF142" w14:paraId="54AC5DEE" w14:textId="32DF795B">
            <w:pPr>
              <w:spacing w:line="259" w:lineRule="auto"/>
              <w:rPr>
                <w:rFonts w:eastAsiaTheme="minorEastAsia"/>
                <w:color w:val="000000" w:themeColor="text1"/>
              </w:rPr>
            </w:pPr>
            <w:r w:rsidRPr="431DF142">
              <w:rPr>
                <w:rFonts w:eastAsiaTheme="minorEastAsia"/>
                <w:b/>
                <w:bCs/>
                <w:color w:val="000000" w:themeColor="text1"/>
              </w:rPr>
              <w:t>Target 1</w:t>
            </w:r>
          </w:p>
          <w:p w:rsidR="7054AE0D" w:rsidP="431DF142" w:rsidRDefault="7054AE0D" w14:paraId="25BF39A0" w14:textId="77A9D66A">
            <w:pPr>
              <w:rPr>
                <w:rFonts w:eastAsiaTheme="minorEastAsia"/>
                <w:color w:val="000000" w:themeColor="text1"/>
              </w:rPr>
            </w:pPr>
            <w:r w:rsidRPr="431DF142">
              <w:rPr>
                <w:rFonts w:eastAsiaTheme="minorEastAsia"/>
                <w:color w:val="000000" w:themeColor="text1"/>
              </w:rPr>
              <w:t>Ensure the continuity of relevance by explaining fully, how your conclusions directly connect to the academic discussion.</w:t>
            </w:r>
          </w:p>
          <w:p w:rsidR="431DF142" w:rsidP="431DF142" w:rsidRDefault="431DF142" w14:paraId="03455B98" w14:textId="2B87FED3">
            <w:pPr>
              <w:spacing w:line="259" w:lineRule="auto"/>
              <w:rPr>
                <w:rFonts w:eastAsiaTheme="minorEastAsia"/>
                <w:color w:val="000000" w:themeColor="text1"/>
              </w:rPr>
            </w:pPr>
          </w:p>
        </w:tc>
        <w:tc>
          <w:tcPr>
            <w:tcW w:w="2760" w:type="dxa"/>
            <w:tcMar>
              <w:left w:w="105" w:type="dxa"/>
              <w:right w:w="105" w:type="dxa"/>
            </w:tcMar>
          </w:tcPr>
          <w:p w:rsidR="431DF142" w:rsidP="431DF142" w:rsidRDefault="431DF142" w14:paraId="73B14C5A" w14:textId="14BA45BE">
            <w:pPr>
              <w:spacing w:line="259" w:lineRule="auto"/>
              <w:rPr>
                <w:rFonts w:ascii="Calibri" w:hAnsi="Calibri" w:eastAsia="Calibri" w:cs="Calibri"/>
                <w:color w:val="000000" w:themeColor="text1"/>
              </w:rPr>
            </w:pPr>
            <w:r w:rsidRPr="2B41E1D0" w:rsidR="14EEF9BA">
              <w:rPr>
                <w:rFonts w:ascii="Calibri" w:hAnsi="Calibri" w:eastAsia="Calibri" w:cs="Calibri"/>
                <w:color w:val="000000" w:themeColor="text1" w:themeTint="FF" w:themeShade="FF"/>
              </w:rPr>
              <w:t xml:space="preserve">I ensured that what was in the conclusion linked to </w:t>
            </w:r>
            <w:r w:rsidRPr="2B41E1D0" w:rsidR="14EEF9BA">
              <w:rPr>
                <w:rFonts w:ascii="Calibri" w:hAnsi="Calibri" w:eastAsia="Calibri" w:cs="Calibri"/>
                <w:color w:val="000000" w:themeColor="text1" w:themeTint="FF" w:themeShade="FF"/>
              </w:rPr>
              <w:t>previous</w:t>
            </w:r>
            <w:r w:rsidRPr="2B41E1D0" w:rsidR="14EEF9BA">
              <w:rPr>
                <w:rFonts w:ascii="Calibri" w:hAnsi="Calibri" w:eastAsia="Calibri" w:cs="Calibri"/>
                <w:color w:val="000000" w:themeColor="text1" w:themeTint="FF" w:themeShade="FF"/>
              </w:rPr>
              <w:t xml:space="preserve"> literature. </w:t>
            </w:r>
          </w:p>
        </w:tc>
        <w:tc>
          <w:tcPr>
            <w:tcW w:w="2790" w:type="dxa"/>
            <w:tcMar>
              <w:left w:w="105" w:type="dxa"/>
              <w:right w:w="105" w:type="dxa"/>
            </w:tcMar>
          </w:tcPr>
          <w:p w:rsidR="431DF142" w:rsidP="431DF142" w:rsidRDefault="431DF142" w14:paraId="0E3D5735" w14:textId="6DFD120B">
            <w:pPr>
              <w:spacing w:line="259" w:lineRule="auto"/>
              <w:rPr>
                <w:rFonts w:ascii="Calibri" w:hAnsi="Calibri" w:eastAsia="Calibri" w:cs="Calibri"/>
                <w:color w:val="000000" w:themeColor="text1"/>
              </w:rPr>
            </w:pPr>
            <w:r w:rsidRPr="2B41E1D0" w:rsidR="670576E0">
              <w:rPr>
                <w:rFonts w:ascii="Calibri" w:hAnsi="Calibri" w:eastAsia="Calibri" w:cs="Calibri"/>
                <w:color w:val="000000" w:themeColor="text1" w:themeTint="FF" w:themeShade="FF"/>
              </w:rPr>
              <w:t>Conclusion</w:t>
            </w:r>
          </w:p>
        </w:tc>
      </w:tr>
      <w:tr w:rsidR="431DF142" w:rsidTr="2B41E1D0" w14:paraId="6DD5B38A" w14:textId="77777777">
        <w:trPr>
          <w:trHeight w:val="300"/>
        </w:trPr>
        <w:tc>
          <w:tcPr>
            <w:tcW w:w="3450" w:type="dxa"/>
            <w:tcMar>
              <w:left w:w="105" w:type="dxa"/>
              <w:right w:w="105" w:type="dxa"/>
            </w:tcMar>
          </w:tcPr>
          <w:p w:rsidR="431DF142" w:rsidP="431DF142" w:rsidRDefault="431DF142" w14:paraId="5B41AF13" w14:textId="058822CE">
            <w:pPr>
              <w:spacing w:line="259" w:lineRule="auto"/>
              <w:rPr>
                <w:rFonts w:eastAsiaTheme="minorEastAsia"/>
                <w:color w:val="000000" w:themeColor="text1"/>
              </w:rPr>
            </w:pPr>
            <w:r w:rsidRPr="431DF142">
              <w:rPr>
                <w:rFonts w:eastAsiaTheme="minorEastAsia"/>
                <w:b/>
                <w:bCs/>
                <w:color w:val="000000" w:themeColor="text1"/>
              </w:rPr>
              <w:t>Target 2</w:t>
            </w:r>
          </w:p>
          <w:p w:rsidR="2A834A70" w:rsidP="431DF142" w:rsidRDefault="2A834A70" w14:paraId="3F2CE491" w14:textId="0900D2BD">
            <w:pPr>
              <w:spacing w:line="259" w:lineRule="auto"/>
              <w:rPr>
                <w:rFonts w:eastAsiaTheme="minorEastAsia"/>
                <w:color w:val="000000" w:themeColor="text1"/>
              </w:rPr>
            </w:pPr>
            <w:r w:rsidRPr="431DF142">
              <w:rPr>
                <w:rFonts w:eastAsiaTheme="minorEastAsia"/>
                <w:color w:val="000000" w:themeColor="text1"/>
              </w:rPr>
              <w:t>Consider the consistency of your paragraph structure and the point you are trying to make.</w:t>
            </w:r>
          </w:p>
          <w:p w:rsidR="2A834A70" w:rsidP="431DF142" w:rsidRDefault="2A834A70" w14:paraId="2F70E462" w14:textId="01C4AE7B">
            <w:pPr>
              <w:jc w:val="center"/>
              <w:rPr>
                <w:rFonts w:eastAsiaTheme="minorEastAsia"/>
                <w:color w:val="000000" w:themeColor="text1"/>
              </w:rPr>
            </w:pPr>
            <w:r w:rsidRPr="431DF142">
              <w:rPr>
                <w:rFonts w:eastAsiaTheme="minorEastAsia"/>
                <w:color w:val="000000" w:themeColor="text1"/>
              </w:rPr>
              <w:t>Here is a resource that you may find helpful.</w:t>
            </w:r>
          </w:p>
          <w:p w:rsidR="2A834A70" w:rsidP="431DF142" w:rsidRDefault="00160336" w14:paraId="1F3F511C" w14:textId="68A23B06">
            <w:pPr>
              <w:jc w:val="center"/>
              <w:rPr>
                <w:rFonts w:eastAsiaTheme="minorEastAsia"/>
              </w:rPr>
            </w:pPr>
            <w:hyperlink r:id="rId5">
              <w:r w:rsidRPr="431DF142" w:rsidR="2A834A70">
                <w:rPr>
                  <w:rStyle w:val="Hyperlink"/>
                  <w:rFonts w:eastAsiaTheme="minorEastAsia"/>
                  <w:color w:val="1E7BBB"/>
                  <w:u w:val="none"/>
                </w:rPr>
                <w:t>PEEL Paragraph Writing - Virtual Library (virtuallibrary.info)</w:t>
              </w:r>
            </w:hyperlink>
          </w:p>
        </w:tc>
        <w:tc>
          <w:tcPr>
            <w:tcW w:w="2760" w:type="dxa"/>
            <w:tcMar>
              <w:left w:w="105" w:type="dxa"/>
              <w:right w:w="105" w:type="dxa"/>
            </w:tcMar>
          </w:tcPr>
          <w:p w:rsidR="431DF142" w:rsidP="431DF142" w:rsidRDefault="431DF142" w14:paraId="0FA213A4" w14:textId="36EE9976">
            <w:pPr>
              <w:spacing w:line="259" w:lineRule="auto"/>
              <w:rPr>
                <w:rFonts w:ascii="Calibri" w:hAnsi="Calibri" w:eastAsia="Calibri" w:cs="Calibri"/>
                <w:color w:val="000000" w:themeColor="text1"/>
              </w:rPr>
            </w:pPr>
            <w:r w:rsidRPr="2B41E1D0" w:rsidR="2B8CC054">
              <w:rPr>
                <w:rFonts w:ascii="Calibri" w:hAnsi="Calibri" w:eastAsia="Calibri" w:cs="Calibri"/>
                <w:color w:val="000000" w:themeColor="text1" w:themeTint="FF" w:themeShade="FF"/>
              </w:rPr>
              <w:t xml:space="preserve">I used the resources </w:t>
            </w:r>
            <w:r w:rsidRPr="2B41E1D0" w:rsidR="2B8CC054">
              <w:rPr>
                <w:rFonts w:ascii="Calibri" w:hAnsi="Calibri" w:eastAsia="Calibri" w:cs="Calibri"/>
                <w:color w:val="000000" w:themeColor="text1" w:themeTint="FF" w:themeShade="FF"/>
              </w:rPr>
              <w:t>in order to</w:t>
            </w:r>
            <w:r w:rsidRPr="2B41E1D0" w:rsidR="2B8CC054">
              <w:rPr>
                <w:rFonts w:ascii="Calibri" w:hAnsi="Calibri" w:eastAsia="Calibri" w:cs="Calibri"/>
                <w:color w:val="000000" w:themeColor="text1" w:themeTint="FF" w:themeShade="FF"/>
              </w:rPr>
              <w:t xml:space="preserve"> improve the consistency of my </w:t>
            </w:r>
            <w:r w:rsidRPr="2B41E1D0" w:rsidR="2B8CC054">
              <w:rPr>
                <w:rFonts w:ascii="Calibri" w:hAnsi="Calibri" w:eastAsia="Calibri" w:cs="Calibri"/>
                <w:color w:val="000000" w:themeColor="text1" w:themeTint="FF" w:themeShade="FF"/>
              </w:rPr>
              <w:t>paragraph</w:t>
            </w:r>
            <w:r w:rsidRPr="2B41E1D0" w:rsidR="2B8CC054">
              <w:rPr>
                <w:rFonts w:ascii="Calibri" w:hAnsi="Calibri" w:eastAsia="Calibri" w:cs="Calibri"/>
                <w:color w:val="000000" w:themeColor="text1" w:themeTint="FF" w:themeShade="FF"/>
              </w:rPr>
              <w:t xml:space="preserve"> structure</w:t>
            </w:r>
          </w:p>
        </w:tc>
        <w:tc>
          <w:tcPr>
            <w:tcW w:w="2790" w:type="dxa"/>
            <w:tcMar>
              <w:left w:w="105" w:type="dxa"/>
              <w:right w:w="105" w:type="dxa"/>
            </w:tcMar>
          </w:tcPr>
          <w:p w:rsidR="431DF142" w:rsidP="431DF142" w:rsidRDefault="431DF142" w14:paraId="1E1C9E79" w14:textId="1D8E33AE">
            <w:pPr>
              <w:spacing w:line="259" w:lineRule="auto"/>
              <w:rPr>
                <w:rFonts w:ascii="Calibri" w:hAnsi="Calibri" w:eastAsia="Calibri" w:cs="Calibri"/>
                <w:color w:val="000000" w:themeColor="text1"/>
              </w:rPr>
            </w:pPr>
            <w:r w:rsidRPr="2B41E1D0" w:rsidR="2B8CC054">
              <w:rPr>
                <w:rFonts w:ascii="Calibri" w:hAnsi="Calibri" w:eastAsia="Calibri" w:cs="Calibri"/>
                <w:color w:val="000000" w:themeColor="text1" w:themeTint="FF" w:themeShade="FF"/>
              </w:rPr>
              <w:t>Throughout</w:t>
            </w:r>
          </w:p>
        </w:tc>
      </w:tr>
    </w:tbl>
    <w:p w:rsidR="009A1287" w:rsidP="431DF142" w:rsidRDefault="009A1287" w14:paraId="005C2B4A" w14:textId="7027D9EA">
      <w:pPr>
        <w:spacing w:before="120" w:after="0"/>
        <w:jc w:val="center"/>
        <w:rPr>
          <w:rFonts w:ascii="Calibri" w:hAnsi="Calibri" w:eastAsia="Calibri" w:cs="Calibri"/>
          <w:b/>
          <w:bCs/>
          <w:color w:val="FF0000"/>
          <w:sz w:val="32"/>
          <w:szCs w:val="32"/>
        </w:rPr>
      </w:pPr>
    </w:p>
    <w:p w:rsidR="009A1287" w:rsidP="431DF142" w:rsidRDefault="0E56BA94" w14:paraId="6B32A7C7" w14:textId="2851EDD6">
      <w:pPr>
        <w:spacing w:before="120" w:after="0"/>
        <w:jc w:val="center"/>
        <w:rPr>
          <w:rFonts w:ascii="Calibri" w:hAnsi="Calibri" w:eastAsia="Calibri" w:cs="Calibri"/>
          <w:b/>
          <w:bCs/>
          <w:sz w:val="28"/>
          <w:szCs w:val="28"/>
          <w:u w:val="single"/>
        </w:rPr>
      </w:pPr>
      <w:r w:rsidRPr="431DF142">
        <w:rPr>
          <w:rFonts w:ascii="Calibri" w:hAnsi="Calibri" w:eastAsia="Calibri" w:cs="Calibri"/>
          <w:b/>
          <w:bCs/>
          <w:sz w:val="28"/>
          <w:szCs w:val="28"/>
          <w:u w:val="single"/>
        </w:rPr>
        <w:t xml:space="preserve">Critically reflect on your progress in planning, preparing and teaching lessons that incorporate specific pedagogical principles. (This evidence should be taken from you Professional Learning Passport –PLP.) </w:t>
      </w:r>
    </w:p>
    <w:p w:rsidR="009A1287" w:rsidP="431DF142" w:rsidRDefault="0E56BA94" w14:paraId="5E5787A5" w14:textId="2742BE29">
      <w:pPr>
        <w:spacing w:before="120" w:after="0"/>
        <w:jc w:val="center"/>
        <w:rPr>
          <w:rFonts w:ascii="Calibri" w:hAnsi="Calibri" w:eastAsia="Calibri" w:cs="Calibri"/>
          <w:b/>
          <w:bCs/>
          <w:sz w:val="28"/>
          <w:szCs w:val="28"/>
          <w:u w:val="single"/>
        </w:rPr>
      </w:pPr>
      <w:r w:rsidRPr="431DF142">
        <w:rPr>
          <w:rFonts w:ascii="Calibri" w:hAnsi="Calibri" w:eastAsia="Calibri" w:cs="Calibri"/>
          <w:b/>
          <w:bCs/>
          <w:sz w:val="28"/>
          <w:szCs w:val="28"/>
          <w:u w:val="single"/>
        </w:rPr>
        <w:t>Identify up to three of these pedagogical principles as an area for development and justify the next steps in your development.</w:t>
      </w:r>
    </w:p>
    <w:p w:rsidR="2B493278" w:rsidP="431DF142" w:rsidRDefault="2B493278" w14:paraId="6079BB20" w14:textId="3D0B6711">
      <w:pPr>
        <w:spacing w:before="120" w:after="0"/>
        <w:jc w:val="center"/>
        <w:rPr>
          <w:rFonts w:ascii="Calibri" w:hAnsi="Calibri" w:eastAsia="Calibri" w:cs="Calibri"/>
          <w:b w:val="1"/>
          <w:bCs w:val="1"/>
          <w:sz w:val="28"/>
          <w:szCs w:val="28"/>
          <w:u w:val="single"/>
        </w:rPr>
      </w:pPr>
      <w:r w:rsidRPr="45A12CBB" w:rsidR="2B493278">
        <w:rPr>
          <w:rFonts w:ascii="Calibri" w:hAnsi="Calibri" w:eastAsia="Calibri" w:cs="Calibri"/>
          <w:b w:val="1"/>
          <w:bCs w:val="1"/>
          <w:sz w:val="28"/>
          <w:szCs w:val="28"/>
          <w:u w:val="single"/>
        </w:rPr>
        <w:t xml:space="preserve">Word count: </w:t>
      </w:r>
      <w:r w:rsidRPr="45A12CBB" w:rsidR="659B16BA">
        <w:rPr>
          <w:rFonts w:ascii="Calibri" w:hAnsi="Calibri" w:eastAsia="Calibri" w:cs="Calibri"/>
          <w:b w:val="1"/>
          <w:bCs w:val="1"/>
          <w:sz w:val="28"/>
          <w:szCs w:val="28"/>
          <w:u w:val="single"/>
        </w:rPr>
        <w:t>3,285</w:t>
      </w:r>
    </w:p>
    <w:p w:rsidR="26D5E5BB" w:rsidP="26D5E5BB" w:rsidRDefault="26D5E5BB" w14:paraId="17E1D1CA" w14:textId="26D5E5BB">
      <w:pPr>
        <w:spacing w:before="120" w:after="0"/>
        <w:rPr>
          <w:rFonts w:ascii="Calibri" w:hAnsi="Calibri" w:eastAsia="Calibri" w:cs="Calibri"/>
          <w:b/>
          <w:bCs/>
          <w:sz w:val="28"/>
          <w:szCs w:val="28"/>
          <w:u w:val="single"/>
        </w:rPr>
      </w:pPr>
    </w:p>
    <w:p w:rsidR="26D5E5BB" w:rsidP="26D5E5BB" w:rsidRDefault="26D5E5BB" w14:paraId="40A1908A" w14:textId="26D5E5BB">
      <w:pPr>
        <w:spacing w:before="120" w:after="0"/>
        <w:rPr>
          <w:rFonts w:ascii="Calibri" w:hAnsi="Calibri" w:eastAsia="Calibri" w:cs="Calibri"/>
          <w:b/>
          <w:bCs/>
          <w:sz w:val="28"/>
          <w:szCs w:val="28"/>
          <w:u w:val="single"/>
        </w:rPr>
      </w:pPr>
    </w:p>
    <w:p w:rsidR="26D5E5BB" w:rsidP="26D5E5BB" w:rsidRDefault="26D5E5BB" w14:paraId="1B584CB4" w14:textId="26D5E5BB">
      <w:pPr>
        <w:spacing w:before="120" w:after="0"/>
        <w:rPr>
          <w:rFonts w:ascii="Calibri" w:hAnsi="Calibri" w:eastAsia="Calibri" w:cs="Calibri"/>
          <w:b/>
          <w:bCs/>
          <w:sz w:val="28"/>
          <w:szCs w:val="28"/>
          <w:u w:val="single"/>
        </w:rPr>
      </w:pPr>
    </w:p>
    <w:p w:rsidR="26D5E5BB" w:rsidP="26D5E5BB" w:rsidRDefault="26D5E5BB" w14:paraId="3E3EF826" w14:textId="26D5E5BB">
      <w:pPr>
        <w:spacing w:before="120" w:after="0"/>
        <w:rPr>
          <w:rFonts w:ascii="Calibri" w:hAnsi="Calibri" w:eastAsia="Calibri" w:cs="Calibri"/>
          <w:b/>
          <w:bCs/>
          <w:sz w:val="28"/>
          <w:szCs w:val="28"/>
          <w:u w:val="single"/>
        </w:rPr>
      </w:pPr>
    </w:p>
    <w:p w:rsidR="26D5E5BB" w:rsidP="26D5E5BB" w:rsidRDefault="26D5E5BB" w14:paraId="4B2C62D5" w14:textId="26D5E5BB">
      <w:pPr>
        <w:spacing w:before="120" w:after="0"/>
        <w:rPr>
          <w:rFonts w:ascii="Calibri" w:hAnsi="Calibri" w:eastAsia="Calibri" w:cs="Calibri"/>
          <w:b/>
          <w:bCs/>
          <w:sz w:val="28"/>
          <w:szCs w:val="28"/>
          <w:u w:val="single"/>
        </w:rPr>
      </w:pPr>
    </w:p>
    <w:p w:rsidR="26D5E5BB" w:rsidP="26D5E5BB" w:rsidRDefault="26D5E5BB" w14:paraId="4548C95C" w14:textId="26D5E5BB">
      <w:pPr>
        <w:spacing w:before="120" w:after="0"/>
        <w:rPr>
          <w:rFonts w:ascii="Calibri" w:hAnsi="Calibri" w:eastAsia="Calibri" w:cs="Calibri"/>
          <w:b/>
          <w:bCs/>
          <w:sz w:val="28"/>
          <w:szCs w:val="28"/>
          <w:u w:val="single"/>
        </w:rPr>
      </w:pPr>
    </w:p>
    <w:p w:rsidR="26D5E5BB" w:rsidP="26D5E5BB" w:rsidRDefault="26D5E5BB" w14:paraId="255D5348" w14:textId="26D5E5BB">
      <w:pPr>
        <w:spacing w:before="120" w:after="0"/>
        <w:rPr>
          <w:rFonts w:ascii="Calibri" w:hAnsi="Calibri" w:eastAsia="Calibri" w:cs="Calibri"/>
          <w:b/>
          <w:bCs/>
          <w:sz w:val="28"/>
          <w:szCs w:val="28"/>
          <w:u w:val="single"/>
        </w:rPr>
      </w:pPr>
    </w:p>
    <w:p w:rsidR="26D5E5BB" w:rsidP="26D5E5BB" w:rsidRDefault="26D5E5BB" w14:paraId="554E6B01" w14:textId="26D5E5BB">
      <w:pPr>
        <w:spacing w:before="120" w:after="0"/>
        <w:rPr>
          <w:rFonts w:ascii="Calibri" w:hAnsi="Calibri" w:eastAsia="Calibri" w:cs="Calibri"/>
          <w:b/>
          <w:bCs/>
          <w:sz w:val="28"/>
          <w:szCs w:val="28"/>
          <w:u w:val="single"/>
        </w:rPr>
      </w:pPr>
    </w:p>
    <w:p w:rsidR="26D5E5BB" w:rsidP="26D5E5BB" w:rsidRDefault="26D5E5BB" w14:paraId="18FED7BA" w14:textId="26D5E5BB">
      <w:pPr>
        <w:spacing w:before="120" w:after="0"/>
        <w:rPr>
          <w:rFonts w:ascii="Calibri" w:hAnsi="Calibri" w:eastAsia="Calibri" w:cs="Calibri"/>
          <w:b/>
          <w:bCs/>
          <w:sz w:val="28"/>
          <w:szCs w:val="28"/>
          <w:u w:val="single"/>
        </w:rPr>
      </w:pPr>
    </w:p>
    <w:p w:rsidR="26D5E5BB" w:rsidP="26D5E5BB" w:rsidRDefault="26D5E5BB" w14:paraId="3A05222D" w14:textId="26D5E5BB">
      <w:pPr>
        <w:spacing w:before="120" w:after="0"/>
        <w:rPr>
          <w:rFonts w:ascii="Calibri" w:hAnsi="Calibri" w:eastAsia="Calibri" w:cs="Calibri"/>
          <w:b/>
          <w:bCs/>
          <w:sz w:val="28"/>
          <w:szCs w:val="28"/>
          <w:u w:val="single"/>
        </w:rPr>
      </w:pPr>
    </w:p>
    <w:p w:rsidR="488CC2D9" w:rsidP="488CC2D9" w:rsidRDefault="488CC2D9" w14:paraId="31E56C0D" w14:textId="3E0248AB">
      <w:pPr>
        <w:spacing w:before="120" w:after="0"/>
        <w:rPr>
          <w:rFonts w:ascii="Calibri" w:hAnsi="Calibri" w:eastAsia="Calibri" w:cs="Calibri"/>
          <w:b/>
          <w:bCs/>
          <w:sz w:val="28"/>
          <w:szCs w:val="28"/>
          <w:u w:val="single"/>
        </w:rPr>
      </w:pPr>
    </w:p>
    <w:p w:rsidR="488CC2D9" w:rsidP="49597F03" w:rsidRDefault="054B0C6C" w14:paraId="29D033B3" w14:textId="208806B4">
      <w:pPr>
        <w:spacing w:before="120" w:after="0"/>
        <w:rPr>
          <w:rFonts w:ascii="Calibri" w:hAnsi="Calibri" w:eastAsia="Calibri" w:cs="Calibri"/>
          <w:b/>
          <w:bCs/>
          <w:sz w:val="28"/>
          <w:szCs w:val="28"/>
          <w:u w:val="single"/>
        </w:rPr>
      </w:pPr>
      <w:r w:rsidRPr="49597F03">
        <w:rPr>
          <w:rFonts w:ascii="Calibri" w:hAnsi="Calibri" w:eastAsia="Calibri" w:cs="Calibri"/>
          <w:b/>
          <w:bCs/>
          <w:sz w:val="28"/>
          <w:szCs w:val="28"/>
          <w:u w:val="single"/>
        </w:rPr>
        <w:t xml:space="preserve">Part 1 </w:t>
      </w:r>
    </w:p>
    <w:p w:rsidR="00B40282" w:rsidP="431DF142" w:rsidRDefault="00D870F6" w14:paraId="31FA0B72" w14:textId="6CC0292F">
      <w:pPr>
        <w:spacing w:before="120" w:after="0"/>
        <w:rPr>
          <w:rFonts w:ascii="Calibri" w:hAnsi="Calibri" w:eastAsia="Calibri" w:cs="Calibri"/>
          <w:b/>
          <w:bCs/>
          <w:sz w:val="28"/>
          <w:szCs w:val="28"/>
          <w:u w:val="single"/>
        </w:rPr>
      </w:pPr>
      <w:r>
        <w:rPr>
          <w:rFonts w:ascii="Calibri" w:hAnsi="Calibri" w:eastAsia="Calibri" w:cs="Calibri"/>
          <w:b/>
          <w:bCs/>
          <w:noProof/>
          <w:sz w:val="28"/>
          <w:szCs w:val="28"/>
          <w:u w:val="single"/>
        </w:rPr>
        <w:drawing>
          <wp:anchor distT="0" distB="0" distL="114300" distR="114300" simplePos="0" relativeHeight="251658249" behindDoc="0" locked="0" layoutInCell="1" allowOverlap="1" wp14:anchorId="2917F057" wp14:editId="14F14904">
            <wp:simplePos x="0" y="0"/>
            <wp:positionH relativeFrom="column">
              <wp:posOffset>0</wp:posOffset>
            </wp:positionH>
            <wp:positionV relativeFrom="paragraph">
              <wp:posOffset>0</wp:posOffset>
            </wp:positionV>
            <wp:extent cx="3868420" cy="8863330"/>
            <wp:effectExtent l="0" t="0" r="5080" b="127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6" cstate="print">
                      <a:extLst>
                        <a:ext uri="{28A0092B-C50C-407E-A947-70E740481C1C}">
                          <a14:useLocalDpi xmlns:a14="http://schemas.microsoft.com/office/drawing/2010/main" val="0"/>
                        </a:ext>
                      </a:extLst>
                    </a:blip>
                    <a:stretch>
                      <a:fillRect/>
                    </a:stretch>
                  </pic:blipFill>
                  <pic:spPr>
                    <a:xfrm>
                      <a:off x="0" y="0"/>
                      <a:ext cx="3868420" cy="8863330"/>
                    </a:xfrm>
                    <a:prstGeom prst="rect">
                      <a:avLst/>
                    </a:prstGeom>
                  </pic:spPr>
                </pic:pic>
              </a:graphicData>
            </a:graphic>
            <wp14:sizeRelH relativeFrom="margin">
              <wp14:pctWidth>0</wp14:pctWidth>
            </wp14:sizeRelH>
          </wp:anchor>
        </w:drawing>
      </w:r>
    </w:p>
    <w:p w:rsidR="004327F8" w:rsidP="431DF142" w:rsidRDefault="001B5DFE" w14:paraId="4A7FA8A6" w14:textId="5B79F2C2">
      <w:pPr>
        <w:spacing w:before="120" w:after="0"/>
        <w:rPr>
          <w:rFonts w:ascii="Calibri" w:hAnsi="Calibri" w:eastAsia="Calibri" w:cs="Calibri"/>
          <w:b/>
          <w:bCs/>
          <w:sz w:val="28"/>
          <w:szCs w:val="28"/>
          <w:u w:val="single"/>
        </w:rPr>
      </w:pPr>
      <w:r>
        <w:rPr>
          <w:rFonts w:ascii="Calibri" w:hAnsi="Calibri" w:eastAsia="Calibri" w:cs="Calibri"/>
          <w:b/>
          <w:bCs/>
          <w:noProof/>
          <w:sz w:val="28"/>
          <w:szCs w:val="28"/>
          <w:u w:val="single"/>
        </w:rPr>
        <w:drawing>
          <wp:anchor distT="0" distB="0" distL="114300" distR="114300" simplePos="0" relativeHeight="251658248" behindDoc="0" locked="0" layoutInCell="1" allowOverlap="1" wp14:anchorId="7062D5DD" wp14:editId="36E83038">
            <wp:simplePos x="0" y="0"/>
            <wp:positionH relativeFrom="column">
              <wp:posOffset>0</wp:posOffset>
            </wp:positionH>
            <wp:positionV relativeFrom="paragraph">
              <wp:posOffset>0</wp:posOffset>
            </wp:positionV>
            <wp:extent cx="4061460" cy="8863330"/>
            <wp:effectExtent l="0" t="0" r="2540" b="127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7" cstate="print">
                      <a:extLst>
                        <a:ext uri="{28A0092B-C50C-407E-A947-70E740481C1C}">
                          <a14:useLocalDpi xmlns:a14="http://schemas.microsoft.com/office/drawing/2010/main" val="0"/>
                        </a:ext>
                      </a:extLst>
                    </a:blip>
                    <a:stretch>
                      <a:fillRect/>
                    </a:stretch>
                  </pic:blipFill>
                  <pic:spPr>
                    <a:xfrm>
                      <a:off x="0" y="0"/>
                      <a:ext cx="4061460" cy="8863330"/>
                    </a:xfrm>
                    <a:prstGeom prst="rect">
                      <a:avLst/>
                    </a:prstGeom>
                  </pic:spPr>
                </pic:pic>
              </a:graphicData>
            </a:graphic>
            <wp14:sizeRelH relativeFrom="margin">
              <wp14:pctWidth>0</wp14:pctWidth>
            </wp14:sizeRelH>
          </wp:anchor>
        </w:drawing>
      </w:r>
    </w:p>
    <w:p w:rsidR="008C27AF" w:rsidP="431DF142" w:rsidRDefault="00B8256F" w14:paraId="4E812880" w14:textId="03CF7E11">
      <w:pPr>
        <w:spacing w:before="120" w:after="0"/>
        <w:rPr>
          <w:rFonts w:ascii="Calibri" w:hAnsi="Calibri" w:eastAsia="Calibri" w:cs="Calibri"/>
          <w:b/>
          <w:bCs/>
          <w:noProof/>
          <w:sz w:val="28"/>
          <w:szCs w:val="28"/>
          <w:u w:val="single"/>
        </w:rPr>
      </w:pPr>
      <w:r>
        <w:rPr>
          <w:rFonts w:ascii="Calibri" w:hAnsi="Calibri" w:eastAsia="Calibri" w:cs="Calibri"/>
          <w:b/>
          <w:bCs/>
          <w:noProof/>
          <w:sz w:val="28"/>
          <w:szCs w:val="28"/>
          <w:u w:val="single"/>
        </w:rPr>
        <w:drawing>
          <wp:anchor distT="0" distB="0" distL="114300" distR="114300" simplePos="0" relativeHeight="251658247" behindDoc="0" locked="0" layoutInCell="1" allowOverlap="1" wp14:anchorId="4A2408CC" wp14:editId="2887EAC7">
            <wp:simplePos x="0" y="0"/>
            <wp:positionH relativeFrom="column">
              <wp:posOffset>0</wp:posOffset>
            </wp:positionH>
            <wp:positionV relativeFrom="paragraph">
              <wp:posOffset>316230</wp:posOffset>
            </wp:positionV>
            <wp:extent cx="4501515" cy="6946900"/>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8">
                      <a:extLst>
                        <a:ext uri="{28A0092B-C50C-407E-A947-70E740481C1C}">
                          <a14:useLocalDpi xmlns:a14="http://schemas.microsoft.com/office/drawing/2010/main" val="0"/>
                        </a:ext>
                      </a:extLst>
                    </a:blip>
                    <a:stretch>
                      <a:fillRect/>
                    </a:stretch>
                  </pic:blipFill>
                  <pic:spPr>
                    <a:xfrm>
                      <a:off x="0" y="0"/>
                      <a:ext cx="4501515" cy="6946900"/>
                    </a:xfrm>
                    <a:prstGeom prst="rect">
                      <a:avLst/>
                    </a:prstGeom>
                  </pic:spPr>
                </pic:pic>
              </a:graphicData>
            </a:graphic>
            <wp14:sizeRelH relativeFrom="margin">
              <wp14:pctWidth>0</wp14:pctWidth>
            </wp14:sizeRelH>
          </wp:anchor>
        </w:drawing>
      </w:r>
    </w:p>
    <w:p w:rsidR="00A06C07" w:rsidP="431DF142" w:rsidRDefault="00BB0A25" w14:paraId="1F727A61" w14:textId="1BD47AEF">
      <w:pPr>
        <w:spacing w:before="120" w:after="0"/>
        <w:rPr>
          <w:rFonts w:ascii="Calibri" w:hAnsi="Calibri" w:eastAsia="Calibri" w:cs="Calibri"/>
          <w:b/>
          <w:bCs/>
          <w:sz w:val="28"/>
          <w:szCs w:val="28"/>
          <w:u w:val="single"/>
        </w:rPr>
      </w:pPr>
      <w:r>
        <w:rPr>
          <w:rFonts w:ascii="Calibri" w:hAnsi="Calibri" w:eastAsia="Calibri" w:cs="Calibri"/>
          <w:b/>
          <w:bCs/>
          <w:noProof/>
          <w:sz w:val="28"/>
          <w:szCs w:val="28"/>
          <w:u w:val="single"/>
        </w:rPr>
        <w:drawing>
          <wp:anchor distT="0" distB="0" distL="114300" distR="114300" simplePos="0" relativeHeight="251658246" behindDoc="0" locked="0" layoutInCell="1" allowOverlap="1" wp14:anchorId="417CF1E0" wp14:editId="07BF2B22">
            <wp:simplePos x="0" y="0"/>
            <wp:positionH relativeFrom="column">
              <wp:posOffset>-1</wp:posOffset>
            </wp:positionH>
            <wp:positionV relativeFrom="paragraph">
              <wp:posOffset>193431</wp:posOffset>
            </wp:positionV>
            <wp:extent cx="4589585" cy="8661400"/>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9">
                      <a:extLst>
                        <a:ext uri="{28A0092B-C50C-407E-A947-70E740481C1C}">
                          <a14:useLocalDpi xmlns:a14="http://schemas.microsoft.com/office/drawing/2010/main" val="0"/>
                        </a:ext>
                      </a:extLst>
                    </a:blip>
                    <a:stretch>
                      <a:fillRect/>
                    </a:stretch>
                  </pic:blipFill>
                  <pic:spPr>
                    <a:xfrm>
                      <a:off x="0" y="0"/>
                      <a:ext cx="4589585" cy="8661400"/>
                    </a:xfrm>
                    <a:prstGeom prst="rect">
                      <a:avLst/>
                    </a:prstGeom>
                  </pic:spPr>
                </pic:pic>
              </a:graphicData>
            </a:graphic>
            <wp14:sizeRelH relativeFrom="margin">
              <wp14:pctWidth>0</wp14:pctWidth>
            </wp14:sizeRelH>
          </wp:anchor>
        </w:drawing>
      </w:r>
    </w:p>
    <w:p w:rsidR="003A765C" w:rsidP="431DF142" w:rsidRDefault="00375CA5" w14:paraId="4C6B1F80" w14:textId="23A203CE">
      <w:pPr>
        <w:spacing w:before="120" w:after="0"/>
        <w:rPr>
          <w:rFonts w:ascii="Calibri" w:hAnsi="Calibri" w:eastAsia="Calibri" w:cs="Calibri"/>
          <w:b/>
          <w:bCs/>
          <w:sz w:val="28"/>
          <w:szCs w:val="28"/>
          <w:u w:val="single"/>
        </w:rPr>
      </w:pPr>
      <w:r>
        <w:rPr>
          <w:rFonts w:ascii="Calibri" w:hAnsi="Calibri" w:eastAsia="Calibri" w:cs="Calibri"/>
          <w:b/>
          <w:bCs/>
          <w:noProof/>
          <w:sz w:val="28"/>
          <w:szCs w:val="28"/>
          <w:u w:val="single"/>
        </w:rPr>
        <w:drawing>
          <wp:anchor distT="0" distB="0" distL="114300" distR="114300" simplePos="0" relativeHeight="251658245" behindDoc="0" locked="0" layoutInCell="1" allowOverlap="1" wp14:anchorId="1978B467" wp14:editId="48569CEB">
            <wp:simplePos x="0" y="0"/>
            <wp:positionH relativeFrom="column">
              <wp:posOffset>0</wp:posOffset>
            </wp:positionH>
            <wp:positionV relativeFrom="paragraph">
              <wp:posOffset>316230</wp:posOffset>
            </wp:positionV>
            <wp:extent cx="5204460" cy="6763385"/>
            <wp:effectExtent l="0" t="0" r="2540" b="5715"/>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0">
                      <a:extLst>
                        <a:ext uri="{28A0092B-C50C-407E-A947-70E740481C1C}">
                          <a14:useLocalDpi xmlns:a14="http://schemas.microsoft.com/office/drawing/2010/main" val="0"/>
                        </a:ext>
                      </a:extLst>
                    </a:blip>
                    <a:stretch>
                      <a:fillRect/>
                    </a:stretch>
                  </pic:blipFill>
                  <pic:spPr>
                    <a:xfrm>
                      <a:off x="0" y="0"/>
                      <a:ext cx="5204460" cy="6763385"/>
                    </a:xfrm>
                    <a:prstGeom prst="rect">
                      <a:avLst/>
                    </a:prstGeom>
                  </pic:spPr>
                </pic:pic>
              </a:graphicData>
            </a:graphic>
            <wp14:sizeRelH relativeFrom="margin">
              <wp14:pctWidth>0</wp14:pctWidth>
            </wp14:sizeRelH>
            <wp14:sizeRelV relativeFrom="margin">
              <wp14:pctHeight>0</wp14:pctHeight>
            </wp14:sizeRelV>
          </wp:anchor>
        </w:drawing>
      </w:r>
      <w:r w:rsidR="006F72F1">
        <w:rPr>
          <w:rFonts w:ascii="Calibri" w:hAnsi="Calibri" w:eastAsia="Calibri" w:cs="Calibri"/>
          <w:b/>
          <w:bCs/>
          <w:noProof/>
          <w:sz w:val="28"/>
          <w:szCs w:val="28"/>
          <w:u w:val="single"/>
        </w:rPr>
        <w:drawing>
          <wp:anchor distT="0" distB="0" distL="114300" distR="114300" simplePos="0" relativeHeight="251658244" behindDoc="0" locked="0" layoutInCell="1" allowOverlap="1" wp14:anchorId="421D3507" wp14:editId="015C034C">
            <wp:simplePos x="0" y="0"/>
            <wp:positionH relativeFrom="column">
              <wp:posOffset>0</wp:posOffset>
            </wp:positionH>
            <wp:positionV relativeFrom="paragraph">
              <wp:posOffset>299720</wp:posOffset>
            </wp:positionV>
            <wp:extent cx="4191000" cy="511810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1">
                      <a:extLst>
                        <a:ext uri="{28A0092B-C50C-407E-A947-70E740481C1C}">
                          <a14:useLocalDpi xmlns:a14="http://schemas.microsoft.com/office/drawing/2010/main" val="0"/>
                        </a:ext>
                      </a:extLst>
                    </a:blip>
                    <a:stretch>
                      <a:fillRect/>
                    </a:stretch>
                  </pic:blipFill>
                  <pic:spPr>
                    <a:xfrm>
                      <a:off x="0" y="0"/>
                      <a:ext cx="4191000" cy="5118100"/>
                    </a:xfrm>
                    <a:prstGeom prst="rect">
                      <a:avLst/>
                    </a:prstGeom>
                  </pic:spPr>
                </pic:pic>
              </a:graphicData>
            </a:graphic>
          </wp:anchor>
        </w:drawing>
      </w:r>
    </w:p>
    <w:p w:rsidR="005F7178" w:rsidP="431DF142" w:rsidRDefault="005C0EDB" w14:paraId="5295B095" w14:textId="232B04A2">
      <w:pPr>
        <w:spacing w:before="120" w:after="0"/>
        <w:rPr>
          <w:rFonts w:ascii="Calibri" w:hAnsi="Calibri" w:eastAsia="Calibri" w:cs="Calibri"/>
          <w:b/>
          <w:bCs/>
          <w:sz w:val="28"/>
          <w:szCs w:val="28"/>
          <w:u w:val="single"/>
        </w:rPr>
      </w:pPr>
      <w:r>
        <w:rPr>
          <w:rFonts w:ascii="Calibri" w:hAnsi="Calibri" w:eastAsia="Calibri" w:cs="Calibri"/>
          <w:b/>
          <w:bCs/>
          <w:noProof/>
          <w:sz w:val="28"/>
          <w:szCs w:val="28"/>
          <w:u w:val="single"/>
        </w:rPr>
        <w:drawing>
          <wp:anchor distT="0" distB="0" distL="114300" distR="114300" simplePos="0" relativeHeight="251658243" behindDoc="0" locked="0" layoutInCell="1" allowOverlap="1" wp14:anchorId="445D8927" wp14:editId="0EEBDF04">
            <wp:simplePos x="0" y="0"/>
            <wp:positionH relativeFrom="column">
              <wp:posOffset>0</wp:posOffset>
            </wp:positionH>
            <wp:positionV relativeFrom="paragraph">
              <wp:posOffset>0</wp:posOffset>
            </wp:positionV>
            <wp:extent cx="4465955" cy="8863330"/>
            <wp:effectExtent l="0" t="0" r="4445" b="127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465955" cy="8863330"/>
                    </a:xfrm>
                    <a:prstGeom prst="rect">
                      <a:avLst/>
                    </a:prstGeom>
                  </pic:spPr>
                </pic:pic>
              </a:graphicData>
            </a:graphic>
            <wp14:sizeRelH relativeFrom="margin">
              <wp14:pctWidth>0</wp14:pctWidth>
            </wp14:sizeRelH>
          </wp:anchor>
        </w:drawing>
      </w:r>
    </w:p>
    <w:p w:rsidR="00730B8C" w:rsidP="431DF142" w:rsidRDefault="00F24A83" w14:paraId="1D31CC59" w14:textId="4DA61E0E">
      <w:pPr>
        <w:spacing w:before="120" w:after="0"/>
        <w:rPr>
          <w:rFonts w:ascii="Calibri" w:hAnsi="Calibri" w:eastAsia="Calibri" w:cs="Calibri"/>
          <w:b/>
          <w:bCs/>
          <w:sz w:val="28"/>
          <w:szCs w:val="28"/>
          <w:u w:val="single"/>
        </w:rPr>
      </w:pPr>
      <w:r>
        <w:rPr>
          <w:rFonts w:ascii="Calibri" w:hAnsi="Calibri" w:eastAsia="Calibri" w:cs="Calibri"/>
          <w:b/>
          <w:bCs/>
          <w:noProof/>
          <w:sz w:val="28"/>
          <w:szCs w:val="28"/>
          <w:u w:val="single"/>
        </w:rPr>
        <w:drawing>
          <wp:anchor distT="0" distB="0" distL="114300" distR="114300" simplePos="0" relativeHeight="251658242" behindDoc="0" locked="0" layoutInCell="1" allowOverlap="1" wp14:anchorId="78DBE85B" wp14:editId="40150D6F">
            <wp:simplePos x="0" y="0"/>
            <wp:positionH relativeFrom="column">
              <wp:posOffset>0</wp:posOffset>
            </wp:positionH>
            <wp:positionV relativeFrom="paragraph">
              <wp:posOffset>299720</wp:posOffset>
            </wp:positionV>
            <wp:extent cx="4546600" cy="731520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3">
                      <a:extLst>
                        <a:ext uri="{28A0092B-C50C-407E-A947-70E740481C1C}">
                          <a14:useLocalDpi xmlns:a14="http://schemas.microsoft.com/office/drawing/2010/main" val="0"/>
                        </a:ext>
                      </a:extLst>
                    </a:blip>
                    <a:stretch>
                      <a:fillRect/>
                    </a:stretch>
                  </pic:blipFill>
                  <pic:spPr>
                    <a:xfrm>
                      <a:off x="0" y="0"/>
                      <a:ext cx="4546600" cy="7315200"/>
                    </a:xfrm>
                    <a:prstGeom prst="rect">
                      <a:avLst/>
                    </a:prstGeom>
                  </pic:spPr>
                </pic:pic>
              </a:graphicData>
            </a:graphic>
          </wp:anchor>
        </w:drawing>
      </w:r>
    </w:p>
    <w:p w:rsidR="001C471C" w:rsidP="431DF142" w:rsidRDefault="00326B12" w14:paraId="0F138DBE" w14:textId="156815BD">
      <w:pPr>
        <w:spacing w:before="120" w:after="0"/>
        <w:rPr>
          <w:rFonts w:ascii="Calibri" w:hAnsi="Calibri" w:eastAsia="Calibri" w:cs="Calibri"/>
          <w:b/>
          <w:bCs/>
          <w:sz w:val="28"/>
          <w:szCs w:val="28"/>
          <w:u w:val="single"/>
        </w:rPr>
      </w:pPr>
      <w:r>
        <w:rPr>
          <w:rFonts w:ascii="Calibri" w:hAnsi="Calibri" w:eastAsia="Calibri" w:cs="Calibri"/>
          <w:b/>
          <w:bCs/>
          <w:noProof/>
          <w:sz w:val="28"/>
          <w:szCs w:val="28"/>
          <w:u w:val="single"/>
        </w:rPr>
        <w:drawing>
          <wp:anchor distT="0" distB="0" distL="114300" distR="114300" simplePos="0" relativeHeight="251658241" behindDoc="0" locked="0" layoutInCell="1" allowOverlap="1" wp14:anchorId="5516B526" wp14:editId="71125D50">
            <wp:simplePos x="0" y="0"/>
            <wp:positionH relativeFrom="column">
              <wp:posOffset>0</wp:posOffset>
            </wp:positionH>
            <wp:positionV relativeFrom="paragraph">
              <wp:posOffset>0</wp:posOffset>
            </wp:positionV>
            <wp:extent cx="4307840" cy="8863330"/>
            <wp:effectExtent l="0" t="0" r="0" b="127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307840" cy="8863330"/>
                    </a:xfrm>
                    <a:prstGeom prst="rect">
                      <a:avLst/>
                    </a:prstGeom>
                  </pic:spPr>
                </pic:pic>
              </a:graphicData>
            </a:graphic>
            <wp14:sizeRelH relativeFrom="margin">
              <wp14:pctWidth>0</wp14:pctWidth>
            </wp14:sizeRelH>
          </wp:anchor>
        </w:drawing>
      </w:r>
    </w:p>
    <w:p w:rsidR="373B9568" w:rsidP="373B9568" w:rsidRDefault="00E149DB" w14:paraId="2673F0DA" w14:textId="645D9A5B">
      <w:pPr>
        <w:spacing w:before="120" w:after="0"/>
        <w:rPr>
          <w:rFonts w:ascii="Calibri" w:hAnsi="Calibri" w:eastAsia="Calibri" w:cs="Calibri"/>
          <w:b/>
          <w:bCs/>
          <w:sz w:val="28"/>
          <w:szCs w:val="28"/>
          <w:u w:val="single"/>
        </w:rPr>
      </w:pPr>
      <w:r>
        <w:rPr>
          <w:rFonts w:ascii="Calibri" w:hAnsi="Calibri" w:eastAsia="Calibri" w:cs="Calibri"/>
          <w:b/>
          <w:bCs/>
          <w:noProof/>
          <w:sz w:val="28"/>
          <w:szCs w:val="28"/>
          <w:u w:val="single"/>
        </w:rPr>
        <w:drawing>
          <wp:anchor distT="0" distB="0" distL="114300" distR="114300" simplePos="0" relativeHeight="251658240" behindDoc="0" locked="0" layoutInCell="1" allowOverlap="1" wp14:anchorId="75F7915D" wp14:editId="5FD412E6">
            <wp:simplePos x="0" y="0"/>
            <wp:positionH relativeFrom="column">
              <wp:posOffset>-635</wp:posOffset>
            </wp:positionH>
            <wp:positionV relativeFrom="paragraph">
              <wp:posOffset>316230</wp:posOffset>
            </wp:positionV>
            <wp:extent cx="4765040" cy="561340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5">
                      <a:extLst>
                        <a:ext uri="{28A0092B-C50C-407E-A947-70E740481C1C}">
                          <a14:useLocalDpi xmlns:a14="http://schemas.microsoft.com/office/drawing/2010/main" val="0"/>
                        </a:ext>
                      </a:extLst>
                    </a:blip>
                    <a:stretch>
                      <a:fillRect/>
                    </a:stretch>
                  </pic:blipFill>
                  <pic:spPr>
                    <a:xfrm>
                      <a:off x="0" y="0"/>
                      <a:ext cx="4765040" cy="5613400"/>
                    </a:xfrm>
                    <a:prstGeom prst="rect">
                      <a:avLst/>
                    </a:prstGeom>
                  </pic:spPr>
                </pic:pic>
              </a:graphicData>
            </a:graphic>
            <wp14:sizeRelH relativeFrom="margin">
              <wp14:pctWidth>0</wp14:pctWidth>
            </wp14:sizeRelH>
          </wp:anchor>
        </w:drawing>
      </w:r>
    </w:p>
    <w:p w:rsidR="00F365EA" w:rsidP="431DF142" w:rsidRDefault="00F365EA" w14:paraId="22D2CFBF" w14:textId="5DF6CFE8">
      <w:pPr>
        <w:spacing w:before="120" w:after="0"/>
        <w:rPr>
          <w:rFonts w:ascii="Calibri" w:hAnsi="Calibri" w:eastAsia="Calibri" w:cs="Calibri"/>
          <w:b/>
          <w:bCs/>
          <w:sz w:val="28"/>
          <w:szCs w:val="28"/>
          <w:u w:val="single"/>
        </w:rPr>
      </w:pPr>
    </w:p>
    <w:p w:rsidR="431DF142" w:rsidP="49597F03" w:rsidRDefault="3863D0BB" w14:paraId="75F5E7D0" w14:textId="0A76D340">
      <w:pPr>
        <w:spacing w:before="120" w:after="0"/>
        <w:rPr>
          <w:rFonts w:ascii="Calibri" w:hAnsi="Calibri" w:eastAsia="Calibri" w:cs="Calibri"/>
          <w:b/>
          <w:bCs/>
          <w:sz w:val="28"/>
          <w:szCs w:val="28"/>
          <w:u w:val="single"/>
        </w:rPr>
      </w:pPr>
      <w:r w:rsidRPr="44398305" w:rsidR="3863D0BB">
        <w:rPr>
          <w:rFonts w:ascii="Calibri" w:hAnsi="Calibri" w:eastAsia="Calibri" w:cs="Calibri"/>
          <w:b w:val="1"/>
          <w:bCs w:val="1"/>
          <w:sz w:val="28"/>
          <w:szCs w:val="28"/>
          <w:u w:val="single"/>
        </w:rPr>
        <w:t>Part 2</w:t>
      </w:r>
    </w:p>
    <w:p w:rsidR="44398305" w:rsidP="44398305" w:rsidRDefault="44398305" w14:paraId="2958DF73" w14:textId="0F07B97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0AAF100" w:rsidP="45A12CBB" w:rsidRDefault="50AAF100" w14:paraId="43F4FF33" w14:textId="65CB8D19">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Welsh Government commissioned Professor Graham Donaldson to conduct a Review of Curriculum and Assessment policies in Welsh schools in March 2014. He developed the curriculum's 12 pedagogical principles as part of this review (Impact Wales, 2022). The purpose of the 12 principles is to underpin the implementation of the curriculum. This </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indicates</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that they are not teaching strategies per se, but rather essential truths or propositions that guide the practice and technique of teaching (Impact Wales, 2022). The purpose of this assignment is to critically examine two of these pedagogical principles. The two pedagogical principles that aim to be analysed in this study are ‘Real life authentic contexts’ and ‘Cross curricular themes. To integrate these elements into professional approaches, as a reflective practitioner, it is crucial to understand both their benefits and limitations to overall learning (Narayanan and Ordynans 2020). As a result, </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it's</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logical to pinpoint two pedagogical elements that need more focus </w:t>
      </w:r>
      <w:bookmarkStart w:name="_Int_oxqszSGe" w:id="609703983"/>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in order to</w:t>
      </w:r>
      <w:bookmarkEnd w:id="609703983"/>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improve the teacher's approach to teaching. Throughout this assignment, the writer will justify the need for developing these areas of expertise and lay out the planned course of action for continued professional growth. </w:t>
      </w:r>
      <w:r w:rsidRPr="45A12CBB" w:rsidR="110D758D">
        <w:rPr>
          <w:rFonts w:ascii="Calibri" w:hAnsi="Calibri" w:eastAsia="Calibri" w:cs="Calibri"/>
          <w:b w:val="0"/>
          <w:bCs w:val="0"/>
          <w:i w:val="0"/>
          <w:iCs w:val="0"/>
          <w:caps w:val="0"/>
          <w:smallCaps w:val="0"/>
          <w:noProof w:val="0"/>
          <w:color w:val="000000" w:themeColor="text1" w:themeTint="FF" w:themeShade="FF"/>
          <w:sz w:val="22"/>
          <w:szCs w:val="22"/>
          <w:lang w:val="en-GB"/>
        </w:rPr>
        <w:t>To</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identify</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areas for improvement in teaching and learning, it is imperative that educators begin the process of improving their techniques and use reflective practice to assess their progress in creating, organising, and carrying out lessons that are based on </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particular pedagogical</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concepts (Kim, </w:t>
      </w:r>
      <w:r w:rsidRPr="45A12CBB" w:rsidR="50AAF100">
        <w:rPr>
          <w:rFonts w:ascii="Calibri" w:hAnsi="Calibri" w:eastAsia="Calibri" w:cs="Calibri"/>
          <w:b w:val="0"/>
          <w:bCs w:val="0"/>
          <w:i w:val="1"/>
          <w:iCs w:val="1"/>
          <w:caps w:val="0"/>
          <w:smallCaps w:val="0"/>
          <w:noProof w:val="0"/>
          <w:color w:val="000000" w:themeColor="text1" w:themeTint="FF" w:themeShade="FF"/>
          <w:sz w:val="22"/>
          <w:szCs w:val="22"/>
          <w:lang w:val="en-GB"/>
        </w:rPr>
        <w:t>et al</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2019; </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Kuswandono</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2012). After completing their </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initial</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teacher education, teachers must continue to develop professionally. Although the terms "inset days" or "twilight sessions" may </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immediately</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come to mind, these terms can also refer to mentorship, participation in research, expanding </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one's</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understanding of the subject matter, or any other activities that are intended to increase the efficiency of teachers (Coe </w:t>
      </w:r>
      <w:r w:rsidRPr="45A12CBB" w:rsidR="50AAF100">
        <w:rPr>
          <w:rFonts w:ascii="Calibri" w:hAnsi="Calibri" w:eastAsia="Calibri" w:cs="Calibri"/>
          <w:b w:val="0"/>
          <w:bCs w:val="0"/>
          <w:i w:val="1"/>
          <w:iCs w:val="1"/>
          <w:caps w:val="0"/>
          <w:smallCaps w:val="0"/>
          <w:noProof w:val="0"/>
          <w:color w:val="000000" w:themeColor="text1" w:themeTint="FF" w:themeShade="FF"/>
          <w:sz w:val="22"/>
          <w:szCs w:val="22"/>
          <w:lang w:val="en-GB"/>
        </w:rPr>
        <w:t>et al</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2020). This research emphasises the importance of teachers continuing their professional development. </w:t>
      </w:r>
    </w:p>
    <w:p w:rsidR="50AAF100" w:rsidP="44398305" w:rsidRDefault="50AAF100" w14:paraId="2CF3F98C" w14:textId="2BBE08C9">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GB"/>
        </w:rPr>
        <w:t>Donaldson (2015) stated that the review aims to “shape a successful and exciting future” for the children and young people of Wales. The purpose of the review was to build on the positive developments that are already happening in Wales to guarantee that children and young people receive the greatest education possible.</w:t>
      </w:r>
    </w:p>
    <w:p w:rsidR="50AAF100" w:rsidP="45A12CBB" w:rsidRDefault="50AAF100" w14:paraId="2F11C991" w14:textId="0C719BB5">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5A12CBB" w:rsidR="4EEE1CC6">
        <w:rPr>
          <w:rFonts w:ascii="Calibri" w:hAnsi="Calibri" w:eastAsia="Calibri" w:cs="Calibri"/>
          <w:b w:val="0"/>
          <w:bCs w:val="0"/>
          <w:i w:val="0"/>
          <w:iCs w:val="0"/>
          <w:caps w:val="0"/>
          <w:smallCaps w:val="0"/>
          <w:noProof w:val="0"/>
          <w:color w:val="000000" w:themeColor="text1" w:themeTint="FF" w:themeShade="FF"/>
          <w:sz w:val="22"/>
          <w:szCs w:val="22"/>
          <w:lang w:val="en-GB"/>
        </w:rPr>
        <w:t>To</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be recognised as a qualified teacher, practitioners must fulfil several professional standards that outline the knowledge, abilities, and conduct that characterise outstanding pedagogical performance and foster professional growth (Welsh Government, 2024). A reflective model was followed in </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evidencing</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professional teaching standard of ‘Real life authentic contexts’ through the completion of a Professional Experience Template (See Part 1). The decision to follow a reflective model to reach the standard was made following conducting my own research about the potential benefits of using reflective models during </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a previous</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assignment. As a student teacher it is felt that </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it’s</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important to reflect on lessons and experiences to move forward in professional practice by evaluating the strengths and weaknesses from lessons. The preferred reflective model was Kolb reflective cycle (1984). David Kolb introduced the Kolb reflective cycle in 1984 (See appendix 1), emphasising four phases and several learning styles. Kolb </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stated</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that "learning is a process whereby knowledge is created through a transformation of experience". Concrete experience, reflective observation, abstract conceptualisation, and active experimentation are all components of this experiential learning cycle (</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Bergsteiner</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&amp; Avery, 2014). Given that both models are based on an individual's </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personal experiences</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 Kolb's reflective cycle may also be thought of as a condensed version of Gibbs' model (</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Abdulwahed</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&amp; Nagy, 2009). </w:t>
      </w:r>
    </w:p>
    <w:p w:rsidR="50AAF100" w:rsidP="44398305" w:rsidRDefault="50AAF100" w14:paraId="77BD9603" w14:textId="46A534F3">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As highlighted in Donaldson’s comprehensive review of the Welsh Curriculum, Successful Futures, the pedagogical standard of ‘good teaching and learning creates authentic contexts for learning’ is paramount in becoming an effective practitioner and accelerating learner progress (Donaldson, 2015). He added that it is crucial that children and young people understand how their education relates to the world outside of school and that they seize the chance to establish connections with it. Donaldson (2015) believes that the curriculum purposes and Progression Steps will reinforce the need to make learning meaningful and authentic. Mick Waters describes good teaching as bringing ‘the world into range’. He stated that to expand beyond their areas of competence, many schools have already established close relationships with other organisations and people. The Welsh Government has urged outside organisations to collaborate with educational institutions. Abstract learning can become more concrete with the aid of visits and guests (Donaldson, 2015). This research has highlighted the importance of collaborating with outside agencies to provide real-life authentic experiences for learners, therefore I connected with an outside agency and invited them in to take part in a soup making workshop with my PTE3 class. </w:t>
      </w:r>
    </w:p>
    <w:p w:rsidR="50AAF100" w:rsidP="44398305" w:rsidRDefault="50AAF100" w14:paraId="0C32AD89" w14:textId="4C6622C1">
      <w:pPr>
        <w:spacing w:after="160" w:line="360"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GB"/>
        </w:rPr>
        <w:t>When planning this lesson, the Reggio Emilia approach was considered. This is because by using this approach, this enabled the children to take on an active role within their learning (Arseven, 2014). Examples of this include that the children decided what vegetables they wanted to put into their soup, they took control of their learning through washing and cutting their own vegetables for (See appendix 2). ESTYN (2017) emphasises the importance of encouraging independent learners through stating that through utilising this method, students can learn more on their own and explain what they have learned and why. They can discuss how they are learning and the methods they are employing. Students can explain what they will learn next and how to effectively employ self-regulation techniques. Students might also aim to challenge themselves and set their own goals.</w:t>
      </w:r>
    </w:p>
    <w:p w:rsidR="50AAF100" w:rsidP="45A12CBB" w:rsidRDefault="50AAF100" w14:paraId="76DAE73D" w14:textId="5D02075C">
      <w:pPr>
        <w:spacing w:after="160" w:line="360"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importance of creating real life authentic experiences for children can be </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demonstrated</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through the implementation of the </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Te</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Whariki</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approach. The name </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Te</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Whariki</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is a </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Maori</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word meaning “woven mat” (see appendix 3). Dearnley (2022) states that the curriculum's core ideas, strands, and goals are interwoven to </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demonstrate</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how these elements are related to one another. The people, places, and objects that make up a child's environment—adults, other children, the actual surroundings, and resources—provide the curriculum itself. There are no rules for curriculum or instructional strategies in </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Te</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Whariki</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Ritchie (2002) states that children are empowered to learn and develop by the curriculum. Children may learn and reach their full potential when they are treated with respect and value. The teacher's job is to help every student </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participate</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 a variety of enriching activities that will help them become competent and self-assured adults. Play is a highly valued activity that serves as the foundation for children's knowledge, abilities, and concept development. They gain judgement and decision-making skills. Through researching this curriculum, it has been made clear that the child is placed at the heart of the curriculum. Links can be made between this research and research written by ESTYN (2018) that states that the rights of the child are at the heart of the Welsh curriculum development. </w:t>
      </w:r>
    </w:p>
    <w:p w:rsidR="50AAF100" w:rsidP="44398305" w:rsidRDefault="50AAF100" w14:paraId="19CD5C1D" w14:textId="794143E8">
      <w:pPr>
        <w:spacing w:after="160" w:line="360"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GB"/>
        </w:rPr>
        <w:t>In relation to this, Freeman (1938) and Katuna (1938) examine John Dewey's (1938) study on the relationship between experience and learning. These writers suggest that to promote active learning and creativity, education ought to be based on real-world experiences. They stress how crucial it is to adjust teaching to the needs and interests of each student.</w:t>
      </w:r>
    </w:p>
    <w:p w:rsidR="50AAF100" w:rsidP="44398305" w:rsidRDefault="50AAF100" w14:paraId="67836442" w14:textId="205EAE60">
      <w:pPr>
        <w:spacing w:after="160" w:line="360"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GB"/>
        </w:rPr>
        <w:t>Similarly to the Te Whariki curriculum, the Finnish curriculum has emphasis on creative play and utilising the use of real-life authentic experiences where possible. Vitikka, Krokfors and Hurmerinta (2012) state that the children in Finland begin formal schooling at the age of 7, to allow for more play and better social development. Colagrossi (2018) states that the national concept is that children require space and time to mature and develop. Finnish education enables pupils to think independently and creatively by utilising these critical developmental stages.</w:t>
      </w:r>
    </w:p>
    <w:p w:rsidR="50AAF100" w:rsidP="44398305" w:rsidRDefault="50AAF100" w14:paraId="1C107FDA" w14:textId="2C5A4A3D">
      <w:pPr>
        <w:spacing w:after="160" w:line="360"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GB"/>
        </w:rPr>
        <w:t>The creation of learning environments is emphasised in the National Core Curriculum (2016) for basic education. Vitikka, Krokfors and Hurmerinta (2012) state that teaching and learning are increasingly taking place outside of the traditional classroom as well. For example, classes are being held outside and field trips are being taken to businesses, museums and other places. This research shows that creating real-life authentic experiences is a core aspect of the Finnish curriculum. This research highlights that creating authentic contexts for learners is being identified as a crucial aspect of children’s education all over the world.</w:t>
      </w:r>
    </w:p>
    <w:p w:rsidR="50AAF100" w:rsidP="44398305" w:rsidRDefault="50AAF100" w14:paraId="20B4CC68" w14:textId="4A39A9C6">
      <w:pPr>
        <w:spacing w:after="160" w:line="360"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Through planning and implementing this lesson, cross-curricular themes of well-being, numeracy, languages, literacy and communication were developed. Well-being was developed during this lesson through promoting healthy eating habits. This is important because the British Nutrition Foundation (2022) states that a varied and balanced diet is crucial in ensuring that children receive all the nutrients and energy they require for healthy development and upkeep. Numeracy was developed throughout this lesson through the children cutting vegetables into equal parts, measuring ingredients and timing how long they should cook their soup for. Education Scotland (2023) expresses the importance of encouraging numeracy skills in real-life contexts through explaining that being numerate and capable of functioning properly in daily life, including the workplace, comes from being able to use numeracy abilities in a range of real-life circumstances. Languages, literacy and communication was developed throughout this lesson through the children having conversations with each other, questioning each other, decision making together and building teams. </w:t>
      </w: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Morrisroe (2014) </w:t>
      </w: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GB"/>
        </w:rPr>
        <w:t>emphasises the importance of developing literacy skills as he states that literacy has a big impact on a range of outcomes, including earning potential, health, and well-being.</w:t>
      </w:r>
    </w:p>
    <w:p w:rsidR="50AAF100" w:rsidP="45A12CBB" w:rsidRDefault="50AAF100" w14:paraId="75D20E91" w14:textId="0B59DF92">
      <w:pPr>
        <w:spacing w:after="160" w:line="360"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Ensuring that I planned </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using</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cross-curricular themes was crucial as in the Successful Futures review, Donaldson (2015) </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stated</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that all educators and others who engage with children and youth have cross-curricular responsibilities for literacy, numeracy, and digital competency. The design of the curriculum must guarantee that children and young people </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acquire</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high degrees of </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proficiency</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 these areas and are </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frequently</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given the chance to grow, expand, and use them in a variety of curricular areas (Donaldson, 2015, p.40). This is embodied in one of the 12 pedagogical principles where it </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states</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that ‘good teaching regularly reinforces the cross-curricular skills of literacy, </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numeracy</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digital competencies. Connections can be </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established</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between Donalson and the Curriculum for Wales, as the Welsh Government (2022) state that digital competence, literacy, and numeracy are mandatory cross-curricular competencies. They say it will be the duty of all practitioners to cultivate and guarantee the progression of these skills throughout all curriculum areas. This emphasises the importance of planning using cross-curricular themes. </w:t>
      </w:r>
    </w:p>
    <w:p w:rsidR="50AAF100" w:rsidP="44398305" w:rsidRDefault="50AAF100" w14:paraId="6240D80D" w14:textId="41B5FDD1">
      <w:pPr>
        <w:spacing w:after="160" w:line="360"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Kerry (2015) states that cross-curricular themes allow for a more thorough and immersive educational experience, therefore, planning with them can help students learn in a more meaningful and engaging way. </w:t>
      </w:r>
    </w:p>
    <w:p w:rsidR="50AAF100" w:rsidP="44398305" w:rsidRDefault="50AAF100" w14:paraId="0DF00FDA" w14:textId="1BE106AA">
      <w:pPr>
        <w:spacing w:after="160" w:line="360"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According to Barnes (2015), by utilising cross-curricular themes in planning, students can apply their knowledge and abilities to new situations, increasing the flexibility and relevance of their learning outside of the classroom. Gaining transferable skills enables students to comprehend ideas more deeply and apply them to a variety of academic disciplines and real-life situations. </w:t>
      </w:r>
    </w:p>
    <w:p w:rsidR="50AAF100" w:rsidP="44398305" w:rsidRDefault="50AAF100" w14:paraId="50A7C6A5" w14:textId="28DC54E8">
      <w:pPr>
        <w:spacing w:after="160" w:line="360"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Johnson (2013)</w:t>
      </w: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states that cross-curricular theme planning can help students become more adept at critical thinking by pushing them to examine data from multiple angles and draw connections between different subjects. When students work on multiple areas of learning at once, they are forced to exercise critical thinking, assess the validity of the data, and make judgements based on a wider body of knowledge. Their ability for imaginative thinking, critical analysis, and problem-solving is improved by this process. </w:t>
      </w:r>
    </w:p>
    <w:p w:rsidR="50AAF100" w:rsidP="44398305" w:rsidRDefault="50AAF100" w14:paraId="2192A117" w14:textId="0B9C2D27">
      <w:pPr>
        <w:spacing w:after="160" w:line="360"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Although there are numerous advantages to cross-curricular theme planning, there are certain drawbacks to take into consideration. Fuglei (2016) states that the difficulty of combining several disciplines and bringing them all together cohesively within a curriculum is one of its limitations. Creating integrated lesson plans that successfully integrate several disciplines might take a lot of work for teachers. Furthermore, it can be difficult to make sure that each subject is well represented and that learning objectives are being met across the board. According to Sullivan (2019), one potential drawback of integrating many subjects is the possibility of overlapping content or gaps in coverage. Students may have inconsistent learning as a result of this. Despite these drawbacks, Barnes (2015) states that cross-curricular themes can be an effective teaching strategy when implemented with careful preparation, teacher collaboration, and continuous assessment. </w:t>
      </w:r>
    </w:p>
    <w:p w:rsidR="50AAF100" w:rsidP="44398305" w:rsidRDefault="50AAF100" w14:paraId="0D974C35" w14:textId="3D36DDCD">
      <w:pPr>
        <w:spacing w:after="160" w:line="360"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Through planning this lesson, the message that was intended for the learners to take forward with them is to respect others, look after the environment and be in control of their own actions. This encourages the children to become ethically informed citizens which links to the four purposes within the Curriculum for Wales (2020). Throughout this lesson, myself and my colleagues were modelling these behaviours to the children. This is in line with Bandura’s social learning theory (1977) where he believes that children observe and mimic actions they see in other people (Cherry, 2022). This was demonstrated in his Bobo doll experiment (Graham and Arshad-Ayaz, 2016).  </w:t>
      </w:r>
    </w:p>
    <w:p w:rsidR="50AAF100" w:rsidP="44398305" w:rsidRDefault="50AAF100" w14:paraId="3059F47C" w14:textId="7B85AC48">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Bronfenbrenner's ecological systems model is a concept that adopts a holistic perspective, suggesting that child development entails a dynamic interplay between biological, psychological, social, and environmental factors (Cherry, 2023). The microsystem, which consists of a person's immediate surroundings, has an immediate and direct impact on the individual.  Cherry (2023) suggests that these relationships and interactions inside the microsystem are reciprocal. These interactions are intimate and direct, which means that they have a significant impact on how people develop and behave. Similarly, Vygotsky strongly believed that community is essential to the act of "making meaning." Cooperative and collaborative learning between children and peers or teachers is encouraged by Vygotsky's theory (Mcleod, 2024). This research highlights the importance of creating and maintaining positive relationships within the microsystem. With this research in mind, I invited parents/carers/guardians of the children in my class to join at the end of the soup making day to sample the soup with their children. Estyn (2018), the Inspectorate for Wales, has consistently promoted the use of parental and community engagement. Through involving the parents in the soup making day, this created a sense of cynefin. The Welsh Government (2020) states that ‘Cynefin’ is the place where we feel we belong. Through involving the parents, this has connected the school, learners and community together. A report written by the Education Endowment Foundation (2021) states that parents are essential in helping their children learn, and higher parental engagement levels are regularly linked to improved academic performance. Over the course of a year, evidence from their Teaching and Learning Toolkit indicates that successful parental participation can result in learning gains of +3 months. This research emphasises the importance of involving parents in learning.  </w:t>
      </w:r>
    </w:p>
    <w:p w:rsidR="50AAF100" w:rsidP="44398305" w:rsidRDefault="50AAF100" w14:paraId="136267FB" w14:textId="772F2BD9">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GB"/>
        </w:rPr>
        <w:t>By planning this soup making lesson, this has enabled the children to take part in meaningful learning experiences. Marks and McIntosh (2006) states that students that engage in meaningful learning experiences can relate what they have learned not only to prior information and experiences but also to innovations and new techniques. In agreement to this, Kostiainen et al (2018) states that meaningful learning opportunities have the power to alter and upend preexisting, frequently basic ideas about teaching and learning. On the other hand, Herrington, Parker and Boase-Jelinek (2014) state that one limitation to creating these experiences for learner is that it is time consuming, because creating meaningful real-life contexts for students involves developing relevant scenarios, the acquisition of resources, and the alignment of activities with learning intentions.</w:t>
      </w:r>
    </w:p>
    <w:p w:rsidR="50AAF100" w:rsidP="44398305" w:rsidRDefault="50AAF100" w14:paraId="5BAF9A9E" w14:textId="689FF305">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Throughout the lesson, the children were motivated and engaged in their learning and were keen to take control of the responsibilities. Beachboard (2020) states that through increasing motivation, this results in higher levels of engagement and satisfaction with daily tasks. In relation to this, according to Cents-Boonstra et al., (2020) teachers inspire students to participate and perform well when they design their lessons with an emphasis on intrinsic motivation. </w:t>
      </w:r>
    </w:p>
    <w:p w:rsidR="50AAF100" w:rsidP="44398305" w:rsidRDefault="50AAF100" w14:paraId="76627307" w14:textId="50380A3E">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This lesson enabled the children to improve their problem-solving skills. This was achieved by applying a growth mindset when approaching a possible challenge such as the soup being too watery for example, the children used their problem-solving skills to come up with a solution to the problem which was to add more vegetables and stock. A study conducted in Singapore showed that by improving problem-solving skills, children will see an improvement in academic results, increase in confidence and helps children prepare for real-world challenges (Swanson, 2023). </w:t>
      </w:r>
    </w:p>
    <w:p w:rsidR="50AAF100" w:rsidP="44398305" w:rsidRDefault="50AAF100" w14:paraId="3A865538" w14:textId="62227848">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children developed their transferable skills through learning how to wash, cut and prepare vegetables. This is important because all skills that can be transferred back into their own kitchens at home and aids as preparation for the real world (Williams, 2019). </w:t>
      </w:r>
    </w:p>
    <w:p w:rsidR="50AAF100" w:rsidP="44398305" w:rsidRDefault="50AAF100" w14:paraId="6F37D9CA" w14:textId="109BEB02">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These are few of many skills that the children have developed as a result of this real-life authentic experience, which shows its benefits, however there are barriers to consider. </w:t>
      </w:r>
    </w:p>
    <w:p w:rsidR="50AAF100" w:rsidP="45A12CBB" w:rsidRDefault="50AAF100" w14:paraId="50981F99" w14:textId="10A0C615">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Paul (2021) the director of Research and Professional Development at the Center for Critical Thinking, states while he is not against creating real-life contexts for learners, he could warn that in the absence of critical thinking, experiential learning can turn into a mindless exercise in taking in information without challenging or assessing it.</w:t>
      </w:r>
    </w:p>
    <w:p w:rsidR="50AAF100" w:rsidP="44398305" w:rsidRDefault="50AAF100" w14:paraId="6B53697A" w14:textId="7158150D">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Jones (2008) states that the cost of implementing real-life authentic experiences can be high. The cost of arranging for outside agencies to come in, the use of resources, buying ingredients, this is not always affordable for schools. </w:t>
      </w:r>
    </w:p>
    <w:p w:rsidR="50AAF100" w:rsidP="45A12CBB" w:rsidRDefault="50AAF100" w14:paraId="3A201F3B" w14:textId="5B44E637">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Highlighted in Ofsted report (2021/22), lack of staff could be a barrier faced when planning real-life learning experiences. This is because some experiences may take place on school trips, therefore there must be </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an appropriate student</w:t>
      </w:r>
      <w:r w:rsidRPr="45A12CBB"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 staff ratio (Lawler, 2022). </w:t>
      </w:r>
    </w:p>
    <w:p w:rsidR="50AAF100" w:rsidP="44398305" w:rsidRDefault="50AAF100" w14:paraId="36551221" w14:textId="64D5DCF0">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This was not the case with my lesson; however, I did need the help of the outside agencies in terms of expertise. Another barrier when planning real-life authentic lessons can be the lack of expertise. Armstrong (2015) identified this as a barrier because having knowledgeable people around can significantly improve learning. Experts can offer insightful advice, direction, and constructive criticism to make sure students are exposed to reliable and high-quality material. </w:t>
      </w:r>
      <w:r w:rsidRPr="44398305" w:rsidR="50AAF10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50AAF100" w:rsidP="44398305" w:rsidRDefault="50AAF100" w14:paraId="72956A46" w14:textId="6BCF68C7">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GB"/>
        </w:rPr>
        <w:t>In conclusion, this critical reflection plan has enabled me to recognise the importance of creating real-life experiences for learners within the classroom. In addition to giving children the chance to explore new things with all of their senses, this type of learning boosts motivation, can improve behaviour because the child is more involved, helps children develop their language and communication skills because real-life learning experiences give them topics to discuss, and ultimately helps children gain a deeper understanding of the world (Anglia, 2016).</w:t>
      </w:r>
    </w:p>
    <w:p w:rsidR="50AAF100" w:rsidP="44398305" w:rsidRDefault="50AAF100" w14:paraId="28EC232D" w14:textId="7B24BD3C">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 am confident in my ability to plan these experiences for learners having explored the complexities of creating these experiences for students. Having explored possible barriers of implementing and creating real-life experiences for learners I have considered possible solutions of how to overcome these barriers, for example to help with the cost of these experiences, fundraisers could be a good way of raising money. School fundraising is crucial because it provides funding for students' extracurricular activities, field excursions, and other educational enrichment opportunities (Team, 2022). </w:t>
      </w:r>
    </w:p>
    <w:p w:rsidR="50AAF100" w:rsidP="44398305" w:rsidRDefault="50AAF100" w14:paraId="72200D67" w14:textId="09E4EC05">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For the barrier of staffing, I will conduct research for real-life experiences that don’t require additional staff, for example, experiences that can take place within the classroom. For the lack of expertise barrier, I will conduct personal research and develop my own expertise to provide these experiences for learners. Collaborating with staff within the school and sharing expertise with one another. </w:t>
      </w:r>
    </w:p>
    <w:p w:rsidR="50AAF100" w:rsidP="44398305" w:rsidRDefault="50AAF100" w14:paraId="24ED85DD" w14:textId="77EE92EF">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GB"/>
        </w:rPr>
        <w:t>For next steps, I will continue to use the reflective model (See appendix 1) to ensure that I am being reflective in my learning. I will continue to develop the standards within the innovation section of the Professional Learning Passport, ensuring that I am continuing professional learning to develop my personal practice. Furthermore, I understand the importance of imparting my own experiences—both the success and challenges—about the execution and creation of real-life experiences for students, and I want to share this professional development with my future colleagues in the hopes of promoting growth and progression (Estyn, 2022).</w:t>
      </w:r>
    </w:p>
    <w:p w:rsidR="50AAF100" w:rsidP="44398305" w:rsidRDefault="50AAF100" w14:paraId="77CDC2AD" w14:textId="23C70613">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References</w:t>
      </w:r>
    </w:p>
    <w:p w:rsidR="50AAF100" w:rsidP="44398305" w:rsidRDefault="50AAF100" w14:paraId="098BE574" w14:textId="1A08CD2B">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Abdulwahed, M., &amp; Nagy, Z. (2009). Applying Kolb's Experiential Learning Cycle for Laboratory Education. Journal Of Engineering Education, 98(3), 283-294. </w:t>
      </w:r>
      <w:hyperlink r:id="R404de453e974421c">
        <w:r w:rsidRPr="44398305" w:rsidR="50AAF100">
          <w:rPr>
            <w:rStyle w:val="Hyperlink"/>
            <w:b w:val="0"/>
            <w:bCs w:val="0"/>
            <w:i w:val="1"/>
            <w:iCs w:val="1"/>
            <w:caps w:val="0"/>
            <w:smallCaps w:val="0"/>
            <w:strike w:val="0"/>
            <w:dstrike w:val="0"/>
            <w:noProof w:val="0"/>
            <w:lang w:val="en-GB"/>
          </w:rPr>
          <w:t>https://doi.org/10.1002/j.2168-9830.2009.tb01025.x</w:t>
        </w:r>
      </w:hyperlink>
      <w:r w:rsidRPr="44398305" w:rsidR="50AAF100">
        <w:rPr>
          <w:rFonts w:ascii="Calibri" w:hAnsi="Calibri" w:eastAsia="Calibri" w:cs="Calibri"/>
          <w:b w:val="0"/>
          <w:bCs w:val="0"/>
          <w:i w:val="1"/>
          <w:iCs w:val="1"/>
          <w:caps w:val="0"/>
          <w:smallCaps w:val="0"/>
          <w:strike w:val="0"/>
          <w:dstrike w:val="0"/>
          <w:noProof w:val="0"/>
          <w:color w:val="000000" w:themeColor="text1" w:themeTint="FF" w:themeShade="FF"/>
          <w:sz w:val="22"/>
          <w:szCs w:val="22"/>
          <w:u w:val="single"/>
          <w:lang w:val="en-GB"/>
        </w:rPr>
        <w:t xml:space="preserve"> </w:t>
      </w:r>
      <w:r w:rsidRPr="44398305" w:rsidR="50AAF10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(Accessed: 03 April 2024)</w:t>
      </w:r>
    </w:p>
    <w:p w:rsidR="50AAF100" w:rsidP="44398305" w:rsidRDefault="50AAF100" w14:paraId="11DE3F19" w14:textId="48C6D25D">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Anglia, N. (2016) </w:t>
      </w:r>
      <w:r w:rsidRPr="44398305" w:rsidR="50AAF100">
        <w:rPr>
          <w:rFonts w:ascii="Calibri" w:hAnsi="Calibri" w:eastAsia="Calibri" w:cs="Calibri"/>
          <w:b w:val="0"/>
          <w:bCs w:val="0"/>
          <w:i w:val="1"/>
          <w:iCs w:val="1"/>
          <w:caps w:val="0"/>
          <w:smallCaps w:val="0"/>
          <w:noProof w:val="0"/>
          <w:color w:val="000000" w:themeColor="text1" w:themeTint="FF" w:themeShade="FF"/>
          <w:sz w:val="22"/>
          <w:szCs w:val="22"/>
          <w:lang w:val="en-US"/>
        </w:rPr>
        <w:t>The Importance of Real-Life Experience</w:t>
      </w: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[online] Available at: </w:t>
      </w:r>
      <w:hyperlink r:id="Rce684158a5ac419c">
        <w:r w:rsidRPr="44398305" w:rsidR="50AAF100">
          <w:rPr>
            <w:rStyle w:val="Hyperlink"/>
            <w:b w:val="0"/>
            <w:bCs w:val="0"/>
            <w:i w:val="0"/>
            <w:iCs w:val="0"/>
            <w:caps w:val="0"/>
            <w:smallCaps w:val="0"/>
            <w:strike w:val="0"/>
            <w:dstrike w:val="0"/>
            <w:noProof w:val="0"/>
            <w:lang w:val="en-US"/>
          </w:rPr>
          <w:t>https://www.nordangliaeducation.com/nais-al-khor/news/2023/07/20/the-importance-of-real-life-experience</w:t>
        </w:r>
      </w:hyperlink>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05 April 2024)</w:t>
      </w:r>
    </w:p>
    <w:p w:rsidR="50AAF100" w:rsidP="44398305" w:rsidRDefault="50AAF100" w14:paraId="047E3020" w14:textId="58CC24A6">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Armstrong, P. (2015). </w:t>
      </w:r>
      <w:r w:rsidRPr="44398305" w:rsidR="50AAF100">
        <w:rPr>
          <w:rFonts w:ascii="Calibri" w:hAnsi="Calibri" w:eastAsia="Calibri" w:cs="Calibri"/>
          <w:b w:val="0"/>
          <w:bCs w:val="0"/>
          <w:i w:val="1"/>
          <w:iCs w:val="1"/>
          <w:caps w:val="0"/>
          <w:smallCaps w:val="0"/>
          <w:noProof w:val="0"/>
          <w:color w:val="000000" w:themeColor="text1" w:themeTint="FF" w:themeShade="FF"/>
          <w:sz w:val="22"/>
          <w:szCs w:val="22"/>
          <w:lang w:val="en-US"/>
        </w:rPr>
        <w:t>Effective school partnerships and collaboration for school improvement: a review of the evidence Research report October 2015</w:t>
      </w: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[online] Available at: </w:t>
      </w:r>
      <w:hyperlink r:id="R976028f9d25f4c9d">
        <w:r w:rsidRPr="44398305" w:rsidR="50AAF100">
          <w:rPr>
            <w:rStyle w:val="Hyperlink"/>
            <w:b w:val="0"/>
            <w:bCs w:val="0"/>
            <w:i w:val="0"/>
            <w:iCs w:val="0"/>
            <w:caps w:val="0"/>
            <w:smallCaps w:val="0"/>
            <w:strike w:val="0"/>
            <w:dstrike w:val="0"/>
            <w:noProof w:val="0"/>
            <w:lang w:val="en-US"/>
          </w:rPr>
          <w:t>https://assets.publishing.service.gov.uk/government/uploads/system/uploads/attachment_data/file/467855/DFE-RR466_-_School_improvement_effective_school_partnerships.pdf</w:t>
        </w:r>
      </w:hyperlink>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(Accessed: 04 April 2024)</w:t>
      </w:r>
    </w:p>
    <w:p w:rsidR="50AAF100" w:rsidP="44398305" w:rsidRDefault="50AAF100" w14:paraId="7DE69068" w14:textId="257B0EC5">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Arseven, A. (2014). The Reggio Emilia approach and curriculum development process. </w:t>
      </w:r>
      <w:r w:rsidRPr="44398305" w:rsidR="50AAF100">
        <w:rPr>
          <w:rFonts w:ascii="Calibri" w:hAnsi="Calibri" w:eastAsia="Calibri" w:cs="Calibri"/>
          <w:b w:val="0"/>
          <w:bCs w:val="0"/>
          <w:i w:val="1"/>
          <w:iCs w:val="1"/>
          <w:caps w:val="0"/>
          <w:smallCaps w:val="0"/>
          <w:noProof w:val="0"/>
          <w:color w:val="000000" w:themeColor="text1" w:themeTint="FF" w:themeShade="FF"/>
          <w:sz w:val="22"/>
          <w:szCs w:val="22"/>
          <w:lang w:val="en-US"/>
        </w:rPr>
        <w:t>International Journal of Academic Research</w:t>
      </w: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[online] 6(1), pp.166–171. doi:https://doi.org/10.7813/2075-4124.2014/6-1/b.23. (Accessed: 03 April 2024)</w:t>
      </w:r>
    </w:p>
    <w:p w:rsidR="50AAF100" w:rsidP="44398305" w:rsidRDefault="50AAF100" w14:paraId="0175B1E2" w14:textId="22E29B4A">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Bandura, A. (1977). </w:t>
      </w:r>
      <w:r w:rsidRPr="44398305" w:rsidR="50AAF100">
        <w:rPr>
          <w:rFonts w:ascii="Calibri" w:hAnsi="Calibri" w:eastAsia="Calibri" w:cs="Calibri"/>
          <w:b w:val="0"/>
          <w:bCs w:val="0"/>
          <w:i w:val="1"/>
          <w:iCs w:val="1"/>
          <w:caps w:val="0"/>
          <w:smallCaps w:val="0"/>
          <w:noProof w:val="0"/>
          <w:color w:val="000000" w:themeColor="text1" w:themeTint="FF" w:themeShade="FF"/>
          <w:sz w:val="22"/>
          <w:szCs w:val="22"/>
          <w:lang w:val="en-US"/>
        </w:rPr>
        <w:t>Social learning theory</w:t>
      </w: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New York: General Learning Press. (Accessed: 03 April 2024)</w:t>
      </w:r>
    </w:p>
    <w:p w:rsidR="50AAF100" w:rsidP="44398305" w:rsidRDefault="50AAF100" w14:paraId="23D3C27B" w14:textId="7C7B03BF">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Barnes, J. (2015). </w:t>
      </w:r>
      <w:r w:rsidRPr="44398305" w:rsidR="50AAF100">
        <w:rPr>
          <w:rFonts w:ascii="Calibri" w:hAnsi="Calibri" w:eastAsia="Calibri" w:cs="Calibri"/>
          <w:b w:val="0"/>
          <w:bCs w:val="0"/>
          <w:i w:val="1"/>
          <w:iCs w:val="1"/>
          <w:caps w:val="0"/>
          <w:smallCaps w:val="0"/>
          <w:noProof w:val="0"/>
          <w:color w:val="000000" w:themeColor="text1" w:themeTint="FF" w:themeShade="FF"/>
          <w:sz w:val="22"/>
          <w:szCs w:val="22"/>
          <w:lang w:val="en-US"/>
        </w:rPr>
        <w:t>An Introduction to Cross-Curricular Learning</w:t>
      </w: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[online] ResearchGate. Available at: </w:t>
      </w:r>
      <w:hyperlink r:id="Rc516a1463dd04a41">
        <w:r w:rsidRPr="44398305" w:rsidR="50AAF100">
          <w:rPr>
            <w:rStyle w:val="Hyperlink"/>
            <w:b w:val="0"/>
            <w:bCs w:val="0"/>
            <w:i w:val="0"/>
            <w:iCs w:val="0"/>
            <w:caps w:val="0"/>
            <w:smallCaps w:val="0"/>
            <w:strike w:val="0"/>
            <w:dstrike w:val="0"/>
            <w:noProof w:val="0"/>
            <w:lang w:val="en-US"/>
          </w:rPr>
          <w:t>https://www.researchgate.net/publication/274313611_An_Introduction_to_Cross-Curricular_Learning</w:t>
        </w:r>
      </w:hyperlink>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(Accessed: 04 April 2024)</w:t>
      </w:r>
    </w:p>
    <w:p w:rsidR="50AAF100" w:rsidP="44398305" w:rsidRDefault="50AAF100" w14:paraId="1FE7E590" w14:textId="7F0B7F30">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Beachboard, C. (2020) </w:t>
      </w:r>
      <w:r w:rsidRPr="44398305" w:rsidR="50AAF100">
        <w:rPr>
          <w:rFonts w:ascii="Calibri" w:hAnsi="Calibri" w:eastAsia="Calibri" w:cs="Calibri"/>
          <w:b w:val="0"/>
          <w:bCs w:val="0"/>
          <w:i w:val="1"/>
          <w:iCs w:val="1"/>
          <w:caps w:val="0"/>
          <w:smallCaps w:val="0"/>
          <w:noProof w:val="0"/>
          <w:color w:val="000000" w:themeColor="text1" w:themeTint="FF" w:themeShade="FF"/>
          <w:sz w:val="22"/>
          <w:szCs w:val="22"/>
          <w:lang w:val="en-US"/>
        </w:rPr>
        <w:t>Help Students Build Intrinsic Motivation</w:t>
      </w: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[online] Available at: </w:t>
      </w:r>
      <w:hyperlink w:anchor=":~:text=Increasing%20intrinsic%20motivation%20in%20everyday%20activities%20yields%20greater" r:id="R471bec06e50d47c3">
        <w:r w:rsidRPr="44398305" w:rsidR="50AAF100">
          <w:rPr>
            <w:rStyle w:val="Hyperlink"/>
            <w:b w:val="0"/>
            <w:bCs w:val="0"/>
            <w:i w:val="0"/>
            <w:iCs w:val="0"/>
            <w:caps w:val="0"/>
            <w:smallCaps w:val="0"/>
            <w:strike w:val="0"/>
            <w:dstrike w:val="0"/>
            <w:noProof w:val="0"/>
            <w:lang w:val="en-US"/>
          </w:rPr>
          <w:t>https://www.edutopia.org/article/help-students-build-intrinsic-motivation#:~:text=Increasing%20intrinsic%20motivation%20in%20everyday%20activities%20yields%20greater</w:t>
        </w:r>
      </w:hyperlink>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04 April 2024)</w:t>
      </w:r>
    </w:p>
    <w:p w:rsidR="50AAF100" w:rsidP="44398305" w:rsidRDefault="50AAF100" w14:paraId="3740618D" w14:textId="06383AA9">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noProof w:val="0"/>
          <w:color w:val="241C15"/>
          <w:sz w:val="22"/>
          <w:szCs w:val="22"/>
          <w:lang w:val="en-GB"/>
        </w:rPr>
        <w:t xml:space="preserve">Bergsteiner, H., &amp; Avery, G. (2014). atwin-cycle experiential learning model: reconceptualizing Kolb's theory. Studies In Continuing Education, 36(3), 257-274. </w:t>
      </w:r>
      <w:hyperlink r:id="R557805202dbc421f">
        <w:r w:rsidRPr="44398305" w:rsidR="50AAF100">
          <w:rPr>
            <w:rStyle w:val="Hyperlink"/>
            <w:b w:val="0"/>
            <w:bCs w:val="0"/>
            <w:i w:val="1"/>
            <w:iCs w:val="1"/>
            <w:caps w:val="0"/>
            <w:smallCaps w:val="0"/>
            <w:strike w:val="0"/>
            <w:dstrike w:val="0"/>
            <w:noProof w:val="0"/>
            <w:lang w:val="en-GB"/>
          </w:rPr>
          <w:t>https://doi.org/10.1080/0158037x.2014.904782</w:t>
        </w:r>
      </w:hyperlink>
      <w:r w:rsidRPr="44398305" w:rsidR="50AAF100">
        <w:rPr>
          <w:rFonts w:ascii="Calibri" w:hAnsi="Calibri" w:eastAsia="Calibri" w:cs="Calibri"/>
          <w:b w:val="0"/>
          <w:bCs w:val="0"/>
          <w:i w:val="1"/>
          <w:iCs w:val="1"/>
          <w:caps w:val="0"/>
          <w:smallCaps w:val="0"/>
          <w:strike w:val="0"/>
          <w:dstrike w:val="0"/>
          <w:noProof w:val="0"/>
          <w:color w:val="241C15"/>
          <w:sz w:val="22"/>
          <w:szCs w:val="22"/>
          <w:u w:val="single"/>
          <w:lang w:val="en-GB"/>
        </w:rPr>
        <w:t xml:space="preserve"> </w:t>
      </w:r>
      <w:r w:rsidRPr="44398305" w:rsidR="50AAF10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(Accessed: 03 April 2024)</w:t>
      </w:r>
    </w:p>
    <w:p w:rsidR="50AAF100" w:rsidP="44398305" w:rsidRDefault="50AAF100" w14:paraId="75298DBD" w14:textId="235BE710">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British Nutrition Foundation (2022). </w:t>
      </w:r>
      <w:r w:rsidRPr="44398305" w:rsidR="50AAF100">
        <w:rPr>
          <w:rFonts w:ascii="Calibri" w:hAnsi="Calibri" w:eastAsia="Calibri" w:cs="Calibri"/>
          <w:b w:val="0"/>
          <w:bCs w:val="0"/>
          <w:i w:val="1"/>
          <w:iCs w:val="1"/>
          <w:caps w:val="0"/>
          <w:smallCaps w:val="0"/>
          <w:noProof w:val="0"/>
          <w:color w:val="000000" w:themeColor="text1" w:themeTint="FF" w:themeShade="FF"/>
          <w:sz w:val="22"/>
          <w:szCs w:val="22"/>
          <w:lang w:val="en-US"/>
        </w:rPr>
        <w:t>Nutrition for children</w:t>
      </w: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[online] British Nutrition Foundation. Available at: </w:t>
      </w:r>
      <w:hyperlink r:id="R052805c5c0884564">
        <w:r w:rsidRPr="44398305" w:rsidR="50AAF100">
          <w:rPr>
            <w:rStyle w:val="Hyperlink"/>
            <w:b w:val="0"/>
            <w:bCs w:val="0"/>
            <w:i w:val="0"/>
            <w:iCs w:val="0"/>
            <w:caps w:val="0"/>
            <w:smallCaps w:val="0"/>
            <w:noProof w:val="0"/>
            <w:lang w:val="en-US"/>
          </w:rPr>
          <w:t>https://www.nutrition.org.uk/nutrition-for/children/</w:t>
        </w:r>
      </w:hyperlink>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(Accessed: 04 April 2024)</w:t>
      </w:r>
    </w:p>
    <w:p w:rsidR="50AAF100" w:rsidP="44398305" w:rsidRDefault="50AAF100" w14:paraId="7D3FC500" w14:textId="2EF4BBCB">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Cents-Boonstra, M., Lichtwarck-Aschoff, A., Denessen, E., Aelterman, N. and Haerens, L. (2020). Fostering student engagement with motivating teaching: an observation study of teacher and student behaviours. </w:t>
      </w:r>
      <w:r w:rsidRPr="44398305" w:rsidR="50AAF100">
        <w:rPr>
          <w:rFonts w:ascii="Calibri" w:hAnsi="Calibri" w:eastAsia="Calibri" w:cs="Calibri"/>
          <w:b w:val="0"/>
          <w:bCs w:val="0"/>
          <w:i w:val="1"/>
          <w:iCs w:val="1"/>
          <w:caps w:val="0"/>
          <w:smallCaps w:val="0"/>
          <w:noProof w:val="0"/>
          <w:color w:val="000000" w:themeColor="text1" w:themeTint="FF" w:themeShade="FF"/>
          <w:sz w:val="22"/>
          <w:szCs w:val="22"/>
          <w:lang w:val="en-US"/>
        </w:rPr>
        <w:t>Research Papers in Education</w:t>
      </w: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[online] 36(6), pp.1–26. doi:https://doi.org/10.1080/02671522.2020.1767184. (Accessed: 04 April 2024)</w:t>
      </w:r>
    </w:p>
    <w:p w:rsidR="50AAF100" w:rsidP="44398305" w:rsidRDefault="50AAF100" w14:paraId="1540A891" w14:textId="2A9246B5">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Coe, R., Rauch, C., Kime, S. and Singleton, D. (2020). </w:t>
      </w:r>
      <w:r w:rsidRPr="44398305" w:rsidR="50AAF100">
        <w:rPr>
          <w:rFonts w:ascii="Calibri" w:hAnsi="Calibri" w:eastAsia="Calibri" w:cs="Calibri"/>
          <w:b w:val="0"/>
          <w:bCs w:val="0"/>
          <w:i w:val="1"/>
          <w:iCs w:val="1"/>
          <w:caps w:val="0"/>
          <w:smallCaps w:val="0"/>
          <w:noProof w:val="0"/>
          <w:color w:val="000000" w:themeColor="text1" w:themeTint="FF" w:themeShade="FF"/>
          <w:sz w:val="22"/>
          <w:szCs w:val="22"/>
          <w:lang w:val="en-GB"/>
        </w:rPr>
        <w:t>Evidence Review Great Teaching Toolkit In partnership with</w:t>
      </w: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Available at: </w:t>
      </w:r>
      <w:hyperlink r:id="Ra4db38e2ccfe4291">
        <w:r w:rsidRPr="44398305" w:rsidR="50AAF100">
          <w:rPr>
            <w:rStyle w:val="Hyperlink"/>
            <w:b w:val="0"/>
            <w:bCs w:val="0"/>
            <w:i w:val="0"/>
            <w:iCs w:val="0"/>
            <w:caps w:val="0"/>
            <w:smallCaps w:val="0"/>
            <w:strike w:val="0"/>
            <w:dstrike w:val="0"/>
            <w:noProof w:val="0"/>
            <w:lang w:val="en-GB"/>
          </w:rPr>
          <w:t>https://assets.website-files.com/5ee28729f7b4a5fa99bef2b3/5ee9f507021911ae35ac6c4d_EBE_GTT_EVIDENCE%20REVIEW_DIGITAL.p</w:t>
        </w:r>
      </w:hyperlink>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4398305" w:rsidR="50AAF10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(Accessed: 03 April 2024)</w:t>
      </w:r>
    </w:p>
    <w:p w:rsidR="50AAF100" w:rsidP="44398305" w:rsidRDefault="50AAF100" w14:paraId="5ECB311A" w14:textId="2FA6D4C9">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Colagrossi, M. (2018). </w:t>
      </w:r>
      <w:r w:rsidRPr="44398305" w:rsidR="50AAF100">
        <w:rPr>
          <w:rFonts w:ascii="Calibri" w:hAnsi="Calibri" w:eastAsia="Calibri" w:cs="Calibri"/>
          <w:b w:val="0"/>
          <w:bCs w:val="0"/>
          <w:i w:val="1"/>
          <w:iCs w:val="1"/>
          <w:caps w:val="0"/>
          <w:smallCaps w:val="0"/>
          <w:noProof w:val="0"/>
          <w:color w:val="000000" w:themeColor="text1" w:themeTint="FF" w:themeShade="FF"/>
          <w:sz w:val="22"/>
          <w:szCs w:val="22"/>
          <w:lang w:val="en-US"/>
        </w:rPr>
        <w:t>10 Reasons Why Finland’s Education System Is the Best in the World</w:t>
      </w: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[online] World Economic Forum. Available at: </w:t>
      </w:r>
      <w:hyperlink r:id="Rcb2f4d3530c7469f">
        <w:r w:rsidRPr="44398305" w:rsidR="50AAF100">
          <w:rPr>
            <w:rStyle w:val="Hyperlink"/>
            <w:b w:val="0"/>
            <w:bCs w:val="0"/>
            <w:i w:val="0"/>
            <w:iCs w:val="0"/>
            <w:caps w:val="0"/>
            <w:smallCaps w:val="0"/>
            <w:strike w:val="0"/>
            <w:dstrike w:val="0"/>
            <w:noProof w:val="0"/>
            <w:lang w:val="en-US"/>
          </w:rPr>
          <w:t>https://www.weforum.org/agenda/2018/09/10-reasons-why-finlands-education-system-is-the-best-in-the-world/</w:t>
        </w:r>
      </w:hyperlink>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(Accessed: 03 April 2024)</w:t>
      </w:r>
    </w:p>
    <w:p w:rsidR="50AAF100" w:rsidP="44398305" w:rsidRDefault="50AAF100" w14:paraId="0C26D028" w14:textId="2DA289FC">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Cherry, K. (2022). </w:t>
      </w:r>
      <w:r w:rsidRPr="44398305" w:rsidR="50AAF100">
        <w:rPr>
          <w:rFonts w:ascii="Calibri" w:hAnsi="Calibri" w:eastAsia="Calibri" w:cs="Calibri"/>
          <w:b w:val="0"/>
          <w:bCs w:val="0"/>
          <w:i w:val="1"/>
          <w:iCs w:val="1"/>
          <w:caps w:val="0"/>
          <w:smallCaps w:val="0"/>
          <w:noProof w:val="0"/>
          <w:color w:val="000000" w:themeColor="text1" w:themeTint="FF" w:themeShade="FF"/>
          <w:sz w:val="22"/>
          <w:szCs w:val="22"/>
          <w:lang w:val="en-US"/>
        </w:rPr>
        <w:t>How Social Learning Theory Works</w:t>
      </w: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[online] Verywell Mind. Available at: </w:t>
      </w:r>
      <w:hyperlink r:id="R37fa1838e7a04d54">
        <w:r w:rsidRPr="44398305" w:rsidR="50AAF100">
          <w:rPr>
            <w:rStyle w:val="Hyperlink"/>
            <w:b w:val="0"/>
            <w:bCs w:val="0"/>
            <w:i w:val="0"/>
            <w:iCs w:val="0"/>
            <w:caps w:val="0"/>
            <w:smallCaps w:val="0"/>
            <w:strike w:val="0"/>
            <w:dstrike w:val="0"/>
            <w:noProof w:val="0"/>
            <w:lang w:val="en-US"/>
          </w:rPr>
          <w:t>https://www.verywellmind.com/social-learning-theory-2795074</w:t>
        </w:r>
      </w:hyperlink>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(Accessed: 03 April 2024)</w:t>
      </w:r>
    </w:p>
    <w:p w:rsidR="50AAF100" w:rsidP="44398305" w:rsidRDefault="50AAF100" w14:paraId="7286BC31" w14:textId="0CDA27BF">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Cherry, K. (2023). </w:t>
      </w:r>
      <w:r w:rsidRPr="44398305" w:rsidR="50AAF100">
        <w:rPr>
          <w:rFonts w:ascii="Calibri" w:hAnsi="Calibri" w:eastAsia="Calibri" w:cs="Calibri"/>
          <w:b w:val="0"/>
          <w:bCs w:val="0"/>
          <w:i w:val="1"/>
          <w:iCs w:val="1"/>
          <w:caps w:val="0"/>
          <w:smallCaps w:val="0"/>
          <w:noProof w:val="0"/>
          <w:color w:val="000000" w:themeColor="text1" w:themeTint="FF" w:themeShade="FF"/>
          <w:sz w:val="22"/>
          <w:szCs w:val="22"/>
          <w:lang w:val="en-US"/>
        </w:rPr>
        <w:t>A Comprehensive Guide to the Bronfenbrenner Ecological Model</w:t>
      </w: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[online] Verywell Mind. Available at: </w:t>
      </w:r>
      <w:hyperlink r:id="R2aeafe19f3424d09">
        <w:r w:rsidRPr="44398305" w:rsidR="50AAF100">
          <w:rPr>
            <w:rStyle w:val="Hyperlink"/>
            <w:b w:val="0"/>
            <w:bCs w:val="0"/>
            <w:i w:val="0"/>
            <w:iCs w:val="0"/>
            <w:caps w:val="0"/>
            <w:smallCaps w:val="0"/>
            <w:strike w:val="0"/>
            <w:dstrike w:val="0"/>
            <w:noProof w:val="0"/>
            <w:lang w:val="en-US"/>
          </w:rPr>
          <w:t>https://www.verywellmind.com/bronfenbrenner-ecological-model-7643403</w:t>
        </w:r>
      </w:hyperlink>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(Accessed: 03 April 2024)</w:t>
      </w:r>
    </w:p>
    <w:p w:rsidR="50AAF100" w:rsidP="44398305" w:rsidRDefault="50AAF100" w14:paraId="7366A2B6" w14:textId="34011DAA">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Curriculum for Wales (2020)</w:t>
      </w:r>
      <w:r w:rsidRPr="44398305" w:rsidR="50AAF100">
        <w:rPr>
          <w:rFonts w:ascii="Calibri" w:hAnsi="Calibri" w:eastAsia="Calibri" w:cs="Calibri"/>
          <w:b w:val="0"/>
          <w:bCs w:val="0"/>
          <w:i w:val="0"/>
          <w:iCs w:val="0"/>
          <w:caps w:val="0"/>
          <w:smallCaps w:val="0"/>
          <w:noProof w:val="0"/>
          <w:color w:val="2C3E50"/>
          <w:sz w:val="27"/>
          <w:szCs w:val="27"/>
          <w:lang w:val="en-US"/>
        </w:rPr>
        <w:t xml:space="preserve"> </w:t>
      </w:r>
      <w:r w:rsidRPr="44398305" w:rsidR="50AAF100">
        <w:rPr>
          <w:rFonts w:ascii="Calibri" w:hAnsi="Calibri" w:eastAsia="Calibri" w:cs="Calibri"/>
          <w:b w:val="0"/>
          <w:bCs w:val="0"/>
          <w:i w:val="1"/>
          <w:iCs w:val="1"/>
          <w:caps w:val="0"/>
          <w:smallCaps w:val="0"/>
          <w:noProof w:val="0"/>
          <w:color w:val="000000" w:themeColor="text1" w:themeTint="FF" w:themeShade="FF"/>
          <w:sz w:val="22"/>
          <w:szCs w:val="22"/>
          <w:lang w:val="en-US"/>
        </w:rPr>
        <w:t>The four purposes of the curriculum for Wales</w:t>
      </w: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[online] Available at: </w:t>
      </w:r>
      <w:hyperlink r:id="Ra58311976c6d48ac">
        <w:r w:rsidRPr="44398305" w:rsidR="50AAF100">
          <w:rPr>
            <w:rStyle w:val="Hyperlink"/>
            <w:b w:val="0"/>
            <w:bCs w:val="0"/>
            <w:i w:val="0"/>
            <w:iCs w:val="0"/>
            <w:caps w:val="0"/>
            <w:smallCaps w:val="0"/>
            <w:strike w:val="0"/>
            <w:dstrike w:val="0"/>
            <w:noProof w:val="0"/>
            <w:lang w:val="en-US"/>
          </w:rPr>
          <w:t>https://www.gov.wales/sites/default/files/publications/2018-03/the-four-purposes-of-the-curriculum-for-wales.pdf</w:t>
        </w:r>
      </w:hyperlink>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(Accessed: 04 April 2024)</w:t>
      </w:r>
    </w:p>
    <w:p w:rsidR="50AAF100" w:rsidP="44398305" w:rsidRDefault="50AAF100" w14:paraId="5193407E" w14:textId="722CAFE5">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Dearnly, R. (2022) </w:t>
      </w:r>
      <w:r w:rsidRPr="44398305" w:rsidR="50AAF100">
        <w:rPr>
          <w:rFonts w:ascii="Calibri" w:hAnsi="Calibri" w:eastAsia="Calibri" w:cs="Calibri"/>
          <w:b w:val="0"/>
          <w:bCs w:val="0"/>
          <w:i w:val="1"/>
          <w:iCs w:val="1"/>
          <w:caps w:val="0"/>
          <w:smallCaps w:val="0"/>
          <w:noProof w:val="0"/>
          <w:color w:val="000000" w:themeColor="text1" w:themeTint="FF" w:themeShade="FF"/>
          <w:sz w:val="22"/>
          <w:szCs w:val="22"/>
          <w:lang w:val="en-US"/>
        </w:rPr>
        <w:t>Te Whariki — New Zealand’s approach to Early Years curriculum | Croner-i</w:t>
      </w: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[online] Available at: </w:t>
      </w:r>
      <w:hyperlink r:id="Rbab9982b897549a5">
        <w:r w:rsidRPr="44398305" w:rsidR="50AAF100">
          <w:rPr>
            <w:rStyle w:val="Hyperlink"/>
            <w:b w:val="0"/>
            <w:bCs w:val="0"/>
            <w:i w:val="0"/>
            <w:iCs w:val="0"/>
            <w:caps w:val="0"/>
            <w:smallCaps w:val="0"/>
            <w:strike w:val="0"/>
            <w:dstrike w:val="0"/>
            <w:noProof w:val="0"/>
            <w:lang w:val="en-US"/>
          </w:rPr>
          <w:t>https://app.croneri.co.uk/feature-articles/te-whariki-new-zealand-s-approach-early-years-curriculum</w:t>
        </w:r>
      </w:hyperlink>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(Accessed: 03 April 2024)</w:t>
      </w:r>
    </w:p>
    <w:p w:rsidR="50AAF100" w:rsidP="44398305" w:rsidRDefault="50AAF100" w14:paraId="2EB170EE" w14:textId="58F859FB">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Donaldson, G. (2015). </w:t>
      </w:r>
      <w:r w:rsidRPr="44398305" w:rsidR="50AAF100">
        <w:rPr>
          <w:rFonts w:ascii="Calibri" w:hAnsi="Calibri" w:eastAsia="Calibri" w:cs="Calibri"/>
          <w:b w:val="0"/>
          <w:bCs w:val="0"/>
          <w:i w:val="1"/>
          <w:iCs w:val="1"/>
          <w:caps w:val="0"/>
          <w:smallCaps w:val="0"/>
          <w:noProof w:val="0"/>
          <w:color w:val="000000" w:themeColor="text1" w:themeTint="FF" w:themeShade="FF"/>
          <w:sz w:val="22"/>
          <w:szCs w:val="22"/>
          <w:lang w:val="en-GB"/>
        </w:rPr>
        <w:t>Successful Futures Independent Review of Curriculum and Assessment Arrangements in Wales</w:t>
      </w: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Available at: </w:t>
      </w:r>
      <w:hyperlink r:id="Re455f279bbe24529">
        <w:r w:rsidRPr="44398305" w:rsidR="50AAF100">
          <w:rPr>
            <w:rStyle w:val="Hyperlink"/>
            <w:b w:val="0"/>
            <w:bCs w:val="0"/>
            <w:i w:val="0"/>
            <w:iCs w:val="0"/>
            <w:caps w:val="0"/>
            <w:smallCaps w:val="0"/>
            <w:strike w:val="0"/>
            <w:dstrike w:val="0"/>
            <w:noProof w:val="0"/>
            <w:lang w:val="en-GB"/>
          </w:rPr>
          <w:t>https://www.gov.wales/sites/default/files/publications/2018-03/successful-futures.pdf</w:t>
        </w:r>
      </w:hyperlink>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4398305" w:rsidR="50AAF10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(Accessed: 03 April 2024)</w:t>
      </w:r>
    </w:p>
    <w:p w:rsidR="50AAF100" w:rsidP="44398305" w:rsidRDefault="50AAF100" w14:paraId="12943965" w14:textId="7230B9BE">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Donaldson G. (2018) Successful futures: a summary. Available at: </w:t>
      </w:r>
      <w:hyperlink r:id="Rba7e8d8f83ba4c20">
        <w:r w:rsidRPr="44398305" w:rsidR="50AAF100">
          <w:rPr>
            <w:rStyle w:val="Hyperlink"/>
            <w:b w:val="0"/>
            <w:bCs w:val="0"/>
            <w:i w:val="0"/>
            <w:iCs w:val="0"/>
            <w:caps w:val="0"/>
            <w:smallCaps w:val="0"/>
            <w:strike w:val="0"/>
            <w:dstrike w:val="0"/>
            <w:noProof w:val="0"/>
            <w:lang w:val="en-US"/>
          </w:rPr>
          <w:t>https://gov.wales/sites/default/files/publications/2018-03/succesful-futures-a-summary-of-professor-graham-donaldsons-report.pdf</w:t>
        </w:r>
      </w:hyperlink>
      <w:r w:rsidRPr="44398305" w:rsidR="50AAF10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(Accessed: 03 April 2024)</w:t>
      </w:r>
    </w:p>
    <w:p w:rsidR="50AAF100" w:rsidP="44398305" w:rsidRDefault="50AAF100" w14:paraId="3F477ED4" w14:textId="57EFFEA8">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Education Endowment Foundation (2021) </w:t>
      </w:r>
      <w:r w:rsidRPr="44398305" w:rsidR="50AAF100">
        <w:rPr>
          <w:rFonts w:ascii="Calibri" w:hAnsi="Calibri" w:eastAsia="Calibri" w:cs="Calibri"/>
          <w:b w:val="0"/>
          <w:bCs w:val="0"/>
          <w:i w:val="1"/>
          <w:iCs w:val="1"/>
          <w:caps w:val="0"/>
          <w:smallCaps w:val="0"/>
          <w:noProof w:val="0"/>
          <w:color w:val="000000" w:themeColor="text1" w:themeTint="FF" w:themeShade="FF"/>
          <w:sz w:val="22"/>
          <w:szCs w:val="22"/>
          <w:lang w:val="en-US"/>
        </w:rPr>
        <w:t>Guidance Report WORKING WITH PARENTS TO SUPPORT CHILDREN’S LEARNING</w:t>
      </w: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[online] Available at: </w:t>
      </w:r>
      <w:hyperlink r:id="Ra9eddf568c564041">
        <w:r w:rsidRPr="44398305" w:rsidR="50AAF100">
          <w:rPr>
            <w:rStyle w:val="Hyperlink"/>
            <w:b w:val="0"/>
            <w:bCs w:val="0"/>
            <w:i w:val="0"/>
            <w:iCs w:val="0"/>
            <w:caps w:val="0"/>
            <w:smallCaps w:val="0"/>
            <w:strike w:val="0"/>
            <w:dstrike w:val="0"/>
            <w:noProof w:val="0"/>
            <w:lang w:val="en-US"/>
          </w:rPr>
          <w:t>https://d2tic4wvo1iusb.cloudfront.net/production/eef-guidance-reports/supporting-parents/EEF_Parental_Engagement_Guidance_Report.pdf?v=1712158213</w:t>
        </w:r>
      </w:hyperlink>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03 April 2024)</w:t>
      </w:r>
    </w:p>
    <w:p w:rsidR="50AAF100" w:rsidP="44398305" w:rsidRDefault="50AAF100" w14:paraId="54148502" w14:textId="7CB385F9">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Education Scotland (2023)</w:t>
      </w:r>
      <w:r w:rsidRPr="44398305" w:rsidR="50AAF100">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lang w:val="en-US"/>
        </w:rPr>
        <w:t xml:space="preserve"> The importance of numeracy and mathematics</w:t>
      </w: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fec779d5041c4bd8">
        <w:r w:rsidRPr="44398305" w:rsidR="50AAF100">
          <w:rPr>
            <w:rStyle w:val="Hyperlink"/>
            <w:b w:val="0"/>
            <w:bCs w:val="0"/>
            <w:i w:val="0"/>
            <w:iCs w:val="0"/>
            <w:caps w:val="0"/>
            <w:smallCaps w:val="0"/>
            <w:strike w:val="0"/>
            <w:dstrike w:val="0"/>
            <w:noProof w:val="0"/>
            <w:lang w:val="en-US"/>
          </w:rPr>
          <w:t>https://education.gov.scot/media/5vwbcy1m/importancenummaths.pdf</w:t>
        </w:r>
      </w:hyperlink>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(Accessed: 04 April 2024)</w:t>
      </w:r>
    </w:p>
    <w:p w:rsidR="50AAF100" w:rsidP="44398305" w:rsidRDefault="50AAF100" w14:paraId="58E29F40" w14:textId="1DDD9568">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ESTYN (2017) </w:t>
      </w:r>
      <w:r w:rsidRPr="44398305" w:rsidR="50AAF100">
        <w:rPr>
          <w:rFonts w:ascii="Calibri" w:hAnsi="Calibri" w:eastAsia="Calibri" w:cs="Calibri"/>
          <w:b w:val="0"/>
          <w:bCs w:val="0"/>
          <w:i w:val="1"/>
          <w:iCs w:val="1"/>
          <w:caps w:val="0"/>
          <w:smallCaps w:val="0"/>
          <w:noProof w:val="0"/>
          <w:color w:val="000000" w:themeColor="text1" w:themeTint="FF" w:themeShade="FF"/>
          <w:sz w:val="22"/>
          <w:szCs w:val="22"/>
          <w:lang w:val="en-US"/>
        </w:rPr>
        <w:t>Encouraging independent learners | Estyn</w:t>
      </w: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[online] Available at: </w:t>
      </w:r>
      <w:hyperlink w:anchor=":~:text=Through%20this%20approach%2C%20pupils%20can%20learn%20more%20independently" r:id="R2baacffa133b458d">
        <w:r w:rsidRPr="44398305" w:rsidR="50AAF100">
          <w:rPr>
            <w:rStyle w:val="Hyperlink"/>
            <w:b w:val="0"/>
            <w:bCs w:val="0"/>
            <w:i w:val="0"/>
            <w:iCs w:val="0"/>
            <w:caps w:val="0"/>
            <w:smallCaps w:val="0"/>
            <w:strike w:val="0"/>
            <w:dstrike w:val="0"/>
            <w:noProof w:val="0"/>
            <w:lang w:val="en-US"/>
          </w:rPr>
          <w:t>https://www.estyn.gov.wales/effective-practice/encouraging-independent-learners#:~:text=Through%20this%20approach%2C%20pupils%20can%20learn%20more%20independently</w:t>
        </w:r>
      </w:hyperlink>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03 April 2024)</w:t>
      </w:r>
    </w:p>
    <w:p w:rsidR="50AAF100" w:rsidP="44398305" w:rsidRDefault="50AAF100" w14:paraId="064EA998" w14:textId="4EF1015D">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ESTYN (2018) </w:t>
      </w:r>
      <w:r w:rsidRPr="44398305" w:rsidR="50AAF100">
        <w:rPr>
          <w:rFonts w:ascii="Calibri" w:hAnsi="Calibri" w:eastAsia="Calibri" w:cs="Calibri"/>
          <w:b w:val="0"/>
          <w:bCs w:val="0"/>
          <w:i w:val="1"/>
          <w:iCs w:val="1"/>
          <w:caps w:val="0"/>
          <w:smallCaps w:val="0"/>
          <w:noProof w:val="0"/>
          <w:color w:val="000000" w:themeColor="text1" w:themeTint="FF" w:themeShade="FF"/>
          <w:sz w:val="22"/>
          <w:szCs w:val="22"/>
          <w:lang w:val="en-US"/>
        </w:rPr>
        <w:t>Involving parents - Communication between schools and parents of school-aged children | Estyn</w:t>
      </w: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[online] Available at: </w:t>
      </w:r>
      <w:hyperlink r:id="R1ac13c42ed454be7">
        <w:r w:rsidRPr="44398305" w:rsidR="50AAF100">
          <w:rPr>
            <w:rStyle w:val="Hyperlink"/>
            <w:b w:val="0"/>
            <w:bCs w:val="0"/>
            <w:i w:val="0"/>
            <w:iCs w:val="0"/>
            <w:caps w:val="0"/>
            <w:smallCaps w:val="0"/>
            <w:strike w:val="0"/>
            <w:dstrike w:val="0"/>
            <w:noProof w:val="0"/>
            <w:lang w:val="en-US"/>
          </w:rPr>
          <w:t>https://www.estyn.gov.wales/thematic-report/involving-parents-communication-between-schools-and-parents-school-aged-children</w:t>
        </w:r>
      </w:hyperlink>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(Accessed: 04 April 2024)</w:t>
      </w:r>
    </w:p>
    <w:p w:rsidR="50AAF100" w:rsidP="44398305" w:rsidRDefault="50AAF100" w14:paraId="5F35D8AD" w14:textId="43946A7B">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ESTYN (2018) </w:t>
      </w:r>
      <w:r w:rsidRPr="44398305" w:rsidR="50AAF100">
        <w:rPr>
          <w:rFonts w:ascii="Calibri" w:hAnsi="Calibri" w:eastAsia="Calibri" w:cs="Calibri"/>
          <w:b w:val="0"/>
          <w:bCs w:val="0"/>
          <w:i w:val="1"/>
          <w:iCs w:val="1"/>
          <w:caps w:val="0"/>
          <w:smallCaps w:val="0"/>
          <w:noProof w:val="0"/>
          <w:color w:val="000000" w:themeColor="text1" w:themeTint="FF" w:themeShade="FF"/>
          <w:sz w:val="22"/>
          <w:szCs w:val="22"/>
          <w:lang w:val="en-US"/>
        </w:rPr>
        <w:t>Placing the rights of the child at the heart of curriculum development | Estyn</w:t>
      </w: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[online] Available at: </w:t>
      </w:r>
      <w:hyperlink r:id="R6183368258a5446f">
        <w:r w:rsidRPr="44398305" w:rsidR="50AAF100">
          <w:rPr>
            <w:rStyle w:val="Hyperlink"/>
            <w:b w:val="0"/>
            <w:bCs w:val="0"/>
            <w:i w:val="0"/>
            <w:iCs w:val="0"/>
            <w:caps w:val="0"/>
            <w:smallCaps w:val="0"/>
            <w:strike w:val="0"/>
            <w:dstrike w:val="0"/>
            <w:noProof w:val="0"/>
            <w:lang w:val="en-US"/>
          </w:rPr>
          <w:t>https://www.estyn.gov.wales/effective-practice/placing-rights-child-heart-curriculum-development</w:t>
        </w:r>
      </w:hyperlink>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(Accessed: 03 April 2024)</w:t>
      </w:r>
    </w:p>
    <w:p w:rsidR="50AAF100" w:rsidP="44398305" w:rsidRDefault="50AAF100" w14:paraId="6B7575F8" w14:textId="20621529">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ESTYN (2022) </w:t>
      </w:r>
      <w:r w:rsidRPr="44398305" w:rsidR="50AAF100">
        <w:rPr>
          <w:rFonts w:ascii="Calibri" w:hAnsi="Calibri" w:eastAsia="Calibri" w:cs="Calibri"/>
          <w:b w:val="0"/>
          <w:bCs w:val="0"/>
          <w:i w:val="1"/>
          <w:iCs w:val="1"/>
          <w:caps w:val="0"/>
          <w:smallCaps w:val="0"/>
          <w:noProof w:val="0"/>
          <w:color w:val="000000" w:themeColor="text1" w:themeTint="FF" w:themeShade="FF"/>
          <w:sz w:val="22"/>
          <w:szCs w:val="22"/>
          <w:lang w:val="en-US"/>
        </w:rPr>
        <w:t>Effective approaches to assessment that improve teaching and learning [HTML]</w:t>
      </w: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[online] Available at: </w:t>
      </w:r>
      <w:hyperlink r:id="Rfa63719889c54682">
        <w:r w:rsidRPr="44398305" w:rsidR="50AAF100">
          <w:rPr>
            <w:rStyle w:val="Hyperlink"/>
            <w:b w:val="0"/>
            <w:bCs w:val="0"/>
            <w:i w:val="0"/>
            <w:iCs w:val="0"/>
            <w:caps w:val="0"/>
            <w:smallCaps w:val="0"/>
            <w:strike w:val="0"/>
            <w:dstrike w:val="0"/>
            <w:noProof w:val="0"/>
            <w:lang w:val="en-US"/>
          </w:rPr>
          <w:t>https://www.gov.wales/effective-approaches-assessment-improve-teaching-and-learning-html</w:t>
        </w:r>
      </w:hyperlink>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(Accessed: 05 April 2024)</w:t>
      </w:r>
    </w:p>
    <w:p w:rsidR="50AAF100" w:rsidP="44398305" w:rsidRDefault="50AAF100" w14:paraId="76DA831C" w14:textId="048CC810">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Freeman, F.N. (1938) “Dewey, John, Experience and Education (Book review),” </w:t>
      </w:r>
      <w:r w:rsidRPr="44398305" w:rsidR="50AAF100">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lang w:val="en-US"/>
        </w:rPr>
        <w:t>School review</w:t>
      </w:r>
      <w:r w:rsidRPr="44398305" w:rsidR="50AAF10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Chicago. University of Chigago Press, pp. 786-789 (Accessed: 04 April 2024)</w:t>
      </w:r>
    </w:p>
    <w:p w:rsidR="50AAF100" w:rsidP="44398305" w:rsidRDefault="50AAF100" w14:paraId="29C0E42C" w14:textId="4B583673">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Fuglei, M. (2016). </w:t>
      </w:r>
      <w:r w:rsidRPr="44398305" w:rsidR="50AAF100">
        <w:rPr>
          <w:rFonts w:ascii="Calibri" w:hAnsi="Calibri" w:eastAsia="Calibri" w:cs="Calibri"/>
          <w:b w:val="0"/>
          <w:bCs w:val="0"/>
          <w:i w:val="1"/>
          <w:iCs w:val="1"/>
          <w:caps w:val="0"/>
          <w:smallCaps w:val="0"/>
          <w:noProof w:val="0"/>
          <w:color w:val="000000" w:themeColor="text1" w:themeTint="FF" w:themeShade="FF"/>
          <w:sz w:val="22"/>
          <w:szCs w:val="22"/>
          <w:lang w:val="en-US"/>
        </w:rPr>
        <w:t>Essentials for Building Cross-Curricular Lesson Plans | Resilient Educator</w:t>
      </w: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[online] ResilientEducator.com. Available at: </w:t>
      </w:r>
      <w:hyperlink r:id="Rf95333838c05423f">
        <w:r w:rsidRPr="44398305" w:rsidR="50AAF100">
          <w:rPr>
            <w:rStyle w:val="Hyperlink"/>
            <w:b w:val="0"/>
            <w:bCs w:val="0"/>
            <w:i w:val="0"/>
            <w:iCs w:val="0"/>
            <w:caps w:val="0"/>
            <w:smallCaps w:val="0"/>
            <w:strike w:val="0"/>
            <w:dstrike w:val="0"/>
            <w:noProof w:val="0"/>
            <w:lang w:val="en-US"/>
          </w:rPr>
          <w:t>https://resilienteducator.com/classroom-resources/cross-curricular-lesson-plans/</w:t>
        </w:r>
      </w:hyperlink>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(Accessed: 04 April 2024)</w:t>
      </w:r>
    </w:p>
    <w:p w:rsidR="50AAF100" w:rsidP="44398305" w:rsidRDefault="50AAF100" w14:paraId="059AB366" w14:textId="577564A0">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Graham, P. and Arshad-Ayaz, A. (2016). Learned Unsustainability: Bandura’s Bobo Doll Revisited. </w:t>
      </w:r>
      <w:r w:rsidRPr="44398305" w:rsidR="50AAF100">
        <w:rPr>
          <w:rFonts w:ascii="Calibri" w:hAnsi="Calibri" w:eastAsia="Calibri" w:cs="Calibri"/>
          <w:b w:val="0"/>
          <w:bCs w:val="0"/>
          <w:i w:val="1"/>
          <w:iCs w:val="1"/>
          <w:caps w:val="0"/>
          <w:smallCaps w:val="0"/>
          <w:noProof w:val="0"/>
          <w:color w:val="000000" w:themeColor="text1" w:themeTint="FF" w:themeShade="FF"/>
          <w:sz w:val="22"/>
          <w:szCs w:val="22"/>
          <w:lang w:val="en-US"/>
        </w:rPr>
        <w:t>Journal of Education for Sustainable Development</w:t>
      </w: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10(2), pp.262–273. doi:https://doi.org/10.1177/0973408216650954. (Accessed: 03 April 2024)</w:t>
      </w:r>
    </w:p>
    <w:p w:rsidR="50AAF100" w:rsidP="44398305" w:rsidRDefault="50AAF100" w14:paraId="5CC1CB8B" w14:textId="0685F07A">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Herrington, J., Parker, J. and Boase-Jelinek, D. (2014). Connected authentic learning: Reflection and intentional learning. </w:t>
      </w:r>
      <w:r w:rsidRPr="44398305" w:rsidR="50AAF100">
        <w:rPr>
          <w:rFonts w:ascii="Calibri" w:hAnsi="Calibri" w:eastAsia="Calibri" w:cs="Calibri"/>
          <w:b w:val="0"/>
          <w:bCs w:val="0"/>
          <w:i w:val="1"/>
          <w:iCs w:val="1"/>
          <w:caps w:val="0"/>
          <w:smallCaps w:val="0"/>
          <w:noProof w:val="0"/>
          <w:color w:val="000000" w:themeColor="text1" w:themeTint="FF" w:themeShade="FF"/>
          <w:sz w:val="22"/>
          <w:szCs w:val="22"/>
          <w:lang w:val="en-US"/>
        </w:rPr>
        <w:t>Australian Journal of Education</w:t>
      </w: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58(1), pp.23–35. doi:https://doi.org/10.1177/0004944113517830. (Accessed: 04 April 2024)</w:t>
      </w:r>
    </w:p>
    <w:p w:rsidR="50AAF100" w:rsidP="44398305" w:rsidRDefault="50AAF100" w14:paraId="68FC8CA6" w14:textId="485D85A9">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Impact Wales (2022). </w:t>
      </w:r>
      <w:r w:rsidRPr="44398305" w:rsidR="50AAF100">
        <w:rPr>
          <w:rFonts w:ascii="Calibri" w:hAnsi="Calibri" w:eastAsia="Calibri" w:cs="Calibri"/>
          <w:b w:val="0"/>
          <w:bCs w:val="0"/>
          <w:i w:val="1"/>
          <w:iCs w:val="1"/>
          <w:caps w:val="0"/>
          <w:smallCaps w:val="0"/>
          <w:noProof w:val="0"/>
          <w:color w:val="000000" w:themeColor="text1" w:themeTint="FF" w:themeShade="FF"/>
          <w:sz w:val="22"/>
          <w:szCs w:val="22"/>
          <w:lang w:val="en-US"/>
        </w:rPr>
        <w:t>What are the 12 Pedagogical Principles &amp; How to use them</w:t>
      </w: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[online] Impact Wales. Available at: </w:t>
      </w:r>
      <w:hyperlink r:id="R2a1f2bd7daf843f8">
        <w:r w:rsidRPr="44398305" w:rsidR="50AAF100">
          <w:rPr>
            <w:rStyle w:val="Hyperlink"/>
            <w:b w:val="0"/>
            <w:bCs w:val="0"/>
            <w:i w:val="0"/>
            <w:iCs w:val="0"/>
            <w:caps w:val="0"/>
            <w:smallCaps w:val="0"/>
            <w:strike w:val="0"/>
            <w:dstrike w:val="0"/>
            <w:noProof w:val="0"/>
            <w:lang w:val="en-US"/>
          </w:rPr>
          <w:t>https://www.impact.wales/news/12-pedagogical-principles/</w:t>
        </w:r>
      </w:hyperlink>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(Accessed: 03 April 2024)</w:t>
      </w:r>
    </w:p>
    <w:p w:rsidR="50AAF100" w:rsidP="44398305" w:rsidRDefault="50AAF100" w14:paraId="127D3927" w14:textId="4FDBB896">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Jones, F. (2008) </w:t>
      </w:r>
      <w:r w:rsidRPr="44398305" w:rsidR="50AAF100">
        <w:rPr>
          <w:rFonts w:ascii="Calibri" w:hAnsi="Calibri" w:eastAsia="Calibri" w:cs="Calibri"/>
          <w:b w:val="0"/>
          <w:bCs w:val="0"/>
          <w:i w:val="1"/>
          <w:iCs w:val="1"/>
          <w:caps w:val="0"/>
          <w:smallCaps w:val="0"/>
          <w:noProof w:val="0"/>
          <w:color w:val="000000" w:themeColor="text1" w:themeTint="FF" w:themeShade="FF"/>
          <w:sz w:val="22"/>
          <w:szCs w:val="22"/>
          <w:lang w:val="en-US"/>
        </w:rPr>
        <w:t>The Benefits and Challenges of Collaborative Multi-Agency Working.</w:t>
      </w: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0b1f2a1553ba417f">
        <w:r w:rsidRPr="44398305" w:rsidR="50AAF100">
          <w:rPr>
            <w:rStyle w:val="Hyperlink"/>
            <w:b w:val="0"/>
            <w:bCs w:val="0"/>
            <w:i w:val="0"/>
            <w:iCs w:val="0"/>
            <w:caps w:val="0"/>
            <w:smallCaps w:val="0"/>
            <w:strike w:val="0"/>
            <w:dstrike w:val="0"/>
            <w:noProof w:val="0"/>
            <w:lang w:val="en-US"/>
          </w:rPr>
          <w:t>https://uk.sagepub.com/sites/default/files/upm-binaries/25241_02_Cheminais_Ch_02.pdf</w:t>
        </w:r>
      </w:hyperlink>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(Accessed: 04 April 2024)</w:t>
      </w:r>
    </w:p>
    <w:p w:rsidR="50AAF100" w:rsidP="44398305" w:rsidRDefault="50AAF100" w14:paraId="17CD0122" w14:textId="5A8C559C">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Johnson, B. (2013). </w:t>
      </w:r>
      <w:r w:rsidRPr="44398305" w:rsidR="50AAF100">
        <w:rPr>
          <w:rFonts w:ascii="Calibri" w:hAnsi="Calibri" w:eastAsia="Calibri" w:cs="Calibri"/>
          <w:b w:val="0"/>
          <w:bCs w:val="0"/>
          <w:i w:val="1"/>
          <w:iCs w:val="1"/>
          <w:caps w:val="0"/>
          <w:smallCaps w:val="0"/>
          <w:noProof w:val="0"/>
          <w:color w:val="000000" w:themeColor="text1" w:themeTint="FF" w:themeShade="FF"/>
          <w:sz w:val="22"/>
          <w:szCs w:val="22"/>
          <w:lang w:val="en-US"/>
        </w:rPr>
        <w:t>Deeper Learning: Why Cross-Curricular Teaching is Essential</w:t>
      </w: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[online] Edutopia. Available at: </w:t>
      </w:r>
      <w:hyperlink r:id="R9f4b8f98d72c49ab">
        <w:r w:rsidRPr="44398305" w:rsidR="50AAF100">
          <w:rPr>
            <w:rStyle w:val="Hyperlink"/>
            <w:b w:val="0"/>
            <w:bCs w:val="0"/>
            <w:i w:val="0"/>
            <w:iCs w:val="0"/>
            <w:caps w:val="0"/>
            <w:smallCaps w:val="0"/>
            <w:strike w:val="0"/>
            <w:dstrike w:val="0"/>
            <w:noProof w:val="0"/>
            <w:lang w:val="en-US"/>
          </w:rPr>
          <w:t>https://www.edutopia.org/blog/cross-curricular-teaching-deeper-learning-ben-johnson</w:t>
        </w:r>
      </w:hyperlink>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(Accessed: 04 April 2024)</w:t>
      </w:r>
    </w:p>
    <w:p w:rsidR="50AAF100" w:rsidP="44398305" w:rsidRDefault="50AAF100" w14:paraId="47ED7ECD" w14:textId="79C46441">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Katuna, A. (1938) “Dewey, John, Experience and Education (Book review),” </w:t>
      </w:r>
      <w:r w:rsidRPr="44398305" w:rsidR="50AAF100">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lang w:val="en-US"/>
        </w:rPr>
        <w:t>American Sociological Review</w:t>
      </w:r>
      <w:r w:rsidRPr="44398305" w:rsidR="50AAF10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Albany, N.Y: American Sociological Association, pp 917 (Accessed: 04 April 2024)</w:t>
      </w:r>
    </w:p>
    <w:p w:rsidR="50AAF100" w:rsidP="44398305" w:rsidRDefault="50AAF100" w14:paraId="726FEA43" w14:textId="25E72EA8">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Kerry, T. ed., (2015). </w:t>
      </w:r>
      <w:r w:rsidRPr="44398305" w:rsidR="50AAF100">
        <w:rPr>
          <w:rFonts w:ascii="Calibri" w:hAnsi="Calibri" w:eastAsia="Calibri" w:cs="Calibri"/>
          <w:b w:val="0"/>
          <w:bCs w:val="0"/>
          <w:i w:val="1"/>
          <w:iCs w:val="1"/>
          <w:caps w:val="0"/>
          <w:smallCaps w:val="0"/>
          <w:noProof w:val="0"/>
          <w:color w:val="000000" w:themeColor="text1" w:themeTint="FF" w:themeShade="FF"/>
          <w:sz w:val="22"/>
          <w:szCs w:val="22"/>
          <w:lang w:val="en-US"/>
        </w:rPr>
        <w:t>Cross-Curricular Teaching in the Primary School</w:t>
      </w: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Routledge. doi:https://doi.org/10.4324/9781315766010. (Accessed: 04 April 2024)</w:t>
      </w:r>
    </w:p>
    <w:p w:rsidR="50AAF100" w:rsidP="44398305" w:rsidRDefault="50AAF100" w14:paraId="573DE361" w14:textId="4FE05291">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Kim, S., Raza, M. and Seidman, E. (2019). Improving 21st-century teaching skills: The key to effective 21st-century learners. </w:t>
      </w:r>
      <w:r w:rsidRPr="44398305" w:rsidR="50AAF100">
        <w:rPr>
          <w:rFonts w:ascii="Calibri" w:hAnsi="Calibri" w:eastAsia="Calibri" w:cs="Calibri"/>
          <w:b w:val="0"/>
          <w:bCs w:val="0"/>
          <w:i w:val="1"/>
          <w:iCs w:val="1"/>
          <w:caps w:val="0"/>
          <w:smallCaps w:val="0"/>
          <w:noProof w:val="0"/>
          <w:color w:val="000000" w:themeColor="text1" w:themeTint="FF" w:themeShade="FF"/>
          <w:sz w:val="22"/>
          <w:szCs w:val="22"/>
          <w:lang w:val="en-US"/>
        </w:rPr>
        <w:t>Research in Comparative and International Education</w:t>
      </w: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14(1), pp.99–117. doi:https://doi.org/10.1177/1745499919829214. (Accessed: 03 April 2024)</w:t>
      </w:r>
    </w:p>
    <w:p w:rsidR="50AAF100" w:rsidP="44398305" w:rsidRDefault="50AAF100" w14:paraId="0981FBD4" w14:textId="3ED48C55">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Kuswandono, P. (2012). Reflective Practices for Teacher Education. </w:t>
      </w:r>
      <w:r w:rsidRPr="44398305" w:rsidR="50AAF100">
        <w:rPr>
          <w:rFonts w:ascii="Calibri" w:hAnsi="Calibri" w:eastAsia="Calibri" w:cs="Calibri"/>
          <w:b w:val="0"/>
          <w:bCs w:val="0"/>
          <w:i w:val="1"/>
          <w:iCs w:val="1"/>
          <w:caps w:val="0"/>
          <w:smallCaps w:val="0"/>
          <w:noProof w:val="0"/>
          <w:color w:val="000000" w:themeColor="text1" w:themeTint="FF" w:themeShade="FF"/>
          <w:sz w:val="22"/>
          <w:szCs w:val="22"/>
          <w:lang w:val="en-US"/>
        </w:rPr>
        <w:t>Language and Language Teaching Journal</w:t>
      </w: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15(01), pp.149–162. (Accessed: 03 April 2024)</w:t>
      </w:r>
    </w:p>
    <w:p w:rsidR="50AAF100" w:rsidP="44398305" w:rsidRDefault="50AAF100" w14:paraId="25B59BA3" w14:textId="0BE63E93">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Lawler, R. (2022). </w:t>
      </w:r>
      <w:r w:rsidRPr="44398305" w:rsidR="50AAF100">
        <w:rPr>
          <w:rFonts w:ascii="Calibri" w:hAnsi="Calibri" w:eastAsia="Calibri" w:cs="Calibri"/>
          <w:b w:val="0"/>
          <w:bCs w:val="0"/>
          <w:i w:val="1"/>
          <w:iCs w:val="1"/>
          <w:caps w:val="0"/>
          <w:smallCaps w:val="0"/>
          <w:noProof w:val="0"/>
          <w:color w:val="000000" w:themeColor="text1" w:themeTint="FF" w:themeShade="FF"/>
          <w:sz w:val="22"/>
          <w:szCs w:val="22"/>
          <w:lang w:val="en-US"/>
        </w:rPr>
        <w:t>Ofsted report highlights impact of staffing crisis</w:t>
      </w: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[online] early years alliance. Available at: </w:t>
      </w:r>
      <w:hyperlink r:id="R8e2ca55aa2bf45f0">
        <w:r w:rsidRPr="44398305" w:rsidR="50AAF100">
          <w:rPr>
            <w:rStyle w:val="Hyperlink"/>
            <w:b w:val="0"/>
            <w:bCs w:val="0"/>
            <w:i w:val="0"/>
            <w:iCs w:val="0"/>
            <w:caps w:val="0"/>
            <w:smallCaps w:val="0"/>
            <w:strike w:val="0"/>
            <w:dstrike w:val="0"/>
            <w:noProof w:val="0"/>
            <w:lang w:val="en-US"/>
          </w:rPr>
          <w:t>https://www.eyalliance.org.uk/news/2022/12/ofsted-report-highlights-impact-staffing-crisis</w:t>
        </w:r>
      </w:hyperlink>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(Accessed: 04 April 2024)</w:t>
      </w:r>
    </w:p>
    <w:p w:rsidR="50AAF100" w:rsidP="44398305" w:rsidRDefault="50AAF100" w14:paraId="1F70F3A4" w14:textId="2837CE8F">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Marks, A. and McIntosh, J. (2006). Achieving Meaningful Learning in Health Information Management Students: The Importance of Professional Experience. </w:t>
      </w:r>
      <w:r w:rsidRPr="44398305" w:rsidR="50AAF100">
        <w:rPr>
          <w:rFonts w:ascii="Calibri" w:hAnsi="Calibri" w:eastAsia="Calibri" w:cs="Calibri"/>
          <w:b w:val="0"/>
          <w:bCs w:val="0"/>
          <w:i w:val="1"/>
          <w:iCs w:val="1"/>
          <w:caps w:val="0"/>
          <w:smallCaps w:val="0"/>
          <w:noProof w:val="0"/>
          <w:color w:val="000000" w:themeColor="text1" w:themeTint="FF" w:themeShade="FF"/>
          <w:sz w:val="22"/>
          <w:szCs w:val="22"/>
          <w:lang w:val="en-US"/>
        </w:rPr>
        <w:t>Health Information Management Journal</w:t>
      </w: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35(2), pp.14–22. doi:https://doi.org/10.1177/183335830603500205. (Accessed: 04 April 2024)</w:t>
      </w:r>
    </w:p>
    <w:p w:rsidR="50AAF100" w:rsidP="44398305" w:rsidRDefault="50AAF100" w14:paraId="2E89A017" w14:textId="277B93D2">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Mcleod, S. (2024). </w:t>
      </w:r>
      <w:r w:rsidRPr="44398305" w:rsidR="50AAF100">
        <w:rPr>
          <w:rFonts w:ascii="Calibri" w:hAnsi="Calibri" w:eastAsia="Calibri" w:cs="Calibri"/>
          <w:b w:val="0"/>
          <w:bCs w:val="0"/>
          <w:i w:val="1"/>
          <w:iCs w:val="1"/>
          <w:caps w:val="0"/>
          <w:smallCaps w:val="0"/>
          <w:noProof w:val="0"/>
          <w:color w:val="000000" w:themeColor="text1" w:themeTint="FF" w:themeShade="FF"/>
          <w:sz w:val="22"/>
          <w:szCs w:val="22"/>
          <w:lang w:val="en-US"/>
        </w:rPr>
        <w:t>Vygotsky’s Sociocultural Theory of Cognitive Development</w:t>
      </w: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[online] Simply Psychology. Available at: </w:t>
      </w:r>
      <w:hyperlink r:id="Rff934d6fff104720">
        <w:r w:rsidRPr="44398305" w:rsidR="50AAF100">
          <w:rPr>
            <w:rStyle w:val="Hyperlink"/>
            <w:b w:val="0"/>
            <w:bCs w:val="0"/>
            <w:i w:val="0"/>
            <w:iCs w:val="0"/>
            <w:caps w:val="0"/>
            <w:smallCaps w:val="0"/>
            <w:strike w:val="0"/>
            <w:dstrike w:val="0"/>
            <w:noProof w:val="0"/>
            <w:lang w:val="en-US"/>
          </w:rPr>
          <w:t>https://www.simplypsychology.org/vygotsky.html</w:t>
        </w:r>
      </w:hyperlink>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(Accessed: 03 April 2024)</w:t>
      </w:r>
    </w:p>
    <w:p w:rsidR="50AAF100" w:rsidP="44398305" w:rsidRDefault="50AAF100" w14:paraId="230C489A" w14:textId="4ABB9E5D">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Morrisroe, J. (2014). </w:t>
      </w:r>
      <w:r w:rsidRPr="44398305" w:rsidR="50AAF100">
        <w:rPr>
          <w:rFonts w:ascii="Calibri" w:hAnsi="Calibri" w:eastAsia="Calibri" w:cs="Calibri"/>
          <w:b w:val="0"/>
          <w:bCs w:val="0"/>
          <w:i w:val="1"/>
          <w:iCs w:val="1"/>
          <w:caps w:val="0"/>
          <w:smallCaps w:val="0"/>
          <w:noProof w:val="0"/>
          <w:color w:val="000000" w:themeColor="text1" w:themeTint="FF" w:themeShade="FF"/>
          <w:sz w:val="22"/>
          <w:szCs w:val="22"/>
          <w:lang w:val="en-US"/>
        </w:rPr>
        <w:t>Literacy changes lives 2014: A new perspective on health, employment and crime</w:t>
      </w: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National Literacy Trust. (Accessed: 04 April 2024)</w:t>
      </w:r>
    </w:p>
    <w:p w:rsidR="50AAF100" w:rsidP="44398305" w:rsidRDefault="50AAF100" w14:paraId="1164F57B" w14:textId="2EB73E6B">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Narayanan, M. and Ordynans, J. (2020) </w:t>
      </w:r>
      <w:r w:rsidRPr="44398305" w:rsidR="50AAF100">
        <w:rPr>
          <w:rFonts w:ascii="Calibri" w:hAnsi="Calibri" w:eastAsia="Calibri" w:cs="Calibri"/>
          <w:b w:val="0"/>
          <w:bCs w:val="0"/>
          <w:i w:val="1"/>
          <w:iCs w:val="1"/>
          <w:caps w:val="0"/>
          <w:smallCaps w:val="0"/>
          <w:noProof w:val="0"/>
          <w:color w:val="000000" w:themeColor="text1" w:themeTint="FF" w:themeShade="FF"/>
          <w:sz w:val="22"/>
          <w:szCs w:val="22"/>
          <w:lang w:val="en-GB"/>
        </w:rPr>
        <w:t>Why Reflection Is Important In Teaching</w:t>
      </w: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Available at: </w:t>
      </w:r>
      <w:hyperlink r:id="R9e02622dbde640a1">
        <w:r w:rsidRPr="44398305" w:rsidR="50AAF100">
          <w:rPr>
            <w:rStyle w:val="Hyperlink"/>
            <w:b w:val="0"/>
            <w:bCs w:val="0"/>
            <w:i w:val="0"/>
            <w:iCs w:val="0"/>
            <w:caps w:val="0"/>
            <w:smallCaps w:val="0"/>
            <w:strike w:val="0"/>
            <w:dstrike w:val="0"/>
            <w:noProof w:val="0"/>
            <w:lang w:val="en-GB"/>
          </w:rPr>
          <w:t>https://www.teachthought.com/pedagogy/reflection-important/</w:t>
        </w:r>
      </w:hyperlink>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4398305" w:rsidR="50AAF10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(Accessed: 03 April 2024)</w:t>
      </w:r>
    </w:p>
    <w:p w:rsidR="50AAF100" w:rsidP="44398305" w:rsidRDefault="50AAF100" w14:paraId="6D1AC739" w14:textId="5AC48E57">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Paul, R. (2021) </w:t>
      </w:r>
      <w:r w:rsidRPr="44398305" w:rsidR="50AAF100">
        <w:rPr>
          <w:rFonts w:ascii="Calibri" w:hAnsi="Calibri" w:eastAsia="Calibri" w:cs="Calibri"/>
          <w:b w:val="0"/>
          <w:bCs w:val="0"/>
          <w:i w:val="1"/>
          <w:iCs w:val="1"/>
          <w:caps w:val="0"/>
          <w:smallCaps w:val="0"/>
          <w:noProof w:val="0"/>
          <w:color w:val="000000" w:themeColor="text1" w:themeTint="FF" w:themeShade="FF"/>
          <w:sz w:val="22"/>
          <w:szCs w:val="22"/>
          <w:lang w:val="en-US"/>
        </w:rPr>
        <w:t>Dr. Richard Paul</w:t>
      </w: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[online] Available at: </w:t>
      </w:r>
      <w:hyperlink r:id="R24fbd5c933784f18">
        <w:r w:rsidRPr="44398305" w:rsidR="50AAF100">
          <w:rPr>
            <w:rStyle w:val="Hyperlink"/>
            <w:b w:val="0"/>
            <w:bCs w:val="0"/>
            <w:i w:val="0"/>
            <w:iCs w:val="0"/>
            <w:caps w:val="0"/>
            <w:smallCaps w:val="0"/>
            <w:strike w:val="0"/>
            <w:dstrike w:val="0"/>
            <w:noProof w:val="0"/>
            <w:lang w:val="en-US"/>
          </w:rPr>
          <w:t>https://www.criticalthinking.org/pages/dr-richard-paul/818</w:t>
        </w:r>
      </w:hyperlink>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05 April 2024)</w:t>
      </w:r>
    </w:p>
    <w:p w:rsidR="50AAF100" w:rsidP="44398305" w:rsidRDefault="50AAF100" w14:paraId="4BF48F08" w14:textId="1D00B26B">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Ritchie, J. (2002). Bicultural Development: Innovation in Implementation of Te Whäriki. </w:t>
      </w:r>
      <w:r w:rsidRPr="44398305" w:rsidR="50AAF100">
        <w:rPr>
          <w:rFonts w:ascii="Calibri" w:hAnsi="Calibri" w:eastAsia="Calibri" w:cs="Calibri"/>
          <w:b w:val="0"/>
          <w:bCs w:val="0"/>
          <w:i w:val="1"/>
          <w:iCs w:val="1"/>
          <w:caps w:val="0"/>
          <w:smallCaps w:val="0"/>
          <w:noProof w:val="0"/>
          <w:color w:val="000000" w:themeColor="text1" w:themeTint="FF" w:themeShade="FF"/>
          <w:sz w:val="22"/>
          <w:szCs w:val="22"/>
          <w:lang w:val="en-US"/>
        </w:rPr>
        <w:t>Australasian Journal of Early Childhood</w:t>
      </w: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27(2), pp.32–37. doi:https://doi.org/10.1177/183693910202700207. (Accessed: 03 April 2024)</w:t>
      </w:r>
    </w:p>
    <w:p w:rsidR="50AAF100" w:rsidP="44398305" w:rsidRDefault="50AAF100" w14:paraId="18E849F0" w14:textId="14E18B4B">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Robinson, J. (2022). </w:t>
      </w:r>
      <w:r w:rsidRPr="44398305" w:rsidR="50AAF100">
        <w:rPr>
          <w:rFonts w:ascii="Calibri" w:hAnsi="Calibri" w:eastAsia="Calibri" w:cs="Calibri"/>
          <w:b w:val="0"/>
          <w:bCs w:val="0"/>
          <w:i w:val="1"/>
          <w:iCs w:val="1"/>
          <w:caps w:val="0"/>
          <w:smallCaps w:val="0"/>
          <w:noProof w:val="0"/>
          <w:color w:val="000000" w:themeColor="text1" w:themeTint="FF" w:themeShade="FF"/>
          <w:sz w:val="22"/>
          <w:szCs w:val="22"/>
          <w:lang w:val="en-US"/>
        </w:rPr>
        <w:t>Master Experiential Learning with Kolb’s Reflective Cycle</w:t>
      </w: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[online] Crowjack. Available at: </w:t>
      </w:r>
      <w:hyperlink r:id="Re52b2bfeeeb84e9b">
        <w:r w:rsidRPr="44398305" w:rsidR="50AAF100">
          <w:rPr>
            <w:rStyle w:val="Hyperlink"/>
            <w:b w:val="0"/>
            <w:bCs w:val="0"/>
            <w:i w:val="0"/>
            <w:iCs w:val="0"/>
            <w:caps w:val="0"/>
            <w:smallCaps w:val="0"/>
            <w:strike w:val="0"/>
            <w:dstrike w:val="0"/>
            <w:noProof w:val="0"/>
            <w:lang w:val="en-US"/>
          </w:rPr>
          <w:t>https://crowjack.com/blog/strategy/reflection-models/kolb-reflective-cycle</w:t>
        </w:r>
      </w:hyperlink>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(Accessed: 03 April 2024)</w:t>
      </w:r>
    </w:p>
    <w:p w:rsidR="50AAF100" w:rsidP="44398305" w:rsidRDefault="50AAF100" w14:paraId="01987C5D" w14:textId="277000F0">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Sullivan, C. (2019). </w:t>
      </w:r>
      <w:r w:rsidRPr="44398305" w:rsidR="50AAF100">
        <w:rPr>
          <w:rFonts w:ascii="Calibri" w:hAnsi="Calibri" w:eastAsia="Calibri" w:cs="Calibri"/>
          <w:b w:val="0"/>
          <w:bCs w:val="0"/>
          <w:i w:val="1"/>
          <w:iCs w:val="1"/>
          <w:caps w:val="0"/>
          <w:smallCaps w:val="0"/>
          <w:noProof w:val="0"/>
          <w:color w:val="000000" w:themeColor="text1" w:themeTint="FF" w:themeShade="FF"/>
          <w:sz w:val="22"/>
          <w:szCs w:val="22"/>
          <w:lang w:val="en-US"/>
        </w:rPr>
        <w:t>Approaches to Successful Cross-Curricular Integration</w:t>
      </w: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[online] TeachHUB. Available at: </w:t>
      </w:r>
      <w:hyperlink r:id="R4a057af6bb404541">
        <w:r w:rsidRPr="44398305" w:rsidR="50AAF100">
          <w:rPr>
            <w:rStyle w:val="Hyperlink"/>
            <w:b w:val="0"/>
            <w:bCs w:val="0"/>
            <w:i w:val="0"/>
            <w:iCs w:val="0"/>
            <w:caps w:val="0"/>
            <w:smallCaps w:val="0"/>
            <w:strike w:val="0"/>
            <w:dstrike w:val="0"/>
            <w:noProof w:val="0"/>
            <w:lang w:val="en-US"/>
          </w:rPr>
          <w:t>https://www.teachhub.com/teaching-strategies/2019/11/approaches-to-successful-cross-curricular-integration/</w:t>
        </w:r>
      </w:hyperlink>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(Accessed: 04 April 2024)</w:t>
      </w:r>
    </w:p>
    <w:p w:rsidR="50AAF100" w:rsidP="44398305" w:rsidRDefault="50AAF100" w14:paraId="707ADAF2" w14:textId="25207530">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Swanson, D. (2023). </w:t>
      </w:r>
      <w:r w:rsidRPr="44398305" w:rsidR="50AAF100">
        <w:rPr>
          <w:rFonts w:ascii="Calibri" w:hAnsi="Calibri" w:eastAsia="Calibri" w:cs="Calibri"/>
          <w:b w:val="0"/>
          <w:bCs w:val="0"/>
          <w:i w:val="1"/>
          <w:iCs w:val="1"/>
          <w:caps w:val="0"/>
          <w:smallCaps w:val="0"/>
          <w:noProof w:val="0"/>
          <w:color w:val="000000" w:themeColor="text1" w:themeTint="FF" w:themeShade="FF"/>
          <w:sz w:val="22"/>
          <w:szCs w:val="22"/>
          <w:lang w:val="en-US"/>
        </w:rPr>
        <w:t>Strategies To Develop Problem-Solving Skills In Students</w:t>
      </w: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[online] One World International School - Singapore. Available at: </w:t>
      </w:r>
      <w:hyperlink r:id="R232d7acde2184429">
        <w:r w:rsidRPr="44398305" w:rsidR="50AAF100">
          <w:rPr>
            <w:rStyle w:val="Hyperlink"/>
            <w:b w:val="0"/>
            <w:bCs w:val="0"/>
            <w:i w:val="0"/>
            <w:iCs w:val="0"/>
            <w:caps w:val="0"/>
            <w:smallCaps w:val="0"/>
            <w:strike w:val="0"/>
            <w:dstrike w:val="0"/>
            <w:noProof w:val="0"/>
            <w:lang w:val="en-US"/>
          </w:rPr>
          <w:t>https://owis.org/sg/blog/strategies-to-develop-problem-solving-skills-in-students/</w:t>
        </w:r>
      </w:hyperlink>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(Accessed: 04 April 2024)</w:t>
      </w:r>
    </w:p>
    <w:p w:rsidR="50AAF100" w:rsidP="44398305" w:rsidRDefault="50AAF100" w14:paraId="6846CC5D" w14:textId="2547E0A7">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Team, A. (2022). </w:t>
      </w:r>
      <w:r w:rsidRPr="44398305" w:rsidR="50AAF100">
        <w:rPr>
          <w:rFonts w:ascii="Calibri" w:hAnsi="Calibri" w:eastAsia="Calibri" w:cs="Calibri"/>
          <w:b w:val="0"/>
          <w:bCs w:val="0"/>
          <w:i w:val="1"/>
          <w:iCs w:val="1"/>
          <w:caps w:val="0"/>
          <w:smallCaps w:val="0"/>
          <w:noProof w:val="0"/>
          <w:color w:val="000000" w:themeColor="text1" w:themeTint="FF" w:themeShade="FF"/>
          <w:sz w:val="22"/>
          <w:szCs w:val="22"/>
          <w:lang w:val="en-US"/>
        </w:rPr>
        <w:t>Why School Fundraising Is Important</w:t>
      </w: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[online] AngeLink Blog. Available at: </w:t>
      </w:r>
      <w:hyperlink r:id="R883a8e67c831476e">
        <w:r w:rsidRPr="44398305" w:rsidR="50AAF100">
          <w:rPr>
            <w:rStyle w:val="Hyperlink"/>
            <w:b w:val="0"/>
            <w:bCs w:val="0"/>
            <w:i w:val="0"/>
            <w:iCs w:val="0"/>
            <w:caps w:val="0"/>
            <w:smallCaps w:val="0"/>
            <w:strike w:val="0"/>
            <w:dstrike w:val="0"/>
            <w:noProof w:val="0"/>
            <w:lang w:val="en-US"/>
          </w:rPr>
          <w:t>https://angelink.com/blog/why-school-fundraising-is-important/</w:t>
        </w:r>
      </w:hyperlink>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(Accessed: 05 April 2024)</w:t>
      </w:r>
    </w:p>
    <w:p w:rsidR="50AAF100" w:rsidP="44398305" w:rsidRDefault="50AAF100" w14:paraId="289E0302" w14:textId="0DF0B953">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Vitikka, E., Krokfors, L. and Hurmerinta, E. (2012). </w:t>
      </w:r>
      <w:r w:rsidRPr="44398305" w:rsidR="50AAF100">
        <w:rPr>
          <w:rFonts w:ascii="Calibri" w:hAnsi="Calibri" w:eastAsia="Calibri" w:cs="Calibri"/>
          <w:b w:val="0"/>
          <w:bCs w:val="0"/>
          <w:i w:val="1"/>
          <w:iCs w:val="1"/>
          <w:caps w:val="0"/>
          <w:smallCaps w:val="0"/>
          <w:noProof w:val="0"/>
          <w:color w:val="000000" w:themeColor="text1" w:themeTint="FF" w:themeShade="FF"/>
          <w:sz w:val="22"/>
          <w:szCs w:val="22"/>
          <w:lang w:val="en-US"/>
        </w:rPr>
        <w:t>THE FINNISH NATIONAL CORE CURRICULUM: STRUCTURE AND DEVELOPMENT</w:t>
      </w: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[online] Available at: </w:t>
      </w:r>
      <w:hyperlink r:id="Rd01f5e283c7245ef">
        <w:r w:rsidRPr="44398305" w:rsidR="50AAF100">
          <w:rPr>
            <w:rStyle w:val="Hyperlink"/>
            <w:b w:val="0"/>
            <w:bCs w:val="0"/>
            <w:i w:val="0"/>
            <w:iCs w:val="0"/>
            <w:caps w:val="0"/>
            <w:smallCaps w:val="0"/>
            <w:strike w:val="0"/>
            <w:dstrike w:val="0"/>
            <w:noProof w:val="0"/>
            <w:lang w:val="en-US"/>
          </w:rPr>
          <w:t>https://curriculumredesign.org/wp-content/uploads/The-Finnish-National-Core-Curriculum_Vitikka-et-al.-2011.pdf</w:t>
        </w:r>
      </w:hyperlink>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(Accessed: 03 April 2024)</w:t>
      </w:r>
    </w:p>
    <w:p w:rsidR="50AAF100" w:rsidP="44398305" w:rsidRDefault="50AAF100" w14:paraId="6F0E1FB6" w14:textId="31667755">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Welsh Government (2020) </w:t>
      </w:r>
      <w:r w:rsidRPr="44398305" w:rsidR="50AAF100">
        <w:rPr>
          <w:rFonts w:ascii="Calibri" w:hAnsi="Calibri" w:eastAsia="Calibri" w:cs="Calibri"/>
          <w:b w:val="0"/>
          <w:bCs w:val="0"/>
          <w:i w:val="1"/>
          <w:iCs w:val="1"/>
          <w:caps w:val="0"/>
          <w:smallCaps w:val="0"/>
          <w:noProof w:val="0"/>
          <w:color w:val="000000" w:themeColor="text1" w:themeTint="FF" w:themeShade="FF"/>
          <w:sz w:val="22"/>
          <w:szCs w:val="22"/>
          <w:lang w:val="en-US"/>
        </w:rPr>
        <w:t>Curriculum for Wales - Cynefin</w:t>
      </w: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[online] Available at: </w:t>
      </w:r>
      <w:hyperlink r:id="R17951b2df71d4179">
        <w:r w:rsidRPr="44398305" w:rsidR="50AAF100">
          <w:rPr>
            <w:rStyle w:val="Hyperlink"/>
            <w:b w:val="0"/>
            <w:bCs w:val="0"/>
            <w:i w:val="0"/>
            <w:iCs w:val="0"/>
            <w:caps w:val="0"/>
            <w:smallCaps w:val="0"/>
            <w:strike w:val="0"/>
            <w:dstrike w:val="0"/>
            <w:noProof w:val="0"/>
            <w:lang w:val="en-US"/>
          </w:rPr>
          <w:t>https://ndna.org.uk/wp-content/uploads/2022/07/Wales-Cynefin-Curriculum-for-Wales-Factsheet.pdf</w:t>
        </w:r>
      </w:hyperlink>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(Accessed: 04 April 2024)</w:t>
      </w:r>
    </w:p>
    <w:p w:rsidR="50AAF100" w:rsidP="44398305" w:rsidRDefault="50AAF100" w14:paraId="059B0314" w14:textId="6C10FBC1">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Welsh Government (2022). </w:t>
      </w:r>
      <w:r w:rsidRPr="44398305" w:rsidR="50AAF100">
        <w:rPr>
          <w:rFonts w:ascii="Calibri" w:hAnsi="Calibri" w:eastAsia="Calibri" w:cs="Calibri"/>
          <w:b w:val="0"/>
          <w:bCs w:val="0"/>
          <w:i w:val="1"/>
          <w:iCs w:val="1"/>
          <w:caps w:val="0"/>
          <w:smallCaps w:val="0"/>
          <w:noProof w:val="0"/>
          <w:color w:val="000000" w:themeColor="text1" w:themeTint="FF" w:themeShade="FF"/>
          <w:sz w:val="22"/>
          <w:szCs w:val="22"/>
          <w:lang w:val="en-US"/>
        </w:rPr>
        <w:t>Cross-curricular skills frameworks - Hwb</w:t>
      </w: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[online] hwb.gov.wales. Available at: </w:t>
      </w:r>
      <w:hyperlink r:id="R8a805b7c1b7a41cb">
        <w:r w:rsidRPr="44398305" w:rsidR="50AAF100">
          <w:rPr>
            <w:rStyle w:val="Hyperlink"/>
            <w:b w:val="0"/>
            <w:bCs w:val="0"/>
            <w:i w:val="0"/>
            <w:iCs w:val="0"/>
            <w:caps w:val="0"/>
            <w:smallCaps w:val="0"/>
            <w:strike w:val="0"/>
            <w:dstrike w:val="0"/>
            <w:noProof w:val="0"/>
            <w:lang w:val="en-US"/>
          </w:rPr>
          <w:t>https://hwb.gov.wales/curriculum-for-wales/cross-curricular-skills-frameworks</w:t>
        </w:r>
      </w:hyperlink>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(Accessed: 03 April 2024)</w:t>
      </w:r>
    </w:p>
    <w:p w:rsidR="50AAF100" w:rsidP="44398305" w:rsidRDefault="50AAF100" w14:paraId="4FBA94E9" w14:textId="51F015AE">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Welsh Government (2024) </w:t>
      </w:r>
      <w:r w:rsidRPr="44398305" w:rsidR="50AAF100">
        <w:rPr>
          <w:rFonts w:ascii="Calibri" w:hAnsi="Calibri" w:eastAsia="Calibri" w:cs="Calibri"/>
          <w:b w:val="0"/>
          <w:bCs w:val="0"/>
          <w:i w:val="1"/>
          <w:iCs w:val="1"/>
          <w:caps w:val="0"/>
          <w:smallCaps w:val="0"/>
          <w:noProof w:val="0"/>
          <w:color w:val="000000" w:themeColor="text1" w:themeTint="FF" w:themeShade="FF"/>
          <w:sz w:val="22"/>
          <w:szCs w:val="22"/>
          <w:lang w:val="en-US"/>
        </w:rPr>
        <w:t>Qualified Teacher Status (QTS): teaching in Wales | GOV.WALES</w:t>
      </w: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[online] Available at: </w:t>
      </w:r>
      <w:hyperlink w:anchor=":~:text=To%20gain%20Qualified%20Teacher%20Status%20in%20Wales%20you" r:id="R69c13e8351e04c6a">
        <w:r w:rsidRPr="44398305" w:rsidR="50AAF100">
          <w:rPr>
            <w:rStyle w:val="Hyperlink"/>
            <w:b w:val="0"/>
            <w:bCs w:val="0"/>
            <w:i w:val="0"/>
            <w:iCs w:val="0"/>
            <w:caps w:val="0"/>
            <w:smallCaps w:val="0"/>
            <w:strike w:val="0"/>
            <w:dstrike w:val="0"/>
            <w:noProof w:val="0"/>
            <w:lang w:val="en-US"/>
          </w:rPr>
          <w:t>https://www.gov.wales/qualified-teacher-status-qts-teaching-wales#:~:text=To%20gain%20Qualified%20Teacher%20Status%20in%20Wales%20you</w:t>
        </w:r>
      </w:hyperlink>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03 April 2024)</w:t>
      </w:r>
    </w:p>
    <w:p w:rsidR="50AAF100" w:rsidP="44398305" w:rsidRDefault="50AAF100" w14:paraId="6E729A37" w14:textId="5E07AD1A">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Williams, S. (2019) </w:t>
      </w:r>
      <w:r w:rsidRPr="44398305" w:rsidR="50AAF100">
        <w:rPr>
          <w:rFonts w:ascii="Calibri" w:hAnsi="Calibri" w:eastAsia="Calibri" w:cs="Calibri"/>
          <w:b w:val="0"/>
          <w:bCs w:val="0"/>
          <w:i w:val="1"/>
          <w:iCs w:val="1"/>
          <w:caps w:val="0"/>
          <w:smallCaps w:val="0"/>
          <w:noProof w:val="0"/>
          <w:color w:val="000000" w:themeColor="text1" w:themeTint="FF" w:themeShade="FF"/>
          <w:sz w:val="22"/>
          <w:szCs w:val="22"/>
          <w:lang w:val="en-US"/>
        </w:rPr>
        <w:t>Why is it important for young people to develop transferable skills?</w:t>
      </w: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[online] Available at: </w:t>
      </w:r>
      <w:hyperlink r:id="R8badb43218f44a9b">
        <w:r w:rsidRPr="44398305" w:rsidR="50AAF100">
          <w:rPr>
            <w:rStyle w:val="Hyperlink"/>
            <w:b w:val="0"/>
            <w:bCs w:val="0"/>
            <w:i w:val="0"/>
            <w:iCs w:val="0"/>
            <w:caps w:val="0"/>
            <w:smallCaps w:val="0"/>
            <w:strike w:val="0"/>
            <w:dstrike w:val="0"/>
            <w:noProof w:val="0"/>
            <w:lang w:val="en-US"/>
          </w:rPr>
          <w:t>https://blog.pearsoninternationalschools.com/why-is-it-important-for-young-people-to-develop-transferable-skills/</w:t>
        </w:r>
      </w:hyperlink>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US"/>
        </w:rPr>
        <w:t>. (Accessed: 04 April 2024)</w:t>
      </w:r>
    </w:p>
    <w:p w:rsidR="50AAF100" w:rsidP="44398305" w:rsidRDefault="50AAF100" w14:paraId="78C24D90" w14:textId="70E42E3D">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US"/>
        </w:rPr>
        <w:t>Appendices</w:t>
      </w:r>
    </w:p>
    <w:p w:rsidR="44398305" w:rsidP="44398305" w:rsidRDefault="44398305" w14:paraId="6CB657CD" w14:textId="5A4F615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0AAF100" w:rsidP="44398305" w:rsidRDefault="50AAF100" w14:paraId="21AA8F59" w14:textId="78C9CC5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US"/>
        </w:rPr>
        <w:t xml:space="preserve">Appendix 1 </w:t>
      </w:r>
    </w:p>
    <w:p w:rsidR="50AAF100" w:rsidP="44398305" w:rsidRDefault="50AAF100" w14:paraId="60060257" w14:textId="786B752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50AAF100">
        <w:drawing>
          <wp:inline wp14:editId="4B9DCB32" wp14:anchorId="0B368132">
            <wp:extent cx="3543300" cy="2390775"/>
            <wp:effectExtent l="0" t="0" r="0" b="0"/>
            <wp:docPr id="2038104683" name="" title=""/>
            <wp:cNvGraphicFramePr>
              <a:graphicFrameLocks noChangeAspect="1"/>
            </wp:cNvGraphicFramePr>
            <a:graphic>
              <a:graphicData uri="http://schemas.openxmlformats.org/drawingml/2006/picture">
                <pic:pic>
                  <pic:nvPicPr>
                    <pic:cNvPr id="0" name=""/>
                    <pic:cNvPicPr/>
                  </pic:nvPicPr>
                  <pic:blipFill>
                    <a:blip r:embed="R90dac09f136d471c">
                      <a:extLst>
                        <a:ext xmlns:a="http://schemas.openxmlformats.org/drawingml/2006/main" uri="{28A0092B-C50C-407E-A947-70E740481C1C}">
                          <a14:useLocalDpi val="0"/>
                        </a:ext>
                      </a:extLst>
                    </a:blip>
                    <a:stretch>
                      <a:fillRect/>
                    </a:stretch>
                  </pic:blipFill>
                  <pic:spPr>
                    <a:xfrm>
                      <a:off x="0" y="0"/>
                      <a:ext cx="3543300" cy="2390775"/>
                    </a:xfrm>
                    <a:prstGeom prst="rect">
                      <a:avLst/>
                    </a:prstGeom>
                  </pic:spPr>
                </pic:pic>
              </a:graphicData>
            </a:graphic>
          </wp:inline>
        </w:drawing>
      </w:r>
    </w:p>
    <w:p w:rsidR="50AAF100" w:rsidP="44398305" w:rsidRDefault="50AAF100" w14:paraId="7D73AB8B" w14:textId="4E3071F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(Robinson, 2022)</w:t>
      </w:r>
    </w:p>
    <w:p w:rsidR="50AAF100" w:rsidP="44398305" w:rsidRDefault="50AAF100" w14:paraId="18353F92" w14:textId="2E2266C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Here are examples of how I have used this reflective model </w:t>
      </w:r>
    </w:p>
    <w:p w:rsidR="50AAF100" w:rsidP="44398305" w:rsidRDefault="50AAF100" w14:paraId="3AE6B40E" w14:textId="37FA6F6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50AAF100">
        <w:drawing>
          <wp:inline wp14:editId="3A37FCA6" wp14:anchorId="44E46B54">
            <wp:extent cx="3829050" cy="2162175"/>
            <wp:effectExtent l="0" t="0" r="0" b="0"/>
            <wp:docPr id="119051353" name="" title=""/>
            <wp:cNvGraphicFramePr>
              <a:graphicFrameLocks noChangeAspect="1"/>
            </wp:cNvGraphicFramePr>
            <a:graphic>
              <a:graphicData uri="http://schemas.openxmlformats.org/drawingml/2006/picture">
                <pic:pic>
                  <pic:nvPicPr>
                    <pic:cNvPr id="0" name=""/>
                    <pic:cNvPicPr/>
                  </pic:nvPicPr>
                  <pic:blipFill>
                    <a:blip r:embed="R40ac9ab7d8144cb0">
                      <a:extLst>
                        <a:ext xmlns:a="http://schemas.openxmlformats.org/drawingml/2006/main" uri="{28A0092B-C50C-407E-A947-70E740481C1C}">
                          <a14:useLocalDpi val="0"/>
                        </a:ext>
                      </a:extLst>
                    </a:blip>
                    <a:stretch>
                      <a:fillRect/>
                    </a:stretch>
                  </pic:blipFill>
                  <pic:spPr>
                    <a:xfrm>
                      <a:off x="0" y="0"/>
                      <a:ext cx="3829050" cy="2162175"/>
                    </a:xfrm>
                    <a:prstGeom prst="rect">
                      <a:avLst/>
                    </a:prstGeom>
                  </pic:spPr>
                </pic:pic>
              </a:graphicData>
            </a:graphic>
          </wp:inline>
        </w:drawing>
      </w:r>
      <w:r>
        <w:br/>
      </w:r>
      <w:r w:rsidR="50AAF100">
        <w:drawing>
          <wp:inline wp14:editId="036EC41D" wp14:anchorId="3B7B84C4">
            <wp:extent cx="3838575" cy="2114550"/>
            <wp:effectExtent l="0" t="0" r="0" b="0"/>
            <wp:docPr id="461618449" name="" title=""/>
            <wp:cNvGraphicFramePr>
              <a:graphicFrameLocks noChangeAspect="1"/>
            </wp:cNvGraphicFramePr>
            <a:graphic>
              <a:graphicData uri="http://schemas.openxmlformats.org/drawingml/2006/picture">
                <pic:pic>
                  <pic:nvPicPr>
                    <pic:cNvPr id="0" name=""/>
                    <pic:cNvPicPr/>
                  </pic:nvPicPr>
                  <pic:blipFill>
                    <a:blip r:embed="Ra6f44dd3ef0041a0">
                      <a:extLst>
                        <a:ext xmlns:a="http://schemas.openxmlformats.org/drawingml/2006/main" uri="{28A0092B-C50C-407E-A947-70E740481C1C}">
                          <a14:useLocalDpi val="0"/>
                        </a:ext>
                      </a:extLst>
                    </a:blip>
                    <a:stretch>
                      <a:fillRect/>
                    </a:stretch>
                  </pic:blipFill>
                  <pic:spPr>
                    <a:xfrm>
                      <a:off x="0" y="0"/>
                      <a:ext cx="3838575" cy="2114550"/>
                    </a:xfrm>
                    <a:prstGeom prst="rect">
                      <a:avLst/>
                    </a:prstGeom>
                  </pic:spPr>
                </pic:pic>
              </a:graphicData>
            </a:graphic>
          </wp:inline>
        </w:drawing>
      </w:r>
    </w:p>
    <w:p w:rsidR="50AAF100" w:rsidP="44398305" w:rsidRDefault="50AAF100" w14:paraId="26C10F94" w14:textId="26AE503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50AAF100">
        <w:drawing>
          <wp:inline wp14:editId="7920E005" wp14:anchorId="3167733B">
            <wp:extent cx="3981450" cy="2076450"/>
            <wp:effectExtent l="0" t="0" r="0" b="0"/>
            <wp:docPr id="324328930" name="" title=""/>
            <wp:cNvGraphicFramePr>
              <a:graphicFrameLocks noChangeAspect="1"/>
            </wp:cNvGraphicFramePr>
            <a:graphic>
              <a:graphicData uri="http://schemas.openxmlformats.org/drawingml/2006/picture">
                <pic:pic>
                  <pic:nvPicPr>
                    <pic:cNvPr id="0" name=""/>
                    <pic:cNvPicPr/>
                  </pic:nvPicPr>
                  <pic:blipFill>
                    <a:blip r:embed="Rc3da89ef427c47c4">
                      <a:extLst>
                        <a:ext xmlns:a="http://schemas.openxmlformats.org/drawingml/2006/main" uri="{28A0092B-C50C-407E-A947-70E740481C1C}">
                          <a14:useLocalDpi val="0"/>
                        </a:ext>
                      </a:extLst>
                    </a:blip>
                    <a:stretch>
                      <a:fillRect/>
                    </a:stretch>
                  </pic:blipFill>
                  <pic:spPr>
                    <a:xfrm>
                      <a:off x="0" y="0"/>
                      <a:ext cx="3981450" cy="2076450"/>
                    </a:xfrm>
                    <a:prstGeom prst="rect">
                      <a:avLst/>
                    </a:prstGeom>
                  </pic:spPr>
                </pic:pic>
              </a:graphicData>
            </a:graphic>
          </wp:inline>
        </w:drawing>
      </w:r>
    </w:p>
    <w:p w:rsidR="50AAF100" w:rsidP="44398305" w:rsidRDefault="50AAF100" w14:paraId="4CF92DFF" w14:textId="5A27BC6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50AAF100">
        <w:drawing>
          <wp:inline wp14:editId="2C3509DC" wp14:anchorId="473E0AEE">
            <wp:extent cx="4095750" cy="2286000"/>
            <wp:effectExtent l="0" t="0" r="0" b="0"/>
            <wp:docPr id="1166073008" name="" title=""/>
            <wp:cNvGraphicFramePr>
              <a:graphicFrameLocks noChangeAspect="1"/>
            </wp:cNvGraphicFramePr>
            <a:graphic>
              <a:graphicData uri="http://schemas.openxmlformats.org/drawingml/2006/picture">
                <pic:pic>
                  <pic:nvPicPr>
                    <pic:cNvPr id="0" name=""/>
                    <pic:cNvPicPr/>
                  </pic:nvPicPr>
                  <pic:blipFill>
                    <a:blip r:embed="Rc7d4a07cbcbb4b49">
                      <a:extLst>
                        <a:ext xmlns:a="http://schemas.openxmlformats.org/drawingml/2006/main" uri="{28A0092B-C50C-407E-A947-70E740481C1C}">
                          <a14:useLocalDpi val="0"/>
                        </a:ext>
                      </a:extLst>
                    </a:blip>
                    <a:stretch>
                      <a:fillRect/>
                    </a:stretch>
                  </pic:blipFill>
                  <pic:spPr>
                    <a:xfrm>
                      <a:off x="0" y="0"/>
                      <a:ext cx="4095750" cy="2286000"/>
                    </a:xfrm>
                    <a:prstGeom prst="rect">
                      <a:avLst/>
                    </a:prstGeom>
                  </pic:spPr>
                </pic:pic>
              </a:graphicData>
            </a:graphic>
          </wp:inline>
        </w:drawing>
      </w:r>
    </w:p>
    <w:p w:rsidR="50AAF100" w:rsidP="44398305" w:rsidRDefault="50AAF100" w14:paraId="0E638B2D" w14:textId="3DAD416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US"/>
        </w:rPr>
        <w:t xml:space="preserve">Appendix 2 </w:t>
      </w:r>
    </w:p>
    <w:p w:rsidR="50AAF100" w:rsidP="44398305" w:rsidRDefault="50AAF100" w14:paraId="0D40284F" w14:textId="199A858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Pictures from soup workshop</w:t>
      </w:r>
    </w:p>
    <w:p w:rsidR="50AAF100" w:rsidP="44398305" w:rsidRDefault="50AAF100" w14:paraId="73E5D6CF" w14:textId="28E0434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50AAF100">
        <w:drawing>
          <wp:inline wp14:editId="0CA88D3C" wp14:anchorId="23F3BF12">
            <wp:extent cx="3552825" cy="2228850"/>
            <wp:effectExtent l="0" t="0" r="0" b="0"/>
            <wp:docPr id="148610221" name="" title=""/>
            <wp:cNvGraphicFramePr>
              <a:graphicFrameLocks noChangeAspect="1"/>
            </wp:cNvGraphicFramePr>
            <a:graphic>
              <a:graphicData uri="http://schemas.openxmlformats.org/drawingml/2006/picture">
                <pic:pic>
                  <pic:nvPicPr>
                    <pic:cNvPr id="0" name=""/>
                    <pic:cNvPicPr/>
                  </pic:nvPicPr>
                  <pic:blipFill>
                    <a:blip r:embed="R78001e1088724c70">
                      <a:extLst>
                        <a:ext xmlns:a="http://schemas.openxmlformats.org/drawingml/2006/main" uri="{28A0092B-C50C-407E-A947-70E740481C1C}">
                          <a14:useLocalDpi val="0"/>
                        </a:ext>
                      </a:extLst>
                    </a:blip>
                    <a:stretch>
                      <a:fillRect/>
                    </a:stretch>
                  </pic:blipFill>
                  <pic:spPr>
                    <a:xfrm>
                      <a:off x="0" y="0"/>
                      <a:ext cx="3552825" cy="2228850"/>
                    </a:xfrm>
                    <a:prstGeom prst="rect">
                      <a:avLst/>
                    </a:prstGeom>
                  </pic:spPr>
                </pic:pic>
              </a:graphicData>
            </a:graphic>
          </wp:inline>
        </w:drawing>
      </w:r>
    </w:p>
    <w:p w:rsidR="44398305" w:rsidP="44398305" w:rsidRDefault="44398305" w14:paraId="39EC220A" w14:textId="74FDE10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4398305" w:rsidP="44398305" w:rsidRDefault="44398305" w14:paraId="2B4F7338" w14:textId="7175B13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0AAF100" w:rsidP="44398305" w:rsidRDefault="50AAF100" w14:paraId="633C3F77" w14:textId="55FD07C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50AAF100">
        <w:drawing>
          <wp:inline wp14:editId="452991C7" wp14:anchorId="5603707D">
            <wp:extent cx="3914775" cy="2343150"/>
            <wp:effectExtent l="0" t="0" r="0" b="0"/>
            <wp:docPr id="23377727" name="" title=""/>
            <wp:cNvGraphicFramePr>
              <a:graphicFrameLocks noChangeAspect="1"/>
            </wp:cNvGraphicFramePr>
            <a:graphic>
              <a:graphicData uri="http://schemas.openxmlformats.org/drawingml/2006/picture">
                <pic:pic>
                  <pic:nvPicPr>
                    <pic:cNvPr id="0" name=""/>
                    <pic:cNvPicPr/>
                  </pic:nvPicPr>
                  <pic:blipFill>
                    <a:blip r:embed="R5ce2d3cd2d6448c2">
                      <a:extLst>
                        <a:ext xmlns:a="http://schemas.openxmlformats.org/drawingml/2006/main" uri="{28A0092B-C50C-407E-A947-70E740481C1C}">
                          <a14:useLocalDpi val="0"/>
                        </a:ext>
                      </a:extLst>
                    </a:blip>
                    <a:stretch>
                      <a:fillRect/>
                    </a:stretch>
                  </pic:blipFill>
                  <pic:spPr>
                    <a:xfrm>
                      <a:off x="0" y="0"/>
                      <a:ext cx="3914775" cy="2343150"/>
                    </a:xfrm>
                    <a:prstGeom prst="rect">
                      <a:avLst/>
                    </a:prstGeom>
                  </pic:spPr>
                </pic:pic>
              </a:graphicData>
            </a:graphic>
          </wp:inline>
        </w:drawing>
      </w:r>
    </w:p>
    <w:p w:rsidR="44398305" w:rsidP="44398305" w:rsidRDefault="44398305" w14:paraId="44E1B39C" w14:textId="3B39842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4398305" w:rsidP="44398305" w:rsidRDefault="44398305" w14:paraId="143A0D42" w14:textId="00EB9BC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0AAF100" w:rsidP="44398305" w:rsidRDefault="50AAF100" w14:paraId="644F46E7" w14:textId="7AEEAE9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398305" w:rsidR="50AAF100">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US"/>
        </w:rPr>
        <w:t>Appendix 3</w:t>
      </w:r>
    </w:p>
    <w:p w:rsidR="50AAF100" w:rsidP="44398305" w:rsidRDefault="50AAF100" w14:paraId="7A610423" w14:textId="506CC13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50AAF100">
        <w:drawing>
          <wp:inline wp14:editId="747123CC" wp14:anchorId="4A21C9FE">
            <wp:extent cx="2886075" cy="2800350"/>
            <wp:effectExtent l="0" t="0" r="0" b="0"/>
            <wp:docPr id="2145816024" name="" title=""/>
            <wp:cNvGraphicFramePr>
              <a:graphicFrameLocks noChangeAspect="1"/>
            </wp:cNvGraphicFramePr>
            <a:graphic>
              <a:graphicData uri="http://schemas.openxmlformats.org/drawingml/2006/picture">
                <pic:pic>
                  <pic:nvPicPr>
                    <pic:cNvPr id="0" name=""/>
                    <pic:cNvPicPr/>
                  </pic:nvPicPr>
                  <pic:blipFill>
                    <a:blip r:embed="R1297b28c912a4aa1">
                      <a:extLst>
                        <a:ext xmlns:a="http://schemas.openxmlformats.org/drawingml/2006/main" uri="{28A0092B-C50C-407E-A947-70E740481C1C}">
                          <a14:useLocalDpi val="0"/>
                        </a:ext>
                      </a:extLst>
                    </a:blip>
                    <a:stretch>
                      <a:fillRect/>
                    </a:stretch>
                  </pic:blipFill>
                  <pic:spPr>
                    <a:xfrm>
                      <a:off x="0" y="0"/>
                      <a:ext cx="2886075" cy="2800350"/>
                    </a:xfrm>
                    <a:prstGeom prst="rect">
                      <a:avLst/>
                    </a:prstGeom>
                  </pic:spPr>
                </pic:pic>
              </a:graphicData>
            </a:graphic>
          </wp:inline>
        </w:drawing>
      </w:r>
      <w:r>
        <w:br/>
      </w:r>
      <w:r w:rsidRPr="44398305" w:rsidR="50AAF10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Dearnley (2022)</w:t>
      </w:r>
    </w:p>
    <w:p w:rsidR="44398305" w:rsidP="44398305" w:rsidRDefault="44398305" w14:paraId="098A7B06" w14:textId="2164882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4398305" w:rsidP="44398305" w:rsidRDefault="44398305" w14:paraId="0DB244FD" w14:textId="76E4D1A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4398305" w:rsidP="44398305" w:rsidRDefault="44398305" w14:paraId="2A9F1408" w14:textId="2AA105F4">
      <w:pPr>
        <w:pStyle w:val="Normal"/>
        <w:spacing w:before="120" w:after="0"/>
        <w:rPr>
          <w:rFonts w:ascii="Calibri" w:hAnsi="Calibri" w:eastAsia="Calibri" w:cs="Calibri"/>
          <w:b w:val="1"/>
          <w:bCs w:val="1"/>
          <w:sz w:val="28"/>
          <w:szCs w:val="28"/>
          <w:u w:val="single"/>
        </w:rPr>
      </w:pPr>
    </w:p>
    <w:p w:rsidR="431DF142" w:rsidP="49597F03" w:rsidRDefault="431DF142" w14:paraId="0EB4E661" w14:textId="1DC73267">
      <w:pPr>
        <w:spacing w:before="120" w:after="0"/>
        <w:rPr>
          <w:rFonts w:ascii="Calibri" w:hAnsi="Calibri" w:eastAsia="Calibri" w:cs="Calibri"/>
          <w:b/>
          <w:bCs/>
          <w:sz w:val="28"/>
          <w:szCs w:val="28"/>
          <w:u w:val="single"/>
        </w:rPr>
      </w:pPr>
    </w:p>
    <w:sectPr w:rsidR="431DF142">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int2:observations>
    <int2:bookmark int2:bookmarkName="_Int_oxqszSGe" int2:invalidationBookmarkName="" int2:hashCode="e0dMsLOcF3PXGS" int2:id="7dF7if6N">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42C3670"/>
    <w:rsid w:val="00032D2B"/>
    <w:rsid w:val="00160336"/>
    <w:rsid w:val="001B3010"/>
    <w:rsid w:val="001B5DFE"/>
    <w:rsid w:val="001C471C"/>
    <w:rsid w:val="001F70EA"/>
    <w:rsid w:val="00205253"/>
    <w:rsid w:val="00276A0E"/>
    <w:rsid w:val="002E0ED3"/>
    <w:rsid w:val="00326B12"/>
    <w:rsid w:val="00375CA5"/>
    <w:rsid w:val="003A765C"/>
    <w:rsid w:val="003B6313"/>
    <w:rsid w:val="004327F8"/>
    <w:rsid w:val="005C0EDB"/>
    <w:rsid w:val="005F7178"/>
    <w:rsid w:val="00635359"/>
    <w:rsid w:val="006D25AA"/>
    <w:rsid w:val="006F72F1"/>
    <w:rsid w:val="00730B8C"/>
    <w:rsid w:val="00853A9B"/>
    <w:rsid w:val="00861C2B"/>
    <w:rsid w:val="008C27AF"/>
    <w:rsid w:val="00947BDE"/>
    <w:rsid w:val="009A1287"/>
    <w:rsid w:val="009B6086"/>
    <w:rsid w:val="00A06C07"/>
    <w:rsid w:val="00A41F73"/>
    <w:rsid w:val="00A647B7"/>
    <w:rsid w:val="00AD756A"/>
    <w:rsid w:val="00AE2174"/>
    <w:rsid w:val="00B40282"/>
    <w:rsid w:val="00B43067"/>
    <w:rsid w:val="00B8256F"/>
    <w:rsid w:val="00BB0A25"/>
    <w:rsid w:val="00CB67FF"/>
    <w:rsid w:val="00D870F6"/>
    <w:rsid w:val="00E149DB"/>
    <w:rsid w:val="00E4128C"/>
    <w:rsid w:val="00EB0305"/>
    <w:rsid w:val="00EB3425"/>
    <w:rsid w:val="00F01624"/>
    <w:rsid w:val="00F24A83"/>
    <w:rsid w:val="00F365EA"/>
    <w:rsid w:val="054B0C6C"/>
    <w:rsid w:val="073F395D"/>
    <w:rsid w:val="0B35ECD9"/>
    <w:rsid w:val="0E56BA94"/>
    <w:rsid w:val="110D758D"/>
    <w:rsid w:val="14EEF9BA"/>
    <w:rsid w:val="15420C32"/>
    <w:rsid w:val="171FC6B5"/>
    <w:rsid w:val="21247B15"/>
    <w:rsid w:val="245C1BD7"/>
    <w:rsid w:val="268966E8"/>
    <w:rsid w:val="26D5E5BB"/>
    <w:rsid w:val="2A834A70"/>
    <w:rsid w:val="2B41E1D0"/>
    <w:rsid w:val="2B493278"/>
    <w:rsid w:val="2B8CC054"/>
    <w:rsid w:val="2DE9D5C0"/>
    <w:rsid w:val="373B9568"/>
    <w:rsid w:val="3863D0BB"/>
    <w:rsid w:val="431DF142"/>
    <w:rsid w:val="44398305"/>
    <w:rsid w:val="45552217"/>
    <w:rsid w:val="45A12CBB"/>
    <w:rsid w:val="45E65EF2"/>
    <w:rsid w:val="488CC2D9"/>
    <w:rsid w:val="48B9768E"/>
    <w:rsid w:val="49597F03"/>
    <w:rsid w:val="4EEE1CC6"/>
    <w:rsid w:val="50AAF100"/>
    <w:rsid w:val="53E167DA"/>
    <w:rsid w:val="55F364B6"/>
    <w:rsid w:val="562D005E"/>
    <w:rsid w:val="574347FD"/>
    <w:rsid w:val="578F3517"/>
    <w:rsid w:val="642C3670"/>
    <w:rsid w:val="659B16BA"/>
    <w:rsid w:val="670576E0"/>
    <w:rsid w:val="68F089DA"/>
    <w:rsid w:val="6D1A0FB2"/>
    <w:rsid w:val="6D8B5A5B"/>
    <w:rsid w:val="7054AE0D"/>
    <w:rsid w:val="73C6D52E"/>
    <w:rsid w:val="780A997F"/>
    <w:rsid w:val="7A5CA582"/>
    <w:rsid w:val="7A5F7F27"/>
    <w:rsid w:val="7F9C2B5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2C3670"/>
  <w15:chartTrackingRefBased/>
  <w15:docId w15:val="{90C38606-338F-4B27-A7B2-70E7F49283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3.png" Id="rId8" /><Relationship Type="http://schemas.openxmlformats.org/officeDocument/2006/relationships/image" Target="media/image8.png" Id="rId13" /><Relationship Type="http://schemas.openxmlformats.org/officeDocument/2006/relationships/settings" Target="settings.xml" Id="rId3" /><Relationship Type="http://schemas.openxmlformats.org/officeDocument/2006/relationships/image" Target="media/image2.png" Id="rId7" /><Relationship Type="http://schemas.openxmlformats.org/officeDocument/2006/relationships/image" Target="media/image7.png" Id="rId12" /><Relationship Type="http://schemas.openxmlformats.org/officeDocument/2006/relationships/theme" Target="theme/theme1.xml" Id="rId17" /><Relationship Type="http://schemas.openxmlformats.org/officeDocument/2006/relationships/styles" Target="styles.xml" Id="rId2" /><Relationship Type="http://schemas.openxmlformats.org/officeDocument/2006/relationships/fontTable" Target="fontTable.xml" Id="rId16" /><Relationship Type="http://schemas.openxmlformats.org/officeDocument/2006/relationships/numbering" Target="numbering.xml" Id="rId1" /><Relationship Type="http://schemas.openxmlformats.org/officeDocument/2006/relationships/image" Target="media/image1.png" Id="rId6" /><Relationship Type="http://schemas.openxmlformats.org/officeDocument/2006/relationships/image" Target="media/image6.png" Id="rId11" /><Relationship Type="http://schemas.openxmlformats.org/officeDocument/2006/relationships/hyperlink" Target="https://www.virtuallibrary.info/peel-paragraph-writing.html" TargetMode="External" Id="rId5" /><Relationship Type="http://schemas.openxmlformats.org/officeDocument/2006/relationships/image" Target="media/image10.png" Id="rId15" /><Relationship Type="http://schemas.openxmlformats.org/officeDocument/2006/relationships/image" Target="media/image5.png" Id="rId10" /><Relationship Type="http://schemas.openxmlformats.org/officeDocument/2006/relationships/webSettings" Target="webSettings.xml" Id="rId4" /><Relationship Type="http://schemas.openxmlformats.org/officeDocument/2006/relationships/image" Target="media/image4.png" Id="rId9" /><Relationship Type="http://schemas.openxmlformats.org/officeDocument/2006/relationships/image" Target="media/image9.png" Id="rId14" /><Relationship Type="http://schemas.openxmlformats.org/officeDocument/2006/relationships/hyperlink" Target="https://doi.org/10.1002/j.2168-9830.2009.tb01025.x" TargetMode="External" Id="R404de453e974421c" /><Relationship Type="http://schemas.openxmlformats.org/officeDocument/2006/relationships/hyperlink" Target="https://www.nordangliaeducation.com/nais-al-khor/news/2023/07/20/the-importance-of-real-life-experience" TargetMode="External" Id="Rce684158a5ac419c" /><Relationship Type="http://schemas.openxmlformats.org/officeDocument/2006/relationships/hyperlink" Target="https://assets.publishing.service.gov.uk/government/uploads/system/uploads/attachment_data/file/467855/DFE-RR466_-_School_improvement_effective_school_partnerships.pdf" TargetMode="External" Id="R976028f9d25f4c9d" /><Relationship Type="http://schemas.openxmlformats.org/officeDocument/2006/relationships/hyperlink" Target="https://www.researchgate.net/publication/274313611_An_Introduction_to_Cross-Curricular_Learning" TargetMode="External" Id="Rc516a1463dd04a41" /><Relationship Type="http://schemas.openxmlformats.org/officeDocument/2006/relationships/hyperlink" Target="https://www.edutopia.org/article/help-students-build-intrinsic-motivation" TargetMode="External" Id="R471bec06e50d47c3" /><Relationship Type="http://schemas.openxmlformats.org/officeDocument/2006/relationships/hyperlink" Target="https://doi.org/10.1080/0158037x.2014.904782" TargetMode="External" Id="R557805202dbc421f" /><Relationship Type="http://schemas.openxmlformats.org/officeDocument/2006/relationships/hyperlink" Target="https://www.nutrition.org.uk/nutrition-for/children/" TargetMode="External" Id="R052805c5c0884564" /><Relationship Type="http://schemas.openxmlformats.org/officeDocument/2006/relationships/hyperlink" Target="https://assets.website-files.com/5ee28729f7b4a5fa99bef2b3/5ee9f507021911ae35ac6c4d_EBE_GTT_EVIDENCE%20REVIEW_DIGITAL.p" TargetMode="External" Id="Ra4db38e2ccfe4291" /><Relationship Type="http://schemas.openxmlformats.org/officeDocument/2006/relationships/hyperlink" Target="https://www.weforum.org/agenda/2018/09/10-reasons-why-finlands-education-system-is-the-best-in-the-world/" TargetMode="External" Id="Rcb2f4d3530c7469f" /><Relationship Type="http://schemas.openxmlformats.org/officeDocument/2006/relationships/hyperlink" Target="https://www.verywellmind.com/social-learning-theory-2795074" TargetMode="External" Id="R37fa1838e7a04d54" /><Relationship Type="http://schemas.openxmlformats.org/officeDocument/2006/relationships/hyperlink" Target="https://www.verywellmind.com/bronfenbrenner-ecological-model-7643403" TargetMode="External" Id="R2aeafe19f3424d09" /><Relationship Type="http://schemas.openxmlformats.org/officeDocument/2006/relationships/hyperlink" Target="https://www.gov.wales/sites/default/files/publications/2018-03/the-four-purposes-of-the-curriculum-for-wales.pdf" TargetMode="External" Id="Ra58311976c6d48ac" /><Relationship Type="http://schemas.openxmlformats.org/officeDocument/2006/relationships/hyperlink" Target="https://app.croneri.co.uk/feature-articles/te-whariki-new-zealand-s-approach-early-years-curriculum" TargetMode="External" Id="Rbab9982b897549a5" /><Relationship Type="http://schemas.openxmlformats.org/officeDocument/2006/relationships/hyperlink" Target="https://www.gov.wales/sites/default/files/publications/2018-03/successful-futures.pdf" TargetMode="External" Id="Re455f279bbe24529" /><Relationship Type="http://schemas.openxmlformats.org/officeDocument/2006/relationships/hyperlink" Target="https://gov.wales/sites/default/files/publications/2018-03/succesful-futures-a-summary-of-professor-graham-donaldsons-report.pdf" TargetMode="External" Id="Rba7e8d8f83ba4c20" /><Relationship Type="http://schemas.openxmlformats.org/officeDocument/2006/relationships/hyperlink" Target="https://d2tic4wvo1iusb.cloudfront.net/production/eef-guidance-reports/supporting-parents/EEF_Parental_Engagement_Guidance_Report.pdf?v=1712158213" TargetMode="External" Id="Ra9eddf568c564041" /><Relationship Type="http://schemas.openxmlformats.org/officeDocument/2006/relationships/hyperlink" Target="https://education.gov.scot/media/5vwbcy1m/importancenummaths.pdf" TargetMode="External" Id="Rfec779d5041c4bd8" /><Relationship Type="http://schemas.openxmlformats.org/officeDocument/2006/relationships/hyperlink" Target="https://www.estyn.gov.wales/effective-practice/encouraging-independent-learners" TargetMode="External" Id="R2baacffa133b458d" /><Relationship Type="http://schemas.openxmlformats.org/officeDocument/2006/relationships/hyperlink" Target="https://www.estyn.gov.wales/thematic-report/involving-parents-communication-between-schools-and-parents-school-aged-children" TargetMode="External" Id="R1ac13c42ed454be7" /><Relationship Type="http://schemas.openxmlformats.org/officeDocument/2006/relationships/hyperlink" Target="https://www.estyn.gov.wales/effective-practice/placing-rights-child-heart-curriculum-development" TargetMode="External" Id="R6183368258a5446f" /><Relationship Type="http://schemas.openxmlformats.org/officeDocument/2006/relationships/hyperlink" Target="https://www.gov.wales/effective-approaches-assessment-improve-teaching-and-learning-html" TargetMode="External" Id="Rfa63719889c54682" /><Relationship Type="http://schemas.openxmlformats.org/officeDocument/2006/relationships/hyperlink" Target="https://resilienteducator.com/classroom-resources/cross-curricular-lesson-plans/" TargetMode="External" Id="Rf95333838c05423f" /><Relationship Type="http://schemas.openxmlformats.org/officeDocument/2006/relationships/hyperlink" Target="https://www.impact.wales/news/12-pedagogical-principles/" TargetMode="External" Id="R2a1f2bd7daf843f8" /><Relationship Type="http://schemas.openxmlformats.org/officeDocument/2006/relationships/hyperlink" Target="https://uk.sagepub.com/sites/default/files/upm-binaries/25241_02_Cheminais_Ch_02.pdf" TargetMode="External" Id="R0b1f2a1553ba417f" /><Relationship Type="http://schemas.openxmlformats.org/officeDocument/2006/relationships/hyperlink" Target="https://www.edutopia.org/blog/cross-curricular-teaching-deeper-learning-ben-johnson" TargetMode="External" Id="R9f4b8f98d72c49ab" /><Relationship Type="http://schemas.openxmlformats.org/officeDocument/2006/relationships/hyperlink" Target="https://www.eyalliance.org.uk/news/2022/12/ofsted-report-highlights-impact-staffing-crisis" TargetMode="External" Id="R8e2ca55aa2bf45f0" /><Relationship Type="http://schemas.openxmlformats.org/officeDocument/2006/relationships/hyperlink" Target="https://www.simplypsychology.org/vygotsky.html" TargetMode="External" Id="Rff934d6fff104720" /><Relationship Type="http://schemas.openxmlformats.org/officeDocument/2006/relationships/hyperlink" Target="https://www.teachthought.com/pedagogy/reflection-important/" TargetMode="External" Id="R9e02622dbde640a1" /><Relationship Type="http://schemas.openxmlformats.org/officeDocument/2006/relationships/hyperlink" Target="https://www.criticalthinking.org/pages/dr-richard-paul/818" TargetMode="External" Id="R24fbd5c933784f18" /><Relationship Type="http://schemas.openxmlformats.org/officeDocument/2006/relationships/hyperlink" Target="https://crowjack.com/blog/strategy/reflection-models/kolb-reflective-cycle" TargetMode="External" Id="Re52b2bfeeeb84e9b" /><Relationship Type="http://schemas.openxmlformats.org/officeDocument/2006/relationships/hyperlink" Target="https://www.teachhub.com/teaching-strategies/2019/11/approaches-to-successful-cross-curricular-integration/" TargetMode="External" Id="R4a057af6bb404541" /><Relationship Type="http://schemas.openxmlformats.org/officeDocument/2006/relationships/hyperlink" Target="https://owis.org/sg/blog/strategies-to-develop-problem-solving-skills-in-students/" TargetMode="External" Id="R232d7acde2184429" /><Relationship Type="http://schemas.openxmlformats.org/officeDocument/2006/relationships/hyperlink" Target="https://angelink.com/blog/why-school-fundraising-is-important/" TargetMode="External" Id="R883a8e67c831476e" /><Relationship Type="http://schemas.openxmlformats.org/officeDocument/2006/relationships/hyperlink" Target="https://curriculumredesign.org/wp-content/uploads/The-Finnish-National-Core-Curriculum_Vitikka-et-al.-2011.pdf" TargetMode="External" Id="Rd01f5e283c7245ef" /><Relationship Type="http://schemas.openxmlformats.org/officeDocument/2006/relationships/hyperlink" Target="https://ndna.org.uk/wp-content/uploads/2022/07/Wales-Cynefin-Curriculum-for-Wales-Factsheet.pdf" TargetMode="External" Id="R17951b2df71d4179" /><Relationship Type="http://schemas.openxmlformats.org/officeDocument/2006/relationships/hyperlink" Target="https://hwb.gov.wales/curriculum-for-wales/cross-curricular-skills-frameworks" TargetMode="External" Id="R8a805b7c1b7a41cb" /><Relationship Type="http://schemas.openxmlformats.org/officeDocument/2006/relationships/hyperlink" Target="https://www.gov.wales/qualified-teacher-status-qts-teaching-wales" TargetMode="External" Id="R69c13e8351e04c6a" /><Relationship Type="http://schemas.openxmlformats.org/officeDocument/2006/relationships/hyperlink" Target="https://blog.pearsoninternationalschools.com/why-is-it-important-for-young-people-to-develop-transferable-skills/" TargetMode="External" Id="R8badb43218f44a9b" /><Relationship Type="http://schemas.openxmlformats.org/officeDocument/2006/relationships/image" Target="/media/imageb.png" Id="R90dac09f136d471c" /><Relationship Type="http://schemas.openxmlformats.org/officeDocument/2006/relationships/image" Target="/media/imagec.png" Id="R40ac9ab7d8144cb0" /><Relationship Type="http://schemas.openxmlformats.org/officeDocument/2006/relationships/image" Target="/media/imaged.png" Id="Ra6f44dd3ef0041a0" /><Relationship Type="http://schemas.openxmlformats.org/officeDocument/2006/relationships/image" Target="/media/imagee.png" Id="Rc3da89ef427c47c4" /><Relationship Type="http://schemas.openxmlformats.org/officeDocument/2006/relationships/image" Target="/media/imagef.png" Id="Rc7d4a07cbcbb4b49" /><Relationship Type="http://schemas.openxmlformats.org/officeDocument/2006/relationships/image" Target="/media/image10.png" Id="R78001e1088724c70" /><Relationship Type="http://schemas.openxmlformats.org/officeDocument/2006/relationships/image" Target="/media/image11.png" Id="R5ce2d3cd2d6448c2" /><Relationship Type="http://schemas.openxmlformats.org/officeDocument/2006/relationships/image" Target="/media/image12.png" Id="R1297b28c912a4aa1" /><Relationship Type="http://schemas.microsoft.com/office/2020/10/relationships/intelligence" Target="intelligence2.xml" Id="R2b9aae3926274c6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Meg Browne (2102922)</dc:creator>
  <keywords/>
  <dc:description/>
  <lastModifiedBy>Meg Browne (2102922)</lastModifiedBy>
  <revision>40</revision>
  <dcterms:created xsi:type="dcterms:W3CDTF">2024-04-01T21:12:00.0000000Z</dcterms:created>
  <dcterms:modified xsi:type="dcterms:W3CDTF">2024-04-05T14:09:28.4641550Z</dcterms:modified>
</coreProperties>
</file>