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3B81F" w14:textId="5E5D2E4B" w:rsidR="00850987" w:rsidRDefault="009A5726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Brock</w:t>
      </w:r>
      <w:r w:rsidR="00B315B0">
        <w:rPr>
          <w:rFonts w:ascii="Arial" w:hAnsi="Arial" w:cs="Arial"/>
          <w:sz w:val="24"/>
          <w:szCs w:val="24"/>
        </w:rPr>
        <w:t xml:space="preserve"> et al.</w:t>
      </w:r>
      <w:r>
        <w:rPr>
          <w:rFonts w:ascii="Arial" w:hAnsi="Arial" w:cs="Arial"/>
          <w:sz w:val="24"/>
          <w:szCs w:val="24"/>
        </w:rPr>
        <w:t xml:space="preserve"> (2013 p12), suggest that children are pre-programmed to play and that we should try and use this to promote their learning and to improve their learning outcomes</w:t>
      </w:r>
      <w:proofErr w:type="gramStart"/>
      <w:r>
        <w:rPr>
          <w:rFonts w:ascii="Arial" w:hAnsi="Arial" w:cs="Arial"/>
          <w:sz w:val="24"/>
          <w:szCs w:val="24"/>
        </w:rPr>
        <w:t>.</w:t>
      </w:r>
      <w:r w:rsidR="000E1AFE">
        <w:rPr>
          <w:rFonts w:ascii="Arial" w:hAnsi="Arial" w:cs="Arial"/>
          <w:sz w:val="24"/>
          <w:szCs w:val="24"/>
        </w:rPr>
        <w:t xml:space="preserve">  </w:t>
      </w:r>
      <w:proofErr w:type="gramEnd"/>
      <w:r w:rsidR="000E1AFE">
        <w:rPr>
          <w:rFonts w:ascii="Arial" w:hAnsi="Arial" w:cs="Arial"/>
          <w:sz w:val="24"/>
          <w:szCs w:val="24"/>
        </w:rPr>
        <w:t>They have based their theories on those of Susan Isaacs who, in the 1920’s, described play as a child’s ‘life’s work’</w:t>
      </w:r>
      <w:r w:rsidR="00B315B0">
        <w:rPr>
          <w:rFonts w:ascii="Arial" w:hAnsi="Arial" w:cs="Arial"/>
          <w:sz w:val="24"/>
          <w:szCs w:val="24"/>
        </w:rPr>
        <w:t xml:space="preserve"> (2013, quoted in Brock et al </w:t>
      </w:r>
      <w:r w:rsidR="00EE7979">
        <w:rPr>
          <w:rFonts w:ascii="Arial" w:hAnsi="Arial" w:cs="Arial"/>
          <w:sz w:val="24"/>
          <w:szCs w:val="24"/>
        </w:rPr>
        <w:t>page 12).</w:t>
      </w:r>
    </w:p>
    <w:p w14:paraId="52543172" w14:textId="602E92F0" w:rsidR="000E1AFE" w:rsidRDefault="000E1AFE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contrast, some theorists have implied that play is more of a trivial and </w:t>
      </w:r>
      <w:r w:rsidR="007C3A42">
        <w:rPr>
          <w:rFonts w:ascii="Arial" w:hAnsi="Arial" w:cs="Arial"/>
          <w:sz w:val="24"/>
          <w:szCs w:val="24"/>
        </w:rPr>
        <w:t>non-essential</w:t>
      </w:r>
      <w:r>
        <w:rPr>
          <w:rFonts w:ascii="Arial" w:hAnsi="Arial" w:cs="Arial"/>
          <w:sz w:val="24"/>
          <w:szCs w:val="24"/>
        </w:rPr>
        <w:t xml:space="preserve"> past time and therefore is the opposite of what we </w:t>
      </w:r>
      <w:proofErr w:type="gramStart"/>
      <w:r>
        <w:rPr>
          <w:rFonts w:ascii="Arial" w:hAnsi="Arial" w:cs="Arial"/>
          <w:sz w:val="24"/>
          <w:szCs w:val="24"/>
        </w:rPr>
        <w:t>generally consider</w:t>
      </w:r>
      <w:proofErr w:type="gramEnd"/>
      <w:r>
        <w:rPr>
          <w:rFonts w:ascii="Arial" w:hAnsi="Arial" w:cs="Arial"/>
          <w:sz w:val="24"/>
          <w:szCs w:val="24"/>
        </w:rPr>
        <w:t xml:space="preserve"> to be work (</w:t>
      </w:r>
      <w:r w:rsidR="0008771E">
        <w:rPr>
          <w:rFonts w:ascii="Arial" w:hAnsi="Arial" w:cs="Arial"/>
          <w:sz w:val="24"/>
          <w:szCs w:val="24"/>
        </w:rPr>
        <w:t>Whitehead</w:t>
      </w:r>
      <w:r w:rsidR="00EE7979">
        <w:rPr>
          <w:rFonts w:ascii="Arial" w:hAnsi="Arial" w:cs="Arial"/>
          <w:sz w:val="24"/>
          <w:szCs w:val="24"/>
        </w:rPr>
        <w:t xml:space="preserve"> et al, </w:t>
      </w:r>
      <w:r w:rsidR="0008771E">
        <w:rPr>
          <w:rFonts w:ascii="Arial" w:hAnsi="Arial" w:cs="Arial"/>
          <w:sz w:val="24"/>
          <w:szCs w:val="24"/>
        </w:rPr>
        <w:t>2012 p.3).</w:t>
      </w:r>
    </w:p>
    <w:p w14:paraId="2C158A29" w14:textId="52C531D0" w:rsidR="0008771E" w:rsidRDefault="0008771E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</w:t>
      </w:r>
      <w:proofErr w:type="gramStart"/>
      <w:r>
        <w:rPr>
          <w:rFonts w:ascii="Arial" w:hAnsi="Arial" w:cs="Arial"/>
          <w:sz w:val="24"/>
          <w:szCs w:val="24"/>
        </w:rPr>
        <w:t>very difficult</w:t>
      </w:r>
      <w:proofErr w:type="gramEnd"/>
      <w:r>
        <w:rPr>
          <w:rFonts w:ascii="Arial" w:hAnsi="Arial" w:cs="Arial"/>
          <w:sz w:val="24"/>
          <w:szCs w:val="24"/>
        </w:rPr>
        <w:t xml:space="preserve"> to separate play and learning in the Early Years Sector because every new experience to a small child is a learning opportunity</w:t>
      </w:r>
      <w:r w:rsidR="006E439B">
        <w:rPr>
          <w:rFonts w:ascii="Arial" w:hAnsi="Arial" w:cs="Arial"/>
          <w:sz w:val="24"/>
          <w:szCs w:val="24"/>
        </w:rPr>
        <w:t xml:space="preserve"> (Early Years Matters, 2018).  The right to play has </w:t>
      </w:r>
      <w:proofErr w:type="gramStart"/>
      <w:r w:rsidR="006E439B">
        <w:rPr>
          <w:rFonts w:ascii="Arial" w:hAnsi="Arial" w:cs="Arial"/>
          <w:sz w:val="24"/>
          <w:szCs w:val="24"/>
        </w:rPr>
        <w:t>been deemed</w:t>
      </w:r>
      <w:proofErr w:type="gramEnd"/>
      <w:r w:rsidR="006E439B">
        <w:rPr>
          <w:rFonts w:ascii="Arial" w:hAnsi="Arial" w:cs="Arial"/>
          <w:sz w:val="24"/>
          <w:szCs w:val="24"/>
        </w:rPr>
        <w:t xml:space="preserve"> to be so important that it is a fundamental part of the United Nations Convention on the Rights of the Child (Herrington, Brussoni, 2015, pages 477 – 483).</w:t>
      </w:r>
    </w:p>
    <w:p w14:paraId="7214CAD5" w14:textId="22B63827" w:rsidR="006E439B" w:rsidRDefault="006E43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39503DD" w14:textId="5B025FE4" w:rsidR="006E439B" w:rsidRDefault="006E439B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</w:t>
      </w:r>
    </w:p>
    <w:p w14:paraId="7130D1DA" w14:textId="77777777" w:rsidR="007C3A42" w:rsidRDefault="007C3A42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Brock </w:t>
      </w:r>
      <w:r w:rsidRPr="00AA2F02"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>. (2013) Perspectives on Play: Learning for life Oxon: Routledge</w:t>
      </w:r>
    </w:p>
    <w:p w14:paraId="78EF7A20" w14:textId="77777777" w:rsidR="007C3A42" w:rsidRDefault="007C3A42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Matters (2018) The importance of play. Available at: </w:t>
      </w:r>
      <w:hyperlink r:id="rId6" w:history="1">
        <w:r w:rsidRPr="00FC20A2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http://www.earlyyearsmatters.co.uk/eyfs/a-unique-child/play-learning/</w:t>
        </w:r>
      </w:hyperlink>
      <w:r>
        <w:rPr>
          <w:rFonts w:ascii="Arial" w:hAnsi="Arial" w:cs="Arial"/>
          <w:sz w:val="24"/>
          <w:szCs w:val="24"/>
        </w:rPr>
        <w:t xml:space="preserve"> (Accessed: 13 September 2022).</w:t>
      </w:r>
    </w:p>
    <w:p w14:paraId="162D070D" w14:textId="77777777" w:rsidR="007C3A42" w:rsidRPr="00AA2F02" w:rsidRDefault="007C3A42" w:rsidP="009A5726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Herrington and Brussoni (2015) ‘Beyond Physical Activity: The Importance of Play and Nature-Based Play Spaces for Children’s Health and Development’, </w:t>
      </w:r>
      <w:r>
        <w:rPr>
          <w:rFonts w:ascii="Arial" w:hAnsi="Arial" w:cs="Arial"/>
          <w:i/>
          <w:iCs/>
          <w:sz w:val="24"/>
          <w:szCs w:val="24"/>
        </w:rPr>
        <w:t xml:space="preserve">Current Obesity Reports, volume 4, issue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4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pages 477-483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58744714" w14:textId="77777777" w:rsidR="007C3A42" w:rsidRDefault="007C3A42" w:rsidP="009A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Whitehead </w:t>
      </w:r>
      <w:r w:rsidRPr="00AA2F02"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 (2012) The importance of play. Available at: </w:t>
      </w:r>
      <w:hyperlink r:id="rId7" w:history="1">
        <w:r w:rsidRPr="00FC20A2">
          <w:rPr>
            <w:rStyle w:val="Hyperlink"/>
            <w:rFonts w:ascii="Arial" w:hAnsi="Arial" w:cs="Arial"/>
            <w:sz w:val="24"/>
            <w:szCs w:val="24"/>
          </w:rPr>
          <w:t>http://www.importanceofplay.eu/IMG/pdf/drdavidwhitehead-theimportanceofplay.pdf</w:t>
        </w:r>
      </w:hyperlink>
      <w:r>
        <w:rPr>
          <w:rFonts w:ascii="Arial" w:hAnsi="Arial" w:cs="Arial"/>
          <w:sz w:val="24"/>
          <w:szCs w:val="24"/>
        </w:rPr>
        <w:t xml:space="preserve"> (Accessed: 13 September 2022).</w:t>
      </w:r>
    </w:p>
    <w:sectPr w:rsidR="007C3A4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6285A0" w14:textId="77777777" w:rsidR="00F62E54" w:rsidRDefault="00F62E54" w:rsidP="00F62E54">
      <w:pPr>
        <w:spacing w:after="0" w:line="240" w:lineRule="auto"/>
      </w:pPr>
      <w:r>
        <w:separator/>
      </w:r>
    </w:p>
  </w:endnote>
  <w:endnote w:type="continuationSeparator" w:id="0">
    <w:p w14:paraId="24BDAA1B" w14:textId="77777777" w:rsidR="00F62E54" w:rsidRDefault="00F62E54" w:rsidP="00F62E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6EF82" w14:textId="77777777" w:rsidR="00F62E54" w:rsidRDefault="00F62E54" w:rsidP="00F62E54">
      <w:pPr>
        <w:spacing w:after="0" w:line="240" w:lineRule="auto"/>
      </w:pPr>
      <w:r>
        <w:separator/>
      </w:r>
    </w:p>
  </w:footnote>
  <w:footnote w:type="continuationSeparator" w:id="0">
    <w:p w14:paraId="3DA83176" w14:textId="77777777" w:rsidR="00F62E54" w:rsidRDefault="00F62E54" w:rsidP="00F62E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568125" w14:textId="724BACBA" w:rsidR="00F62E54" w:rsidRDefault="00152F9C">
    <w:pPr>
      <w:pStyle w:val="Header"/>
    </w:pPr>
    <w:r>
      <w:t>Student Number 2216886</w:t>
    </w:r>
    <w:r w:rsidR="00F62E54">
      <w:ptab w:relativeTo="margin" w:alignment="center" w:leader="none"/>
    </w:r>
    <w:r>
      <w:t xml:space="preserve">Word </w:t>
    </w:r>
    <w:proofErr w:type="gramStart"/>
    <w:r>
      <w:t>Count :</w:t>
    </w:r>
    <w:proofErr w:type="gramEnd"/>
    <w:r w:rsidR="002768E3">
      <w:t xml:space="preserve"> 158</w:t>
    </w:r>
    <w:r w:rsidR="00F62E54">
      <w:ptab w:relativeTo="margin" w:alignment="right" w:leader="none"/>
    </w:r>
    <w:r w:rsidR="00985AB1">
      <w:t xml:space="preserve">Module : </w:t>
    </w:r>
    <w:r w:rsidR="00902B23">
      <w:t>ECGE4005P/C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726"/>
    <w:rsid w:val="0008771E"/>
    <w:rsid w:val="000E1AFE"/>
    <w:rsid w:val="00152F9C"/>
    <w:rsid w:val="002768E3"/>
    <w:rsid w:val="006E439B"/>
    <w:rsid w:val="007C3A42"/>
    <w:rsid w:val="00850987"/>
    <w:rsid w:val="00902B23"/>
    <w:rsid w:val="00985AB1"/>
    <w:rsid w:val="009A5726"/>
    <w:rsid w:val="00AA2F02"/>
    <w:rsid w:val="00B315B0"/>
    <w:rsid w:val="00BD58D2"/>
    <w:rsid w:val="00D452CF"/>
    <w:rsid w:val="00EE7979"/>
    <w:rsid w:val="00F62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30B98"/>
  <w15:chartTrackingRefBased/>
  <w15:docId w15:val="{60DD15AF-12B5-4C1F-B770-03BACACE5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79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797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62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E54"/>
  </w:style>
  <w:style w:type="paragraph" w:styleId="Footer">
    <w:name w:val="footer"/>
    <w:basedOn w:val="Normal"/>
    <w:link w:val="FooterChar"/>
    <w:uiPriority w:val="99"/>
    <w:unhideWhenUsed/>
    <w:rsid w:val="00F62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2E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importanceofplay.eu/IMG/pdf/drdavidwhitehead-theimportanceofpla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arlyyearsmatters.co.uk/eyfs/a-unique-child/play-learning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Turner</dc:creator>
  <cp:keywords/>
  <dc:description/>
  <cp:lastModifiedBy>Lindsay Turner</cp:lastModifiedBy>
  <cp:revision>10</cp:revision>
  <dcterms:created xsi:type="dcterms:W3CDTF">2022-09-13T16:26:00Z</dcterms:created>
  <dcterms:modified xsi:type="dcterms:W3CDTF">2022-09-13T17:11:00Z</dcterms:modified>
</cp:coreProperties>
</file>