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48638" w14:textId="49C88D51" w:rsidR="005B18C4" w:rsidRDefault="005B18C4" w:rsidP="6FEC3CCE">
      <w:pPr>
        <w:rPr>
          <w:rFonts w:ascii="Arial" w:eastAsia="Arial" w:hAnsi="Arial" w:cs="Arial"/>
          <w:color w:val="000000" w:themeColor="text1"/>
        </w:rPr>
      </w:pPr>
    </w:p>
    <w:p w14:paraId="5EB470EC" w14:textId="2D5C33F4" w:rsidR="005B18C4" w:rsidRDefault="7DB69856" w:rsidP="6FEC3CCE">
      <w:pPr>
        <w:rPr>
          <w:rFonts w:ascii="Arial" w:eastAsia="Arial" w:hAnsi="Arial" w:cs="Arial"/>
          <w:color w:val="000000" w:themeColor="text1"/>
        </w:rPr>
      </w:pPr>
      <w:r>
        <w:rPr>
          <w:noProof/>
        </w:rPr>
        <w:drawing>
          <wp:inline distT="0" distB="0" distL="0" distR="0" wp14:anchorId="52F7FFB6" wp14:editId="1A4BD60C">
            <wp:extent cx="2781300" cy="1466850"/>
            <wp:effectExtent l="0" t="0" r="0" b="0"/>
            <wp:docPr id="1234465461" name="drawing" title="Picture 109346342, Picture, Picture, Picture,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65461" name="Picture 1234465461"/>
                    <pic:cNvPicPr/>
                  </pic:nvPicPr>
                  <pic:blipFill>
                    <a:blip r:embed="rId8">
                      <a:extLst>
                        <a:ext uri="{28A0092B-C50C-407E-A947-70E740481C1C}">
                          <a14:useLocalDpi xmlns:a14="http://schemas.microsoft.com/office/drawing/2010/main"/>
                        </a:ext>
                      </a:extLst>
                    </a:blip>
                    <a:stretch>
                      <a:fillRect/>
                    </a:stretch>
                  </pic:blipFill>
                  <pic:spPr>
                    <a:xfrm>
                      <a:off x="0" y="0"/>
                      <a:ext cx="2781300" cy="1466850"/>
                    </a:xfrm>
                    <a:prstGeom prst="rect">
                      <a:avLst/>
                    </a:prstGeom>
                  </pic:spPr>
                </pic:pic>
              </a:graphicData>
            </a:graphic>
          </wp:inline>
        </w:drawing>
      </w:r>
    </w:p>
    <w:p w14:paraId="2094108C" w14:textId="39A1C7A4" w:rsidR="005B18C4" w:rsidRDefault="005B18C4" w:rsidP="6FEC3CCE">
      <w:pPr>
        <w:rPr>
          <w:rFonts w:ascii="Arial" w:eastAsia="Arial" w:hAnsi="Arial" w:cs="Arial"/>
          <w:color w:val="242424"/>
          <w:sz w:val="28"/>
          <w:szCs w:val="28"/>
        </w:rPr>
      </w:pPr>
    </w:p>
    <w:p w14:paraId="53D88E21" w14:textId="417B8D09" w:rsidR="005B18C4" w:rsidRDefault="005B18C4" w:rsidP="6FEC3CCE">
      <w:pPr>
        <w:rPr>
          <w:rFonts w:ascii="Arial" w:eastAsia="Arial" w:hAnsi="Arial" w:cs="Arial"/>
          <w:color w:val="242424"/>
          <w:sz w:val="28"/>
          <w:szCs w:val="28"/>
        </w:rPr>
      </w:pPr>
    </w:p>
    <w:p w14:paraId="18212E05" w14:textId="6FE3CDB1" w:rsidR="005B18C4" w:rsidRDefault="005B18C4" w:rsidP="6FEC3CCE">
      <w:pPr>
        <w:rPr>
          <w:rFonts w:ascii="Arial" w:eastAsia="Arial" w:hAnsi="Arial" w:cs="Arial"/>
          <w:color w:val="242424"/>
          <w:sz w:val="28"/>
          <w:szCs w:val="28"/>
        </w:rPr>
      </w:pPr>
    </w:p>
    <w:p w14:paraId="52383FEC" w14:textId="204B36E9" w:rsidR="005B18C4" w:rsidRDefault="005B18C4" w:rsidP="6FEC3CCE">
      <w:pPr>
        <w:rPr>
          <w:rFonts w:ascii="Arial" w:eastAsia="Arial" w:hAnsi="Arial" w:cs="Arial"/>
          <w:color w:val="242424"/>
          <w:sz w:val="28"/>
          <w:szCs w:val="28"/>
        </w:rPr>
      </w:pPr>
    </w:p>
    <w:p w14:paraId="1C83B366" w14:textId="4947CAFE" w:rsidR="005B18C4" w:rsidRDefault="005B18C4" w:rsidP="6FEC3CCE">
      <w:pPr>
        <w:rPr>
          <w:rFonts w:ascii="Arial" w:eastAsia="Arial" w:hAnsi="Arial" w:cs="Arial"/>
          <w:color w:val="242424"/>
          <w:sz w:val="28"/>
          <w:szCs w:val="28"/>
        </w:rPr>
      </w:pPr>
    </w:p>
    <w:p w14:paraId="37AEB7C3" w14:textId="6A8F9B58" w:rsidR="005B18C4" w:rsidRDefault="7DB69856" w:rsidP="6FEC3CCE">
      <w:pPr>
        <w:spacing w:after="0" w:line="240" w:lineRule="auto"/>
        <w:jc w:val="center"/>
        <w:rPr>
          <w:rFonts w:ascii="Arial" w:eastAsia="Arial" w:hAnsi="Arial" w:cs="Arial"/>
          <w:color w:val="000000" w:themeColor="text1"/>
          <w:sz w:val="48"/>
          <w:szCs w:val="48"/>
        </w:rPr>
      </w:pPr>
      <w:r w:rsidRPr="6FEC3CCE">
        <w:rPr>
          <w:rStyle w:val="normaltextrun"/>
          <w:rFonts w:ascii="Arial" w:eastAsia="Arial" w:hAnsi="Arial" w:cs="Arial"/>
          <w:b/>
          <w:bCs/>
          <w:color w:val="000000" w:themeColor="text1"/>
          <w:sz w:val="48"/>
          <w:szCs w:val="48"/>
        </w:rPr>
        <w:t>Simon Haylett  </w:t>
      </w:r>
    </w:p>
    <w:p w14:paraId="5D2B150E" w14:textId="189CB1B9" w:rsidR="005B18C4" w:rsidRDefault="7DB69856" w:rsidP="6FEC3CCE">
      <w:pPr>
        <w:spacing w:after="0" w:line="240" w:lineRule="auto"/>
        <w:jc w:val="center"/>
        <w:rPr>
          <w:rFonts w:ascii="Arial" w:eastAsia="Arial" w:hAnsi="Arial" w:cs="Arial"/>
          <w:color w:val="000000" w:themeColor="text1"/>
          <w:sz w:val="48"/>
          <w:szCs w:val="48"/>
        </w:rPr>
      </w:pPr>
      <w:r w:rsidRPr="6FEC3CCE">
        <w:rPr>
          <w:rStyle w:val="normaltextrun"/>
          <w:rFonts w:ascii="Arial" w:eastAsia="Arial" w:hAnsi="Arial" w:cs="Arial"/>
          <w:b/>
          <w:bCs/>
          <w:color w:val="000000" w:themeColor="text1"/>
          <w:sz w:val="48"/>
          <w:szCs w:val="48"/>
        </w:rPr>
        <w:t>2321018</w:t>
      </w:r>
    </w:p>
    <w:p w14:paraId="66609C30" w14:textId="1EDE2CFE" w:rsidR="005B18C4" w:rsidRDefault="005B18C4" w:rsidP="6FEC3CCE">
      <w:pPr>
        <w:spacing w:line="360" w:lineRule="auto"/>
        <w:jc w:val="center"/>
        <w:rPr>
          <w:rFonts w:ascii="Aptos" w:eastAsia="Aptos" w:hAnsi="Aptos" w:cs="Aptos"/>
          <w:color w:val="000000" w:themeColor="text1"/>
          <w:sz w:val="28"/>
          <w:szCs w:val="28"/>
        </w:rPr>
      </w:pPr>
    </w:p>
    <w:p w14:paraId="5E3FF308" w14:textId="6E15E44A" w:rsidR="005B18C4" w:rsidRDefault="7DB69856" w:rsidP="6FEC3CCE">
      <w:pPr>
        <w:spacing w:line="360" w:lineRule="auto"/>
        <w:jc w:val="center"/>
        <w:rPr>
          <w:rFonts w:ascii="Aptos" w:eastAsia="Aptos" w:hAnsi="Aptos" w:cs="Aptos"/>
          <w:color w:val="000000" w:themeColor="text1"/>
          <w:sz w:val="28"/>
          <w:szCs w:val="28"/>
        </w:rPr>
      </w:pPr>
      <w:r w:rsidRPr="6FEC3CCE">
        <w:rPr>
          <w:rFonts w:ascii="Aptos" w:eastAsia="Aptos" w:hAnsi="Aptos" w:cs="Aptos"/>
          <w:b/>
          <w:bCs/>
          <w:color w:val="000000" w:themeColor="text1"/>
          <w:sz w:val="28"/>
          <w:szCs w:val="28"/>
        </w:rPr>
        <w:t>BSc (Hons) Health and Social Care</w:t>
      </w:r>
    </w:p>
    <w:p w14:paraId="3320FCB1" w14:textId="50EAA8E7" w:rsidR="005B18C4" w:rsidRDefault="7DB69856" w:rsidP="6FEC3CCE">
      <w:pPr>
        <w:spacing w:line="360" w:lineRule="auto"/>
        <w:jc w:val="center"/>
        <w:rPr>
          <w:rFonts w:ascii="Aptos" w:eastAsia="Aptos" w:hAnsi="Aptos" w:cs="Aptos"/>
          <w:color w:val="000000" w:themeColor="text1"/>
          <w:sz w:val="28"/>
          <w:szCs w:val="28"/>
        </w:rPr>
      </w:pPr>
      <w:r w:rsidRPr="6FEC3CCE">
        <w:rPr>
          <w:rFonts w:ascii="Aptos" w:eastAsia="Aptos" w:hAnsi="Aptos" w:cs="Aptos"/>
          <w:b/>
          <w:bCs/>
          <w:color w:val="000000" w:themeColor="text1"/>
          <w:sz w:val="28"/>
          <w:szCs w:val="28"/>
        </w:rPr>
        <w:t xml:space="preserve"> Independent Project (BMHP6020_BIRM)</w:t>
      </w:r>
    </w:p>
    <w:p w14:paraId="700F0CD7" w14:textId="2D647767" w:rsidR="005B18C4" w:rsidRDefault="7DB69856" w:rsidP="6FEC3CCE">
      <w:pPr>
        <w:spacing w:line="360" w:lineRule="auto"/>
        <w:jc w:val="center"/>
        <w:rPr>
          <w:rFonts w:ascii="Aptos" w:eastAsia="Aptos" w:hAnsi="Aptos" w:cs="Aptos"/>
          <w:color w:val="000000" w:themeColor="text1"/>
          <w:sz w:val="28"/>
          <w:szCs w:val="28"/>
        </w:rPr>
      </w:pPr>
      <w:r w:rsidRPr="6FEC3CCE">
        <w:rPr>
          <w:rFonts w:ascii="Aptos" w:eastAsia="Aptos" w:hAnsi="Aptos" w:cs="Aptos"/>
          <w:b/>
          <w:bCs/>
          <w:color w:val="000000" w:themeColor="text1"/>
          <w:sz w:val="28"/>
          <w:szCs w:val="28"/>
        </w:rPr>
        <w:t>Element 1 - Project Proposal</w:t>
      </w:r>
    </w:p>
    <w:p w14:paraId="5E5787A5" w14:textId="7AE00BC7" w:rsidR="005B18C4" w:rsidRDefault="005B18C4"/>
    <w:p w14:paraId="1ED19F87" w14:textId="6B8300D7" w:rsidR="6FEC3CCE" w:rsidRDefault="6FEC3CCE"/>
    <w:p w14:paraId="7C3ADEAE" w14:textId="11704DFA" w:rsidR="6FEC3CCE" w:rsidRDefault="6FEC3CCE"/>
    <w:p w14:paraId="18B395F3" w14:textId="0A3B745C" w:rsidR="6FEC3CCE" w:rsidRDefault="6FEC3CCE"/>
    <w:p w14:paraId="49591FC0" w14:textId="44E2F8BB" w:rsidR="6FEC3CCE" w:rsidRDefault="6FEC3CCE"/>
    <w:p w14:paraId="47A044AF" w14:textId="404560FA" w:rsidR="6FEC3CCE" w:rsidRDefault="6FEC3CCE"/>
    <w:p w14:paraId="6B896B57" w14:textId="32C749A9" w:rsidR="6FEC3CCE" w:rsidRDefault="6FEC3CCE"/>
    <w:p w14:paraId="66C49255" w14:textId="66097E98" w:rsidR="6FEC3CCE" w:rsidRDefault="6FEC3CCE" w:rsidP="6FEC3CCE">
      <w:pPr>
        <w:rPr>
          <w:b/>
          <w:bCs/>
          <w:color w:val="242424"/>
          <w:sz w:val="22"/>
          <w:szCs w:val="22"/>
        </w:rPr>
      </w:pPr>
    </w:p>
    <w:p w14:paraId="57BE73F3" w14:textId="67883F8B" w:rsidR="65472E33" w:rsidRDefault="65472E33" w:rsidP="6FEC3CCE">
      <w:pPr>
        <w:rPr>
          <w:b/>
          <w:bCs/>
          <w:color w:val="242424"/>
          <w:sz w:val="28"/>
          <w:szCs w:val="28"/>
        </w:rPr>
      </w:pPr>
      <w:r w:rsidRPr="6FEC3CCE">
        <w:rPr>
          <w:b/>
          <w:bCs/>
          <w:color w:val="242424"/>
          <w:sz w:val="28"/>
          <w:szCs w:val="28"/>
        </w:rPr>
        <w:lastRenderedPageBreak/>
        <w:t>Examining Caribbean Older Adults’ Preferences for Care Homes: Focusing on Cultural Stigma, Family Responsibility, and Trust in Health Services</w:t>
      </w:r>
      <w:r>
        <w:br/>
      </w:r>
    </w:p>
    <w:p w14:paraId="3CD9DAA9" w14:textId="5D5831DD" w:rsidR="6FEC3CCE" w:rsidRDefault="6FEC3CCE" w:rsidP="6FEC3CCE">
      <w:pPr>
        <w:shd w:val="clear" w:color="auto" w:fill="FFFFFF" w:themeFill="background1"/>
        <w:spacing w:after="0" w:line="360" w:lineRule="auto"/>
        <w:rPr>
          <w:sz w:val="22"/>
          <w:szCs w:val="22"/>
        </w:rPr>
      </w:pPr>
    </w:p>
    <w:p w14:paraId="6FFE51BE" w14:textId="047F7365"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t>1) Aim</w:t>
      </w:r>
      <w:r>
        <w:br/>
      </w:r>
    </w:p>
    <w:p w14:paraId="500FACD5" w14:textId="2DE1873C" w:rsidR="6FEC3CCE" w:rsidRDefault="6FEC3CCE" w:rsidP="6FEC3CCE">
      <w:pPr>
        <w:shd w:val="clear" w:color="auto" w:fill="FFFFFF" w:themeFill="background1"/>
        <w:spacing w:after="0" w:line="360" w:lineRule="auto"/>
        <w:rPr>
          <w:sz w:val="22"/>
          <w:szCs w:val="22"/>
        </w:rPr>
      </w:pPr>
    </w:p>
    <w:p w14:paraId="42E0A6A8" w14:textId="5D90A547"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The aim of this research is to examine Caribbean older adults’ preferences for care homes and explore how cultural stigma, family responsibility, and trust in health and social care services influence attitudes towards residential care. The study aims to increase understanding of barriers to care home use and support the development of culturally responsive services within the United Kingdom.</w:t>
      </w:r>
    </w:p>
    <w:p w14:paraId="07ED1C90" w14:textId="7E27D0CE" w:rsidR="6FEC3CCE" w:rsidRDefault="6FEC3CCE" w:rsidP="6FEC3CCE">
      <w:pPr>
        <w:shd w:val="clear" w:color="auto" w:fill="FFFFFF" w:themeFill="background1"/>
        <w:spacing w:after="0" w:line="360" w:lineRule="auto"/>
        <w:rPr>
          <w:sz w:val="22"/>
          <w:szCs w:val="22"/>
        </w:rPr>
      </w:pPr>
    </w:p>
    <w:p w14:paraId="2936A0CB" w14:textId="535E79BE"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t>2) Objectives</w:t>
      </w:r>
      <w:r>
        <w:br/>
      </w:r>
    </w:p>
    <w:p w14:paraId="4DC217A5" w14:textId="754CF6F5" w:rsidR="6FEC3CCE" w:rsidRDefault="6FEC3CCE" w:rsidP="6FEC3CCE">
      <w:pPr>
        <w:shd w:val="clear" w:color="auto" w:fill="FFFFFF" w:themeFill="background1"/>
        <w:spacing w:after="0" w:line="360" w:lineRule="auto"/>
        <w:rPr>
          <w:sz w:val="22"/>
          <w:szCs w:val="22"/>
        </w:rPr>
      </w:pPr>
    </w:p>
    <w:p w14:paraId="5D4121A8" w14:textId="39C8D86B" w:rsidR="65472E33" w:rsidRDefault="65472E33" w:rsidP="6FEC3CCE">
      <w:pPr>
        <w:pStyle w:val="ListParagraph"/>
        <w:numPr>
          <w:ilvl w:val="0"/>
          <w:numId w:val="2"/>
        </w:numPr>
        <w:shd w:val="clear" w:color="auto" w:fill="FFFFFF" w:themeFill="background1"/>
        <w:spacing w:after="0" w:line="360" w:lineRule="auto"/>
        <w:rPr>
          <w:color w:val="242424"/>
          <w:sz w:val="22"/>
          <w:szCs w:val="22"/>
        </w:rPr>
      </w:pPr>
      <w:r w:rsidRPr="6FEC3CCE">
        <w:rPr>
          <w:b/>
          <w:bCs/>
          <w:color w:val="242424"/>
          <w:sz w:val="22"/>
          <w:szCs w:val="22"/>
        </w:rPr>
        <w:t>To define and examine</w:t>
      </w:r>
      <w:r w:rsidRPr="6FEC3CCE">
        <w:rPr>
          <w:color w:val="242424"/>
          <w:sz w:val="22"/>
          <w:szCs w:val="22"/>
        </w:rPr>
        <w:t xml:space="preserve"> cultural beliefs, values and family expectations surrounding ageing and elder care within Caribbean communities.</w:t>
      </w:r>
    </w:p>
    <w:p w14:paraId="3CEF7141" w14:textId="46C6FA17" w:rsidR="65472E33" w:rsidRDefault="65472E33" w:rsidP="6FEC3CCE">
      <w:pPr>
        <w:pStyle w:val="ListParagraph"/>
        <w:numPr>
          <w:ilvl w:val="0"/>
          <w:numId w:val="2"/>
        </w:numPr>
        <w:shd w:val="clear" w:color="auto" w:fill="FFFFFF" w:themeFill="background1"/>
        <w:spacing w:after="0" w:line="360" w:lineRule="auto"/>
        <w:rPr>
          <w:color w:val="242424"/>
          <w:sz w:val="22"/>
          <w:szCs w:val="22"/>
        </w:rPr>
      </w:pPr>
      <w:r w:rsidRPr="6FEC3CCE">
        <w:rPr>
          <w:b/>
          <w:bCs/>
          <w:color w:val="242424"/>
          <w:sz w:val="22"/>
          <w:szCs w:val="22"/>
        </w:rPr>
        <w:t>To analyse current literature, evidence and secondary data</w:t>
      </w:r>
      <w:r w:rsidRPr="6FEC3CCE">
        <w:rPr>
          <w:color w:val="242424"/>
          <w:sz w:val="22"/>
          <w:szCs w:val="22"/>
        </w:rPr>
        <w:t xml:space="preserve"> regarding the social stigma attached to care homes and how it influences decision-making among Caribbean older adults and their families.</w:t>
      </w:r>
    </w:p>
    <w:p w14:paraId="144B96DE" w14:textId="47B838CB" w:rsidR="65472E33" w:rsidRDefault="65472E33" w:rsidP="6FEC3CCE">
      <w:pPr>
        <w:pStyle w:val="ListParagraph"/>
        <w:numPr>
          <w:ilvl w:val="0"/>
          <w:numId w:val="2"/>
        </w:numPr>
        <w:shd w:val="clear" w:color="auto" w:fill="FFFFFF" w:themeFill="background1"/>
        <w:spacing w:after="0" w:line="360" w:lineRule="auto"/>
        <w:rPr>
          <w:color w:val="242424"/>
          <w:sz w:val="22"/>
          <w:szCs w:val="22"/>
        </w:rPr>
      </w:pPr>
      <w:r w:rsidRPr="6FEC3CCE">
        <w:rPr>
          <w:b/>
          <w:bCs/>
          <w:color w:val="242424"/>
          <w:sz w:val="22"/>
          <w:szCs w:val="22"/>
        </w:rPr>
        <w:t>To evaluate</w:t>
      </w:r>
      <w:r w:rsidRPr="6FEC3CCE">
        <w:rPr>
          <w:color w:val="242424"/>
          <w:sz w:val="22"/>
          <w:szCs w:val="22"/>
        </w:rPr>
        <w:t xml:space="preserve"> themes generated through thematic analysis relating to cultural stigma, family responsibility, and trust in health and social care services among Caribbean older adults.</w:t>
      </w:r>
    </w:p>
    <w:p w14:paraId="32C7B556" w14:textId="26D6EC4C" w:rsidR="65472E33" w:rsidRDefault="65472E33" w:rsidP="6FEC3CCE">
      <w:pPr>
        <w:pStyle w:val="ListParagraph"/>
        <w:numPr>
          <w:ilvl w:val="0"/>
          <w:numId w:val="2"/>
        </w:numPr>
        <w:shd w:val="clear" w:color="auto" w:fill="FFFFFF" w:themeFill="background1"/>
        <w:spacing w:after="0" w:line="360" w:lineRule="auto"/>
        <w:rPr>
          <w:color w:val="242424"/>
          <w:sz w:val="22"/>
          <w:szCs w:val="22"/>
        </w:rPr>
      </w:pPr>
      <w:r w:rsidRPr="6FEC3CCE">
        <w:rPr>
          <w:b/>
          <w:bCs/>
          <w:color w:val="242424"/>
          <w:sz w:val="22"/>
          <w:szCs w:val="22"/>
        </w:rPr>
        <w:t>To provide recommendations</w:t>
      </w:r>
      <w:r w:rsidRPr="6FEC3CCE">
        <w:rPr>
          <w:color w:val="242424"/>
          <w:sz w:val="22"/>
          <w:szCs w:val="22"/>
        </w:rPr>
        <w:t xml:space="preserve"> for policymakers and practitioners on improving culturally competent care services and reducing stigma surrounding care homes for Caribbean older adults.</w:t>
      </w:r>
    </w:p>
    <w:p w14:paraId="69A25BC3" w14:textId="1F43C9C9" w:rsidR="6FEC3CCE" w:rsidRDefault="6FEC3CCE" w:rsidP="6FEC3CCE">
      <w:pPr>
        <w:shd w:val="clear" w:color="auto" w:fill="FFFFFF" w:themeFill="background1"/>
        <w:spacing w:after="0" w:line="360" w:lineRule="auto"/>
        <w:rPr>
          <w:sz w:val="22"/>
          <w:szCs w:val="22"/>
        </w:rPr>
      </w:pPr>
    </w:p>
    <w:p w14:paraId="1BDF9290" w14:textId="234C65A3"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t>3) Background/Rationale</w:t>
      </w:r>
      <w:r>
        <w:br/>
      </w:r>
    </w:p>
    <w:p w14:paraId="7CB780BD" w14:textId="583FD805" w:rsidR="6FEC3CCE" w:rsidRDefault="6FEC3CCE" w:rsidP="6FEC3CCE">
      <w:pPr>
        <w:shd w:val="clear" w:color="auto" w:fill="FFFFFF" w:themeFill="background1"/>
        <w:spacing w:after="0" w:line="360" w:lineRule="auto"/>
        <w:rPr>
          <w:sz w:val="22"/>
          <w:szCs w:val="22"/>
        </w:rPr>
      </w:pPr>
    </w:p>
    <w:p w14:paraId="500DE40F" w14:textId="6C5498B5"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The ageing population in the United Kingdom has increased demand for residential care services. However, evidence suggests that Caribbean older adults are less likely to access care homes than some other ethnic groups (Butt and O’Neil, 2004). Understanding the </w:t>
      </w:r>
      <w:r w:rsidRPr="6FEC3CCE">
        <w:rPr>
          <w:color w:val="242424"/>
          <w:sz w:val="22"/>
          <w:szCs w:val="22"/>
        </w:rPr>
        <w:lastRenderedPageBreak/>
        <w:t>reasons for these preferences is important because health and social care services must meet the needs of an increasingly diverse population.</w:t>
      </w:r>
    </w:p>
    <w:p w14:paraId="3A21E678" w14:textId="4C2F9BFC" w:rsidR="6FEC3CCE" w:rsidRDefault="6FEC3CCE" w:rsidP="6FEC3CCE">
      <w:pPr>
        <w:shd w:val="clear" w:color="auto" w:fill="FFFFFF" w:themeFill="background1"/>
        <w:spacing w:after="0" w:line="360" w:lineRule="auto"/>
        <w:rPr>
          <w:sz w:val="22"/>
          <w:szCs w:val="22"/>
        </w:rPr>
      </w:pPr>
    </w:p>
    <w:p w14:paraId="359F4FC0" w14:textId="06B2122A"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Within many Caribbean communities, caring for older relatives is viewed as a family responsibility based on cultural values such as respect, </w:t>
      </w:r>
      <w:r w:rsidR="5CE249AF" w:rsidRPr="6FEC3CCE">
        <w:rPr>
          <w:color w:val="242424"/>
          <w:sz w:val="22"/>
          <w:szCs w:val="22"/>
        </w:rPr>
        <w:t>loyalty,</w:t>
      </w:r>
      <w:r w:rsidRPr="6FEC3CCE">
        <w:rPr>
          <w:color w:val="242424"/>
          <w:sz w:val="22"/>
          <w:szCs w:val="22"/>
        </w:rPr>
        <w:t xml:space="preserve"> and reciprocity (Finch and Mason, 1993). Consequently, care homes may be associated with abandonment or failure to fulfil family obligations. Historical experiences of racism and discrimination have also contributed to mistrust of health and social care services among some Caribbean communities (Nazroo, 1997). Furthermore, concerns regarding culturally inappropriate care and social isolation may discourage care home use (Victor, Burholt and Martin, 2012).</w:t>
      </w:r>
    </w:p>
    <w:p w14:paraId="59C4D82E" w14:textId="58EC170C" w:rsidR="6FEC3CCE" w:rsidRDefault="6FEC3CCE" w:rsidP="6FEC3CCE">
      <w:pPr>
        <w:shd w:val="clear" w:color="auto" w:fill="FFFFFF" w:themeFill="background1"/>
        <w:spacing w:after="0" w:line="360" w:lineRule="auto"/>
        <w:rPr>
          <w:sz w:val="22"/>
          <w:szCs w:val="22"/>
        </w:rPr>
      </w:pPr>
    </w:p>
    <w:p w14:paraId="12C68557" w14:textId="4FEE0986"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Although there is substantial literature on ageing and ethnicity, limited research specifically explores Caribbean older adults’ preferences towards care homes within the UK. This study seeks to address this gap and contribute to the development of culturally competent and person-centred care.</w:t>
      </w:r>
    </w:p>
    <w:p w14:paraId="1CB05ED6" w14:textId="5BF7E35E" w:rsidR="6FEC3CCE" w:rsidRDefault="6FEC3CCE" w:rsidP="6FEC3CCE">
      <w:pPr>
        <w:shd w:val="clear" w:color="auto" w:fill="FFFFFF" w:themeFill="background1"/>
        <w:spacing w:after="0" w:line="360" w:lineRule="auto"/>
        <w:rPr>
          <w:sz w:val="22"/>
          <w:szCs w:val="22"/>
        </w:rPr>
      </w:pPr>
    </w:p>
    <w:p w14:paraId="3256F698" w14:textId="33ECB89C"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t>4) Methods</w:t>
      </w:r>
      <w:r>
        <w:br/>
      </w:r>
    </w:p>
    <w:p w14:paraId="4AB6DA4C" w14:textId="6DAA98AD" w:rsidR="6FEC3CCE" w:rsidRDefault="6FEC3CCE" w:rsidP="6FEC3CCE">
      <w:pPr>
        <w:shd w:val="clear" w:color="auto" w:fill="FFFFFF" w:themeFill="background1"/>
        <w:spacing w:after="0" w:line="360" w:lineRule="auto"/>
        <w:rPr>
          <w:sz w:val="22"/>
          <w:szCs w:val="22"/>
        </w:rPr>
      </w:pPr>
    </w:p>
    <w:p w14:paraId="34BAC858" w14:textId="76B44BEC"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This study will adopt a secondary research approach using a structured literature review. Data will be collected from peer-reviewed journal articles, academic books, government </w:t>
      </w:r>
      <w:r w:rsidR="77FC84C9" w:rsidRPr="6FEC3CCE">
        <w:rPr>
          <w:color w:val="242424"/>
          <w:sz w:val="22"/>
          <w:szCs w:val="22"/>
        </w:rPr>
        <w:t>reports,</w:t>
      </w:r>
      <w:r w:rsidRPr="6FEC3CCE">
        <w:rPr>
          <w:color w:val="242424"/>
          <w:sz w:val="22"/>
          <w:szCs w:val="22"/>
        </w:rPr>
        <w:t xml:space="preserve"> and policy documents accessed through Google Scholar, CINAHL, PubMed and the UWTSD online library.</w:t>
      </w:r>
    </w:p>
    <w:p w14:paraId="5D105A9D" w14:textId="3B734AAB" w:rsidR="6FEC3CCE" w:rsidRDefault="6FEC3CCE" w:rsidP="6FEC3CCE">
      <w:pPr>
        <w:shd w:val="clear" w:color="auto" w:fill="FFFFFF" w:themeFill="background1"/>
        <w:spacing w:after="0" w:line="360" w:lineRule="auto"/>
        <w:rPr>
          <w:sz w:val="22"/>
          <w:szCs w:val="22"/>
        </w:rPr>
      </w:pPr>
    </w:p>
    <w:p w14:paraId="640E48F9" w14:textId="4A961A7E"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Example search terms will </w:t>
      </w:r>
      <w:r w:rsidR="37FE88AC" w:rsidRPr="6FEC3CCE">
        <w:rPr>
          <w:color w:val="242424"/>
          <w:sz w:val="22"/>
          <w:szCs w:val="22"/>
        </w:rPr>
        <w:t>include</w:t>
      </w:r>
      <w:r w:rsidRPr="6FEC3CCE">
        <w:rPr>
          <w:color w:val="242424"/>
          <w:sz w:val="22"/>
          <w:szCs w:val="22"/>
        </w:rPr>
        <w:t xml:space="preserve"> </w:t>
      </w:r>
      <w:r w:rsidRPr="6FEC3CCE">
        <w:rPr>
          <w:i/>
          <w:iCs/>
          <w:color w:val="242424"/>
          <w:sz w:val="22"/>
          <w:szCs w:val="22"/>
        </w:rPr>
        <w:t>Caribbean older adults</w:t>
      </w:r>
      <w:r w:rsidRPr="6FEC3CCE">
        <w:rPr>
          <w:color w:val="242424"/>
          <w:sz w:val="22"/>
          <w:szCs w:val="22"/>
        </w:rPr>
        <w:t xml:space="preserve">, </w:t>
      </w:r>
      <w:r w:rsidRPr="6FEC3CCE">
        <w:rPr>
          <w:i/>
          <w:iCs/>
          <w:color w:val="242424"/>
          <w:sz w:val="22"/>
          <w:szCs w:val="22"/>
        </w:rPr>
        <w:t>Black Caribbean ageing</w:t>
      </w:r>
      <w:r w:rsidRPr="6FEC3CCE">
        <w:rPr>
          <w:color w:val="242424"/>
          <w:sz w:val="22"/>
          <w:szCs w:val="22"/>
        </w:rPr>
        <w:t xml:space="preserve">, </w:t>
      </w:r>
      <w:r w:rsidRPr="6FEC3CCE">
        <w:rPr>
          <w:i/>
          <w:iCs/>
          <w:color w:val="242424"/>
          <w:sz w:val="22"/>
          <w:szCs w:val="22"/>
        </w:rPr>
        <w:t>care homes</w:t>
      </w:r>
      <w:r w:rsidRPr="6FEC3CCE">
        <w:rPr>
          <w:color w:val="242424"/>
          <w:sz w:val="22"/>
          <w:szCs w:val="22"/>
        </w:rPr>
        <w:t xml:space="preserve">, </w:t>
      </w:r>
      <w:r w:rsidRPr="6FEC3CCE">
        <w:rPr>
          <w:i/>
          <w:iCs/>
          <w:color w:val="242424"/>
          <w:sz w:val="22"/>
          <w:szCs w:val="22"/>
        </w:rPr>
        <w:t>residential care</w:t>
      </w:r>
      <w:r w:rsidRPr="6FEC3CCE">
        <w:rPr>
          <w:color w:val="242424"/>
          <w:sz w:val="22"/>
          <w:szCs w:val="22"/>
        </w:rPr>
        <w:t xml:space="preserve">, </w:t>
      </w:r>
      <w:r w:rsidRPr="6FEC3CCE">
        <w:rPr>
          <w:i/>
          <w:iCs/>
          <w:color w:val="242424"/>
          <w:sz w:val="22"/>
          <w:szCs w:val="22"/>
        </w:rPr>
        <w:t>family responsibility</w:t>
      </w:r>
      <w:r w:rsidRPr="6FEC3CCE">
        <w:rPr>
          <w:color w:val="242424"/>
          <w:sz w:val="22"/>
          <w:szCs w:val="22"/>
        </w:rPr>
        <w:t xml:space="preserve">, </w:t>
      </w:r>
      <w:r w:rsidRPr="6FEC3CCE">
        <w:rPr>
          <w:i/>
          <w:iCs/>
          <w:color w:val="242424"/>
          <w:sz w:val="22"/>
          <w:szCs w:val="22"/>
        </w:rPr>
        <w:t>elder care</w:t>
      </w:r>
      <w:r w:rsidRPr="6FEC3CCE">
        <w:rPr>
          <w:color w:val="242424"/>
          <w:sz w:val="22"/>
          <w:szCs w:val="22"/>
        </w:rPr>
        <w:t xml:space="preserve">, </w:t>
      </w:r>
      <w:r w:rsidRPr="6FEC3CCE">
        <w:rPr>
          <w:i/>
          <w:iCs/>
          <w:color w:val="242424"/>
          <w:sz w:val="22"/>
          <w:szCs w:val="22"/>
        </w:rPr>
        <w:t>cultural stigma</w:t>
      </w:r>
      <w:r w:rsidRPr="6FEC3CCE">
        <w:rPr>
          <w:color w:val="242424"/>
          <w:sz w:val="22"/>
          <w:szCs w:val="22"/>
        </w:rPr>
        <w:t xml:space="preserve">, </w:t>
      </w:r>
      <w:r w:rsidRPr="6FEC3CCE">
        <w:rPr>
          <w:i/>
          <w:iCs/>
          <w:color w:val="242424"/>
          <w:sz w:val="22"/>
          <w:szCs w:val="22"/>
        </w:rPr>
        <w:t>trust in healthcare</w:t>
      </w:r>
      <w:r w:rsidRPr="6FEC3CCE">
        <w:rPr>
          <w:color w:val="242424"/>
          <w:sz w:val="22"/>
          <w:szCs w:val="22"/>
        </w:rPr>
        <w:t xml:space="preserve">, </w:t>
      </w:r>
      <w:r w:rsidRPr="6FEC3CCE">
        <w:rPr>
          <w:i/>
          <w:iCs/>
          <w:color w:val="242424"/>
          <w:sz w:val="22"/>
          <w:szCs w:val="22"/>
        </w:rPr>
        <w:t>health inequalities</w:t>
      </w:r>
      <w:r w:rsidRPr="6FEC3CCE">
        <w:rPr>
          <w:color w:val="242424"/>
          <w:sz w:val="22"/>
          <w:szCs w:val="22"/>
        </w:rPr>
        <w:t xml:space="preserve">, and </w:t>
      </w:r>
      <w:r w:rsidRPr="6FEC3CCE">
        <w:rPr>
          <w:i/>
          <w:iCs/>
          <w:color w:val="242424"/>
          <w:sz w:val="22"/>
          <w:szCs w:val="22"/>
        </w:rPr>
        <w:t>ethnic minority older adults</w:t>
      </w:r>
      <w:r w:rsidRPr="6FEC3CCE">
        <w:rPr>
          <w:color w:val="242424"/>
          <w:sz w:val="22"/>
          <w:szCs w:val="22"/>
        </w:rPr>
        <w:t>.</w:t>
      </w:r>
    </w:p>
    <w:p w14:paraId="340CE336" w14:textId="67AA2200" w:rsidR="6FEC3CCE" w:rsidRDefault="6FEC3CCE" w:rsidP="6FEC3CCE">
      <w:pPr>
        <w:shd w:val="clear" w:color="auto" w:fill="FFFFFF" w:themeFill="background1"/>
        <w:spacing w:after="0" w:line="360" w:lineRule="auto"/>
        <w:rPr>
          <w:sz w:val="22"/>
          <w:szCs w:val="22"/>
        </w:rPr>
      </w:pPr>
    </w:p>
    <w:p w14:paraId="4A7E6F86" w14:textId="6F97360E" w:rsidR="65472E33" w:rsidRDefault="65472E33" w:rsidP="6FEC3CCE">
      <w:pPr>
        <w:shd w:val="clear" w:color="auto" w:fill="FFFFFF" w:themeFill="background1"/>
        <w:spacing w:after="0" w:line="360" w:lineRule="auto"/>
        <w:rPr>
          <w:color w:val="242424"/>
          <w:sz w:val="22"/>
          <w:szCs w:val="22"/>
        </w:rPr>
      </w:pPr>
      <w:r w:rsidRPr="6FEC3CCE">
        <w:rPr>
          <w:b/>
          <w:bCs/>
          <w:color w:val="242424"/>
          <w:sz w:val="22"/>
          <w:szCs w:val="22"/>
        </w:rPr>
        <w:t>Inclusion criteria</w:t>
      </w:r>
      <w:r w:rsidRPr="6FEC3CCE">
        <w:rPr>
          <w:color w:val="242424"/>
          <w:sz w:val="22"/>
          <w:szCs w:val="22"/>
        </w:rPr>
        <w:t xml:space="preserve"> will include English-language sources published between 2000 and 2025, focusing on Caribbean older adults, ageing, care homes, stigma, trust and health or social care services. </w:t>
      </w:r>
      <w:r w:rsidRPr="6FEC3CCE">
        <w:rPr>
          <w:b/>
          <w:bCs/>
          <w:color w:val="242424"/>
          <w:sz w:val="22"/>
          <w:szCs w:val="22"/>
        </w:rPr>
        <w:t>Exclusion criteria</w:t>
      </w:r>
      <w:r w:rsidRPr="6FEC3CCE">
        <w:rPr>
          <w:color w:val="242424"/>
          <w:sz w:val="22"/>
          <w:szCs w:val="22"/>
        </w:rPr>
        <w:t xml:space="preserve"> will include non-English studies, duplicate publications, studies involving younger populations and non-academic sources.</w:t>
      </w:r>
    </w:p>
    <w:p w14:paraId="07819B59" w14:textId="550AF882" w:rsidR="6FEC3CCE" w:rsidRDefault="6FEC3CCE" w:rsidP="6FEC3CCE">
      <w:pPr>
        <w:shd w:val="clear" w:color="auto" w:fill="FFFFFF" w:themeFill="background1"/>
        <w:spacing w:after="0" w:line="360" w:lineRule="auto"/>
        <w:rPr>
          <w:sz w:val="22"/>
          <w:szCs w:val="22"/>
        </w:rPr>
      </w:pPr>
    </w:p>
    <w:p w14:paraId="74F4B35B" w14:textId="62F22D9C"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Data will be analysed using thematic analysis (Braun and Clarke, 2006). Ethical considerations include maintaining academic integrity, using accurate UWTSD Harvard referencing, avoiding </w:t>
      </w:r>
      <w:r w:rsidR="45DA0A1B" w:rsidRPr="6FEC3CCE">
        <w:rPr>
          <w:color w:val="242424"/>
          <w:sz w:val="22"/>
          <w:szCs w:val="22"/>
        </w:rPr>
        <w:t>plagiarism,</w:t>
      </w:r>
      <w:r w:rsidRPr="6FEC3CCE">
        <w:rPr>
          <w:color w:val="242424"/>
          <w:sz w:val="22"/>
          <w:szCs w:val="22"/>
        </w:rPr>
        <w:t xml:space="preserve"> and ensuring all sources are credible and </w:t>
      </w:r>
      <w:r w:rsidR="1A1E448C" w:rsidRPr="6FEC3CCE">
        <w:rPr>
          <w:color w:val="242424"/>
          <w:sz w:val="22"/>
          <w:szCs w:val="22"/>
        </w:rPr>
        <w:t>evidence based</w:t>
      </w:r>
      <w:r w:rsidRPr="6FEC3CCE">
        <w:rPr>
          <w:color w:val="242424"/>
          <w:sz w:val="22"/>
          <w:szCs w:val="22"/>
        </w:rPr>
        <w:t>.</w:t>
      </w:r>
    </w:p>
    <w:p w14:paraId="387BF7AE" w14:textId="2A092C1A" w:rsidR="6FEC3CCE" w:rsidRDefault="6FEC3CCE" w:rsidP="6FEC3CCE">
      <w:pPr>
        <w:shd w:val="clear" w:color="auto" w:fill="FFFFFF" w:themeFill="background1"/>
        <w:spacing w:after="0" w:line="360" w:lineRule="auto"/>
        <w:rPr>
          <w:b/>
          <w:bCs/>
          <w:color w:val="242424"/>
          <w:sz w:val="22"/>
          <w:szCs w:val="22"/>
        </w:rPr>
      </w:pPr>
    </w:p>
    <w:p w14:paraId="54B712EE" w14:textId="26600EF7"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lastRenderedPageBreak/>
        <w:t>5) Resources</w:t>
      </w:r>
      <w:r>
        <w:br/>
      </w:r>
    </w:p>
    <w:p w14:paraId="2555AA34" w14:textId="640DA99F"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Google Scholar</w:t>
      </w:r>
    </w:p>
    <w:p w14:paraId="195B20BF" w14:textId="12DD5A33"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CINAHL</w:t>
      </w:r>
    </w:p>
    <w:p w14:paraId="2816254D" w14:textId="70776F96"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PubMed</w:t>
      </w:r>
    </w:p>
    <w:p w14:paraId="2CAE7143" w14:textId="0B4C6CB6"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UWTSD Online Library</w:t>
      </w:r>
    </w:p>
    <w:p w14:paraId="5DBF1B5E" w14:textId="44B3DAE1"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Academic journals and e-books</w:t>
      </w:r>
    </w:p>
    <w:p w14:paraId="16F1DFB5" w14:textId="28AA775D"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Microsoft Word</w:t>
      </w:r>
    </w:p>
    <w:p w14:paraId="213FFFBE" w14:textId="40F86144"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Reference management software (RefWorks/Mendeley)</w:t>
      </w:r>
    </w:p>
    <w:p w14:paraId="7CF36B05" w14:textId="325BD2E0" w:rsidR="65472E33" w:rsidRDefault="65472E33" w:rsidP="6FEC3CCE">
      <w:pPr>
        <w:pStyle w:val="ListParagraph"/>
        <w:numPr>
          <w:ilvl w:val="0"/>
          <w:numId w:val="1"/>
        </w:numPr>
        <w:shd w:val="clear" w:color="auto" w:fill="FFFFFF" w:themeFill="background1"/>
        <w:spacing w:after="0" w:line="360" w:lineRule="auto"/>
        <w:rPr>
          <w:color w:val="242424"/>
          <w:sz w:val="22"/>
          <w:szCs w:val="22"/>
        </w:rPr>
      </w:pPr>
      <w:r w:rsidRPr="6FEC3CCE">
        <w:rPr>
          <w:color w:val="242424"/>
          <w:sz w:val="22"/>
          <w:szCs w:val="22"/>
        </w:rPr>
        <w:t>Library support team</w:t>
      </w:r>
    </w:p>
    <w:p w14:paraId="64A7C735" w14:textId="79E3FDC6" w:rsidR="6FEC3CCE" w:rsidRDefault="6FEC3CCE" w:rsidP="6FEC3CCE">
      <w:pPr>
        <w:shd w:val="clear" w:color="auto" w:fill="FFFFFF" w:themeFill="background1"/>
        <w:spacing w:after="0" w:line="360" w:lineRule="auto"/>
        <w:rPr>
          <w:color w:val="242424"/>
          <w:sz w:val="22"/>
          <w:szCs w:val="22"/>
        </w:rPr>
      </w:pPr>
    </w:p>
    <w:p w14:paraId="5769D0AC" w14:textId="529BFD2F"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t>6) Timescale</w:t>
      </w:r>
    </w:p>
    <w:p w14:paraId="2B049C2D" w14:textId="07E2953F" w:rsidR="65472E33" w:rsidRDefault="65472E33" w:rsidP="6FEC3CCE">
      <w:pPr>
        <w:shd w:val="clear" w:color="auto" w:fill="FFFFFF" w:themeFill="background1"/>
        <w:spacing w:after="0" w:line="360" w:lineRule="auto"/>
        <w:rPr>
          <w:color w:val="FFFFFF" w:themeColor="background1"/>
          <w:sz w:val="22"/>
          <w:szCs w:val="22"/>
        </w:rPr>
      </w:pPr>
      <w:r w:rsidRPr="6FEC3CCE">
        <w:rPr>
          <w:color w:val="FFFFFF" w:themeColor="background1"/>
          <w:sz w:val="22"/>
          <w:szCs w:val="22"/>
        </w:rPr>
        <w:t></w:t>
      </w:r>
    </w:p>
    <w:tbl>
      <w:tblPr>
        <w:tblW w:w="0" w:type="auto"/>
        <w:tblLook w:val="06A0" w:firstRow="1" w:lastRow="0" w:firstColumn="1" w:lastColumn="0" w:noHBand="1" w:noVBand="1"/>
      </w:tblPr>
      <w:tblGrid>
        <w:gridCol w:w="4506"/>
        <w:gridCol w:w="4504"/>
      </w:tblGrid>
      <w:tr w:rsidR="6FEC3CCE" w14:paraId="35229756"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039C5428" w14:textId="645E2966" w:rsidR="6FEC3CCE" w:rsidRDefault="6FEC3CCE" w:rsidP="6FEC3CCE">
            <w:pPr>
              <w:shd w:val="clear" w:color="auto" w:fill="FFFFFF" w:themeFill="background1"/>
              <w:spacing w:after="0" w:line="360" w:lineRule="auto"/>
              <w:rPr>
                <w:b/>
                <w:bCs/>
                <w:sz w:val="22"/>
                <w:szCs w:val="22"/>
              </w:rPr>
            </w:pPr>
            <w:r w:rsidRPr="6FEC3CCE">
              <w:rPr>
                <w:b/>
                <w:bCs/>
                <w:sz w:val="22"/>
                <w:szCs w:val="22"/>
              </w:rPr>
              <w:t>Activity</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5C5778CA" w14:textId="7CA77C1F" w:rsidR="260DBD9D" w:rsidRDefault="260DBD9D" w:rsidP="6FEC3CCE">
            <w:pPr>
              <w:shd w:val="clear" w:color="auto" w:fill="FFFFFF" w:themeFill="background1"/>
              <w:spacing w:after="0" w:line="360" w:lineRule="auto"/>
              <w:rPr>
                <w:b/>
                <w:bCs/>
                <w:sz w:val="22"/>
                <w:szCs w:val="22"/>
              </w:rPr>
            </w:pPr>
            <w:r w:rsidRPr="6FEC3CCE">
              <w:rPr>
                <w:b/>
                <w:bCs/>
                <w:sz w:val="22"/>
                <w:szCs w:val="22"/>
              </w:rPr>
              <w:t>Time</w:t>
            </w:r>
          </w:p>
        </w:tc>
      </w:tr>
      <w:tr w:rsidR="6FEC3CCE" w14:paraId="04FDC6B0"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6785C019" w14:textId="7BF248F4" w:rsidR="6FEC3CCE" w:rsidRDefault="6FEC3CCE" w:rsidP="6FEC3CCE">
            <w:pPr>
              <w:shd w:val="clear" w:color="auto" w:fill="FFFFFF" w:themeFill="background1"/>
              <w:spacing w:after="0" w:line="360" w:lineRule="auto"/>
              <w:rPr>
                <w:sz w:val="22"/>
                <w:szCs w:val="22"/>
              </w:rPr>
            </w:pPr>
            <w:r w:rsidRPr="6FEC3CCE">
              <w:rPr>
                <w:sz w:val="22"/>
                <w:szCs w:val="22"/>
              </w:rPr>
              <w:t>Initial literature search and topic refinement</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3FA5E06B" w14:textId="4BA8A1E5" w:rsidR="6FEC3CCE" w:rsidRDefault="6FEC3CCE" w:rsidP="6FEC3CCE">
            <w:pPr>
              <w:shd w:val="clear" w:color="auto" w:fill="FFFFFF" w:themeFill="background1"/>
              <w:spacing w:after="0" w:line="360" w:lineRule="auto"/>
              <w:rPr>
                <w:sz w:val="22"/>
                <w:szCs w:val="22"/>
              </w:rPr>
            </w:pPr>
            <w:r w:rsidRPr="6FEC3CCE">
              <w:rPr>
                <w:sz w:val="22"/>
                <w:szCs w:val="22"/>
              </w:rPr>
              <w:t>Weeks 1–2</w:t>
            </w:r>
          </w:p>
        </w:tc>
      </w:tr>
      <w:tr w:rsidR="6FEC3CCE" w14:paraId="4FB22000"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3C5DD7B2" w14:textId="75E4BA52" w:rsidR="6FEC3CCE" w:rsidRDefault="6FEC3CCE" w:rsidP="6FEC3CCE">
            <w:pPr>
              <w:shd w:val="clear" w:color="auto" w:fill="FFFFFF" w:themeFill="background1"/>
              <w:spacing w:after="0" w:line="360" w:lineRule="auto"/>
              <w:rPr>
                <w:sz w:val="22"/>
                <w:szCs w:val="22"/>
              </w:rPr>
            </w:pPr>
            <w:r w:rsidRPr="6FEC3CCE">
              <w:rPr>
                <w:sz w:val="22"/>
                <w:szCs w:val="22"/>
              </w:rPr>
              <w:t>Proposal development and submission</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3FA0443C" w14:textId="0BE37290" w:rsidR="6FEC3CCE" w:rsidRDefault="6FEC3CCE" w:rsidP="6FEC3CCE">
            <w:pPr>
              <w:shd w:val="clear" w:color="auto" w:fill="FFFFFF" w:themeFill="background1"/>
              <w:spacing w:after="0" w:line="360" w:lineRule="auto"/>
              <w:rPr>
                <w:sz w:val="22"/>
                <w:szCs w:val="22"/>
              </w:rPr>
            </w:pPr>
            <w:r w:rsidRPr="6FEC3CCE">
              <w:rPr>
                <w:sz w:val="22"/>
                <w:szCs w:val="22"/>
              </w:rPr>
              <w:t>Weeks 3–4</w:t>
            </w:r>
          </w:p>
        </w:tc>
      </w:tr>
      <w:tr w:rsidR="6FEC3CCE" w14:paraId="2C10CCBF"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3FA87292" w14:textId="6716CE28" w:rsidR="6FEC3CCE" w:rsidRDefault="6FEC3CCE" w:rsidP="6FEC3CCE">
            <w:pPr>
              <w:shd w:val="clear" w:color="auto" w:fill="FFFFFF" w:themeFill="background1"/>
              <w:spacing w:after="0" w:line="360" w:lineRule="auto"/>
              <w:rPr>
                <w:sz w:val="22"/>
                <w:szCs w:val="22"/>
              </w:rPr>
            </w:pPr>
            <w:r w:rsidRPr="6FEC3CCE">
              <w:rPr>
                <w:sz w:val="22"/>
                <w:szCs w:val="22"/>
              </w:rPr>
              <w:t>Receive and implement proposal feedback</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0BEF5605" w14:textId="31C2DE14" w:rsidR="6FEC3CCE" w:rsidRDefault="6FEC3CCE" w:rsidP="6FEC3CCE">
            <w:pPr>
              <w:shd w:val="clear" w:color="auto" w:fill="FFFFFF" w:themeFill="background1"/>
              <w:spacing w:after="0" w:line="360" w:lineRule="auto"/>
              <w:rPr>
                <w:sz w:val="22"/>
                <w:szCs w:val="22"/>
              </w:rPr>
            </w:pPr>
            <w:r w:rsidRPr="6FEC3CCE">
              <w:rPr>
                <w:sz w:val="22"/>
                <w:szCs w:val="22"/>
              </w:rPr>
              <w:t>Week 5</w:t>
            </w:r>
          </w:p>
        </w:tc>
      </w:tr>
      <w:tr w:rsidR="6FEC3CCE" w14:paraId="14C4FB70"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2921B6D2" w14:textId="41CA18B7" w:rsidR="6FEC3CCE" w:rsidRDefault="6FEC3CCE" w:rsidP="6FEC3CCE">
            <w:pPr>
              <w:shd w:val="clear" w:color="auto" w:fill="FFFFFF" w:themeFill="background1"/>
              <w:spacing w:after="0" w:line="360" w:lineRule="auto"/>
              <w:rPr>
                <w:sz w:val="22"/>
                <w:szCs w:val="22"/>
              </w:rPr>
            </w:pPr>
            <w:r w:rsidRPr="6FEC3CCE">
              <w:rPr>
                <w:sz w:val="22"/>
                <w:szCs w:val="22"/>
              </w:rPr>
              <w:t>Chapter 1 (Introduction) development</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0AF632BC" w14:textId="555130FE" w:rsidR="6FEC3CCE" w:rsidRDefault="6FEC3CCE" w:rsidP="6FEC3CCE">
            <w:pPr>
              <w:shd w:val="clear" w:color="auto" w:fill="FFFFFF" w:themeFill="background1"/>
              <w:spacing w:after="0" w:line="360" w:lineRule="auto"/>
              <w:rPr>
                <w:sz w:val="22"/>
                <w:szCs w:val="22"/>
              </w:rPr>
            </w:pPr>
            <w:r w:rsidRPr="6FEC3CCE">
              <w:rPr>
                <w:sz w:val="22"/>
                <w:szCs w:val="22"/>
              </w:rPr>
              <w:t>Weeks 6–7</w:t>
            </w:r>
          </w:p>
        </w:tc>
      </w:tr>
      <w:tr w:rsidR="6FEC3CCE" w14:paraId="6A4AFC0D"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0A8CED5D" w14:textId="1252752B" w:rsidR="6FEC3CCE" w:rsidRDefault="6FEC3CCE" w:rsidP="6FEC3CCE">
            <w:pPr>
              <w:shd w:val="clear" w:color="auto" w:fill="FFFFFF" w:themeFill="background1"/>
              <w:spacing w:after="0" w:line="360" w:lineRule="auto"/>
              <w:rPr>
                <w:sz w:val="22"/>
                <w:szCs w:val="22"/>
              </w:rPr>
            </w:pPr>
            <w:r w:rsidRPr="6FEC3CCE">
              <w:rPr>
                <w:sz w:val="22"/>
                <w:szCs w:val="22"/>
              </w:rPr>
              <w:t>Chapter 1 revisions following feedback</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6AFBFC38" w14:textId="68DBF81F" w:rsidR="6FEC3CCE" w:rsidRDefault="6FEC3CCE" w:rsidP="6FEC3CCE">
            <w:pPr>
              <w:shd w:val="clear" w:color="auto" w:fill="FFFFFF" w:themeFill="background1"/>
              <w:spacing w:after="0" w:line="360" w:lineRule="auto"/>
              <w:rPr>
                <w:sz w:val="22"/>
                <w:szCs w:val="22"/>
              </w:rPr>
            </w:pPr>
            <w:r w:rsidRPr="6FEC3CCE">
              <w:rPr>
                <w:sz w:val="22"/>
                <w:szCs w:val="22"/>
              </w:rPr>
              <w:t>Week 8</w:t>
            </w:r>
          </w:p>
        </w:tc>
      </w:tr>
      <w:tr w:rsidR="6FEC3CCE" w14:paraId="6BFC836D"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1E8D14E4" w14:textId="109C23D7" w:rsidR="6FEC3CCE" w:rsidRDefault="6FEC3CCE" w:rsidP="6FEC3CCE">
            <w:pPr>
              <w:shd w:val="clear" w:color="auto" w:fill="FFFFFF" w:themeFill="background1"/>
              <w:spacing w:after="0" w:line="360" w:lineRule="auto"/>
              <w:rPr>
                <w:sz w:val="22"/>
                <w:szCs w:val="22"/>
              </w:rPr>
            </w:pPr>
            <w:r w:rsidRPr="6FEC3CCE">
              <w:rPr>
                <w:sz w:val="22"/>
                <w:szCs w:val="22"/>
              </w:rPr>
              <w:t>Chapter 2 (Literature Review) development</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49965786" w14:textId="59E61D83" w:rsidR="6FEC3CCE" w:rsidRDefault="6FEC3CCE" w:rsidP="6FEC3CCE">
            <w:pPr>
              <w:shd w:val="clear" w:color="auto" w:fill="FFFFFF" w:themeFill="background1"/>
              <w:spacing w:after="0" w:line="360" w:lineRule="auto"/>
              <w:rPr>
                <w:sz w:val="22"/>
                <w:szCs w:val="22"/>
              </w:rPr>
            </w:pPr>
            <w:r w:rsidRPr="6FEC3CCE">
              <w:rPr>
                <w:sz w:val="22"/>
                <w:szCs w:val="22"/>
              </w:rPr>
              <w:t>Weeks 9–12</w:t>
            </w:r>
          </w:p>
        </w:tc>
      </w:tr>
      <w:tr w:rsidR="6FEC3CCE" w14:paraId="4D28B799"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15951EE2" w14:textId="4D1911AC" w:rsidR="6FEC3CCE" w:rsidRDefault="6FEC3CCE" w:rsidP="6FEC3CCE">
            <w:pPr>
              <w:shd w:val="clear" w:color="auto" w:fill="FFFFFF" w:themeFill="background1"/>
              <w:spacing w:after="0" w:line="360" w:lineRule="auto"/>
              <w:rPr>
                <w:sz w:val="22"/>
                <w:szCs w:val="22"/>
              </w:rPr>
            </w:pPr>
            <w:r w:rsidRPr="6FEC3CCE">
              <w:rPr>
                <w:sz w:val="22"/>
                <w:szCs w:val="22"/>
              </w:rPr>
              <w:t>Lecturer feedback and Chapter 2 revisions</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2AAA69F1" w14:textId="3EF8E594" w:rsidR="6FEC3CCE" w:rsidRDefault="6FEC3CCE" w:rsidP="6FEC3CCE">
            <w:pPr>
              <w:shd w:val="clear" w:color="auto" w:fill="FFFFFF" w:themeFill="background1"/>
              <w:spacing w:after="0" w:line="360" w:lineRule="auto"/>
              <w:rPr>
                <w:sz w:val="22"/>
                <w:szCs w:val="22"/>
              </w:rPr>
            </w:pPr>
            <w:r w:rsidRPr="6FEC3CCE">
              <w:rPr>
                <w:sz w:val="22"/>
                <w:szCs w:val="22"/>
              </w:rPr>
              <w:t>Weeks 13–14</w:t>
            </w:r>
          </w:p>
        </w:tc>
      </w:tr>
      <w:tr w:rsidR="6FEC3CCE" w14:paraId="7FC139BE"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10D8373B" w14:textId="5645B05A" w:rsidR="6FEC3CCE" w:rsidRDefault="6FEC3CCE" w:rsidP="6FEC3CCE">
            <w:pPr>
              <w:shd w:val="clear" w:color="auto" w:fill="FFFFFF" w:themeFill="background1"/>
              <w:spacing w:after="0" w:line="360" w:lineRule="auto"/>
              <w:rPr>
                <w:sz w:val="22"/>
                <w:szCs w:val="22"/>
              </w:rPr>
            </w:pPr>
            <w:r w:rsidRPr="6FEC3CCE">
              <w:rPr>
                <w:sz w:val="22"/>
                <w:szCs w:val="22"/>
              </w:rPr>
              <w:t>Academic Methods Poster completion</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0D371A8B" w14:textId="055F6B35" w:rsidR="6FEC3CCE" w:rsidRDefault="6FEC3CCE" w:rsidP="6FEC3CCE">
            <w:pPr>
              <w:shd w:val="clear" w:color="auto" w:fill="FFFFFF" w:themeFill="background1"/>
              <w:spacing w:after="0" w:line="360" w:lineRule="auto"/>
              <w:rPr>
                <w:sz w:val="22"/>
                <w:szCs w:val="22"/>
              </w:rPr>
            </w:pPr>
            <w:r w:rsidRPr="6FEC3CCE">
              <w:rPr>
                <w:sz w:val="22"/>
                <w:szCs w:val="22"/>
              </w:rPr>
              <w:t>Week 15</w:t>
            </w:r>
          </w:p>
        </w:tc>
      </w:tr>
      <w:tr w:rsidR="6FEC3CCE" w14:paraId="68E81A94"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30945DB7" w14:textId="4FCACF7C" w:rsidR="6FEC3CCE" w:rsidRDefault="6FEC3CCE" w:rsidP="6FEC3CCE">
            <w:pPr>
              <w:shd w:val="clear" w:color="auto" w:fill="FFFFFF" w:themeFill="background1"/>
              <w:spacing w:after="0" w:line="360" w:lineRule="auto"/>
              <w:rPr>
                <w:sz w:val="22"/>
                <w:szCs w:val="22"/>
              </w:rPr>
            </w:pPr>
            <w:r w:rsidRPr="6FEC3CCE">
              <w:rPr>
                <w:sz w:val="22"/>
                <w:szCs w:val="22"/>
              </w:rPr>
              <w:t>Chapter 3 (Methodology) development</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2A28751D" w14:textId="31422154" w:rsidR="6FEC3CCE" w:rsidRDefault="6FEC3CCE" w:rsidP="6FEC3CCE">
            <w:pPr>
              <w:shd w:val="clear" w:color="auto" w:fill="FFFFFF" w:themeFill="background1"/>
              <w:spacing w:after="0" w:line="360" w:lineRule="auto"/>
              <w:rPr>
                <w:sz w:val="22"/>
                <w:szCs w:val="22"/>
              </w:rPr>
            </w:pPr>
            <w:r w:rsidRPr="6FEC3CCE">
              <w:rPr>
                <w:sz w:val="22"/>
                <w:szCs w:val="22"/>
              </w:rPr>
              <w:t>Weeks 16–17</w:t>
            </w:r>
          </w:p>
        </w:tc>
      </w:tr>
      <w:tr w:rsidR="6FEC3CCE" w14:paraId="6317026C"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1731C25F" w14:textId="76F14A81" w:rsidR="6FEC3CCE" w:rsidRDefault="6FEC3CCE" w:rsidP="6FEC3CCE">
            <w:pPr>
              <w:shd w:val="clear" w:color="auto" w:fill="FFFFFF" w:themeFill="background1"/>
              <w:spacing w:after="0" w:line="360" w:lineRule="auto"/>
              <w:rPr>
                <w:sz w:val="22"/>
                <w:szCs w:val="22"/>
              </w:rPr>
            </w:pPr>
            <w:r w:rsidRPr="6FEC3CCE">
              <w:rPr>
                <w:sz w:val="22"/>
                <w:szCs w:val="22"/>
              </w:rPr>
              <w:t>Further literature searching and data organisation</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3EC0036F" w14:textId="3200D450" w:rsidR="6FEC3CCE" w:rsidRDefault="6FEC3CCE" w:rsidP="6FEC3CCE">
            <w:pPr>
              <w:shd w:val="clear" w:color="auto" w:fill="FFFFFF" w:themeFill="background1"/>
              <w:spacing w:after="0" w:line="360" w:lineRule="auto"/>
              <w:rPr>
                <w:sz w:val="22"/>
                <w:szCs w:val="22"/>
              </w:rPr>
            </w:pPr>
            <w:r w:rsidRPr="6FEC3CCE">
              <w:rPr>
                <w:sz w:val="22"/>
                <w:szCs w:val="22"/>
              </w:rPr>
              <w:t>Weeks 18–19</w:t>
            </w:r>
          </w:p>
        </w:tc>
      </w:tr>
      <w:tr w:rsidR="6FEC3CCE" w14:paraId="554AEDC6"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1B8A0E26" w14:textId="644D14EE" w:rsidR="6FEC3CCE" w:rsidRDefault="6FEC3CCE" w:rsidP="6FEC3CCE">
            <w:pPr>
              <w:shd w:val="clear" w:color="auto" w:fill="FFFFFF" w:themeFill="background1"/>
              <w:spacing w:after="0" w:line="360" w:lineRule="auto"/>
              <w:rPr>
                <w:sz w:val="22"/>
                <w:szCs w:val="22"/>
              </w:rPr>
            </w:pPr>
            <w:r w:rsidRPr="6FEC3CCE">
              <w:rPr>
                <w:sz w:val="22"/>
                <w:szCs w:val="22"/>
              </w:rPr>
              <w:t>Development of Chapters 4 and 5 (Findings and Discussion/Conclusion)</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7C202F93" w14:textId="585E7151" w:rsidR="6FEC3CCE" w:rsidRDefault="6FEC3CCE" w:rsidP="6FEC3CCE">
            <w:pPr>
              <w:shd w:val="clear" w:color="auto" w:fill="FFFFFF" w:themeFill="background1"/>
              <w:spacing w:after="0" w:line="360" w:lineRule="auto"/>
              <w:rPr>
                <w:sz w:val="22"/>
                <w:szCs w:val="22"/>
              </w:rPr>
            </w:pPr>
            <w:r w:rsidRPr="6FEC3CCE">
              <w:rPr>
                <w:sz w:val="22"/>
                <w:szCs w:val="22"/>
              </w:rPr>
              <w:t>Weeks 20–23</w:t>
            </w:r>
          </w:p>
        </w:tc>
      </w:tr>
      <w:tr w:rsidR="6FEC3CCE" w14:paraId="173F71CA"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7B92A5B0" w14:textId="46BD88E6" w:rsidR="6FEC3CCE" w:rsidRDefault="6FEC3CCE" w:rsidP="6FEC3CCE">
            <w:pPr>
              <w:shd w:val="clear" w:color="auto" w:fill="FFFFFF" w:themeFill="background1"/>
              <w:spacing w:after="0" w:line="360" w:lineRule="auto"/>
              <w:rPr>
                <w:sz w:val="22"/>
                <w:szCs w:val="22"/>
              </w:rPr>
            </w:pPr>
            <w:r w:rsidRPr="6FEC3CCE">
              <w:rPr>
                <w:sz w:val="22"/>
                <w:szCs w:val="22"/>
              </w:rPr>
              <w:t>Full dissertation draft submitted for feedback</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30A66DED" w14:textId="30DEC1D7" w:rsidR="6FEC3CCE" w:rsidRDefault="6FEC3CCE" w:rsidP="6FEC3CCE">
            <w:pPr>
              <w:shd w:val="clear" w:color="auto" w:fill="FFFFFF" w:themeFill="background1"/>
              <w:spacing w:after="0" w:line="360" w:lineRule="auto"/>
              <w:rPr>
                <w:sz w:val="22"/>
                <w:szCs w:val="22"/>
              </w:rPr>
            </w:pPr>
            <w:r w:rsidRPr="6FEC3CCE">
              <w:rPr>
                <w:sz w:val="22"/>
                <w:szCs w:val="22"/>
              </w:rPr>
              <w:t>Week 24</w:t>
            </w:r>
          </w:p>
        </w:tc>
      </w:tr>
      <w:tr w:rsidR="6FEC3CCE" w14:paraId="03344481"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4D4D59DF" w14:textId="51ACBB61" w:rsidR="6FEC3CCE" w:rsidRDefault="6FEC3CCE" w:rsidP="6FEC3CCE">
            <w:pPr>
              <w:shd w:val="clear" w:color="auto" w:fill="FFFFFF" w:themeFill="background1"/>
              <w:spacing w:after="0" w:line="360" w:lineRule="auto"/>
              <w:rPr>
                <w:sz w:val="22"/>
                <w:szCs w:val="22"/>
              </w:rPr>
            </w:pPr>
            <w:r w:rsidRPr="6FEC3CCE">
              <w:rPr>
                <w:sz w:val="22"/>
                <w:szCs w:val="22"/>
              </w:rPr>
              <w:t>Review feedback and make amendments</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7F954543" w14:textId="3F541BD9" w:rsidR="6FEC3CCE" w:rsidRDefault="6FEC3CCE" w:rsidP="6FEC3CCE">
            <w:pPr>
              <w:shd w:val="clear" w:color="auto" w:fill="FFFFFF" w:themeFill="background1"/>
              <w:spacing w:after="0" w:line="360" w:lineRule="auto"/>
              <w:rPr>
                <w:sz w:val="22"/>
                <w:szCs w:val="22"/>
              </w:rPr>
            </w:pPr>
            <w:r w:rsidRPr="6FEC3CCE">
              <w:rPr>
                <w:sz w:val="22"/>
                <w:szCs w:val="22"/>
              </w:rPr>
              <w:t>Weeks 25–26</w:t>
            </w:r>
          </w:p>
        </w:tc>
      </w:tr>
      <w:tr w:rsidR="6FEC3CCE" w14:paraId="54A7D42E"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434AE60B" w14:textId="054D0DF9" w:rsidR="6FEC3CCE" w:rsidRDefault="6FEC3CCE" w:rsidP="6FEC3CCE">
            <w:pPr>
              <w:shd w:val="clear" w:color="auto" w:fill="FFFFFF" w:themeFill="background1"/>
              <w:spacing w:after="0" w:line="360" w:lineRule="auto"/>
              <w:rPr>
                <w:sz w:val="22"/>
                <w:szCs w:val="22"/>
              </w:rPr>
            </w:pPr>
            <w:r w:rsidRPr="6FEC3CCE">
              <w:rPr>
                <w:sz w:val="22"/>
                <w:szCs w:val="22"/>
              </w:rPr>
              <w:t>Final proofreading, referencing checks and formatting</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525327AE" w14:textId="4DEACC61" w:rsidR="6FEC3CCE" w:rsidRDefault="6FEC3CCE" w:rsidP="6FEC3CCE">
            <w:pPr>
              <w:shd w:val="clear" w:color="auto" w:fill="FFFFFF" w:themeFill="background1"/>
              <w:spacing w:after="0" w:line="360" w:lineRule="auto"/>
              <w:rPr>
                <w:sz w:val="22"/>
                <w:szCs w:val="22"/>
              </w:rPr>
            </w:pPr>
            <w:r w:rsidRPr="6FEC3CCE">
              <w:rPr>
                <w:sz w:val="22"/>
                <w:szCs w:val="22"/>
              </w:rPr>
              <w:t>Week 27</w:t>
            </w:r>
          </w:p>
        </w:tc>
      </w:tr>
      <w:tr w:rsidR="6FEC3CCE" w14:paraId="08B0C152" w14:textId="77777777" w:rsidTr="6FEC3CCE">
        <w:trPr>
          <w:trHeight w:val="300"/>
        </w:trPr>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5AD0993B" w14:textId="0A09EBCB" w:rsidR="6FEC3CCE" w:rsidRDefault="6FEC3CCE" w:rsidP="6FEC3CCE">
            <w:pPr>
              <w:shd w:val="clear" w:color="auto" w:fill="FFFFFF" w:themeFill="background1"/>
              <w:spacing w:after="0" w:line="360" w:lineRule="auto"/>
              <w:rPr>
                <w:sz w:val="22"/>
                <w:szCs w:val="22"/>
              </w:rPr>
            </w:pPr>
            <w:r w:rsidRPr="6FEC3CCE">
              <w:rPr>
                <w:sz w:val="22"/>
                <w:szCs w:val="22"/>
              </w:rPr>
              <w:t>Dissertation submission</w:t>
            </w:r>
          </w:p>
        </w:tc>
        <w:tc>
          <w:tcPr>
            <w:tcW w:w="4508" w:type="dxa"/>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tcPr>
          <w:p w14:paraId="5CAA2E78" w14:textId="4A20E9B4" w:rsidR="6FEC3CCE" w:rsidRDefault="6FEC3CCE" w:rsidP="6FEC3CCE">
            <w:pPr>
              <w:shd w:val="clear" w:color="auto" w:fill="FFFFFF" w:themeFill="background1"/>
              <w:spacing w:after="0" w:line="360" w:lineRule="auto"/>
              <w:rPr>
                <w:sz w:val="22"/>
                <w:szCs w:val="22"/>
              </w:rPr>
            </w:pPr>
            <w:r w:rsidRPr="6FEC3CCE">
              <w:rPr>
                <w:sz w:val="22"/>
                <w:szCs w:val="22"/>
              </w:rPr>
              <w:t>Week 28</w:t>
            </w:r>
          </w:p>
        </w:tc>
      </w:tr>
    </w:tbl>
    <w:p w14:paraId="66F67C6C" w14:textId="6BA442E3"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lastRenderedPageBreak/>
        <w:t>7) Self-Reflection as Researcher</w:t>
      </w:r>
      <w:r>
        <w:br/>
      </w:r>
    </w:p>
    <w:p w14:paraId="463D750E" w14:textId="6FDCCAB0" w:rsidR="6FEC3CCE" w:rsidRDefault="6FEC3CCE" w:rsidP="6FEC3CCE">
      <w:pPr>
        <w:shd w:val="clear" w:color="auto" w:fill="FFFFFF" w:themeFill="background1"/>
        <w:spacing w:after="0" w:line="360" w:lineRule="auto"/>
        <w:rPr>
          <w:sz w:val="22"/>
          <w:szCs w:val="22"/>
        </w:rPr>
      </w:pPr>
    </w:p>
    <w:p w14:paraId="7000B0EE" w14:textId="5AA7BE2F"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A strength of this research is my strong interest in cultural diversity, equality and inclusion within health and social care. This motivation will support my engagement with the topic and encourage critical analysis of the literature. A potential challenge may be managing a large volume of academic sources and maintaining a structured approach to writing. To address this, I will use a clear research timetable, attend meetings with my dissertation supervisor, seek support from the Academic Skills </w:t>
      </w:r>
      <w:r w:rsidR="5E08470A" w:rsidRPr="6FEC3CCE">
        <w:rPr>
          <w:color w:val="242424"/>
          <w:sz w:val="22"/>
          <w:szCs w:val="22"/>
        </w:rPr>
        <w:t>Centre,</w:t>
      </w:r>
      <w:r w:rsidRPr="6FEC3CCE">
        <w:rPr>
          <w:color w:val="242424"/>
          <w:sz w:val="22"/>
          <w:szCs w:val="22"/>
        </w:rPr>
        <w:t xml:space="preserve"> and use reference management software to organise literature effectively. Through this project, I aim to strengthen my critical thinking, academic writing, </w:t>
      </w:r>
      <w:r w:rsidR="00CF0CC4" w:rsidRPr="6FEC3CCE">
        <w:rPr>
          <w:color w:val="242424"/>
          <w:sz w:val="22"/>
          <w:szCs w:val="22"/>
        </w:rPr>
        <w:t>research,</w:t>
      </w:r>
      <w:r w:rsidRPr="6FEC3CCE">
        <w:rPr>
          <w:color w:val="242424"/>
          <w:sz w:val="22"/>
          <w:szCs w:val="22"/>
        </w:rPr>
        <w:t xml:space="preserve"> and time-management skills.</w:t>
      </w:r>
      <w:r>
        <w:br/>
      </w:r>
    </w:p>
    <w:p w14:paraId="3C53179A" w14:textId="16FA55FB" w:rsidR="6FEC3CCE" w:rsidRDefault="6FEC3CCE" w:rsidP="6FEC3CCE">
      <w:pPr>
        <w:shd w:val="clear" w:color="auto" w:fill="FFFFFF" w:themeFill="background1"/>
        <w:spacing w:after="0" w:line="360" w:lineRule="auto"/>
        <w:rPr>
          <w:sz w:val="22"/>
          <w:szCs w:val="22"/>
        </w:rPr>
      </w:pPr>
    </w:p>
    <w:p w14:paraId="2EB08606" w14:textId="21B23EA3" w:rsidR="65472E33" w:rsidRDefault="65472E33" w:rsidP="6FEC3CCE">
      <w:pPr>
        <w:shd w:val="clear" w:color="auto" w:fill="FFFFFF" w:themeFill="background1"/>
        <w:spacing w:after="0" w:line="360" w:lineRule="auto"/>
        <w:rPr>
          <w:b/>
          <w:bCs/>
          <w:color w:val="242424"/>
          <w:sz w:val="22"/>
          <w:szCs w:val="22"/>
        </w:rPr>
      </w:pPr>
      <w:r w:rsidRPr="6FEC3CCE">
        <w:rPr>
          <w:b/>
          <w:bCs/>
          <w:color w:val="242424"/>
          <w:sz w:val="22"/>
          <w:szCs w:val="22"/>
        </w:rPr>
        <w:t>References</w:t>
      </w:r>
      <w:r>
        <w:br/>
      </w:r>
    </w:p>
    <w:p w14:paraId="3167281F" w14:textId="37C749D0" w:rsidR="6FEC3CCE" w:rsidRDefault="6FEC3CCE" w:rsidP="6FEC3CCE">
      <w:pPr>
        <w:shd w:val="clear" w:color="auto" w:fill="FFFFFF" w:themeFill="background1"/>
        <w:spacing w:after="0" w:line="360" w:lineRule="auto"/>
        <w:rPr>
          <w:sz w:val="22"/>
          <w:szCs w:val="22"/>
        </w:rPr>
      </w:pPr>
    </w:p>
    <w:p w14:paraId="49487A97" w14:textId="7555D920"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Braun, </w:t>
      </w:r>
      <w:r w:rsidR="5BCDF86E" w:rsidRPr="6FEC3CCE">
        <w:rPr>
          <w:color w:val="242424"/>
          <w:sz w:val="22"/>
          <w:szCs w:val="22"/>
        </w:rPr>
        <w:t>V.,</w:t>
      </w:r>
      <w:r w:rsidRPr="6FEC3CCE">
        <w:rPr>
          <w:color w:val="242424"/>
          <w:sz w:val="22"/>
          <w:szCs w:val="22"/>
        </w:rPr>
        <w:t xml:space="preserve"> and Clarke, V. (2006) ‘Using thematic analysis in psychology’, </w:t>
      </w:r>
      <w:r w:rsidRPr="6FEC3CCE">
        <w:rPr>
          <w:i/>
          <w:iCs/>
          <w:color w:val="242424"/>
          <w:sz w:val="22"/>
          <w:szCs w:val="22"/>
        </w:rPr>
        <w:t>Qualitative Research in Psychology</w:t>
      </w:r>
      <w:r w:rsidRPr="6FEC3CCE">
        <w:rPr>
          <w:color w:val="242424"/>
          <w:sz w:val="22"/>
          <w:szCs w:val="22"/>
        </w:rPr>
        <w:t>, 3(2), pp. 77–101.</w:t>
      </w:r>
    </w:p>
    <w:p w14:paraId="642A60AB" w14:textId="4E1673CE" w:rsidR="6FEC3CCE" w:rsidRDefault="6FEC3CCE" w:rsidP="6FEC3CCE">
      <w:pPr>
        <w:shd w:val="clear" w:color="auto" w:fill="FFFFFF" w:themeFill="background1"/>
        <w:spacing w:after="0" w:line="360" w:lineRule="auto"/>
        <w:rPr>
          <w:sz w:val="22"/>
          <w:szCs w:val="22"/>
        </w:rPr>
      </w:pPr>
    </w:p>
    <w:p w14:paraId="132B5C74" w14:textId="6F7DAC76"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British Educational Research Association (2024) </w:t>
      </w:r>
      <w:r w:rsidRPr="6FEC3CCE">
        <w:rPr>
          <w:i/>
          <w:iCs/>
          <w:color w:val="242424"/>
          <w:sz w:val="22"/>
          <w:szCs w:val="22"/>
        </w:rPr>
        <w:t>Ethical Guidelines for Educational Research</w:t>
      </w:r>
      <w:r w:rsidRPr="6FEC3CCE">
        <w:rPr>
          <w:color w:val="242424"/>
          <w:sz w:val="22"/>
          <w:szCs w:val="22"/>
        </w:rPr>
        <w:t>. 5th edn. London: BERA.</w:t>
      </w:r>
    </w:p>
    <w:p w14:paraId="1C788CCC" w14:textId="7B1018D3" w:rsidR="6FEC3CCE" w:rsidRDefault="6FEC3CCE" w:rsidP="6FEC3CCE">
      <w:pPr>
        <w:shd w:val="clear" w:color="auto" w:fill="FFFFFF" w:themeFill="background1"/>
        <w:spacing w:after="0" w:line="360" w:lineRule="auto"/>
        <w:rPr>
          <w:sz w:val="22"/>
          <w:szCs w:val="22"/>
        </w:rPr>
      </w:pPr>
    </w:p>
    <w:p w14:paraId="0E76B08A" w14:textId="4D8B536C"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Butt, J. and O’Neil, A. (2004) </w:t>
      </w:r>
      <w:r w:rsidRPr="6FEC3CCE">
        <w:rPr>
          <w:i/>
          <w:iCs/>
          <w:color w:val="242424"/>
          <w:sz w:val="22"/>
          <w:szCs w:val="22"/>
        </w:rPr>
        <w:t>Lets Ask the Experts: Black and Minority Ethnic Older People’s Views on Research Findings</w:t>
      </w:r>
      <w:r w:rsidRPr="6FEC3CCE">
        <w:rPr>
          <w:color w:val="242424"/>
          <w:sz w:val="22"/>
          <w:szCs w:val="22"/>
        </w:rPr>
        <w:t>. York: Joseph Rowntree Foundation.</w:t>
      </w:r>
    </w:p>
    <w:p w14:paraId="53C6C37D" w14:textId="7FBCDD01" w:rsidR="6FEC3CCE" w:rsidRDefault="6FEC3CCE" w:rsidP="6FEC3CCE">
      <w:pPr>
        <w:shd w:val="clear" w:color="auto" w:fill="FFFFFF" w:themeFill="background1"/>
        <w:spacing w:after="0" w:line="360" w:lineRule="auto"/>
        <w:rPr>
          <w:sz w:val="22"/>
          <w:szCs w:val="22"/>
        </w:rPr>
      </w:pPr>
    </w:p>
    <w:p w14:paraId="6284C626" w14:textId="5A609394"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Finch, </w:t>
      </w:r>
      <w:r w:rsidR="70F0B6AE" w:rsidRPr="6FEC3CCE">
        <w:rPr>
          <w:color w:val="242424"/>
          <w:sz w:val="22"/>
          <w:szCs w:val="22"/>
        </w:rPr>
        <w:t>J.,</w:t>
      </w:r>
      <w:r w:rsidRPr="6FEC3CCE">
        <w:rPr>
          <w:color w:val="242424"/>
          <w:sz w:val="22"/>
          <w:szCs w:val="22"/>
        </w:rPr>
        <w:t xml:space="preserve"> and Mason, J. (1993) </w:t>
      </w:r>
      <w:r w:rsidRPr="6FEC3CCE">
        <w:rPr>
          <w:i/>
          <w:iCs/>
          <w:color w:val="242424"/>
          <w:sz w:val="22"/>
          <w:szCs w:val="22"/>
        </w:rPr>
        <w:t>Negotiating Family Responsibilities</w:t>
      </w:r>
      <w:r w:rsidRPr="6FEC3CCE">
        <w:rPr>
          <w:color w:val="242424"/>
          <w:sz w:val="22"/>
          <w:szCs w:val="22"/>
        </w:rPr>
        <w:t>. London: Routledge.</w:t>
      </w:r>
    </w:p>
    <w:p w14:paraId="52771363" w14:textId="7BF60503" w:rsidR="6FEC3CCE" w:rsidRDefault="6FEC3CCE" w:rsidP="6FEC3CCE">
      <w:pPr>
        <w:shd w:val="clear" w:color="auto" w:fill="FFFFFF" w:themeFill="background1"/>
        <w:spacing w:after="0" w:line="360" w:lineRule="auto"/>
        <w:rPr>
          <w:sz w:val="22"/>
          <w:szCs w:val="22"/>
        </w:rPr>
      </w:pPr>
    </w:p>
    <w:p w14:paraId="4AA262F4" w14:textId="5F5AD717"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Nazroo, J.Y. (1997) </w:t>
      </w:r>
      <w:r w:rsidRPr="6FEC3CCE">
        <w:rPr>
          <w:i/>
          <w:iCs/>
          <w:color w:val="242424"/>
          <w:sz w:val="22"/>
          <w:szCs w:val="22"/>
        </w:rPr>
        <w:t>The Health of Britain’s Ethnic Minorities</w:t>
      </w:r>
      <w:r w:rsidRPr="6FEC3CCE">
        <w:rPr>
          <w:color w:val="242424"/>
          <w:sz w:val="22"/>
          <w:szCs w:val="22"/>
        </w:rPr>
        <w:t>. London: Policy Studies Institute.</w:t>
      </w:r>
    </w:p>
    <w:p w14:paraId="29E2EE11" w14:textId="452AAEE3" w:rsidR="6FEC3CCE" w:rsidRDefault="6FEC3CCE" w:rsidP="6FEC3CCE">
      <w:pPr>
        <w:shd w:val="clear" w:color="auto" w:fill="FFFFFF" w:themeFill="background1"/>
        <w:spacing w:after="0" w:line="360" w:lineRule="auto"/>
        <w:rPr>
          <w:sz w:val="22"/>
          <w:szCs w:val="22"/>
        </w:rPr>
      </w:pPr>
    </w:p>
    <w:p w14:paraId="60B81E0A" w14:textId="446B219D" w:rsidR="65472E33" w:rsidRDefault="65472E33" w:rsidP="6FEC3CCE">
      <w:pPr>
        <w:shd w:val="clear" w:color="auto" w:fill="FFFFFF" w:themeFill="background1"/>
        <w:spacing w:after="0" w:line="360" w:lineRule="auto"/>
        <w:rPr>
          <w:color w:val="242424"/>
          <w:sz w:val="22"/>
          <w:szCs w:val="22"/>
        </w:rPr>
      </w:pPr>
      <w:r w:rsidRPr="6FEC3CCE">
        <w:rPr>
          <w:color w:val="242424"/>
          <w:sz w:val="22"/>
          <w:szCs w:val="22"/>
        </w:rPr>
        <w:t xml:space="preserve">Victor, C.R., Burholt, V. and Martin, W. (2012) ‘Loneliness and ethnic minority elders in Great Britain’, </w:t>
      </w:r>
      <w:r w:rsidRPr="6FEC3CCE">
        <w:rPr>
          <w:i/>
          <w:iCs/>
          <w:color w:val="242424"/>
          <w:sz w:val="22"/>
          <w:szCs w:val="22"/>
        </w:rPr>
        <w:t>Ageing &amp; Society</w:t>
      </w:r>
      <w:r w:rsidRPr="6FEC3CCE">
        <w:rPr>
          <w:color w:val="242424"/>
          <w:sz w:val="22"/>
          <w:szCs w:val="22"/>
        </w:rPr>
        <w:t>, 32(6), pp. 1037–1056.</w:t>
      </w:r>
    </w:p>
    <w:p w14:paraId="2C7A19C6" w14:textId="01903997" w:rsidR="6FEC3CCE" w:rsidRDefault="6FEC3CCE" w:rsidP="6FEC3CCE"/>
    <w:sectPr w:rsidR="6FEC3CC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GCu4DgMI">
      <int2:state int2:value="Rejected" int2:type="spell"/>
    </int2:textHash>
    <int2:textHash int2:hashCode="BDtPCybh6HuRkZ" int2:id="paEgplMV">
      <int2:state int2:value="Rejected" int2:type="spell"/>
    </int2:textHash>
    <int2:entireDocument int2:id="Awz3hPJr">
      <int2:extLst>
        <oel:ext uri="E302BA01-7950-474C-9AD3-286E660C40A8">
          <int2:similaritySummary int2:version="1" int2:runId="1781834168445" int2:tilesCheckedInThisRun="74" int2:totalNumOfTiles="74" int2:similarityAnnotationCount="0" int2:numWords="890" int2:numFlaggedWords="0"/>
        </oel:ext>
      </int2:extLst>
    </int2:entireDocument>
  </int2:observations>
  <int2:intelligenceSettings/>
  <int2:onDemandWorkflows>
    <int2:onDemandWorkflow int2:type="SimilarityCheck" int2:paragraphVersions="60548638-49C88D51 5EB470EC-2D5C33F4 2094108C-39A1C7A4 53D88E21-417B8D09 18212E05-6FE3CDB1 52383FEC-204B36E9 1C83B366-4947CAFE 37AEB7C3-6A8F9B58 5D2B150E-189CB1B9 66609C30-1EDE2CFE 5E3FF308-6E15E44A 3320FCB1-50EAA8E7 700F0CD7-2D647767 5E5787A5-7AE00BC7 1ED19F87-6B8300D7 7C3ADEAE-11704DFA 18B395F3-0A3B745C 49591FC0-44E2F8BB 47A044AF-404560FA 6B896B57-32C749A9 66C49255-66097E98 57BE73F3-67883F8B 3CD9DAA9-5D5831DD 6FFE51BE-047F7365 500FACD5-2DE1873C 42E0A6A8-5D90A547 07ED1C90-7E27D0CE 2936A0CB-535E79BE 4DC217A5-754CF6F5 5D4121A8-39C8D86B 3CEF7141-46C6FA17 144B96DE-47B838CB 32C7B556-26D6EC4C 69A25BC3-1F43C9C9 1BDF9290-234C65A3 7CB780BD-583FD805 500DE40F-6C5498B5 3A21E678-4C2F9BFC 359F4FC0-06B2122A 59C4D82E-58EC170C 12C68557-4FEE0986 1CB05ED6-5BF7E35E 3256F698-33ECB89C 4AB6DA4C-6DAA98AD 34BAC858-76B44BEC 5D105A9D-3B734AAB 640E48F9-4A961A7E 340CE336-67AA2200 4A7E6F86-6F97360E 07819B59-550AF882 74F4B35B-62F22D9C 387BF7AE-2A092C1A 7AC2BE75-2B6CE2A7 139A4CA8-7C322B99 5C5954CB-7E3BAF0A 5B47BCAB-1D6BC7CB 54B712EE-289C4E19 2555AA34-640DA99F 195B20BF-12DD5A33 2816254D-70776F96 2CAE7143-0B4C6CB6 5DBF1B5E-44B3DAE1 16F1DFB5-28AA775D 213FFFBE-40F86144 386FC5F6-0E9A4063 7CF36B05-74ED35EF 64A7C735-79E3FDC6 2C23E7DD-59C5160B 5769D0AC-58192CAF 2B049C2D-07E2953F 039C5428-645E2966 5C5778CA-7CA77C1F 6785C019-7BF248F4 3FA5E06B-4BA8A1E5 3C5DD7B2-75E4BA52 3FA0443C-0BE37290 3FA87292-6716CE28 0BEF5605-31C2DE14 2921B6D2-41CA18B7 0AF632BC-555130FE 0A8CED5D-1252752B 6AFBFC38-68DBF81F 1E8D14E4-109C23D7 49965786-59E61D83 15951EE2-4D1911AC 2AAA69F1-3EF8E594 10D8373B-5645B05A 0D371A8B-055F6B35 30945DB7-4FCACF7C 2A28751D-31422154 1731C25F-76F14A81 3EC0036F-3200D450 1B8A0E26-644D14EE 7C202F93-585E7151 7B92A5B0-46BD88E6 30A66DED-30DEC1D7 4D4D59DF-51ACBB61 7F954543-3F541BD9 434AE60B-054D0DF9 525327AE-4DEACC61 5AD0993B-0A09EBCB 5CAA2E78-4A20E9B4 3B0CDD86-19CA9E93 38E42CA1-3AEB4ED3 66F67C6C-6E069C0A 463D750E-6FDCCAB0 7000B0EE-5AA7BE2F 3C53179A-16FA55FB 2EB08606-21B23EA3 3167281F-37C749D0 49487A97-7555D920 642A60AB-4E1673CE 132B5C74-6F7DAC76 1C788CCC-7B1018D3 0E76B08A-4D8B536C 53C6C37D-7FBCDD01 6284C626-5A609394 52771363-7BF60503 4AA262F4-5F5AD717 29E2EE11-452AAEE3 60B81E0A-446B219D 2C7A19C6-0190399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A874F"/>
    <w:multiLevelType w:val="hybridMultilevel"/>
    <w:tmpl w:val="D172BD02"/>
    <w:lvl w:ilvl="0" w:tplc="77545EAC">
      <w:start w:val="1"/>
      <w:numFmt w:val="bullet"/>
      <w:lvlText w:val=""/>
      <w:lvlJc w:val="left"/>
      <w:pPr>
        <w:ind w:left="720" w:hanging="360"/>
      </w:pPr>
      <w:rPr>
        <w:rFonts w:ascii="Symbol" w:hAnsi="Symbol" w:hint="default"/>
      </w:rPr>
    </w:lvl>
    <w:lvl w:ilvl="1" w:tplc="79B6BEDC">
      <w:start w:val="1"/>
      <w:numFmt w:val="bullet"/>
      <w:lvlText w:val="o"/>
      <w:lvlJc w:val="left"/>
      <w:pPr>
        <w:ind w:left="1440" w:hanging="360"/>
      </w:pPr>
      <w:rPr>
        <w:rFonts w:ascii="Courier New" w:hAnsi="Courier New" w:hint="default"/>
      </w:rPr>
    </w:lvl>
    <w:lvl w:ilvl="2" w:tplc="72A82464">
      <w:start w:val="1"/>
      <w:numFmt w:val="bullet"/>
      <w:lvlText w:val=""/>
      <w:lvlJc w:val="left"/>
      <w:pPr>
        <w:ind w:left="2160" w:hanging="360"/>
      </w:pPr>
      <w:rPr>
        <w:rFonts w:ascii="Wingdings" w:hAnsi="Wingdings" w:hint="default"/>
      </w:rPr>
    </w:lvl>
    <w:lvl w:ilvl="3" w:tplc="60EE0D48">
      <w:start w:val="1"/>
      <w:numFmt w:val="bullet"/>
      <w:lvlText w:val=""/>
      <w:lvlJc w:val="left"/>
      <w:pPr>
        <w:ind w:left="2880" w:hanging="360"/>
      </w:pPr>
      <w:rPr>
        <w:rFonts w:ascii="Symbol" w:hAnsi="Symbol" w:hint="default"/>
      </w:rPr>
    </w:lvl>
    <w:lvl w:ilvl="4" w:tplc="BDECB842">
      <w:start w:val="1"/>
      <w:numFmt w:val="bullet"/>
      <w:lvlText w:val="o"/>
      <w:lvlJc w:val="left"/>
      <w:pPr>
        <w:ind w:left="3600" w:hanging="360"/>
      </w:pPr>
      <w:rPr>
        <w:rFonts w:ascii="Courier New" w:hAnsi="Courier New" w:hint="default"/>
      </w:rPr>
    </w:lvl>
    <w:lvl w:ilvl="5" w:tplc="38709A60">
      <w:start w:val="1"/>
      <w:numFmt w:val="bullet"/>
      <w:lvlText w:val=""/>
      <w:lvlJc w:val="left"/>
      <w:pPr>
        <w:ind w:left="4320" w:hanging="360"/>
      </w:pPr>
      <w:rPr>
        <w:rFonts w:ascii="Wingdings" w:hAnsi="Wingdings" w:hint="default"/>
      </w:rPr>
    </w:lvl>
    <w:lvl w:ilvl="6" w:tplc="D9E23FAE">
      <w:start w:val="1"/>
      <w:numFmt w:val="bullet"/>
      <w:lvlText w:val=""/>
      <w:lvlJc w:val="left"/>
      <w:pPr>
        <w:ind w:left="5040" w:hanging="360"/>
      </w:pPr>
      <w:rPr>
        <w:rFonts w:ascii="Symbol" w:hAnsi="Symbol" w:hint="default"/>
      </w:rPr>
    </w:lvl>
    <w:lvl w:ilvl="7" w:tplc="81D439BC">
      <w:start w:val="1"/>
      <w:numFmt w:val="bullet"/>
      <w:lvlText w:val="o"/>
      <w:lvlJc w:val="left"/>
      <w:pPr>
        <w:ind w:left="5760" w:hanging="360"/>
      </w:pPr>
      <w:rPr>
        <w:rFonts w:ascii="Courier New" w:hAnsi="Courier New" w:hint="default"/>
      </w:rPr>
    </w:lvl>
    <w:lvl w:ilvl="8" w:tplc="7150ABD8">
      <w:start w:val="1"/>
      <w:numFmt w:val="bullet"/>
      <w:lvlText w:val=""/>
      <w:lvlJc w:val="left"/>
      <w:pPr>
        <w:ind w:left="6480" w:hanging="360"/>
      </w:pPr>
      <w:rPr>
        <w:rFonts w:ascii="Wingdings" w:hAnsi="Wingdings" w:hint="default"/>
      </w:rPr>
    </w:lvl>
  </w:abstractNum>
  <w:abstractNum w:abstractNumId="1" w15:restartNumberingAfterBreak="0">
    <w:nsid w:val="56A0827F"/>
    <w:multiLevelType w:val="hybridMultilevel"/>
    <w:tmpl w:val="E23C9A74"/>
    <w:lvl w:ilvl="0" w:tplc="CF0A3850">
      <w:start w:val="1"/>
      <w:numFmt w:val="decimal"/>
      <w:lvlText w:val="%1."/>
      <w:lvlJc w:val="left"/>
      <w:pPr>
        <w:ind w:left="720" w:hanging="360"/>
      </w:pPr>
    </w:lvl>
    <w:lvl w:ilvl="1" w:tplc="E7D21922">
      <w:start w:val="1"/>
      <w:numFmt w:val="lowerLetter"/>
      <w:lvlText w:val="%2."/>
      <w:lvlJc w:val="left"/>
      <w:pPr>
        <w:ind w:left="1440" w:hanging="360"/>
      </w:pPr>
    </w:lvl>
    <w:lvl w:ilvl="2" w:tplc="97FAFF5A">
      <w:start w:val="1"/>
      <w:numFmt w:val="lowerRoman"/>
      <w:lvlText w:val="%3."/>
      <w:lvlJc w:val="right"/>
      <w:pPr>
        <w:ind w:left="2160" w:hanging="180"/>
      </w:pPr>
    </w:lvl>
    <w:lvl w:ilvl="3" w:tplc="A71682EA">
      <w:start w:val="1"/>
      <w:numFmt w:val="decimal"/>
      <w:lvlText w:val="%4."/>
      <w:lvlJc w:val="left"/>
      <w:pPr>
        <w:ind w:left="2880" w:hanging="360"/>
      </w:pPr>
    </w:lvl>
    <w:lvl w:ilvl="4" w:tplc="F0709282">
      <w:start w:val="1"/>
      <w:numFmt w:val="lowerLetter"/>
      <w:lvlText w:val="%5."/>
      <w:lvlJc w:val="left"/>
      <w:pPr>
        <w:ind w:left="3600" w:hanging="360"/>
      </w:pPr>
    </w:lvl>
    <w:lvl w:ilvl="5" w:tplc="F990BAD6">
      <w:start w:val="1"/>
      <w:numFmt w:val="lowerRoman"/>
      <w:lvlText w:val="%6."/>
      <w:lvlJc w:val="right"/>
      <w:pPr>
        <w:ind w:left="4320" w:hanging="180"/>
      </w:pPr>
    </w:lvl>
    <w:lvl w:ilvl="6" w:tplc="2AFC6CAC">
      <w:start w:val="1"/>
      <w:numFmt w:val="decimal"/>
      <w:lvlText w:val="%7."/>
      <w:lvlJc w:val="left"/>
      <w:pPr>
        <w:ind w:left="5040" w:hanging="360"/>
      </w:pPr>
    </w:lvl>
    <w:lvl w:ilvl="7" w:tplc="9E0CCEDA">
      <w:start w:val="1"/>
      <w:numFmt w:val="lowerLetter"/>
      <w:lvlText w:val="%8."/>
      <w:lvlJc w:val="left"/>
      <w:pPr>
        <w:ind w:left="5760" w:hanging="360"/>
      </w:pPr>
    </w:lvl>
    <w:lvl w:ilvl="8" w:tplc="2ED8698E">
      <w:start w:val="1"/>
      <w:numFmt w:val="lowerRoman"/>
      <w:lvlText w:val="%9."/>
      <w:lvlJc w:val="right"/>
      <w:pPr>
        <w:ind w:left="6480" w:hanging="180"/>
      </w:pPr>
    </w:lvl>
  </w:abstractNum>
  <w:num w:numId="1" w16cid:durableId="1868130427">
    <w:abstractNumId w:val="0"/>
  </w:num>
  <w:num w:numId="2" w16cid:durableId="351763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4585D5"/>
    <w:rsid w:val="005B18C4"/>
    <w:rsid w:val="005E70BF"/>
    <w:rsid w:val="00A74447"/>
    <w:rsid w:val="00CF0CC4"/>
    <w:rsid w:val="044585D5"/>
    <w:rsid w:val="1A1E448C"/>
    <w:rsid w:val="1BB38934"/>
    <w:rsid w:val="1D94148A"/>
    <w:rsid w:val="212F85D1"/>
    <w:rsid w:val="2445F8F2"/>
    <w:rsid w:val="260DBD9D"/>
    <w:rsid w:val="281314E0"/>
    <w:rsid w:val="2F6265BD"/>
    <w:rsid w:val="2F62989C"/>
    <w:rsid w:val="31300C72"/>
    <w:rsid w:val="3211D58B"/>
    <w:rsid w:val="37FE88AC"/>
    <w:rsid w:val="3D28D224"/>
    <w:rsid w:val="3E2E6DE5"/>
    <w:rsid w:val="3F848594"/>
    <w:rsid w:val="402F71EF"/>
    <w:rsid w:val="45DA0A1B"/>
    <w:rsid w:val="4C13D1CF"/>
    <w:rsid w:val="53E2C89E"/>
    <w:rsid w:val="5A3FA240"/>
    <w:rsid w:val="5BCDF86E"/>
    <w:rsid w:val="5CE249AF"/>
    <w:rsid w:val="5E08470A"/>
    <w:rsid w:val="5E21F953"/>
    <w:rsid w:val="625B3EE9"/>
    <w:rsid w:val="65472E33"/>
    <w:rsid w:val="6BAECC39"/>
    <w:rsid w:val="6E4DC525"/>
    <w:rsid w:val="6FEC3CCE"/>
    <w:rsid w:val="70F0B6AE"/>
    <w:rsid w:val="756F226E"/>
    <w:rsid w:val="764C5395"/>
    <w:rsid w:val="77FC84C9"/>
    <w:rsid w:val="784FD299"/>
    <w:rsid w:val="7DB69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6C64F"/>
  <w15:chartTrackingRefBased/>
  <w15:docId w15:val="{153D7D2A-C48D-4EBB-88F9-C73215B76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FEC3CCE"/>
    <w:pPr>
      <w:ind w:left="720"/>
      <w:contextualSpacing/>
    </w:pPr>
  </w:style>
  <w:style w:type="character" w:customStyle="1" w:styleId="normaltextrun">
    <w:name w:val="normaltextrun"/>
    <w:basedOn w:val="DefaultParagraphFont"/>
    <w:uiPriority w:val="1"/>
    <w:rsid w:val="6FEC3CCE"/>
    <w:rPr>
      <w:rFonts w:asciiTheme="minorHAnsi" w:eastAsiaTheme="minorEastAsia" w:hAnsiTheme="minorHAnsi" w:cstheme="minorBidi"/>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4" ma:contentTypeDescription="Create a new document." ma:contentTypeScope="" ma:versionID="35acf0b5a2be3047e4ebf18c59807ed8">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7ce1e4cb7e28c0f8dfdf7ac504071215"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C83D3734-8A57-4751-8A5E-CA3E423FEF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16B30F-01B3-48FD-B49E-654BEC830861}">
  <ds:schemaRefs>
    <ds:schemaRef ds:uri="http://schemas.microsoft.com/sharepoint/v3/contenttype/forms"/>
  </ds:schemaRefs>
</ds:datastoreItem>
</file>

<file path=customXml/itemProps3.xml><?xml version="1.0" encoding="utf-8"?>
<ds:datastoreItem xmlns:ds="http://schemas.openxmlformats.org/officeDocument/2006/customXml" ds:itemID="{3BEFA29D-5EEC-4EA0-ADAA-8E8C512FB963}">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951</Words>
  <Characters>5424</Characters>
  <Application>Microsoft Office Word</Application>
  <DocSecurity>0</DocSecurity>
  <Lines>45</Lines>
  <Paragraphs>12</Paragraphs>
  <ScaleCrop>false</ScaleCrop>
  <Company/>
  <LinksUpToDate>false</LinksUpToDate>
  <CharactersWithSpaces>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Haylett (2321018)</dc:creator>
  <cp:keywords/>
  <dc:description/>
  <cp:lastModifiedBy>Simon Haylett (2321018)</cp:lastModifiedBy>
  <cp:revision>2</cp:revision>
  <dcterms:created xsi:type="dcterms:W3CDTF">2026-06-19T02:25:00Z</dcterms:created>
  <dcterms:modified xsi:type="dcterms:W3CDTF">2026-06-19T02:25:00Z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