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FACD815" w14:textId="03D199C0" w:rsidR="0022335B" w:rsidRPr="00486094" w:rsidRDefault="00247CF3" w:rsidP="0022335B">
      <w:pPr>
        <w:pStyle w:val="Heading1"/>
        <w:jc w:val="center"/>
        <w:rPr>
          <w:rFonts w:ascii="Arial" w:hAnsi="Arial" w:cs="Arial"/>
          <w:color w:val="4E3B22"/>
          <w:sz w:val="38"/>
          <w:szCs w:val="38"/>
        </w:rPr>
      </w:pPr>
      <w:bookmarkStart w:id="0" w:name="_Toc213956312"/>
      <w:bookmarkStart w:id="1" w:name="_Toc213962969"/>
      <w:bookmarkStart w:id="2" w:name="_Toc213978662"/>
      <w:bookmarkStart w:id="3" w:name="_Toc213978838"/>
      <w:bookmarkStart w:id="4" w:name="_Toc213980332"/>
      <w:bookmarkStart w:id="5" w:name="_Toc214049429"/>
      <w:bookmarkStart w:id="6" w:name="_Toc214067374"/>
      <w:r w:rsidRPr="00486094">
        <w:rPr>
          <w:rFonts w:ascii="Arial" w:hAnsi="Arial" w:cs="Arial"/>
          <w:noProof/>
        </w:rPr>
        <w:drawing>
          <wp:anchor distT="0" distB="0" distL="114300" distR="114300" simplePos="0" relativeHeight="251659776" behindDoc="0" locked="0" layoutInCell="1" allowOverlap="1" wp14:anchorId="1B0416C5" wp14:editId="480F8876">
            <wp:simplePos x="0" y="0"/>
            <wp:positionH relativeFrom="column">
              <wp:posOffset>1590012</wp:posOffset>
            </wp:positionH>
            <wp:positionV relativeFrom="paragraph">
              <wp:posOffset>387</wp:posOffset>
            </wp:positionV>
            <wp:extent cx="2416810" cy="635635"/>
            <wp:effectExtent l="0" t="0" r="254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16810" cy="63563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bookmarkEnd w:id="2"/>
      <w:bookmarkEnd w:id="3"/>
      <w:bookmarkEnd w:id="4"/>
      <w:bookmarkEnd w:id="5"/>
      <w:bookmarkEnd w:id="6"/>
    </w:p>
    <w:p w14:paraId="4D1A97C1" w14:textId="77777777" w:rsidR="0022335B" w:rsidRPr="00486094" w:rsidRDefault="0022335B" w:rsidP="0022335B"/>
    <w:p w14:paraId="4E03AA97" w14:textId="77777777" w:rsidR="00121C74" w:rsidRPr="00486094" w:rsidRDefault="00121C74" w:rsidP="0022335B"/>
    <w:p w14:paraId="6F8703C5" w14:textId="52C5BF16" w:rsidR="00A96B95" w:rsidRPr="00486094" w:rsidRDefault="0022335B" w:rsidP="00CB13AF">
      <w:pPr>
        <w:pStyle w:val="Title"/>
        <w:spacing w:line="360" w:lineRule="auto"/>
        <w:jc w:val="center"/>
        <w:rPr>
          <w:rFonts w:ascii="Arial" w:hAnsi="Arial" w:cs="Arial"/>
          <w:sz w:val="36"/>
          <w:szCs w:val="36"/>
        </w:rPr>
      </w:pPr>
      <w:r w:rsidRPr="00486094">
        <w:rPr>
          <w:rFonts w:ascii="Arial" w:hAnsi="Arial" w:cs="Arial"/>
          <w:sz w:val="36"/>
          <w:szCs w:val="36"/>
        </w:rPr>
        <w:t>A Comparative Analysis of Starbucks’ International Marketing Strategy in the USA and India: Standardisation, Adaptation, and Cultural Responsiveness</w:t>
      </w:r>
    </w:p>
    <w:p w14:paraId="20D07503" w14:textId="77777777" w:rsidR="0022335B" w:rsidRPr="00486094" w:rsidRDefault="0022335B" w:rsidP="0022335B"/>
    <w:p w14:paraId="45420126" w14:textId="20979B01" w:rsidR="00091AF5" w:rsidRPr="00486094" w:rsidRDefault="0022335B" w:rsidP="00CB13AF">
      <w:r w:rsidRPr="00486094">
        <w:rPr>
          <w:noProof/>
        </w:rPr>
        <w:drawing>
          <wp:inline distT="0" distB="0" distL="0" distR="0" wp14:anchorId="005D0399" wp14:editId="586AC57B">
            <wp:extent cx="5943600" cy="2263140"/>
            <wp:effectExtent l="0" t="0" r="0" b="3810"/>
            <wp:docPr id="586087250" name="Picture 1" descr="Menu |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u | Starbucks"/>
                    <pic:cNvPicPr>
                      <a:picLocks noChangeAspect="1" noChangeArrowheads="1"/>
                    </pic:cNvPicPr>
                  </pic:nvPicPr>
                  <pic:blipFill>
                    <a:blip r:embed="rId10" cstate="print">
                      <a:alphaModFix amt="84000"/>
                      <a:extLst>
                        <a:ext uri="{28A0092B-C50C-407E-A947-70E740481C1C}">
                          <a14:useLocalDpi xmlns:a14="http://schemas.microsoft.com/office/drawing/2010/main" val="0"/>
                        </a:ext>
                      </a:extLst>
                    </a:blip>
                    <a:srcRect/>
                    <a:stretch>
                      <a:fillRect/>
                    </a:stretch>
                  </pic:blipFill>
                  <pic:spPr bwMode="auto">
                    <a:xfrm>
                      <a:off x="0" y="0"/>
                      <a:ext cx="5943600" cy="2263140"/>
                    </a:xfrm>
                    <a:prstGeom prst="ellipse">
                      <a:avLst/>
                    </a:prstGeom>
                    <a:ln>
                      <a:noFill/>
                    </a:ln>
                    <a:effectLst>
                      <a:softEdge rad="112500"/>
                    </a:effectLst>
                  </pic:spPr>
                </pic:pic>
              </a:graphicData>
            </a:graphic>
          </wp:inline>
        </w:drawing>
      </w:r>
    </w:p>
    <w:p w14:paraId="4FFF122D" w14:textId="77777777" w:rsidR="00A96B95" w:rsidRPr="00486094" w:rsidRDefault="00A96B95" w:rsidP="0022335B">
      <w:pPr>
        <w:rPr>
          <w:color w:val="4E3B22"/>
        </w:rPr>
      </w:pPr>
    </w:p>
    <w:p w14:paraId="70DF1B09" w14:textId="77777777" w:rsidR="00A96B95" w:rsidRPr="00486094" w:rsidRDefault="00A96B95" w:rsidP="00CB13AF">
      <w:pPr>
        <w:spacing w:line="360" w:lineRule="auto"/>
        <w:jc w:val="center"/>
        <w:rPr>
          <w:rFonts w:ascii="Arial" w:hAnsi="Arial" w:cs="Arial"/>
          <w:b/>
          <w:bCs/>
          <w:color w:val="4E3B22"/>
        </w:rPr>
      </w:pPr>
      <w:r w:rsidRPr="00486094">
        <w:rPr>
          <w:rFonts w:ascii="Arial" w:hAnsi="Arial" w:cs="Arial"/>
          <w:b/>
          <w:bCs/>
          <w:color w:val="4E3B22"/>
        </w:rPr>
        <w:t>UWTSD campus Birmingham</w:t>
      </w:r>
    </w:p>
    <w:p w14:paraId="3A1D1C69" w14:textId="237E8F7A" w:rsidR="00A96B95" w:rsidRPr="00486094" w:rsidRDefault="00A96B95" w:rsidP="00CB13AF">
      <w:pPr>
        <w:spacing w:line="360" w:lineRule="auto"/>
        <w:jc w:val="center"/>
        <w:rPr>
          <w:rFonts w:ascii="Arial" w:hAnsi="Arial" w:cs="Arial"/>
          <w:b/>
          <w:bCs/>
          <w:color w:val="4E3B22"/>
        </w:rPr>
      </w:pPr>
      <w:r w:rsidRPr="00486094">
        <w:rPr>
          <w:rFonts w:ascii="Arial" w:hAnsi="Arial" w:cs="Arial"/>
          <w:b/>
          <w:bCs/>
          <w:color w:val="4E3B22"/>
        </w:rPr>
        <w:t xml:space="preserve">Student name and number: Yordanka </w:t>
      </w:r>
      <w:r w:rsidR="00A75775" w:rsidRPr="00486094">
        <w:rPr>
          <w:rFonts w:ascii="Arial" w:hAnsi="Arial" w:cs="Arial"/>
          <w:b/>
          <w:bCs/>
          <w:color w:val="4E3B22"/>
        </w:rPr>
        <w:t>K</w:t>
      </w:r>
      <w:r w:rsidRPr="00486094">
        <w:rPr>
          <w:rFonts w:ascii="Arial" w:hAnsi="Arial" w:cs="Arial"/>
          <w:b/>
          <w:bCs/>
          <w:color w:val="4E3B22"/>
        </w:rPr>
        <w:t>ancheva | 2017633</w:t>
      </w:r>
    </w:p>
    <w:p w14:paraId="09D7B09B" w14:textId="77777777" w:rsidR="00A96B95" w:rsidRPr="00486094" w:rsidRDefault="00A96B95" w:rsidP="00CB13AF">
      <w:pPr>
        <w:spacing w:line="360" w:lineRule="auto"/>
        <w:jc w:val="center"/>
        <w:rPr>
          <w:rFonts w:ascii="Arial" w:hAnsi="Arial" w:cs="Arial"/>
          <w:b/>
          <w:bCs/>
          <w:color w:val="4E3B22"/>
        </w:rPr>
      </w:pPr>
      <w:r w:rsidRPr="00486094">
        <w:rPr>
          <w:rFonts w:ascii="Arial" w:hAnsi="Arial" w:cs="Arial"/>
          <w:b/>
          <w:bCs/>
          <w:color w:val="4E3B22"/>
        </w:rPr>
        <w:t>Module name and number: International Marketing: Principles and Practices | LCMB7026</w:t>
      </w:r>
    </w:p>
    <w:p w14:paraId="4C7D8AA9" w14:textId="732240D0" w:rsidR="00A96B95" w:rsidRPr="00486094" w:rsidRDefault="00A96B95" w:rsidP="00CB13AF">
      <w:pPr>
        <w:spacing w:line="360" w:lineRule="auto"/>
        <w:jc w:val="center"/>
        <w:rPr>
          <w:rFonts w:ascii="Arial" w:hAnsi="Arial" w:cs="Arial"/>
          <w:b/>
          <w:bCs/>
          <w:color w:val="4E3B22"/>
        </w:rPr>
      </w:pPr>
      <w:r w:rsidRPr="00486094">
        <w:rPr>
          <w:rFonts w:ascii="Arial" w:hAnsi="Arial" w:cs="Arial"/>
          <w:b/>
          <w:bCs/>
          <w:color w:val="4E3B22"/>
        </w:rPr>
        <w:t>Lecture name: Taonga Kaonga Sobere-Snithers</w:t>
      </w:r>
    </w:p>
    <w:p w14:paraId="2C3E46B5" w14:textId="2A11754B" w:rsidR="00121C74" w:rsidRPr="00486094" w:rsidRDefault="00121C74" w:rsidP="00CB13AF">
      <w:pPr>
        <w:spacing w:line="360" w:lineRule="auto"/>
        <w:jc w:val="center"/>
        <w:rPr>
          <w:rFonts w:ascii="Arial" w:hAnsi="Arial" w:cs="Arial"/>
          <w:b/>
          <w:bCs/>
          <w:color w:val="4E3B22"/>
        </w:rPr>
      </w:pPr>
      <w:r w:rsidRPr="00486094">
        <w:rPr>
          <w:rFonts w:ascii="Arial" w:hAnsi="Arial" w:cs="Arial"/>
          <w:b/>
          <w:bCs/>
          <w:color w:val="4E3B22"/>
        </w:rPr>
        <w:t xml:space="preserve">Word Count: </w:t>
      </w:r>
      <w:r w:rsidR="00E467BC">
        <w:rPr>
          <w:rFonts w:ascii="Arial" w:hAnsi="Arial" w:cs="Arial"/>
          <w:b/>
          <w:bCs/>
          <w:color w:val="4E3B22"/>
        </w:rPr>
        <w:t>5,4</w:t>
      </w:r>
      <w:r w:rsidR="00E0136C">
        <w:rPr>
          <w:rFonts w:ascii="Arial" w:hAnsi="Arial" w:cs="Arial"/>
          <w:b/>
          <w:bCs/>
          <w:color w:val="4E3B22"/>
        </w:rPr>
        <w:t>50</w:t>
      </w:r>
    </w:p>
    <w:p w14:paraId="2C853BAF" w14:textId="4AFDBDAC" w:rsidR="00121C74" w:rsidRPr="00486094" w:rsidRDefault="00121C74" w:rsidP="00CB13AF">
      <w:pPr>
        <w:spacing w:line="360" w:lineRule="auto"/>
        <w:jc w:val="center"/>
        <w:rPr>
          <w:rFonts w:ascii="Arial" w:hAnsi="Arial" w:cs="Arial"/>
          <w:b/>
          <w:bCs/>
          <w:color w:val="4E3B22"/>
        </w:rPr>
      </w:pPr>
      <w:r w:rsidRPr="00486094">
        <w:rPr>
          <w:rFonts w:ascii="Arial" w:hAnsi="Arial" w:cs="Arial"/>
          <w:b/>
          <w:bCs/>
          <w:color w:val="4E3B22"/>
        </w:rPr>
        <w:t>Submission date:</w:t>
      </w:r>
      <w:r w:rsidR="0056480E">
        <w:rPr>
          <w:rFonts w:ascii="Arial" w:hAnsi="Arial" w:cs="Arial"/>
          <w:b/>
          <w:bCs/>
          <w:color w:val="4E3B22"/>
        </w:rPr>
        <w:t xml:space="preserve"> 15/11/2025</w:t>
      </w:r>
    </w:p>
    <w:p w14:paraId="70808345" w14:textId="77777777" w:rsidR="00121C74" w:rsidRPr="00486094" w:rsidRDefault="00121C74" w:rsidP="00CB13AF">
      <w:pPr>
        <w:spacing w:line="360" w:lineRule="auto"/>
        <w:jc w:val="center"/>
        <w:rPr>
          <w:rFonts w:ascii="Arial" w:hAnsi="Arial" w:cs="Arial"/>
          <w:b/>
          <w:bCs/>
          <w:color w:val="4E3B22"/>
        </w:rPr>
      </w:pPr>
    </w:p>
    <w:p w14:paraId="13735B01" w14:textId="77777777" w:rsidR="00091AF5" w:rsidRPr="00486094" w:rsidRDefault="00091AF5" w:rsidP="00247CF3">
      <w:pPr>
        <w:pStyle w:val="Heading1"/>
        <w:shd w:val="clear" w:color="auto" w:fill="295541"/>
        <w:rPr>
          <w:rFonts w:ascii="Arial" w:hAnsi="Arial" w:cs="Arial"/>
          <w:color w:val="F2FCF3"/>
        </w:rPr>
      </w:pPr>
      <w:bookmarkStart w:id="7" w:name="_Toc214067375"/>
      <w:r w:rsidRPr="00486094">
        <w:rPr>
          <w:rFonts w:ascii="Arial" w:hAnsi="Arial" w:cs="Arial"/>
          <w:color w:val="F2FCF3"/>
        </w:rPr>
        <w:lastRenderedPageBreak/>
        <w:t>Executive Summary</w:t>
      </w:r>
      <w:bookmarkEnd w:id="7"/>
    </w:p>
    <w:p w14:paraId="74AE8E86" w14:textId="77777777" w:rsidR="00091AF5" w:rsidRPr="00486094" w:rsidRDefault="00091AF5" w:rsidP="00091AF5"/>
    <w:p w14:paraId="50F51575" w14:textId="679102CE" w:rsidR="005A1B37" w:rsidRPr="00486094" w:rsidRDefault="005A1B37" w:rsidP="005A1B37">
      <w:pPr>
        <w:spacing w:line="360" w:lineRule="auto"/>
        <w:rPr>
          <w:rFonts w:ascii="Arial" w:hAnsi="Arial" w:cs="Arial"/>
          <w:color w:val="4E3B22"/>
        </w:rPr>
      </w:pPr>
      <w:r w:rsidRPr="00486094">
        <w:rPr>
          <w:rFonts w:ascii="Arial" w:hAnsi="Arial" w:cs="Arial"/>
          <w:color w:val="4E3B22"/>
        </w:rPr>
        <w:t>This report provides a critical comparative analysis of Starbucks’ international marketing strategy in its home market, the United States, and one of its key emerging markets, India. Drawing on international marketing frameworks such as Levitt’s (1983) globalisation thesis, Hofstede’s cultural dimensions, and Cateora et al.’s (2023) model of environmental adaptation, the study evaluates how Starbucks balances global brand coherence with local responsiveness. The comparison generates strategic insight into how multinational firms can optimise glocal marketing across diverse market contexts.</w:t>
      </w:r>
    </w:p>
    <w:p w14:paraId="226D665A" w14:textId="412592F8" w:rsidR="005A1B37" w:rsidRPr="00486094" w:rsidRDefault="005A1B37" w:rsidP="005A1B37">
      <w:pPr>
        <w:spacing w:line="360" w:lineRule="auto"/>
        <w:rPr>
          <w:rFonts w:ascii="Arial" w:hAnsi="Arial" w:cs="Arial"/>
          <w:color w:val="4E3B22"/>
        </w:rPr>
      </w:pPr>
      <w:r w:rsidRPr="00486094">
        <w:rPr>
          <w:rFonts w:ascii="Arial" w:hAnsi="Arial" w:cs="Arial"/>
          <w:color w:val="4E3B22"/>
        </w:rPr>
        <w:t>The analysis reveals that Starbucks’ U.S. performance is driven by brand heritage, digital innovation, and customer loyalty, while success in India depends on culturally relevant product adaptation, value-based pricing, and strong institutional partnerships. Applying PESTLE, STP, and the extended 7Ps frameworks, the report links environmental and cultural differences to differentiated marketing decisions, supported by secondary data from Starbucks’ 2024 Annual Report, Statista, Mintel, and MarketLine.</w:t>
      </w:r>
    </w:p>
    <w:p w14:paraId="3F11D6D3" w14:textId="1BDC2ADE" w:rsidR="005A1B37" w:rsidRPr="00486094" w:rsidRDefault="005A1B37" w:rsidP="005A1B37">
      <w:pPr>
        <w:spacing w:line="360" w:lineRule="auto"/>
        <w:rPr>
          <w:rFonts w:ascii="Arial" w:hAnsi="Arial" w:cs="Arial"/>
          <w:color w:val="4E3B22"/>
        </w:rPr>
      </w:pPr>
      <w:r w:rsidRPr="00486094">
        <w:rPr>
          <w:rFonts w:ascii="Arial" w:hAnsi="Arial" w:cs="Arial"/>
          <w:color w:val="4E3B22"/>
        </w:rPr>
        <w:t xml:space="preserve">Findings show that Starbucks’ success in India is </w:t>
      </w:r>
      <w:r w:rsidR="009757E9" w:rsidRPr="00486094">
        <w:rPr>
          <w:rFonts w:ascii="Arial" w:hAnsi="Arial" w:cs="Arial"/>
          <w:color w:val="4E3B22"/>
        </w:rPr>
        <w:t>enabled</w:t>
      </w:r>
      <w:r w:rsidRPr="00486094">
        <w:rPr>
          <w:rFonts w:ascii="Arial" w:hAnsi="Arial" w:cs="Arial"/>
          <w:color w:val="4E3B22"/>
        </w:rPr>
        <w:t xml:space="preserve"> by its joint venture with the Tata Group, which provides regulatory alignment and cultural legitimacy. In contrast, the U.S. market is sustained through advanced digital capabilities and sustainability initiatives, though labour disputes and market saturation pose challenges.</w:t>
      </w:r>
    </w:p>
    <w:p w14:paraId="5D6AB797" w14:textId="2A6B446E" w:rsidR="00091AF5" w:rsidRPr="00486094" w:rsidRDefault="005A1B37" w:rsidP="005A1B37">
      <w:pPr>
        <w:spacing w:line="360" w:lineRule="auto"/>
        <w:rPr>
          <w:color w:val="4E3B22"/>
        </w:rPr>
      </w:pPr>
      <w:r w:rsidRPr="00486094">
        <w:rPr>
          <w:rFonts w:ascii="Arial" w:hAnsi="Arial" w:cs="Arial"/>
          <w:color w:val="4E3B22"/>
        </w:rPr>
        <w:t>The report concludes with strategic recommendations to strengthen Starbucks’ glocal strategy, including deeper cultural engagement in India, enhanced digital personalisation in the U.S., and more consistent CSR integration across both markets. These insights offer a broader roadmap for global firms navigating the complex balance between standardisation, localisation, and ethical responsibility.</w:t>
      </w:r>
    </w:p>
    <w:p w14:paraId="67EB89BD" w14:textId="77777777" w:rsidR="00091AF5" w:rsidRPr="00486094" w:rsidRDefault="00091AF5" w:rsidP="00091AF5"/>
    <w:p w14:paraId="48F869F0" w14:textId="77777777" w:rsidR="00091AF5" w:rsidRPr="00486094" w:rsidRDefault="00091AF5" w:rsidP="00091AF5"/>
    <w:p w14:paraId="441CC82B" w14:textId="77777777" w:rsidR="00091AF5" w:rsidRPr="00486094" w:rsidRDefault="00091AF5" w:rsidP="00091AF5"/>
    <w:p w14:paraId="4277F109" w14:textId="77777777" w:rsidR="00091AF5" w:rsidRPr="00486094" w:rsidRDefault="00091AF5" w:rsidP="00091AF5"/>
    <w:p w14:paraId="1899B030" w14:textId="77777777" w:rsidR="00091AF5" w:rsidRPr="00486094" w:rsidRDefault="00091AF5" w:rsidP="00091AF5"/>
    <w:p w14:paraId="066DACC4" w14:textId="77777777" w:rsidR="00091AF5" w:rsidRPr="00486094" w:rsidRDefault="00091AF5" w:rsidP="00091AF5"/>
    <w:sdt>
      <w:sdtPr>
        <w:rPr>
          <w:rFonts w:asciiTheme="minorHAnsi" w:eastAsiaTheme="minorHAnsi" w:hAnsiTheme="minorHAnsi" w:cstheme="minorBidi"/>
          <w:color w:val="auto"/>
          <w:kern w:val="2"/>
          <w:sz w:val="22"/>
          <w:szCs w:val="22"/>
          <w:lang w:val="en-GB"/>
          <w14:ligatures w14:val="standardContextual"/>
        </w:rPr>
        <w:id w:val="1559439759"/>
        <w:docPartObj>
          <w:docPartGallery w:val="Table of Contents"/>
          <w:docPartUnique/>
        </w:docPartObj>
      </w:sdtPr>
      <w:sdtEndPr>
        <w:rPr>
          <w:b/>
          <w:bCs/>
        </w:rPr>
      </w:sdtEndPr>
      <w:sdtContent>
        <w:p w14:paraId="2A16DCE3" w14:textId="3E4957A6" w:rsidR="00091AF5" w:rsidRPr="00486094" w:rsidRDefault="00091AF5" w:rsidP="00247CF3">
          <w:pPr>
            <w:pStyle w:val="TOCHeading"/>
            <w:shd w:val="clear" w:color="auto" w:fill="295541"/>
            <w:rPr>
              <w:rStyle w:val="Heading1Char"/>
              <w:rFonts w:ascii="Arial" w:hAnsi="Arial" w:cs="Arial"/>
              <w:color w:val="F2FCF3"/>
            </w:rPr>
          </w:pPr>
          <w:r w:rsidRPr="00486094">
            <w:rPr>
              <w:rStyle w:val="Heading1Char"/>
              <w:rFonts w:ascii="Arial" w:hAnsi="Arial" w:cs="Arial"/>
              <w:color w:val="F2FCF3"/>
            </w:rPr>
            <w:t>Contents</w:t>
          </w:r>
        </w:p>
        <w:p w14:paraId="49EEB5D1" w14:textId="75AF1CFA" w:rsidR="00B73C63" w:rsidRPr="00B73C63" w:rsidRDefault="00091AF5">
          <w:pPr>
            <w:pStyle w:val="TOC1"/>
            <w:tabs>
              <w:tab w:val="right" w:leader="dot" w:pos="9350"/>
            </w:tabs>
            <w:rPr>
              <w:rFonts w:ascii="Arial" w:eastAsiaTheme="minorEastAsia" w:hAnsi="Arial" w:cs="Arial"/>
              <w:noProof/>
              <w:sz w:val="24"/>
              <w:szCs w:val="24"/>
              <w:lang w:val="bg-BG" w:eastAsia="bg-BG"/>
            </w:rPr>
          </w:pPr>
          <w:r w:rsidRPr="00486094">
            <w:fldChar w:fldCharType="begin"/>
          </w:r>
          <w:r w:rsidRPr="00486094">
            <w:instrText xml:space="preserve"> TOC \o "1-3" \h \z \u </w:instrText>
          </w:r>
          <w:r w:rsidRPr="00486094">
            <w:fldChar w:fldCharType="separate"/>
          </w:r>
        </w:p>
        <w:p w14:paraId="65C1E2F2" w14:textId="04F50CC5" w:rsidR="00B73C63" w:rsidRDefault="00B73C63">
          <w:pPr>
            <w:pStyle w:val="TOC1"/>
            <w:tabs>
              <w:tab w:val="right" w:leader="dot" w:pos="9350"/>
            </w:tabs>
            <w:rPr>
              <w:rFonts w:eastAsiaTheme="minorEastAsia"/>
              <w:noProof/>
              <w:sz w:val="24"/>
              <w:szCs w:val="24"/>
              <w:lang w:val="bg-BG" w:eastAsia="bg-BG"/>
            </w:rPr>
          </w:pPr>
          <w:hyperlink w:anchor="_Toc214067375" w:history="1">
            <w:r w:rsidRPr="001362C4">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_Toc214067375 \h </w:instrText>
            </w:r>
            <w:r>
              <w:rPr>
                <w:noProof/>
                <w:webHidden/>
              </w:rPr>
            </w:r>
            <w:r>
              <w:rPr>
                <w:noProof/>
                <w:webHidden/>
              </w:rPr>
              <w:fldChar w:fldCharType="separate"/>
            </w:r>
            <w:r>
              <w:rPr>
                <w:noProof/>
                <w:webHidden/>
              </w:rPr>
              <w:t>2</w:t>
            </w:r>
            <w:r>
              <w:rPr>
                <w:noProof/>
                <w:webHidden/>
              </w:rPr>
              <w:fldChar w:fldCharType="end"/>
            </w:r>
          </w:hyperlink>
        </w:p>
        <w:p w14:paraId="5A2C5DD1" w14:textId="00A79277" w:rsidR="00B73C63" w:rsidRDefault="00B73C63">
          <w:pPr>
            <w:pStyle w:val="TOC1"/>
            <w:tabs>
              <w:tab w:val="right" w:leader="dot" w:pos="9350"/>
            </w:tabs>
            <w:rPr>
              <w:rFonts w:eastAsiaTheme="minorEastAsia"/>
              <w:noProof/>
              <w:sz w:val="24"/>
              <w:szCs w:val="24"/>
              <w:lang w:val="bg-BG" w:eastAsia="bg-BG"/>
            </w:rPr>
          </w:pPr>
          <w:hyperlink w:anchor="_Toc214067376" w:history="1">
            <w:r w:rsidRPr="001362C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_Toc214067376 \h </w:instrText>
            </w:r>
            <w:r>
              <w:rPr>
                <w:noProof/>
                <w:webHidden/>
              </w:rPr>
            </w:r>
            <w:r>
              <w:rPr>
                <w:noProof/>
                <w:webHidden/>
              </w:rPr>
              <w:fldChar w:fldCharType="separate"/>
            </w:r>
            <w:r>
              <w:rPr>
                <w:noProof/>
                <w:webHidden/>
              </w:rPr>
              <w:t>4</w:t>
            </w:r>
            <w:r>
              <w:rPr>
                <w:noProof/>
                <w:webHidden/>
              </w:rPr>
              <w:fldChar w:fldCharType="end"/>
            </w:r>
          </w:hyperlink>
        </w:p>
        <w:p w14:paraId="7317F716" w14:textId="24D3C68D" w:rsidR="00B73C63" w:rsidRDefault="00B73C63">
          <w:pPr>
            <w:pStyle w:val="TOC1"/>
            <w:tabs>
              <w:tab w:val="right" w:leader="dot" w:pos="9350"/>
            </w:tabs>
            <w:rPr>
              <w:rFonts w:eastAsiaTheme="minorEastAsia"/>
              <w:noProof/>
              <w:sz w:val="24"/>
              <w:szCs w:val="24"/>
              <w:lang w:val="bg-BG" w:eastAsia="bg-BG"/>
            </w:rPr>
          </w:pPr>
          <w:hyperlink w:anchor="_Toc214067377" w:history="1">
            <w:r w:rsidRPr="001362C4">
              <w:rPr>
                <w:rStyle w:val="Hyperlink"/>
                <w:rFonts w:ascii="Arial" w:hAnsi="Arial" w:cs="Arial"/>
                <w:noProof/>
              </w:rPr>
              <w:t>Brand Overview (Starbucks Corporation)</w:t>
            </w:r>
            <w:r>
              <w:rPr>
                <w:noProof/>
                <w:webHidden/>
              </w:rPr>
              <w:tab/>
            </w:r>
            <w:r>
              <w:rPr>
                <w:noProof/>
                <w:webHidden/>
              </w:rPr>
              <w:fldChar w:fldCharType="begin"/>
            </w:r>
            <w:r>
              <w:rPr>
                <w:noProof/>
                <w:webHidden/>
              </w:rPr>
              <w:instrText xml:space="preserve"> PAGEREF _Toc214067377 \h </w:instrText>
            </w:r>
            <w:r>
              <w:rPr>
                <w:noProof/>
                <w:webHidden/>
              </w:rPr>
            </w:r>
            <w:r>
              <w:rPr>
                <w:noProof/>
                <w:webHidden/>
              </w:rPr>
              <w:fldChar w:fldCharType="separate"/>
            </w:r>
            <w:r>
              <w:rPr>
                <w:noProof/>
                <w:webHidden/>
              </w:rPr>
              <w:t>5</w:t>
            </w:r>
            <w:r>
              <w:rPr>
                <w:noProof/>
                <w:webHidden/>
              </w:rPr>
              <w:fldChar w:fldCharType="end"/>
            </w:r>
          </w:hyperlink>
        </w:p>
        <w:p w14:paraId="796EF0DD" w14:textId="7C635BE8" w:rsidR="00B73C63" w:rsidRDefault="00B73C63">
          <w:pPr>
            <w:pStyle w:val="TOC1"/>
            <w:tabs>
              <w:tab w:val="right" w:leader="dot" w:pos="9350"/>
            </w:tabs>
            <w:rPr>
              <w:rFonts w:eastAsiaTheme="minorEastAsia"/>
              <w:noProof/>
              <w:sz w:val="24"/>
              <w:szCs w:val="24"/>
              <w:lang w:val="bg-BG" w:eastAsia="bg-BG"/>
            </w:rPr>
          </w:pPr>
          <w:hyperlink w:anchor="_Toc214067378" w:history="1">
            <w:r w:rsidRPr="001362C4">
              <w:rPr>
                <w:rStyle w:val="Hyperlink"/>
                <w:rFonts w:ascii="Arial" w:hAnsi="Arial" w:cs="Arial"/>
                <w:noProof/>
              </w:rPr>
              <w:t>PESTLE and Socio-Cultural Context Comparison (USA vs India)</w:t>
            </w:r>
            <w:r>
              <w:rPr>
                <w:noProof/>
                <w:webHidden/>
              </w:rPr>
              <w:tab/>
            </w:r>
            <w:r>
              <w:rPr>
                <w:noProof/>
                <w:webHidden/>
              </w:rPr>
              <w:fldChar w:fldCharType="begin"/>
            </w:r>
            <w:r>
              <w:rPr>
                <w:noProof/>
                <w:webHidden/>
              </w:rPr>
              <w:instrText xml:space="preserve"> PAGEREF _Toc214067378 \h </w:instrText>
            </w:r>
            <w:r>
              <w:rPr>
                <w:noProof/>
                <w:webHidden/>
              </w:rPr>
            </w:r>
            <w:r>
              <w:rPr>
                <w:noProof/>
                <w:webHidden/>
              </w:rPr>
              <w:fldChar w:fldCharType="separate"/>
            </w:r>
            <w:r>
              <w:rPr>
                <w:noProof/>
                <w:webHidden/>
              </w:rPr>
              <w:t>8</w:t>
            </w:r>
            <w:r>
              <w:rPr>
                <w:noProof/>
                <w:webHidden/>
              </w:rPr>
              <w:fldChar w:fldCharType="end"/>
            </w:r>
          </w:hyperlink>
        </w:p>
        <w:p w14:paraId="301B4174" w14:textId="7C4D0795" w:rsidR="00B73C63" w:rsidRDefault="00B73C63">
          <w:pPr>
            <w:pStyle w:val="TOC2"/>
            <w:tabs>
              <w:tab w:val="right" w:leader="dot" w:pos="9350"/>
            </w:tabs>
            <w:rPr>
              <w:rFonts w:eastAsiaTheme="minorEastAsia"/>
              <w:noProof/>
              <w:sz w:val="24"/>
              <w:szCs w:val="24"/>
              <w:lang w:val="bg-BG" w:eastAsia="bg-BG"/>
            </w:rPr>
          </w:pPr>
          <w:hyperlink w:anchor="_Toc214067379" w:history="1">
            <w:r w:rsidRPr="001362C4">
              <w:rPr>
                <w:rStyle w:val="Hyperlink"/>
                <w:rFonts w:ascii="Arial" w:hAnsi="Arial" w:cs="Arial"/>
                <w:noProof/>
              </w:rPr>
              <w:t>Overview</w:t>
            </w:r>
            <w:r>
              <w:rPr>
                <w:noProof/>
                <w:webHidden/>
              </w:rPr>
              <w:tab/>
            </w:r>
            <w:r>
              <w:rPr>
                <w:noProof/>
                <w:webHidden/>
              </w:rPr>
              <w:fldChar w:fldCharType="begin"/>
            </w:r>
            <w:r>
              <w:rPr>
                <w:noProof/>
                <w:webHidden/>
              </w:rPr>
              <w:instrText xml:space="preserve"> PAGEREF _Toc214067379 \h </w:instrText>
            </w:r>
            <w:r>
              <w:rPr>
                <w:noProof/>
                <w:webHidden/>
              </w:rPr>
            </w:r>
            <w:r>
              <w:rPr>
                <w:noProof/>
                <w:webHidden/>
              </w:rPr>
              <w:fldChar w:fldCharType="separate"/>
            </w:r>
            <w:r>
              <w:rPr>
                <w:noProof/>
                <w:webHidden/>
              </w:rPr>
              <w:t>9</w:t>
            </w:r>
            <w:r>
              <w:rPr>
                <w:noProof/>
                <w:webHidden/>
              </w:rPr>
              <w:fldChar w:fldCharType="end"/>
            </w:r>
          </w:hyperlink>
        </w:p>
        <w:p w14:paraId="20AAB9A9" w14:textId="6520B0CB" w:rsidR="00B73C63" w:rsidRDefault="00B73C63">
          <w:pPr>
            <w:pStyle w:val="TOC2"/>
            <w:tabs>
              <w:tab w:val="right" w:leader="dot" w:pos="9350"/>
            </w:tabs>
            <w:rPr>
              <w:rFonts w:eastAsiaTheme="minorEastAsia"/>
              <w:noProof/>
              <w:sz w:val="24"/>
              <w:szCs w:val="24"/>
              <w:lang w:val="bg-BG" w:eastAsia="bg-BG"/>
            </w:rPr>
          </w:pPr>
          <w:hyperlink w:anchor="_Toc214067380" w:history="1">
            <w:r w:rsidRPr="001362C4">
              <w:rPr>
                <w:rStyle w:val="Hyperlink"/>
                <w:rFonts w:ascii="Arial" w:hAnsi="Arial" w:cs="Arial"/>
                <w:noProof/>
              </w:rPr>
              <w:t>Political and Legal Context</w:t>
            </w:r>
            <w:r>
              <w:rPr>
                <w:noProof/>
                <w:webHidden/>
              </w:rPr>
              <w:tab/>
            </w:r>
            <w:r>
              <w:rPr>
                <w:noProof/>
                <w:webHidden/>
              </w:rPr>
              <w:fldChar w:fldCharType="begin"/>
            </w:r>
            <w:r>
              <w:rPr>
                <w:noProof/>
                <w:webHidden/>
              </w:rPr>
              <w:instrText xml:space="preserve"> PAGEREF _Toc214067380 \h </w:instrText>
            </w:r>
            <w:r>
              <w:rPr>
                <w:noProof/>
                <w:webHidden/>
              </w:rPr>
            </w:r>
            <w:r>
              <w:rPr>
                <w:noProof/>
                <w:webHidden/>
              </w:rPr>
              <w:fldChar w:fldCharType="separate"/>
            </w:r>
            <w:r>
              <w:rPr>
                <w:noProof/>
                <w:webHidden/>
              </w:rPr>
              <w:t>9</w:t>
            </w:r>
            <w:r>
              <w:rPr>
                <w:noProof/>
                <w:webHidden/>
              </w:rPr>
              <w:fldChar w:fldCharType="end"/>
            </w:r>
          </w:hyperlink>
        </w:p>
        <w:p w14:paraId="50A15CEA" w14:textId="42260576" w:rsidR="00B73C63" w:rsidRDefault="00B73C63">
          <w:pPr>
            <w:pStyle w:val="TOC2"/>
            <w:tabs>
              <w:tab w:val="right" w:leader="dot" w:pos="9350"/>
            </w:tabs>
            <w:rPr>
              <w:rFonts w:eastAsiaTheme="minorEastAsia"/>
              <w:noProof/>
              <w:sz w:val="24"/>
              <w:szCs w:val="24"/>
              <w:lang w:val="bg-BG" w:eastAsia="bg-BG"/>
            </w:rPr>
          </w:pPr>
          <w:hyperlink w:anchor="_Toc214067381" w:history="1">
            <w:r w:rsidRPr="001362C4">
              <w:rPr>
                <w:rStyle w:val="Hyperlink"/>
                <w:rFonts w:ascii="Arial" w:hAnsi="Arial" w:cs="Arial"/>
                <w:noProof/>
              </w:rPr>
              <w:t>Economic Context</w:t>
            </w:r>
            <w:r>
              <w:rPr>
                <w:noProof/>
                <w:webHidden/>
              </w:rPr>
              <w:tab/>
            </w:r>
            <w:r>
              <w:rPr>
                <w:noProof/>
                <w:webHidden/>
              </w:rPr>
              <w:fldChar w:fldCharType="begin"/>
            </w:r>
            <w:r>
              <w:rPr>
                <w:noProof/>
                <w:webHidden/>
              </w:rPr>
              <w:instrText xml:space="preserve"> PAGEREF _Toc214067381 \h </w:instrText>
            </w:r>
            <w:r>
              <w:rPr>
                <w:noProof/>
                <w:webHidden/>
              </w:rPr>
            </w:r>
            <w:r>
              <w:rPr>
                <w:noProof/>
                <w:webHidden/>
              </w:rPr>
              <w:fldChar w:fldCharType="separate"/>
            </w:r>
            <w:r>
              <w:rPr>
                <w:noProof/>
                <w:webHidden/>
              </w:rPr>
              <w:t>10</w:t>
            </w:r>
            <w:r>
              <w:rPr>
                <w:noProof/>
                <w:webHidden/>
              </w:rPr>
              <w:fldChar w:fldCharType="end"/>
            </w:r>
          </w:hyperlink>
        </w:p>
        <w:p w14:paraId="597652A6" w14:textId="3A08A5C8" w:rsidR="00B73C63" w:rsidRDefault="00B73C63">
          <w:pPr>
            <w:pStyle w:val="TOC2"/>
            <w:tabs>
              <w:tab w:val="right" w:leader="dot" w:pos="9350"/>
            </w:tabs>
            <w:rPr>
              <w:rFonts w:eastAsiaTheme="minorEastAsia"/>
              <w:noProof/>
              <w:sz w:val="24"/>
              <w:szCs w:val="24"/>
              <w:lang w:val="bg-BG" w:eastAsia="bg-BG"/>
            </w:rPr>
          </w:pPr>
          <w:hyperlink w:anchor="_Toc214067382" w:history="1">
            <w:r w:rsidRPr="001362C4">
              <w:rPr>
                <w:rStyle w:val="Hyperlink"/>
                <w:rFonts w:ascii="Arial" w:hAnsi="Arial" w:cs="Arial"/>
                <w:noProof/>
              </w:rPr>
              <w:t>Socio-Cultural Context</w:t>
            </w:r>
            <w:r>
              <w:rPr>
                <w:noProof/>
                <w:webHidden/>
              </w:rPr>
              <w:tab/>
            </w:r>
            <w:r>
              <w:rPr>
                <w:noProof/>
                <w:webHidden/>
              </w:rPr>
              <w:fldChar w:fldCharType="begin"/>
            </w:r>
            <w:r>
              <w:rPr>
                <w:noProof/>
                <w:webHidden/>
              </w:rPr>
              <w:instrText xml:space="preserve"> PAGEREF _Toc214067382 \h </w:instrText>
            </w:r>
            <w:r>
              <w:rPr>
                <w:noProof/>
                <w:webHidden/>
              </w:rPr>
            </w:r>
            <w:r>
              <w:rPr>
                <w:noProof/>
                <w:webHidden/>
              </w:rPr>
              <w:fldChar w:fldCharType="separate"/>
            </w:r>
            <w:r>
              <w:rPr>
                <w:noProof/>
                <w:webHidden/>
              </w:rPr>
              <w:t>10</w:t>
            </w:r>
            <w:r>
              <w:rPr>
                <w:noProof/>
                <w:webHidden/>
              </w:rPr>
              <w:fldChar w:fldCharType="end"/>
            </w:r>
          </w:hyperlink>
        </w:p>
        <w:p w14:paraId="2B4D9BBF" w14:textId="5F4CF526" w:rsidR="00B73C63" w:rsidRDefault="00B73C63">
          <w:pPr>
            <w:pStyle w:val="TOC2"/>
            <w:tabs>
              <w:tab w:val="right" w:leader="dot" w:pos="9350"/>
            </w:tabs>
            <w:rPr>
              <w:rFonts w:eastAsiaTheme="minorEastAsia"/>
              <w:noProof/>
              <w:sz w:val="24"/>
              <w:szCs w:val="24"/>
              <w:lang w:val="bg-BG" w:eastAsia="bg-BG"/>
            </w:rPr>
          </w:pPr>
          <w:hyperlink w:anchor="_Toc214067383" w:history="1">
            <w:r w:rsidRPr="001362C4">
              <w:rPr>
                <w:rStyle w:val="Hyperlink"/>
                <w:rFonts w:ascii="Arial" w:hAnsi="Arial" w:cs="Arial"/>
                <w:noProof/>
              </w:rPr>
              <w:t>Technological Context</w:t>
            </w:r>
            <w:r>
              <w:rPr>
                <w:noProof/>
                <w:webHidden/>
              </w:rPr>
              <w:tab/>
            </w:r>
            <w:r>
              <w:rPr>
                <w:noProof/>
                <w:webHidden/>
              </w:rPr>
              <w:fldChar w:fldCharType="begin"/>
            </w:r>
            <w:r>
              <w:rPr>
                <w:noProof/>
                <w:webHidden/>
              </w:rPr>
              <w:instrText xml:space="preserve"> PAGEREF _Toc214067383 \h </w:instrText>
            </w:r>
            <w:r>
              <w:rPr>
                <w:noProof/>
                <w:webHidden/>
              </w:rPr>
            </w:r>
            <w:r>
              <w:rPr>
                <w:noProof/>
                <w:webHidden/>
              </w:rPr>
              <w:fldChar w:fldCharType="separate"/>
            </w:r>
            <w:r>
              <w:rPr>
                <w:noProof/>
                <w:webHidden/>
              </w:rPr>
              <w:t>12</w:t>
            </w:r>
            <w:r>
              <w:rPr>
                <w:noProof/>
                <w:webHidden/>
              </w:rPr>
              <w:fldChar w:fldCharType="end"/>
            </w:r>
          </w:hyperlink>
        </w:p>
        <w:p w14:paraId="5B5CC860" w14:textId="21D41BFA" w:rsidR="00B73C63" w:rsidRDefault="00B73C63">
          <w:pPr>
            <w:pStyle w:val="TOC2"/>
            <w:tabs>
              <w:tab w:val="right" w:leader="dot" w:pos="9350"/>
            </w:tabs>
            <w:rPr>
              <w:rFonts w:eastAsiaTheme="minorEastAsia"/>
              <w:noProof/>
              <w:sz w:val="24"/>
              <w:szCs w:val="24"/>
              <w:lang w:val="bg-BG" w:eastAsia="bg-BG"/>
            </w:rPr>
          </w:pPr>
          <w:hyperlink w:anchor="_Toc214067384" w:history="1">
            <w:r w:rsidRPr="001362C4">
              <w:rPr>
                <w:rStyle w:val="Hyperlink"/>
                <w:rFonts w:ascii="Arial" w:hAnsi="Arial" w:cs="Arial"/>
                <w:noProof/>
              </w:rPr>
              <w:t>Environmental and Ethical Context</w:t>
            </w:r>
            <w:r>
              <w:rPr>
                <w:noProof/>
                <w:webHidden/>
              </w:rPr>
              <w:tab/>
            </w:r>
            <w:r>
              <w:rPr>
                <w:noProof/>
                <w:webHidden/>
              </w:rPr>
              <w:fldChar w:fldCharType="begin"/>
            </w:r>
            <w:r>
              <w:rPr>
                <w:noProof/>
                <w:webHidden/>
              </w:rPr>
              <w:instrText xml:space="preserve"> PAGEREF _Toc214067384 \h </w:instrText>
            </w:r>
            <w:r>
              <w:rPr>
                <w:noProof/>
                <w:webHidden/>
              </w:rPr>
            </w:r>
            <w:r>
              <w:rPr>
                <w:noProof/>
                <w:webHidden/>
              </w:rPr>
              <w:fldChar w:fldCharType="separate"/>
            </w:r>
            <w:r>
              <w:rPr>
                <w:noProof/>
                <w:webHidden/>
              </w:rPr>
              <w:t>12</w:t>
            </w:r>
            <w:r>
              <w:rPr>
                <w:noProof/>
                <w:webHidden/>
              </w:rPr>
              <w:fldChar w:fldCharType="end"/>
            </w:r>
          </w:hyperlink>
        </w:p>
        <w:p w14:paraId="117FEA7D" w14:textId="3CDD1513" w:rsidR="00B73C63" w:rsidRDefault="00B73C63">
          <w:pPr>
            <w:pStyle w:val="TOC1"/>
            <w:tabs>
              <w:tab w:val="right" w:leader="dot" w:pos="9350"/>
            </w:tabs>
            <w:rPr>
              <w:rFonts w:eastAsiaTheme="minorEastAsia"/>
              <w:noProof/>
              <w:sz w:val="24"/>
              <w:szCs w:val="24"/>
              <w:lang w:val="bg-BG" w:eastAsia="bg-BG"/>
            </w:rPr>
          </w:pPr>
          <w:hyperlink w:anchor="_Toc214067385" w:history="1">
            <w:r w:rsidRPr="001362C4">
              <w:rPr>
                <w:rStyle w:val="Hyperlink"/>
                <w:rFonts w:ascii="Arial" w:hAnsi="Arial" w:cs="Arial"/>
                <w:noProof/>
              </w:rPr>
              <w:t>Comparison of STP Strategies</w:t>
            </w:r>
            <w:r>
              <w:rPr>
                <w:noProof/>
                <w:webHidden/>
              </w:rPr>
              <w:tab/>
            </w:r>
            <w:r>
              <w:rPr>
                <w:noProof/>
                <w:webHidden/>
              </w:rPr>
              <w:fldChar w:fldCharType="begin"/>
            </w:r>
            <w:r>
              <w:rPr>
                <w:noProof/>
                <w:webHidden/>
              </w:rPr>
              <w:instrText xml:space="preserve"> PAGEREF _Toc214067385 \h </w:instrText>
            </w:r>
            <w:r>
              <w:rPr>
                <w:noProof/>
                <w:webHidden/>
              </w:rPr>
            </w:r>
            <w:r>
              <w:rPr>
                <w:noProof/>
                <w:webHidden/>
              </w:rPr>
              <w:fldChar w:fldCharType="separate"/>
            </w:r>
            <w:r>
              <w:rPr>
                <w:noProof/>
                <w:webHidden/>
              </w:rPr>
              <w:t>15</w:t>
            </w:r>
            <w:r>
              <w:rPr>
                <w:noProof/>
                <w:webHidden/>
              </w:rPr>
              <w:fldChar w:fldCharType="end"/>
            </w:r>
          </w:hyperlink>
        </w:p>
        <w:p w14:paraId="73536831" w14:textId="6DC1DB56" w:rsidR="00B73C63" w:rsidRDefault="00B73C63">
          <w:pPr>
            <w:pStyle w:val="TOC2"/>
            <w:tabs>
              <w:tab w:val="right" w:leader="dot" w:pos="9350"/>
            </w:tabs>
            <w:rPr>
              <w:rFonts w:eastAsiaTheme="minorEastAsia"/>
              <w:noProof/>
              <w:sz w:val="24"/>
              <w:szCs w:val="24"/>
              <w:lang w:val="bg-BG" w:eastAsia="bg-BG"/>
            </w:rPr>
          </w:pPr>
          <w:hyperlink w:anchor="_Toc214067386" w:history="1">
            <w:r w:rsidRPr="001362C4">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_Toc214067386 \h </w:instrText>
            </w:r>
            <w:r>
              <w:rPr>
                <w:noProof/>
                <w:webHidden/>
              </w:rPr>
            </w:r>
            <w:r>
              <w:rPr>
                <w:noProof/>
                <w:webHidden/>
              </w:rPr>
              <w:fldChar w:fldCharType="separate"/>
            </w:r>
            <w:r>
              <w:rPr>
                <w:noProof/>
                <w:webHidden/>
              </w:rPr>
              <w:t>15</w:t>
            </w:r>
            <w:r>
              <w:rPr>
                <w:noProof/>
                <w:webHidden/>
              </w:rPr>
              <w:fldChar w:fldCharType="end"/>
            </w:r>
          </w:hyperlink>
        </w:p>
        <w:p w14:paraId="61D11523" w14:textId="79AE6D18" w:rsidR="00B73C63" w:rsidRDefault="00B73C63">
          <w:pPr>
            <w:pStyle w:val="TOC2"/>
            <w:tabs>
              <w:tab w:val="right" w:leader="dot" w:pos="9350"/>
            </w:tabs>
            <w:rPr>
              <w:rFonts w:eastAsiaTheme="minorEastAsia"/>
              <w:noProof/>
              <w:sz w:val="24"/>
              <w:szCs w:val="24"/>
              <w:lang w:val="bg-BG" w:eastAsia="bg-BG"/>
            </w:rPr>
          </w:pPr>
          <w:hyperlink w:anchor="_Toc214067387" w:history="1">
            <w:r w:rsidRPr="001362C4">
              <w:rPr>
                <w:rStyle w:val="Hyperlink"/>
                <w:rFonts w:ascii="Arial" w:hAnsi="Arial" w:cs="Arial"/>
                <w:noProof/>
              </w:rPr>
              <w:t>Targeting</w:t>
            </w:r>
            <w:r>
              <w:rPr>
                <w:noProof/>
                <w:webHidden/>
              </w:rPr>
              <w:tab/>
            </w:r>
            <w:r>
              <w:rPr>
                <w:noProof/>
                <w:webHidden/>
              </w:rPr>
              <w:fldChar w:fldCharType="begin"/>
            </w:r>
            <w:r>
              <w:rPr>
                <w:noProof/>
                <w:webHidden/>
              </w:rPr>
              <w:instrText xml:space="preserve"> PAGEREF _Toc214067387 \h </w:instrText>
            </w:r>
            <w:r>
              <w:rPr>
                <w:noProof/>
                <w:webHidden/>
              </w:rPr>
            </w:r>
            <w:r>
              <w:rPr>
                <w:noProof/>
                <w:webHidden/>
              </w:rPr>
              <w:fldChar w:fldCharType="separate"/>
            </w:r>
            <w:r>
              <w:rPr>
                <w:noProof/>
                <w:webHidden/>
              </w:rPr>
              <w:t>16</w:t>
            </w:r>
            <w:r>
              <w:rPr>
                <w:noProof/>
                <w:webHidden/>
              </w:rPr>
              <w:fldChar w:fldCharType="end"/>
            </w:r>
          </w:hyperlink>
        </w:p>
        <w:p w14:paraId="2D24CAF0" w14:textId="06994613" w:rsidR="00B73C63" w:rsidRDefault="00B73C63">
          <w:pPr>
            <w:pStyle w:val="TOC2"/>
            <w:tabs>
              <w:tab w:val="right" w:leader="dot" w:pos="9350"/>
            </w:tabs>
            <w:rPr>
              <w:rFonts w:eastAsiaTheme="minorEastAsia"/>
              <w:noProof/>
              <w:sz w:val="24"/>
              <w:szCs w:val="24"/>
              <w:lang w:val="bg-BG" w:eastAsia="bg-BG"/>
            </w:rPr>
          </w:pPr>
          <w:hyperlink w:anchor="_Toc214067388" w:history="1">
            <w:r w:rsidRPr="001362C4">
              <w:rPr>
                <w:rStyle w:val="Hyperlink"/>
                <w:rFonts w:ascii="Arial" w:hAnsi="Arial" w:cs="Arial"/>
                <w:noProof/>
              </w:rPr>
              <w:t>Positioning</w:t>
            </w:r>
            <w:r>
              <w:rPr>
                <w:noProof/>
                <w:webHidden/>
              </w:rPr>
              <w:tab/>
            </w:r>
            <w:r>
              <w:rPr>
                <w:noProof/>
                <w:webHidden/>
              </w:rPr>
              <w:fldChar w:fldCharType="begin"/>
            </w:r>
            <w:r>
              <w:rPr>
                <w:noProof/>
                <w:webHidden/>
              </w:rPr>
              <w:instrText xml:space="preserve"> PAGEREF _Toc214067388 \h </w:instrText>
            </w:r>
            <w:r>
              <w:rPr>
                <w:noProof/>
                <w:webHidden/>
              </w:rPr>
            </w:r>
            <w:r>
              <w:rPr>
                <w:noProof/>
                <w:webHidden/>
              </w:rPr>
              <w:fldChar w:fldCharType="separate"/>
            </w:r>
            <w:r>
              <w:rPr>
                <w:noProof/>
                <w:webHidden/>
              </w:rPr>
              <w:t>16</w:t>
            </w:r>
            <w:r>
              <w:rPr>
                <w:noProof/>
                <w:webHidden/>
              </w:rPr>
              <w:fldChar w:fldCharType="end"/>
            </w:r>
          </w:hyperlink>
        </w:p>
        <w:p w14:paraId="778A3040" w14:textId="4E9AD7E7" w:rsidR="00B73C63" w:rsidRDefault="00B73C63">
          <w:pPr>
            <w:pStyle w:val="TOC2"/>
            <w:tabs>
              <w:tab w:val="right" w:leader="dot" w:pos="9350"/>
            </w:tabs>
            <w:rPr>
              <w:rFonts w:eastAsiaTheme="minorEastAsia"/>
              <w:noProof/>
              <w:sz w:val="24"/>
              <w:szCs w:val="24"/>
              <w:lang w:val="bg-BG" w:eastAsia="bg-BG"/>
            </w:rPr>
          </w:pPr>
          <w:hyperlink w:anchor="_Toc214067389" w:history="1">
            <w:r w:rsidRPr="001362C4">
              <w:rPr>
                <w:rStyle w:val="Hyperlink"/>
                <w:rFonts w:ascii="Arial" w:hAnsi="Arial" w:cs="Arial"/>
                <w:noProof/>
              </w:rPr>
              <w:t>Critical Evaluation of STP Strategies</w:t>
            </w:r>
            <w:r>
              <w:rPr>
                <w:noProof/>
                <w:webHidden/>
              </w:rPr>
              <w:tab/>
            </w:r>
            <w:r>
              <w:rPr>
                <w:noProof/>
                <w:webHidden/>
              </w:rPr>
              <w:fldChar w:fldCharType="begin"/>
            </w:r>
            <w:r>
              <w:rPr>
                <w:noProof/>
                <w:webHidden/>
              </w:rPr>
              <w:instrText xml:space="preserve"> PAGEREF _Toc214067389 \h </w:instrText>
            </w:r>
            <w:r>
              <w:rPr>
                <w:noProof/>
                <w:webHidden/>
              </w:rPr>
            </w:r>
            <w:r>
              <w:rPr>
                <w:noProof/>
                <w:webHidden/>
              </w:rPr>
              <w:fldChar w:fldCharType="separate"/>
            </w:r>
            <w:r>
              <w:rPr>
                <w:noProof/>
                <w:webHidden/>
              </w:rPr>
              <w:t>17</w:t>
            </w:r>
            <w:r>
              <w:rPr>
                <w:noProof/>
                <w:webHidden/>
              </w:rPr>
              <w:fldChar w:fldCharType="end"/>
            </w:r>
          </w:hyperlink>
        </w:p>
        <w:p w14:paraId="0B6A0A01" w14:textId="790F4642" w:rsidR="00B73C63" w:rsidRDefault="00B73C63">
          <w:pPr>
            <w:pStyle w:val="TOC1"/>
            <w:tabs>
              <w:tab w:val="right" w:leader="dot" w:pos="9350"/>
            </w:tabs>
            <w:rPr>
              <w:rFonts w:eastAsiaTheme="minorEastAsia"/>
              <w:noProof/>
              <w:sz w:val="24"/>
              <w:szCs w:val="24"/>
              <w:lang w:val="bg-BG" w:eastAsia="bg-BG"/>
            </w:rPr>
          </w:pPr>
          <w:hyperlink w:anchor="_Toc214067390" w:history="1">
            <w:r w:rsidRPr="001362C4">
              <w:rPr>
                <w:rStyle w:val="Hyperlink"/>
                <w:rFonts w:ascii="Arial" w:hAnsi="Arial" w:cs="Arial"/>
                <w:noProof/>
              </w:rPr>
              <w:t>Comparison of Marketing Mix (7Ps) Strategies</w:t>
            </w:r>
            <w:r>
              <w:rPr>
                <w:noProof/>
                <w:webHidden/>
              </w:rPr>
              <w:tab/>
            </w:r>
            <w:r>
              <w:rPr>
                <w:noProof/>
                <w:webHidden/>
              </w:rPr>
              <w:fldChar w:fldCharType="begin"/>
            </w:r>
            <w:r>
              <w:rPr>
                <w:noProof/>
                <w:webHidden/>
              </w:rPr>
              <w:instrText xml:space="preserve"> PAGEREF _Toc214067390 \h </w:instrText>
            </w:r>
            <w:r>
              <w:rPr>
                <w:noProof/>
                <w:webHidden/>
              </w:rPr>
            </w:r>
            <w:r>
              <w:rPr>
                <w:noProof/>
                <w:webHidden/>
              </w:rPr>
              <w:fldChar w:fldCharType="separate"/>
            </w:r>
            <w:r>
              <w:rPr>
                <w:noProof/>
                <w:webHidden/>
              </w:rPr>
              <w:t>18</w:t>
            </w:r>
            <w:r>
              <w:rPr>
                <w:noProof/>
                <w:webHidden/>
              </w:rPr>
              <w:fldChar w:fldCharType="end"/>
            </w:r>
          </w:hyperlink>
        </w:p>
        <w:p w14:paraId="7E0E7A7D" w14:textId="62A9C5E8" w:rsidR="00B73C63" w:rsidRDefault="00B73C63">
          <w:pPr>
            <w:pStyle w:val="TOC2"/>
            <w:tabs>
              <w:tab w:val="right" w:leader="dot" w:pos="9350"/>
            </w:tabs>
            <w:rPr>
              <w:rFonts w:eastAsiaTheme="minorEastAsia"/>
              <w:noProof/>
              <w:sz w:val="24"/>
              <w:szCs w:val="24"/>
              <w:lang w:val="bg-BG" w:eastAsia="bg-BG"/>
            </w:rPr>
          </w:pPr>
          <w:hyperlink w:anchor="_Toc214067391" w:history="1">
            <w:r w:rsidRPr="001362C4">
              <w:rPr>
                <w:rStyle w:val="Hyperlink"/>
                <w:rFonts w:ascii="Arial" w:hAnsi="Arial" w:cs="Arial"/>
                <w:noProof/>
              </w:rPr>
              <w:t>Product Strategy</w:t>
            </w:r>
            <w:r>
              <w:rPr>
                <w:noProof/>
                <w:webHidden/>
              </w:rPr>
              <w:tab/>
            </w:r>
            <w:r>
              <w:rPr>
                <w:noProof/>
                <w:webHidden/>
              </w:rPr>
              <w:fldChar w:fldCharType="begin"/>
            </w:r>
            <w:r>
              <w:rPr>
                <w:noProof/>
                <w:webHidden/>
              </w:rPr>
              <w:instrText xml:space="preserve"> PAGEREF _Toc214067391 \h </w:instrText>
            </w:r>
            <w:r>
              <w:rPr>
                <w:noProof/>
                <w:webHidden/>
              </w:rPr>
            </w:r>
            <w:r>
              <w:rPr>
                <w:noProof/>
                <w:webHidden/>
              </w:rPr>
              <w:fldChar w:fldCharType="separate"/>
            </w:r>
            <w:r>
              <w:rPr>
                <w:noProof/>
                <w:webHidden/>
              </w:rPr>
              <w:t>19</w:t>
            </w:r>
            <w:r>
              <w:rPr>
                <w:noProof/>
                <w:webHidden/>
              </w:rPr>
              <w:fldChar w:fldCharType="end"/>
            </w:r>
          </w:hyperlink>
        </w:p>
        <w:p w14:paraId="0C7DFB1C" w14:textId="57D60FAE" w:rsidR="00B73C63" w:rsidRDefault="00B73C63">
          <w:pPr>
            <w:pStyle w:val="TOC2"/>
            <w:tabs>
              <w:tab w:val="right" w:leader="dot" w:pos="9350"/>
            </w:tabs>
            <w:rPr>
              <w:rFonts w:eastAsiaTheme="minorEastAsia"/>
              <w:noProof/>
              <w:sz w:val="24"/>
              <w:szCs w:val="24"/>
              <w:lang w:val="bg-BG" w:eastAsia="bg-BG"/>
            </w:rPr>
          </w:pPr>
          <w:hyperlink w:anchor="_Toc214067392" w:history="1">
            <w:r w:rsidRPr="001362C4">
              <w:rPr>
                <w:rStyle w:val="Hyperlink"/>
                <w:rFonts w:ascii="Arial" w:hAnsi="Arial" w:cs="Arial"/>
                <w:noProof/>
              </w:rPr>
              <w:t>Price Strategy</w:t>
            </w:r>
            <w:r>
              <w:rPr>
                <w:noProof/>
                <w:webHidden/>
              </w:rPr>
              <w:tab/>
            </w:r>
            <w:r>
              <w:rPr>
                <w:noProof/>
                <w:webHidden/>
              </w:rPr>
              <w:fldChar w:fldCharType="begin"/>
            </w:r>
            <w:r>
              <w:rPr>
                <w:noProof/>
                <w:webHidden/>
              </w:rPr>
              <w:instrText xml:space="preserve"> PAGEREF _Toc214067392 \h </w:instrText>
            </w:r>
            <w:r>
              <w:rPr>
                <w:noProof/>
                <w:webHidden/>
              </w:rPr>
            </w:r>
            <w:r>
              <w:rPr>
                <w:noProof/>
                <w:webHidden/>
              </w:rPr>
              <w:fldChar w:fldCharType="separate"/>
            </w:r>
            <w:r>
              <w:rPr>
                <w:noProof/>
                <w:webHidden/>
              </w:rPr>
              <w:t>19</w:t>
            </w:r>
            <w:r>
              <w:rPr>
                <w:noProof/>
                <w:webHidden/>
              </w:rPr>
              <w:fldChar w:fldCharType="end"/>
            </w:r>
          </w:hyperlink>
        </w:p>
        <w:p w14:paraId="581711A6" w14:textId="7190F85D" w:rsidR="00B73C63" w:rsidRDefault="00B73C63">
          <w:pPr>
            <w:pStyle w:val="TOC2"/>
            <w:tabs>
              <w:tab w:val="right" w:leader="dot" w:pos="9350"/>
            </w:tabs>
            <w:rPr>
              <w:rFonts w:eastAsiaTheme="minorEastAsia"/>
              <w:noProof/>
              <w:sz w:val="24"/>
              <w:szCs w:val="24"/>
              <w:lang w:val="bg-BG" w:eastAsia="bg-BG"/>
            </w:rPr>
          </w:pPr>
          <w:hyperlink w:anchor="_Toc214067393" w:history="1">
            <w:r w:rsidRPr="001362C4">
              <w:rPr>
                <w:rStyle w:val="Hyperlink"/>
                <w:rFonts w:ascii="Arial" w:hAnsi="Arial" w:cs="Arial"/>
                <w:noProof/>
              </w:rPr>
              <w:t>Place / Distribution Strategy</w:t>
            </w:r>
            <w:r>
              <w:rPr>
                <w:noProof/>
                <w:webHidden/>
              </w:rPr>
              <w:tab/>
            </w:r>
            <w:r>
              <w:rPr>
                <w:noProof/>
                <w:webHidden/>
              </w:rPr>
              <w:fldChar w:fldCharType="begin"/>
            </w:r>
            <w:r>
              <w:rPr>
                <w:noProof/>
                <w:webHidden/>
              </w:rPr>
              <w:instrText xml:space="preserve"> PAGEREF _Toc214067393 \h </w:instrText>
            </w:r>
            <w:r>
              <w:rPr>
                <w:noProof/>
                <w:webHidden/>
              </w:rPr>
            </w:r>
            <w:r>
              <w:rPr>
                <w:noProof/>
                <w:webHidden/>
              </w:rPr>
              <w:fldChar w:fldCharType="separate"/>
            </w:r>
            <w:r>
              <w:rPr>
                <w:noProof/>
                <w:webHidden/>
              </w:rPr>
              <w:t>20</w:t>
            </w:r>
            <w:r>
              <w:rPr>
                <w:noProof/>
                <w:webHidden/>
              </w:rPr>
              <w:fldChar w:fldCharType="end"/>
            </w:r>
          </w:hyperlink>
        </w:p>
        <w:p w14:paraId="080CFB27" w14:textId="2D5D66DD" w:rsidR="00B73C63" w:rsidRDefault="00B73C63">
          <w:pPr>
            <w:pStyle w:val="TOC2"/>
            <w:tabs>
              <w:tab w:val="right" w:leader="dot" w:pos="9350"/>
            </w:tabs>
            <w:rPr>
              <w:rFonts w:eastAsiaTheme="minorEastAsia"/>
              <w:noProof/>
              <w:sz w:val="24"/>
              <w:szCs w:val="24"/>
              <w:lang w:val="bg-BG" w:eastAsia="bg-BG"/>
            </w:rPr>
          </w:pPr>
          <w:hyperlink w:anchor="_Toc214067394" w:history="1">
            <w:r w:rsidRPr="001362C4">
              <w:rPr>
                <w:rStyle w:val="Hyperlink"/>
                <w:rFonts w:ascii="Arial" w:hAnsi="Arial" w:cs="Arial"/>
                <w:noProof/>
              </w:rPr>
              <w:t>Promotion Strategy</w:t>
            </w:r>
            <w:r>
              <w:rPr>
                <w:noProof/>
                <w:webHidden/>
              </w:rPr>
              <w:tab/>
            </w:r>
            <w:r>
              <w:rPr>
                <w:noProof/>
                <w:webHidden/>
              </w:rPr>
              <w:fldChar w:fldCharType="begin"/>
            </w:r>
            <w:r>
              <w:rPr>
                <w:noProof/>
                <w:webHidden/>
              </w:rPr>
              <w:instrText xml:space="preserve"> PAGEREF _Toc214067394 \h </w:instrText>
            </w:r>
            <w:r>
              <w:rPr>
                <w:noProof/>
                <w:webHidden/>
              </w:rPr>
            </w:r>
            <w:r>
              <w:rPr>
                <w:noProof/>
                <w:webHidden/>
              </w:rPr>
              <w:fldChar w:fldCharType="separate"/>
            </w:r>
            <w:r>
              <w:rPr>
                <w:noProof/>
                <w:webHidden/>
              </w:rPr>
              <w:t>20</w:t>
            </w:r>
            <w:r>
              <w:rPr>
                <w:noProof/>
                <w:webHidden/>
              </w:rPr>
              <w:fldChar w:fldCharType="end"/>
            </w:r>
          </w:hyperlink>
        </w:p>
        <w:p w14:paraId="750BC595" w14:textId="771B8F1E" w:rsidR="00B73C63" w:rsidRDefault="00B73C63">
          <w:pPr>
            <w:pStyle w:val="TOC2"/>
            <w:tabs>
              <w:tab w:val="right" w:leader="dot" w:pos="9350"/>
            </w:tabs>
            <w:rPr>
              <w:rFonts w:eastAsiaTheme="minorEastAsia"/>
              <w:noProof/>
              <w:sz w:val="24"/>
              <w:szCs w:val="24"/>
              <w:lang w:val="bg-BG" w:eastAsia="bg-BG"/>
            </w:rPr>
          </w:pPr>
          <w:hyperlink w:anchor="_Toc214067395" w:history="1">
            <w:r w:rsidRPr="001362C4">
              <w:rPr>
                <w:rStyle w:val="Hyperlink"/>
                <w:rFonts w:ascii="Arial" w:hAnsi="Arial" w:cs="Arial"/>
                <w:noProof/>
              </w:rPr>
              <w:t>People Strategy</w:t>
            </w:r>
            <w:r>
              <w:rPr>
                <w:noProof/>
                <w:webHidden/>
              </w:rPr>
              <w:tab/>
            </w:r>
            <w:r>
              <w:rPr>
                <w:noProof/>
                <w:webHidden/>
              </w:rPr>
              <w:fldChar w:fldCharType="begin"/>
            </w:r>
            <w:r>
              <w:rPr>
                <w:noProof/>
                <w:webHidden/>
              </w:rPr>
              <w:instrText xml:space="preserve"> PAGEREF _Toc214067395 \h </w:instrText>
            </w:r>
            <w:r>
              <w:rPr>
                <w:noProof/>
                <w:webHidden/>
              </w:rPr>
            </w:r>
            <w:r>
              <w:rPr>
                <w:noProof/>
                <w:webHidden/>
              </w:rPr>
              <w:fldChar w:fldCharType="separate"/>
            </w:r>
            <w:r>
              <w:rPr>
                <w:noProof/>
                <w:webHidden/>
              </w:rPr>
              <w:t>21</w:t>
            </w:r>
            <w:r>
              <w:rPr>
                <w:noProof/>
                <w:webHidden/>
              </w:rPr>
              <w:fldChar w:fldCharType="end"/>
            </w:r>
          </w:hyperlink>
        </w:p>
        <w:p w14:paraId="5FA7CABB" w14:textId="16067202" w:rsidR="00B73C63" w:rsidRDefault="00B73C63">
          <w:pPr>
            <w:pStyle w:val="TOC2"/>
            <w:tabs>
              <w:tab w:val="right" w:leader="dot" w:pos="9350"/>
            </w:tabs>
            <w:rPr>
              <w:rFonts w:eastAsiaTheme="minorEastAsia"/>
              <w:noProof/>
              <w:sz w:val="24"/>
              <w:szCs w:val="24"/>
              <w:lang w:val="bg-BG" w:eastAsia="bg-BG"/>
            </w:rPr>
          </w:pPr>
          <w:hyperlink w:anchor="_Toc214067396" w:history="1">
            <w:r w:rsidRPr="001362C4">
              <w:rPr>
                <w:rStyle w:val="Hyperlink"/>
                <w:rFonts w:ascii="Arial" w:hAnsi="Arial" w:cs="Arial"/>
                <w:noProof/>
              </w:rPr>
              <w:t>Process Strategy</w:t>
            </w:r>
            <w:r>
              <w:rPr>
                <w:noProof/>
                <w:webHidden/>
              </w:rPr>
              <w:tab/>
            </w:r>
            <w:r>
              <w:rPr>
                <w:noProof/>
                <w:webHidden/>
              </w:rPr>
              <w:fldChar w:fldCharType="begin"/>
            </w:r>
            <w:r>
              <w:rPr>
                <w:noProof/>
                <w:webHidden/>
              </w:rPr>
              <w:instrText xml:space="preserve"> PAGEREF _Toc214067396 \h </w:instrText>
            </w:r>
            <w:r>
              <w:rPr>
                <w:noProof/>
                <w:webHidden/>
              </w:rPr>
            </w:r>
            <w:r>
              <w:rPr>
                <w:noProof/>
                <w:webHidden/>
              </w:rPr>
              <w:fldChar w:fldCharType="separate"/>
            </w:r>
            <w:r>
              <w:rPr>
                <w:noProof/>
                <w:webHidden/>
              </w:rPr>
              <w:t>21</w:t>
            </w:r>
            <w:r>
              <w:rPr>
                <w:noProof/>
                <w:webHidden/>
              </w:rPr>
              <w:fldChar w:fldCharType="end"/>
            </w:r>
          </w:hyperlink>
        </w:p>
        <w:p w14:paraId="43194D76" w14:textId="78D05582" w:rsidR="00B73C63" w:rsidRDefault="00B73C63">
          <w:pPr>
            <w:pStyle w:val="TOC2"/>
            <w:tabs>
              <w:tab w:val="right" w:leader="dot" w:pos="9350"/>
            </w:tabs>
            <w:rPr>
              <w:rFonts w:eastAsiaTheme="minorEastAsia"/>
              <w:noProof/>
              <w:sz w:val="24"/>
              <w:szCs w:val="24"/>
              <w:lang w:val="bg-BG" w:eastAsia="bg-BG"/>
            </w:rPr>
          </w:pPr>
          <w:hyperlink w:anchor="_Toc214067397" w:history="1">
            <w:r w:rsidRPr="001362C4">
              <w:rPr>
                <w:rStyle w:val="Hyperlink"/>
                <w:rFonts w:ascii="Arial" w:hAnsi="Arial" w:cs="Arial"/>
                <w:noProof/>
              </w:rPr>
              <w:t>Physical Evidence</w:t>
            </w:r>
            <w:r>
              <w:rPr>
                <w:noProof/>
                <w:webHidden/>
              </w:rPr>
              <w:tab/>
            </w:r>
            <w:r>
              <w:rPr>
                <w:noProof/>
                <w:webHidden/>
              </w:rPr>
              <w:fldChar w:fldCharType="begin"/>
            </w:r>
            <w:r>
              <w:rPr>
                <w:noProof/>
                <w:webHidden/>
              </w:rPr>
              <w:instrText xml:space="preserve"> PAGEREF _Toc214067397 \h </w:instrText>
            </w:r>
            <w:r>
              <w:rPr>
                <w:noProof/>
                <w:webHidden/>
              </w:rPr>
            </w:r>
            <w:r>
              <w:rPr>
                <w:noProof/>
                <w:webHidden/>
              </w:rPr>
              <w:fldChar w:fldCharType="separate"/>
            </w:r>
            <w:r>
              <w:rPr>
                <w:noProof/>
                <w:webHidden/>
              </w:rPr>
              <w:t>22</w:t>
            </w:r>
            <w:r>
              <w:rPr>
                <w:noProof/>
                <w:webHidden/>
              </w:rPr>
              <w:fldChar w:fldCharType="end"/>
            </w:r>
          </w:hyperlink>
        </w:p>
        <w:p w14:paraId="3CBD866D" w14:textId="5A71DCE2" w:rsidR="00B73C63" w:rsidRDefault="00B73C63">
          <w:pPr>
            <w:pStyle w:val="TOC2"/>
            <w:tabs>
              <w:tab w:val="right" w:leader="dot" w:pos="9350"/>
            </w:tabs>
            <w:rPr>
              <w:rFonts w:eastAsiaTheme="minorEastAsia"/>
              <w:noProof/>
              <w:sz w:val="24"/>
              <w:szCs w:val="24"/>
              <w:lang w:val="bg-BG" w:eastAsia="bg-BG"/>
            </w:rPr>
          </w:pPr>
          <w:hyperlink w:anchor="_Toc214067398" w:history="1">
            <w:r w:rsidRPr="001362C4">
              <w:rPr>
                <w:rStyle w:val="Hyperlink"/>
                <w:rFonts w:ascii="Arial" w:hAnsi="Arial" w:cs="Arial"/>
                <w:noProof/>
              </w:rPr>
              <w:t>Integrated Evaluation and KPI Evidence</w:t>
            </w:r>
            <w:r>
              <w:rPr>
                <w:noProof/>
                <w:webHidden/>
              </w:rPr>
              <w:tab/>
            </w:r>
            <w:r>
              <w:rPr>
                <w:noProof/>
                <w:webHidden/>
              </w:rPr>
              <w:fldChar w:fldCharType="begin"/>
            </w:r>
            <w:r>
              <w:rPr>
                <w:noProof/>
                <w:webHidden/>
              </w:rPr>
              <w:instrText xml:space="preserve"> PAGEREF _Toc214067398 \h </w:instrText>
            </w:r>
            <w:r>
              <w:rPr>
                <w:noProof/>
                <w:webHidden/>
              </w:rPr>
            </w:r>
            <w:r>
              <w:rPr>
                <w:noProof/>
                <w:webHidden/>
              </w:rPr>
              <w:fldChar w:fldCharType="separate"/>
            </w:r>
            <w:r>
              <w:rPr>
                <w:noProof/>
                <w:webHidden/>
              </w:rPr>
              <w:t>22</w:t>
            </w:r>
            <w:r>
              <w:rPr>
                <w:noProof/>
                <w:webHidden/>
              </w:rPr>
              <w:fldChar w:fldCharType="end"/>
            </w:r>
          </w:hyperlink>
        </w:p>
        <w:p w14:paraId="4DDAE647" w14:textId="23640C5C" w:rsidR="00B73C63" w:rsidRDefault="00B73C63">
          <w:pPr>
            <w:pStyle w:val="TOC1"/>
            <w:tabs>
              <w:tab w:val="right" w:leader="dot" w:pos="9350"/>
            </w:tabs>
            <w:rPr>
              <w:rFonts w:eastAsiaTheme="minorEastAsia"/>
              <w:noProof/>
              <w:sz w:val="24"/>
              <w:szCs w:val="24"/>
              <w:lang w:val="bg-BG" w:eastAsia="bg-BG"/>
            </w:rPr>
          </w:pPr>
          <w:hyperlink w:anchor="_Toc214067399" w:history="1">
            <w:r w:rsidRPr="001362C4">
              <w:rPr>
                <w:rStyle w:val="Hyperlink"/>
                <w:rFonts w:ascii="Arial" w:hAnsi="Arial" w:cs="Arial"/>
                <w:noProof/>
              </w:rPr>
              <w:t>Evaluation of Marketing Performance</w:t>
            </w:r>
            <w:r>
              <w:rPr>
                <w:noProof/>
                <w:webHidden/>
              </w:rPr>
              <w:tab/>
            </w:r>
            <w:r>
              <w:rPr>
                <w:noProof/>
                <w:webHidden/>
              </w:rPr>
              <w:fldChar w:fldCharType="begin"/>
            </w:r>
            <w:r>
              <w:rPr>
                <w:noProof/>
                <w:webHidden/>
              </w:rPr>
              <w:instrText xml:space="preserve"> PAGEREF _Toc214067399 \h </w:instrText>
            </w:r>
            <w:r>
              <w:rPr>
                <w:noProof/>
                <w:webHidden/>
              </w:rPr>
            </w:r>
            <w:r>
              <w:rPr>
                <w:noProof/>
                <w:webHidden/>
              </w:rPr>
              <w:fldChar w:fldCharType="separate"/>
            </w:r>
            <w:r>
              <w:rPr>
                <w:noProof/>
                <w:webHidden/>
              </w:rPr>
              <w:t>24</w:t>
            </w:r>
            <w:r>
              <w:rPr>
                <w:noProof/>
                <w:webHidden/>
              </w:rPr>
              <w:fldChar w:fldCharType="end"/>
            </w:r>
          </w:hyperlink>
        </w:p>
        <w:p w14:paraId="61C11419" w14:textId="7F855FDB" w:rsidR="00B73C63" w:rsidRDefault="00B73C63">
          <w:pPr>
            <w:pStyle w:val="TOC1"/>
            <w:tabs>
              <w:tab w:val="right" w:leader="dot" w:pos="9350"/>
            </w:tabs>
            <w:rPr>
              <w:rFonts w:eastAsiaTheme="minorEastAsia"/>
              <w:noProof/>
              <w:sz w:val="24"/>
              <w:szCs w:val="24"/>
              <w:lang w:val="bg-BG" w:eastAsia="bg-BG"/>
            </w:rPr>
          </w:pPr>
          <w:hyperlink w:anchor="_Toc214067400" w:history="1">
            <w:r w:rsidRPr="001362C4">
              <w:rPr>
                <w:rStyle w:val="Hyperlink"/>
                <w:rFonts w:ascii="Arial" w:hAnsi="Arial" w:cs="Arial"/>
                <w:noProof/>
              </w:rPr>
              <w:t>Marketing Ethics and CSR</w:t>
            </w:r>
            <w:r>
              <w:rPr>
                <w:noProof/>
                <w:webHidden/>
              </w:rPr>
              <w:tab/>
            </w:r>
            <w:r>
              <w:rPr>
                <w:noProof/>
                <w:webHidden/>
              </w:rPr>
              <w:fldChar w:fldCharType="begin"/>
            </w:r>
            <w:r>
              <w:rPr>
                <w:noProof/>
                <w:webHidden/>
              </w:rPr>
              <w:instrText xml:space="preserve"> PAGEREF _Toc214067400 \h </w:instrText>
            </w:r>
            <w:r>
              <w:rPr>
                <w:noProof/>
                <w:webHidden/>
              </w:rPr>
            </w:r>
            <w:r>
              <w:rPr>
                <w:noProof/>
                <w:webHidden/>
              </w:rPr>
              <w:fldChar w:fldCharType="separate"/>
            </w:r>
            <w:r>
              <w:rPr>
                <w:noProof/>
                <w:webHidden/>
              </w:rPr>
              <w:t>26</w:t>
            </w:r>
            <w:r>
              <w:rPr>
                <w:noProof/>
                <w:webHidden/>
              </w:rPr>
              <w:fldChar w:fldCharType="end"/>
            </w:r>
          </w:hyperlink>
        </w:p>
        <w:p w14:paraId="472CE8E9" w14:textId="4141FC7B" w:rsidR="00B73C63" w:rsidRDefault="00B73C63">
          <w:pPr>
            <w:pStyle w:val="TOC2"/>
            <w:tabs>
              <w:tab w:val="right" w:leader="dot" w:pos="9350"/>
            </w:tabs>
            <w:rPr>
              <w:rFonts w:eastAsiaTheme="minorEastAsia"/>
              <w:noProof/>
              <w:sz w:val="24"/>
              <w:szCs w:val="24"/>
              <w:lang w:val="bg-BG" w:eastAsia="bg-BG"/>
            </w:rPr>
          </w:pPr>
          <w:hyperlink w:anchor="_Toc214067401" w:history="1">
            <w:r w:rsidRPr="001362C4">
              <w:rPr>
                <w:rStyle w:val="Hyperlink"/>
                <w:rFonts w:ascii="Arial" w:hAnsi="Arial" w:cs="Arial"/>
                <w:noProof/>
              </w:rPr>
              <w:t>Economic and Legal Responsibilities</w:t>
            </w:r>
            <w:r>
              <w:rPr>
                <w:noProof/>
                <w:webHidden/>
              </w:rPr>
              <w:tab/>
            </w:r>
            <w:r>
              <w:rPr>
                <w:noProof/>
                <w:webHidden/>
              </w:rPr>
              <w:fldChar w:fldCharType="begin"/>
            </w:r>
            <w:r>
              <w:rPr>
                <w:noProof/>
                <w:webHidden/>
              </w:rPr>
              <w:instrText xml:space="preserve"> PAGEREF _Toc214067401 \h </w:instrText>
            </w:r>
            <w:r>
              <w:rPr>
                <w:noProof/>
                <w:webHidden/>
              </w:rPr>
            </w:r>
            <w:r>
              <w:rPr>
                <w:noProof/>
                <w:webHidden/>
              </w:rPr>
              <w:fldChar w:fldCharType="separate"/>
            </w:r>
            <w:r>
              <w:rPr>
                <w:noProof/>
                <w:webHidden/>
              </w:rPr>
              <w:t>26</w:t>
            </w:r>
            <w:r>
              <w:rPr>
                <w:noProof/>
                <w:webHidden/>
              </w:rPr>
              <w:fldChar w:fldCharType="end"/>
            </w:r>
          </w:hyperlink>
        </w:p>
        <w:p w14:paraId="20F006B7" w14:textId="12C981B1" w:rsidR="00B73C63" w:rsidRDefault="00B73C63">
          <w:pPr>
            <w:pStyle w:val="TOC2"/>
            <w:tabs>
              <w:tab w:val="right" w:leader="dot" w:pos="9350"/>
            </w:tabs>
            <w:rPr>
              <w:rFonts w:eastAsiaTheme="minorEastAsia"/>
              <w:noProof/>
              <w:sz w:val="24"/>
              <w:szCs w:val="24"/>
              <w:lang w:val="bg-BG" w:eastAsia="bg-BG"/>
            </w:rPr>
          </w:pPr>
          <w:hyperlink w:anchor="_Toc214067402" w:history="1">
            <w:r w:rsidRPr="001362C4">
              <w:rPr>
                <w:rStyle w:val="Hyperlink"/>
                <w:rFonts w:ascii="Arial" w:hAnsi="Arial" w:cs="Arial"/>
                <w:noProof/>
              </w:rPr>
              <w:t>Ethical and Philanthropic Responsibilities</w:t>
            </w:r>
            <w:r>
              <w:rPr>
                <w:noProof/>
                <w:webHidden/>
              </w:rPr>
              <w:tab/>
            </w:r>
            <w:r>
              <w:rPr>
                <w:noProof/>
                <w:webHidden/>
              </w:rPr>
              <w:fldChar w:fldCharType="begin"/>
            </w:r>
            <w:r>
              <w:rPr>
                <w:noProof/>
                <w:webHidden/>
              </w:rPr>
              <w:instrText xml:space="preserve"> PAGEREF _Toc214067402 \h </w:instrText>
            </w:r>
            <w:r>
              <w:rPr>
                <w:noProof/>
                <w:webHidden/>
              </w:rPr>
            </w:r>
            <w:r>
              <w:rPr>
                <w:noProof/>
                <w:webHidden/>
              </w:rPr>
              <w:fldChar w:fldCharType="separate"/>
            </w:r>
            <w:r>
              <w:rPr>
                <w:noProof/>
                <w:webHidden/>
              </w:rPr>
              <w:t>26</w:t>
            </w:r>
            <w:r>
              <w:rPr>
                <w:noProof/>
                <w:webHidden/>
              </w:rPr>
              <w:fldChar w:fldCharType="end"/>
            </w:r>
          </w:hyperlink>
        </w:p>
        <w:p w14:paraId="333E6CAE" w14:textId="0D200FCE" w:rsidR="00B73C63" w:rsidRDefault="00B73C63">
          <w:pPr>
            <w:pStyle w:val="TOC2"/>
            <w:tabs>
              <w:tab w:val="right" w:leader="dot" w:pos="9350"/>
            </w:tabs>
            <w:rPr>
              <w:rFonts w:eastAsiaTheme="minorEastAsia"/>
              <w:noProof/>
              <w:sz w:val="24"/>
              <w:szCs w:val="24"/>
              <w:lang w:val="bg-BG" w:eastAsia="bg-BG"/>
            </w:rPr>
          </w:pPr>
          <w:hyperlink w:anchor="_Toc214067403" w:history="1">
            <w:r w:rsidRPr="001362C4">
              <w:rPr>
                <w:rStyle w:val="Hyperlink"/>
                <w:rFonts w:ascii="Arial" w:hAnsi="Arial" w:cs="Arial"/>
                <w:noProof/>
              </w:rPr>
              <w:t>Comparative Ethical Evaluation</w:t>
            </w:r>
            <w:r>
              <w:rPr>
                <w:noProof/>
                <w:webHidden/>
              </w:rPr>
              <w:tab/>
            </w:r>
            <w:r>
              <w:rPr>
                <w:noProof/>
                <w:webHidden/>
              </w:rPr>
              <w:fldChar w:fldCharType="begin"/>
            </w:r>
            <w:r>
              <w:rPr>
                <w:noProof/>
                <w:webHidden/>
              </w:rPr>
              <w:instrText xml:space="preserve"> PAGEREF _Toc214067403 \h </w:instrText>
            </w:r>
            <w:r>
              <w:rPr>
                <w:noProof/>
                <w:webHidden/>
              </w:rPr>
            </w:r>
            <w:r>
              <w:rPr>
                <w:noProof/>
                <w:webHidden/>
              </w:rPr>
              <w:fldChar w:fldCharType="separate"/>
            </w:r>
            <w:r>
              <w:rPr>
                <w:noProof/>
                <w:webHidden/>
              </w:rPr>
              <w:t>27</w:t>
            </w:r>
            <w:r>
              <w:rPr>
                <w:noProof/>
                <w:webHidden/>
              </w:rPr>
              <w:fldChar w:fldCharType="end"/>
            </w:r>
          </w:hyperlink>
        </w:p>
        <w:p w14:paraId="7CDC0CA6" w14:textId="1E9D9FCB" w:rsidR="00B73C63" w:rsidRDefault="00B73C63">
          <w:pPr>
            <w:pStyle w:val="TOC1"/>
            <w:tabs>
              <w:tab w:val="right" w:leader="dot" w:pos="9350"/>
            </w:tabs>
            <w:rPr>
              <w:rFonts w:eastAsiaTheme="minorEastAsia"/>
              <w:noProof/>
              <w:sz w:val="24"/>
              <w:szCs w:val="24"/>
              <w:lang w:val="bg-BG" w:eastAsia="bg-BG"/>
            </w:rPr>
          </w:pPr>
          <w:hyperlink w:anchor="_Toc214067404" w:history="1">
            <w:r w:rsidRPr="001362C4">
              <w:rPr>
                <w:rStyle w:val="Hyperlink"/>
                <w:rFonts w:ascii="Arial" w:hAnsi="Arial" w:cs="Arial"/>
                <w:noProof/>
              </w:rPr>
              <w:t>Recommendations and Conclusion</w:t>
            </w:r>
            <w:r>
              <w:rPr>
                <w:noProof/>
                <w:webHidden/>
              </w:rPr>
              <w:tab/>
            </w:r>
            <w:r>
              <w:rPr>
                <w:noProof/>
                <w:webHidden/>
              </w:rPr>
              <w:fldChar w:fldCharType="begin"/>
            </w:r>
            <w:r>
              <w:rPr>
                <w:noProof/>
                <w:webHidden/>
              </w:rPr>
              <w:instrText xml:space="preserve"> PAGEREF _Toc214067404 \h </w:instrText>
            </w:r>
            <w:r>
              <w:rPr>
                <w:noProof/>
                <w:webHidden/>
              </w:rPr>
            </w:r>
            <w:r>
              <w:rPr>
                <w:noProof/>
                <w:webHidden/>
              </w:rPr>
              <w:fldChar w:fldCharType="separate"/>
            </w:r>
            <w:r>
              <w:rPr>
                <w:noProof/>
                <w:webHidden/>
              </w:rPr>
              <w:t>28</w:t>
            </w:r>
            <w:r>
              <w:rPr>
                <w:noProof/>
                <w:webHidden/>
              </w:rPr>
              <w:fldChar w:fldCharType="end"/>
            </w:r>
          </w:hyperlink>
        </w:p>
        <w:p w14:paraId="20DE3A69" w14:textId="6C1C383E" w:rsidR="00B73C63" w:rsidRDefault="00B73C63">
          <w:pPr>
            <w:pStyle w:val="TOC1"/>
            <w:tabs>
              <w:tab w:val="right" w:leader="dot" w:pos="9350"/>
            </w:tabs>
            <w:rPr>
              <w:rFonts w:eastAsiaTheme="minorEastAsia"/>
              <w:noProof/>
              <w:sz w:val="24"/>
              <w:szCs w:val="24"/>
              <w:lang w:val="bg-BG" w:eastAsia="bg-BG"/>
            </w:rPr>
          </w:pPr>
          <w:hyperlink w:anchor="_Toc214067405" w:history="1">
            <w:r w:rsidRPr="001362C4">
              <w:rPr>
                <w:rStyle w:val="Hyperlink"/>
                <w:rFonts w:ascii="Arial" w:hAnsi="Arial" w:cs="Arial"/>
                <w:noProof/>
              </w:rPr>
              <w:t>List of References</w:t>
            </w:r>
            <w:r>
              <w:rPr>
                <w:noProof/>
                <w:webHidden/>
              </w:rPr>
              <w:tab/>
            </w:r>
            <w:r>
              <w:rPr>
                <w:noProof/>
                <w:webHidden/>
              </w:rPr>
              <w:fldChar w:fldCharType="begin"/>
            </w:r>
            <w:r>
              <w:rPr>
                <w:noProof/>
                <w:webHidden/>
              </w:rPr>
              <w:instrText xml:space="preserve"> PAGEREF _Toc214067405 \h </w:instrText>
            </w:r>
            <w:r>
              <w:rPr>
                <w:noProof/>
                <w:webHidden/>
              </w:rPr>
            </w:r>
            <w:r>
              <w:rPr>
                <w:noProof/>
                <w:webHidden/>
              </w:rPr>
              <w:fldChar w:fldCharType="separate"/>
            </w:r>
            <w:r>
              <w:rPr>
                <w:noProof/>
                <w:webHidden/>
              </w:rPr>
              <w:t>30</w:t>
            </w:r>
            <w:r>
              <w:rPr>
                <w:noProof/>
                <w:webHidden/>
              </w:rPr>
              <w:fldChar w:fldCharType="end"/>
            </w:r>
          </w:hyperlink>
        </w:p>
        <w:p w14:paraId="08739C99" w14:textId="40812E1C" w:rsidR="00B73C63" w:rsidRDefault="00B73C63">
          <w:pPr>
            <w:pStyle w:val="TOC1"/>
            <w:tabs>
              <w:tab w:val="right" w:leader="dot" w:pos="9350"/>
            </w:tabs>
            <w:rPr>
              <w:rFonts w:eastAsiaTheme="minorEastAsia"/>
              <w:noProof/>
              <w:sz w:val="24"/>
              <w:szCs w:val="24"/>
              <w:lang w:val="bg-BG" w:eastAsia="bg-BG"/>
            </w:rPr>
          </w:pPr>
          <w:hyperlink w:anchor="_Toc214067406" w:history="1">
            <w:r w:rsidRPr="001362C4">
              <w:rPr>
                <w:rStyle w:val="Hyperlink"/>
                <w:noProof/>
              </w:rPr>
              <w:t>Appendices</w:t>
            </w:r>
            <w:r>
              <w:rPr>
                <w:noProof/>
                <w:webHidden/>
              </w:rPr>
              <w:tab/>
            </w:r>
            <w:r>
              <w:rPr>
                <w:noProof/>
                <w:webHidden/>
              </w:rPr>
              <w:fldChar w:fldCharType="begin"/>
            </w:r>
            <w:r>
              <w:rPr>
                <w:noProof/>
                <w:webHidden/>
              </w:rPr>
              <w:instrText xml:space="preserve"> PAGEREF _Toc214067406 \h </w:instrText>
            </w:r>
            <w:r>
              <w:rPr>
                <w:noProof/>
                <w:webHidden/>
              </w:rPr>
            </w:r>
            <w:r>
              <w:rPr>
                <w:noProof/>
                <w:webHidden/>
              </w:rPr>
              <w:fldChar w:fldCharType="separate"/>
            </w:r>
            <w:r>
              <w:rPr>
                <w:noProof/>
                <w:webHidden/>
              </w:rPr>
              <w:t>33</w:t>
            </w:r>
            <w:r>
              <w:rPr>
                <w:noProof/>
                <w:webHidden/>
              </w:rPr>
              <w:fldChar w:fldCharType="end"/>
            </w:r>
          </w:hyperlink>
        </w:p>
        <w:p w14:paraId="4A24C25C" w14:textId="564B53E0" w:rsidR="00091AF5" w:rsidRPr="00486094" w:rsidRDefault="00091AF5">
          <w:r w:rsidRPr="00486094">
            <w:rPr>
              <w:b/>
              <w:bCs/>
            </w:rPr>
            <w:fldChar w:fldCharType="end"/>
          </w:r>
        </w:p>
      </w:sdtContent>
    </w:sdt>
    <w:p w14:paraId="12D13CC1" w14:textId="77777777" w:rsidR="00091AF5" w:rsidRPr="00486094" w:rsidRDefault="00091AF5" w:rsidP="00091AF5"/>
    <w:p w14:paraId="2A33F43F" w14:textId="77777777" w:rsidR="00091AF5" w:rsidRPr="00486094" w:rsidRDefault="00091AF5" w:rsidP="00091AF5"/>
    <w:p w14:paraId="46D3C6EE" w14:textId="77777777" w:rsidR="00091AF5" w:rsidRPr="00486094" w:rsidRDefault="00091AF5" w:rsidP="00091AF5"/>
    <w:p w14:paraId="5C943EDD" w14:textId="77777777" w:rsidR="00091AF5" w:rsidRPr="00486094" w:rsidRDefault="00091AF5" w:rsidP="00091AF5"/>
    <w:p w14:paraId="31608791" w14:textId="77777777" w:rsidR="00091AF5" w:rsidRPr="00486094" w:rsidRDefault="00091AF5" w:rsidP="00091AF5"/>
    <w:p w14:paraId="576E5B88" w14:textId="77777777" w:rsidR="00091AF5" w:rsidRPr="00486094" w:rsidRDefault="00091AF5" w:rsidP="00091AF5"/>
    <w:p w14:paraId="6C8D98B7" w14:textId="77777777" w:rsidR="00091AF5" w:rsidRPr="00486094" w:rsidRDefault="00091AF5" w:rsidP="00091AF5"/>
    <w:p w14:paraId="55629709" w14:textId="77777777" w:rsidR="00091AF5" w:rsidRDefault="00091AF5" w:rsidP="00091AF5"/>
    <w:p w14:paraId="27D289AD" w14:textId="77777777" w:rsidR="00EE1E55" w:rsidRDefault="00EE1E55" w:rsidP="00091AF5"/>
    <w:p w14:paraId="211FB2A0" w14:textId="77777777" w:rsidR="00EE1E55" w:rsidRDefault="00EE1E55" w:rsidP="00091AF5"/>
    <w:p w14:paraId="3EB8CC5D" w14:textId="77777777" w:rsidR="00EE1E55" w:rsidRDefault="00EE1E55" w:rsidP="00091AF5"/>
    <w:p w14:paraId="33C7DCC2" w14:textId="77777777" w:rsidR="00EE1E55" w:rsidRDefault="00EE1E55" w:rsidP="00091AF5"/>
    <w:p w14:paraId="6CBB2E1E" w14:textId="77777777" w:rsidR="00EE1E55" w:rsidRDefault="00EE1E55" w:rsidP="00091AF5"/>
    <w:p w14:paraId="2A361661" w14:textId="77777777" w:rsidR="00EE1E55" w:rsidRDefault="00EE1E55" w:rsidP="00091AF5"/>
    <w:p w14:paraId="530ACBFD" w14:textId="77777777" w:rsidR="00EE1E55" w:rsidRDefault="00EE1E55" w:rsidP="00091AF5"/>
    <w:p w14:paraId="4EFFB384" w14:textId="77777777" w:rsidR="00EE1E55" w:rsidRDefault="00EE1E55" w:rsidP="00091AF5"/>
    <w:p w14:paraId="4C3E4E01" w14:textId="77777777" w:rsidR="00EE1E55" w:rsidRDefault="00EE1E55" w:rsidP="00091AF5"/>
    <w:p w14:paraId="27E07582" w14:textId="77777777" w:rsidR="00EE1E55" w:rsidRDefault="00EE1E55" w:rsidP="00091AF5"/>
    <w:p w14:paraId="1D3B5D83" w14:textId="77777777" w:rsidR="00EE1E55" w:rsidRDefault="00EE1E55" w:rsidP="00091AF5"/>
    <w:p w14:paraId="0F0A69F4" w14:textId="77777777" w:rsidR="00EE1E55" w:rsidRDefault="00EE1E55" w:rsidP="00091AF5"/>
    <w:p w14:paraId="3B5091D0" w14:textId="77777777" w:rsidR="00EE1E55" w:rsidRDefault="00EE1E55" w:rsidP="00091AF5"/>
    <w:p w14:paraId="269BCE5D" w14:textId="77777777" w:rsidR="00603AA6" w:rsidRDefault="00603AA6" w:rsidP="00091AF5"/>
    <w:p w14:paraId="7468EE17" w14:textId="77777777" w:rsidR="00603AA6" w:rsidRDefault="00603AA6" w:rsidP="00091AF5"/>
    <w:p w14:paraId="41E4552A" w14:textId="77777777" w:rsidR="00EE1E55" w:rsidRDefault="00EE1E55" w:rsidP="00091AF5"/>
    <w:p w14:paraId="31617334" w14:textId="77777777" w:rsidR="00EE1E55" w:rsidRPr="00486094" w:rsidRDefault="00EE1E55" w:rsidP="00091AF5"/>
    <w:p w14:paraId="4B76E099" w14:textId="77777777" w:rsidR="00091AF5" w:rsidRPr="00486094" w:rsidRDefault="00091AF5" w:rsidP="00247CF3">
      <w:pPr>
        <w:pStyle w:val="Heading1"/>
        <w:shd w:val="clear" w:color="auto" w:fill="295541"/>
        <w:rPr>
          <w:rFonts w:ascii="Arial" w:hAnsi="Arial" w:cs="Arial"/>
          <w:color w:val="F2FCF3"/>
        </w:rPr>
      </w:pPr>
      <w:bookmarkStart w:id="8" w:name="_Toc214067376"/>
      <w:r w:rsidRPr="00486094">
        <w:rPr>
          <w:rFonts w:ascii="Arial" w:hAnsi="Arial" w:cs="Arial"/>
          <w:color w:val="F2FCF3"/>
        </w:rPr>
        <w:lastRenderedPageBreak/>
        <w:t>Introduction</w:t>
      </w:r>
      <w:bookmarkEnd w:id="8"/>
    </w:p>
    <w:p w14:paraId="3927F5C2" w14:textId="77777777" w:rsidR="00091AF5" w:rsidRPr="00486094" w:rsidRDefault="00091AF5" w:rsidP="00091AF5"/>
    <w:p w14:paraId="57AFF323" w14:textId="0F8732A1" w:rsidR="00787981" w:rsidRPr="00486094" w:rsidRDefault="00787981" w:rsidP="00787981">
      <w:pPr>
        <w:spacing w:line="360" w:lineRule="auto"/>
        <w:rPr>
          <w:rFonts w:ascii="Arial" w:hAnsi="Arial" w:cs="Arial"/>
          <w:color w:val="4E3B22"/>
        </w:rPr>
      </w:pPr>
      <w:r w:rsidRPr="00486094">
        <w:rPr>
          <w:rFonts w:ascii="Arial" w:hAnsi="Arial" w:cs="Arial"/>
          <w:color w:val="4E3B22"/>
        </w:rPr>
        <w:t xml:space="preserve">International marketing increasingly requires global brands to balance standardisation with local responsiveness. Starbucks Corporation offers a leading example of this dynamic, often described as “glocalisation” </w:t>
      </w:r>
      <w:r w:rsidR="00D34A7B" w:rsidRPr="00486094">
        <w:rPr>
          <w:rFonts w:ascii="Arial" w:hAnsi="Arial" w:cs="Arial"/>
          <w:color w:val="4E3B22"/>
        </w:rPr>
        <w:t>-</w:t>
      </w:r>
      <w:r w:rsidRPr="00486094">
        <w:rPr>
          <w:rFonts w:ascii="Arial" w:hAnsi="Arial" w:cs="Arial"/>
          <w:color w:val="4E3B22"/>
        </w:rPr>
        <w:t xml:space="preserve"> the combination of global brand coherence and market-specific adaptation. Yet its international success depends not on scale alone, but on its capacity to interpret and integrate diverse cultural, </w:t>
      </w:r>
      <w:r w:rsidR="00710642" w:rsidRPr="00486094">
        <w:rPr>
          <w:rFonts w:ascii="Arial" w:hAnsi="Arial" w:cs="Arial"/>
          <w:color w:val="4E3B22"/>
        </w:rPr>
        <w:t>economic,</w:t>
      </w:r>
      <w:r w:rsidRPr="00486094">
        <w:rPr>
          <w:rFonts w:ascii="Arial" w:hAnsi="Arial" w:cs="Arial"/>
          <w:color w:val="4E3B22"/>
        </w:rPr>
        <w:t xml:space="preserve"> and social contexts (Cateora et al., 2023).</w:t>
      </w:r>
    </w:p>
    <w:p w14:paraId="2E3EABD6" w14:textId="0A2A94EB" w:rsidR="00787981" w:rsidRPr="00486094" w:rsidRDefault="00787981" w:rsidP="00787981">
      <w:pPr>
        <w:spacing w:line="360" w:lineRule="auto"/>
        <w:rPr>
          <w:rFonts w:ascii="Arial" w:hAnsi="Arial" w:cs="Arial"/>
          <w:color w:val="4E3B22"/>
        </w:rPr>
      </w:pPr>
      <w:r w:rsidRPr="00486094">
        <w:rPr>
          <w:rFonts w:ascii="Arial" w:hAnsi="Arial" w:cs="Arial"/>
          <w:color w:val="4E3B22"/>
        </w:rPr>
        <w:t xml:space="preserve">This report critically compares Starbucks’ international marketing strategies in the United States and India </w:t>
      </w:r>
      <w:r w:rsidR="00D34A7B" w:rsidRPr="00486094">
        <w:rPr>
          <w:rFonts w:ascii="Arial" w:hAnsi="Arial" w:cs="Arial"/>
          <w:color w:val="4E3B22"/>
        </w:rPr>
        <w:t>-</w:t>
      </w:r>
      <w:r w:rsidRPr="00486094">
        <w:rPr>
          <w:rFonts w:ascii="Arial" w:hAnsi="Arial" w:cs="Arial"/>
          <w:color w:val="4E3B22"/>
        </w:rPr>
        <w:t xml:space="preserve"> two markets representing </w:t>
      </w:r>
      <w:r w:rsidR="00710642" w:rsidRPr="00486094">
        <w:rPr>
          <w:rFonts w:ascii="Arial" w:hAnsi="Arial" w:cs="Arial"/>
          <w:color w:val="4E3B22"/>
        </w:rPr>
        <w:t>various stages</w:t>
      </w:r>
      <w:r w:rsidRPr="00486094">
        <w:rPr>
          <w:rFonts w:ascii="Arial" w:hAnsi="Arial" w:cs="Arial"/>
          <w:color w:val="4E3B22"/>
        </w:rPr>
        <w:t xml:space="preserve"> of maturity, consumer </w:t>
      </w:r>
      <w:r w:rsidR="00710642" w:rsidRPr="00486094">
        <w:rPr>
          <w:rFonts w:ascii="Arial" w:hAnsi="Arial" w:cs="Arial"/>
          <w:color w:val="4E3B22"/>
        </w:rPr>
        <w:t>behaviour,</w:t>
      </w:r>
      <w:r w:rsidRPr="00486094">
        <w:rPr>
          <w:rFonts w:ascii="Arial" w:hAnsi="Arial" w:cs="Arial"/>
          <w:color w:val="4E3B22"/>
        </w:rPr>
        <w:t xml:space="preserve"> and cultural meaning. The analysis examines how the company standardises its brand identity while adapting its product offering, </w:t>
      </w:r>
      <w:r w:rsidR="00710642" w:rsidRPr="00486094">
        <w:rPr>
          <w:rFonts w:ascii="Arial" w:hAnsi="Arial" w:cs="Arial"/>
          <w:color w:val="4E3B22"/>
        </w:rPr>
        <w:t>communications,</w:t>
      </w:r>
      <w:r w:rsidRPr="00486094">
        <w:rPr>
          <w:rFonts w:ascii="Arial" w:hAnsi="Arial" w:cs="Arial"/>
          <w:color w:val="4E3B22"/>
        </w:rPr>
        <w:t xml:space="preserve"> and service experience to local expectations. </w:t>
      </w:r>
    </w:p>
    <w:p w14:paraId="7670AD52" w14:textId="7485F665" w:rsidR="00CB13AF" w:rsidRPr="00486094" w:rsidRDefault="00787981" w:rsidP="00787981">
      <w:pPr>
        <w:spacing w:line="360" w:lineRule="auto"/>
        <w:rPr>
          <w:rFonts w:ascii="Arial" w:hAnsi="Arial" w:cs="Arial"/>
          <w:color w:val="4E3B22"/>
        </w:rPr>
      </w:pPr>
      <w:r w:rsidRPr="00486094">
        <w:rPr>
          <w:rFonts w:ascii="Arial" w:hAnsi="Arial" w:cs="Arial"/>
          <w:color w:val="4E3B22"/>
        </w:rPr>
        <w:t xml:space="preserve">Methodologically, the report adopts a comparative case-study approach, using secondary data from </w:t>
      </w:r>
      <w:r w:rsidR="00B73C63">
        <w:rPr>
          <w:rFonts w:ascii="Arial" w:hAnsi="Arial" w:cs="Arial"/>
          <w:color w:val="4E3B22"/>
        </w:rPr>
        <w:t>Starbucks'</w:t>
      </w:r>
      <w:r w:rsidRPr="00486094">
        <w:rPr>
          <w:rFonts w:ascii="Arial" w:hAnsi="Arial" w:cs="Arial"/>
          <w:color w:val="4E3B22"/>
        </w:rPr>
        <w:t xml:space="preserve"> Annual Report (2024), MarketLine industry profiles, Statista, Mintel insights, and independent media sources</w:t>
      </w:r>
      <w:r w:rsidR="00B73C63">
        <w:rPr>
          <w:rFonts w:ascii="Arial" w:hAnsi="Arial" w:cs="Arial"/>
          <w:color w:val="4E3B22"/>
        </w:rPr>
        <w:t>.</w:t>
      </w:r>
      <w:r w:rsidR="00A66CE9" w:rsidRPr="00A66CE9">
        <w:t xml:space="preserve"> </w:t>
      </w:r>
      <w:r w:rsidR="00A66CE9" w:rsidRPr="00A66CE9">
        <w:rPr>
          <w:rFonts w:ascii="Arial" w:hAnsi="Arial" w:cs="Arial"/>
          <w:color w:val="4E3B22"/>
        </w:rPr>
        <w:t>Academic foundations include Hollensen (2020), Kotler and Keller (2022) and Cateora et al. (2023).</w:t>
      </w:r>
      <w:r w:rsidR="00A66CE9">
        <w:rPr>
          <w:rFonts w:ascii="Arial" w:hAnsi="Arial" w:cs="Arial"/>
          <w:color w:val="4E3B22"/>
        </w:rPr>
        <w:t xml:space="preserve"> </w:t>
      </w:r>
    </w:p>
    <w:p w14:paraId="4E31F6AC" w14:textId="43963138" w:rsidR="00787981" w:rsidRPr="00486094" w:rsidRDefault="00787981" w:rsidP="00D34A7B">
      <w:pPr>
        <w:spacing w:line="360" w:lineRule="auto"/>
        <w:rPr>
          <w:rFonts w:ascii="Arial" w:hAnsi="Arial" w:cs="Arial"/>
          <w:color w:val="4E3B22"/>
        </w:rPr>
      </w:pPr>
      <w:r w:rsidRPr="00486094">
        <w:rPr>
          <w:rFonts w:ascii="Arial" w:hAnsi="Arial" w:cs="Arial"/>
          <w:color w:val="4E3B22"/>
        </w:rPr>
        <w:t>The structure proceeds as follows: a concise brand overview; PESTLE comparison of the U.S. and India; cultural analysis; STP comparison; evaluation of the 7Ps; assessment of marketing performance and ethics; strategic recommendations for both markets.</w:t>
      </w:r>
    </w:p>
    <w:p w14:paraId="25083C40" w14:textId="668DE24D" w:rsidR="00091AF5" w:rsidRPr="00486094" w:rsidRDefault="00787981" w:rsidP="00787981">
      <w:pPr>
        <w:spacing w:line="360" w:lineRule="auto"/>
        <w:rPr>
          <w:rFonts w:ascii="Arial" w:hAnsi="Arial" w:cs="Arial"/>
          <w:color w:val="4E3B22"/>
        </w:rPr>
      </w:pPr>
      <w:r w:rsidRPr="00486094">
        <w:rPr>
          <w:rFonts w:ascii="Arial" w:hAnsi="Arial" w:cs="Arial"/>
          <w:color w:val="4E3B22"/>
        </w:rPr>
        <w:t xml:space="preserve">Overall, the report argues that Starbucks succeeds internationally through a hybrid strategy: a globally standardised brand ethos supported by deep cultural, </w:t>
      </w:r>
      <w:r w:rsidR="00710642" w:rsidRPr="00486094">
        <w:rPr>
          <w:rFonts w:ascii="Arial" w:hAnsi="Arial" w:cs="Arial"/>
          <w:color w:val="4E3B22"/>
        </w:rPr>
        <w:t>social,</w:t>
      </w:r>
      <w:r w:rsidRPr="00486094">
        <w:rPr>
          <w:rFonts w:ascii="Arial" w:hAnsi="Arial" w:cs="Arial"/>
          <w:color w:val="4E3B22"/>
        </w:rPr>
        <w:t xml:space="preserve"> and ethical adaptation. This dual approach enables the firm to consolidate performance in mature markets while accelerating growth in emerging ones.</w:t>
      </w:r>
    </w:p>
    <w:p w14:paraId="110735B2" w14:textId="77777777" w:rsidR="00D34A7B" w:rsidRPr="00486094" w:rsidRDefault="00D34A7B" w:rsidP="00787981">
      <w:pPr>
        <w:spacing w:line="360" w:lineRule="auto"/>
        <w:rPr>
          <w:rFonts w:ascii="Arial" w:hAnsi="Arial" w:cs="Arial"/>
          <w:color w:val="4E3B22"/>
        </w:rPr>
      </w:pPr>
    </w:p>
    <w:p w14:paraId="0AF40491" w14:textId="77777777" w:rsidR="00D34A7B" w:rsidRPr="00486094" w:rsidRDefault="00D34A7B" w:rsidP="00787981">
      <w:pPr>
        <w:spacing w:line="360" w:lineRule="auto"/>
        <w:rPr>
          <w:rFonts w:ascii="Arial" w:hAnsi="Arial" w:cs="Arial"/>
          <w:color w:val="4E3B22"/>
        </w:rPr>
      </w:pPr>
    </w:p>
    <w:p w14:paraId="279F8D74" w14:textId="77777777" w:rsidR="00D34A7B" w:rsidRPr="00486094" w:rsidRDefault="00D34A7B" w:rsidP="00787981">
      <w:pPr>
        <w:spacing w:line="360" w:lineRule="auto"/>
        <w:rPr>
          <w:rFonts w:ascii="Arial" w:hAnsi="Arial" w:cs="Arial"/>
          <w:color w:val="4E3B22"/>
        </w:rPr>
      </w:pPr>
    </w:p>
    <w:p w14:paraId="426432FC" w14:textId="77777777" w:rsidR="00D34A7B" w:rsidRDefault="00D34A7B" w:rsidP="00787981">
      <w:pPr>
        <w:spacing w:line="360" w:lineRule="auto"/>
        <w:rPr>
          <w:color w:val="4E3B22"/>
        </w:rPr>
      </w:pPr>
    </w:p>
    <w:p w14:paraId="39A58939" w14:textId="77777777" w:rsidR="001C11A8" w:rsidRDefault="001C11A8" w:rsidP="00787981">
      <w:pPr>
        <w:spacing w:line="360" w:lineRule="auto"/>
        <w:rPr>
          <w:color w:val="4E3B22"/>
        </w:rPr>
      </w:pPr>
    </w:p>
    <w:p w14:paraId="3C7CD6BF" w14:textId="77777777" w:rsidR="00A37C6C" w:rsidRPr="00486094" w:rsidRDefault="00A37C6C" w:rsidP="00787981">
      <w:pPr>
        <w:spacing w:line="360" w:lineRule="auto"/>
        <w:rPr>
          <w:color w:val="4E3B22"/>
        </w:rPr>
      </w:pPr>
    </w:p>
    <w:p w14:paraId="6E2DDE64" w14:textId="77777777" w:rsidR="00091AF5" w:rsidRPr="00486094" w:rsidRDefault="00091AF5" w:rsidP="00247CF3">
      <w:pPr>
        <w:pStyle w:val="Heading1"/>
        <w:shd w:val="clear" w:color="auto" w:fill="295541"/>
        <w:rPr>
          <w:rFonts w:ascii="Arial" w:hAnsi="Arial" w:cs="Arial"/>
          <w:color w:val="F2FCF3"/>
        </w:rPr>
      </w:pPr>
      <w:bookmarkStart w:id="9" w:name="_Toc214067377"/>
      <w:r w:rsidRPr="00486094">
        <w:rPr>
          <w:rFonts w:ascii="Arial" w:hAnsi="Arial" w:cs="Arial"/>
          <w:color w:val="F2FCF3"/>
        </w:rPr>
        <w:lastRenderedPageBreak/>
        <w:t>Brand Overview (Starbucks Corporation)</w:t>
      </w:r>
      <w:bookmarkEnd w:id="9"/>
    </w:p>
    <w:p w14:paraId="0F7D1F59" w14:textId="77777777" w:rsidR="009D024A" w:rsidRPr="00486094" w:rsidRDefault="009D024A" w:rsidP="00091AF5"/>
    <w:p w14:paraId="4C4D1F8F" w14:textId="325E9A5D" w:rsidR="00333509" w:rsidRPr="00486094" w:rsidRDefault="00333509" w:rsidP="00333509">
      <w:pPr>
        <w:spacing w:line="360" w:lineRule="auto"/>
        <w:rPr>
          <w:rFonts w:ascii="Arial" w:hAnsi="Arial" w:cs="Arial"/>
          <w:color w:val="4E3B22"/>
        </w:rPr>
      </w:pPr>
      <w:r w:rsidRPr="00486094">
        <w:rPr>
          <w:rFonts w:ascii="Arial" w:hAnsi="Arial" w:cs="Arial"/>
          <w:color w:val="4E3B22"/>
        </w:rPr>
        <w:t>Starbucks Corporation is a global leader in the premium coffeehouse segment, widely recognised as a pioneer of modern caf</w:t>
      </w:r>
      <w:r w:rsidR="00B73C63">
        <w:rPr>
          <w:rFonts w:ascii="Arial" w:hAnsi="Arial" w:cs="Arial"/>
          <w:color w:val="4E3B22"/>
        </w:rPr>
        <w:t>e</w:t>
      </w:r>
      <w:r w:rsidRPr="00486094">
        <w:rPr>
          <w:rFonts w:ascii="Arial" w:hAnsi="Arial" w:cs="Arial"/>
          <w:color w:val="4E3B22"/>
        </w:rPr>
        <w:t xml:space="preserve"> culture and experiential retailing. Founded in 1971 in Seattle, Washington, the company has evolved from a local coffee bean store into a multinational brand operating in over </w:t>
      </w:r>
      <w:r w:rsidR="00710642" w:rsidRPr="00486094">
        <w:rPr>
          <w:rFonts w:ascii="Arial" w:hAnsi="Arial" w:cs="Arial"/>
          <w:color w:val="4E3B22"/>
        </w:rPr>
        <w:t>eighty</w:t>
      </w:r>
      <w:r w:rsidRPr="00486094">
        <w:rPr>
          <w:rFonts w:ascii="Arial" w:hAnsi="Arial" w:cs="Arial"/>
          <w:color w:val="4E3B22"/>
        </w:rPr>
        <w:t xml:space="preserve"> markets, with more than 38,000 retail locations worldwide as of 2024 (Starbucks Corporation, 2024). Its mission - “to inspire and nurture the human spirit - one person, one cup, and one neighbourhood at a time” - reflects a dual strategic focus on product excellence and emotional brand connection.</w:t>
      </w:r>
    </w:p>
    <w:p w14:paraId="062BFDF9" w14:textId="6A082939" w:rsidR="00333509" w:rsidRPr="00486094" w:rsidRDefault="00333509" w:rsidP="00333509">
      <w:pPr>
        <w:spacing w:line="360" w:lineRule="auto"/>
        <w:rPr>
          <w:rFonts w:ascii="Arial" w:hAnsi="Arial" w:cs="Arial"/>
          <w:color w:val="4E3B22"/>
        </w:rPr>
      </w:pPr>
      <w:r w:rsidRPr="00486094">
        <w:rPr>
          <w:rFonts w:ascii="Arial" w:hAnsi="Arial" w:cs="Arial"/>
          <w:color w:val="4E3B22"/>
        </w:rPr>
        <w:t>Central to Starbucks’ identity is the concept of the “Third Place”: a social environment positioned between home and work, designed to cultivate community and belonging. This experiential positioning differentiates the brand from more transactional competitors such as McDonald’s or Costa Coffee (Schultz and Yang, 1997) and aligns closely with Kotler’s (2022) framework of experiential marketing. Starbucks operationalises this ethos through a consistent visual identity</w:t>
      </w:r>
      <w:r w:rsidR="003F7B21">
        <w:rPr>
          <w:rFonts w:ascii="Arial" w:hAnsi="Arial" w:cs="Arial"/>
          <w:color w:val="4E3B22"/>
        </w:rPr>
        <w:t xml:space="preserve"> and </w:t>
      </w:r>
      <w:r w:rsidRPr="00486094">
        <w:rPr>
          <w:rFonts w:ascii="Arial" w:hAnsi="Arial" w:cs="Arial"/>
          <w:color w:val="4E3B22"/>
        </w:rPr>
        <w:t>frictionless service encounters.</w:t>
      </w:r>
    </w:p>
    <w:p w14:paraId="7E87D9D6" w14:textId="7EFD1C40" w:rsidR="00333509" w:rsidRPr="00486094" w:rsidRDefault="00333509" w:rsidP="00333509">
      <w:pPr>
        <w:spacing w:line="360" w:lineRule="auto"/>
        <w:rPr>
          <w:rFonts w:ascii="Arial" w:hAnsi="Arial" w:cs="Arial"/>
          <w:color w:val="4E3B22"/>
        </w:rPr>
      </w:pPr>
      <w:r w:rsidRPr="00486094">
        <w:rPr>
          <w:rFonts w:ascii="Arial" w:hAnsi="Arial" w:cs="Arial"/>
          <w:color w:val="4E3B22"/>
        </w:rPr>
        <w:t>From an internationalisation perspective, Starbucks primarily follows Ansoff’s Market Development pathway, expanding into new geographic territories through wholly owned subsidiaries or collaborative arrangements. The company’s entry into India in 2012 through a 50:50 joint venture with Tata Consumer Products exemplifies this approach. The alliance combined Starbucks’ global brand equity with Tata’s local regulatory expertise, supply chain capabilities, and cultural legitimacy (Tata Starbucks, 2024). This synergy corresponds with Dunning’s (1993) OLI paradigm: Starbucks’ global ownership advantages are strengthened by India-specific location advantages and partnership-derived internalisation benefits.</w:t>
      </w:r>
    </w:p>
    <w:p w14:paraId="36A6DBA5" w14:textId="57E27AB3" w:rsidR="00333509" w:rsidRPr="00486094" w:rsidRDefault="00333509" w:rsidP="00333509">
      <w:pPr>
        <w:spacing w:line="360" w:lineRule="auto"/>
        <w:rPr>
          <w:rFonts w:ascii="Arial" w:hAnsi="Arial" w:cs="Arial"/>
          <w:color w:val="4E3B22"/>
        </w:rPr>
      </w:pPr>
      <w:r w:rsidRPr="00486094">
        <w:rPr>
          <w:rFonts w:ascii="Arial" w:hAnsi="Arial" w:cs="Arial"/>
          <w:color w:val="4E3B22"/>
        </w:rPr>
        <w:t>The United States remains the firm’s most mature and strategically stable market, accounting for approximately 70% of global revenues. Growth, however, has slowed to around 2% annually due to market saturation and competitive intensity (Market Line, 2024). Starbucks retains dominance through its highly sophisticated digital ecosystem: the Starbucks Rewards programme has over 34 million active members and exemplifies Teece’s (2007) dynamic capabilities framework - the organisation’s ability to sense consumer shifts, seize opportunities through personalisation, and continuously reconfigure its service processes through AI-enabled insights.</w:t>
      </w:r>
    </w:p>
    <w:p w14:paraId="0682A4CB" w14:textId="7AE76F44" w:rsidR="00333509" w:rsidRPr="00486094" w:rsidRDefault="00333509" w:rsidP="00333509">
      <w:pPr>
        <w:spacing w:line="360" w:lineRule="auto"/>
        <w:rPr>
          <w:rFonts w:ascii="Arial" w:hAnsi="Arial" w:cs="Arial"/>
          <w:color w:val="4E3B22"/>
        </w:rPr>
      </w:pPr>
      <w:r w:rsidRPr="00486094">
        <w:rPr>
          <w:rFonts w:ascii="Arial" w:hAnsi="Arial" w:cs="Arial"/>
          <w:color w:val="4E3B22"/>
        </w:rPr>
        <w:lastRenderedPageBreak/>
        <w:t>India represents a contrasting environment: a high-growth, culturally complex, and increasingly aspirational market. Starbucks’ strategy here depends on deep localisation - from regionally relevant food (e.g., Chicken Kathi Roll) to beverages tailored to Indian taste profiles (Masala Chai), to value-oriented pricing approaches. The company also embeds socio-cultural values through inclusivity initiatives, such as women-operated stores and safety provisions for female employees (Hindustan Times, 2024). These strategic adaptations align partially with Hofstede’s (2001) insights into collectivist, high-context cultures but are more fully captured by Visconti et al.’s (2020) cultural branding theory, which emphasises local meaning-making, ritual integration, and symbolic consumption.</w:t>
      </w:r>
    </w:p>
    <w:p w14:paraId="4BB8869D" w14:textId="49A5995B" w:rsidR="00333509" w:rsidRDefault="00333509" w:rsidP="00333509">
      <w:pPr>
        <w:spacing w:line="360" w:lineRule="auto"/>
        <w:rPr>
          <w:rFonts w:ascii="Arial" w:hAnsi="Arial" w:cs="Arial"/>
          <w:color w:val="4E3B22"/>
        </w:rPr>
      </w:pPr>
      <w:r w:rsidRPr="00486094">
        <w:rPr>
          <w:rFonts w:ascii="Arial" w:hAnsi="Arial" w:cs="Arial"/>
          <w:color w:val="4E3B22"/>
        </w:rPr>
        <w:t xml:space="preserve">Financially, the two markets occupy </w:t>
      </w:r>
      <w:r w:rsidR="009646E3" w:rsidRPr="00486094">
        <w:rPr>
          <w:rFonts w:ascii="Arial" w:hAnsi="Arial" w:cs="Arial"/>
          <w:color w:val="4E3B22"/>
        </w:rPr>
        <w:t>distinct positions</w:t>
      </w:r>
      <w:r w:rsidRPr="00486094">
        <w:rPr>
          <w:rFonts w:ascii="Arial" w:hAnsi="Arial" w:cs="Arial"/>
          <w:color w:val="4E3B22"/>
        </w:rPr>
        <w:t xml:space="preserve"> on the global maturity curve. The U.S. delivers scale and operational efficiency, while India - though still a small revenue contributor - grows at an annual rate exceeding 20% and is expanding rapidly into tier-2 and tier-3 cities (Market Line, 2024). This strategic duality encapsulates the core challenge of global marketing management (Hollensen, 2020): consolidating performance in saturated markets while aggressively scaling in emerging ones.</w:t>
      </w:r>
    </w:p>
    <w:p w14:paraId="21D9B8E4" w14:textId="7B90BE33" w:rsidR="00A37C6C" w:rsidRPr="00486094" w:rsidRDefault="00A37C6C" w:rsidP="00333509">
      <w:pPr>
        <w:spacing w:line="360" w:lineRule="auto"/>
        <w:rPr>
          <w:rFonts w:ascii="Arial" w:hAnsi="Arial" w:cs="Arial"/>
          <w:color w:val="4E3B22"/>
        </w:rPr>
      </w:pPr>
      <w:r w:rsidRPr="00486094">
        <w:rPr>
          <w:noProof/>
          <w:color w:val="4E3B22"/>
        </w:rPr>
        <w:drawing>
          <wp:inline distT="0" distB="0" distL="0" distR="0" wp14:anchorId="7ADDADB9" wp14:editId="4E2D4528">
            <wp:extent cx="5943600" cy="3099435"/>
            <wp:effectExtent l="0" t="0" r="0" b="5715"/>
            <wp:docPr id="27905257" name="Picture 6" descr="Starbucks storefro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tarbucks storefront"/>
                    <pic:cNvPicPr>
                      <a:picLocks noChangeAspect="1" noChangeArrowheads="1"/>
                    </pic:cNvPicPr>
                  </pic:nvPicPr>
                  <pic:blipFill>
                    <a:blip r:embed="rId11" cstate="print">
                      <a:alphaModFix amt="77000"/>
                      <a:extLst>
                        <a:ext uri="{28A0092B-C50C-407E-A947-70E740481C1C}">
                          <a14:useLocalDpi xmlns:a14="http://schemas.microsoft.com/office/drawing/2010/main" val="0"/>
                        </a:ext>
                      </a:extLst>
                    </a:blip>
                    <a:srcRect/>
                    <a:stretch>
                      <a:fillRect/>
                    </a:stretch>
                  </pic:blipFill>
                  <pic:spPr bwMode="auto">
                    <a:xfrm>
                      <a:off x="0" y="0"/>
                      <a:ext cx="5943600" cy="3099435"/>
                    </a:xfrm>
                    <a:prstGeom prst="rect">
                      <a:avLst/>
                    </a:prstGeom>
                    <a:ln>
                      <a:noFill/>
                    </a:ln>
                    <a:effectLst>
                      <a:softEdge rad="112500"/>
                    </a:effectLst>
                  </pic:spPr>
                </pic:pic>
              </a:graphicData>
            </a:graphic>
          </wp:inline>
        </w:drawing>
      </w:r>
    </w:p>
    <w:p w14:paraId="6DDB1F78" w14:textId="77777777" w:rsidR="00A37C6C" w:rsidRPr="00486094" w:rsidRDefault="00A37C6C" w:rsidP="00A37C6C">
      <w:pPr>
        <w:spacing w:line="360" w:lineRule="auto"/>
        <w:rPr>
          <w:rFonts w:ascii="Arial" w:hAnsi="Arial" w:cs="Arial"/>
          <w:color w:val="4E3B22"/>
        </w:rPr>
      </w:pPr>
      <w:r w:rsidRPr="00486094">
        <w:rPr>
          <w:rFonts w:ascii="Arial" w:hAnsi="Arial" w:cs="Arial"/>
          <w:color w:val="4E3B22"/>
        </w:rPr>
        <w:t>Picture 1: Example of store design from the Starbucks official website</w:t>
      </w:r>
    </w:p>
    <w:p w14:paraId="4E3F4F89" w14:textId="2AB995BA" w:rsidR="00A37C6C" w:rsidRDefault="00A37C6C" w:rsidP="00333509">
      <w:pPr>
        <w:spacing w:line="360" w:lineRule="auto"/>
        <w:rPr>
          <w:rFonts w:ascii="Arial" w:hAnsi="Arial" w:cs="Arial"/>
          <w:color w:val="4E3B22"/>
        </w:rPr>
      </w:pPr>
      <w:r w:rsidRPr="00486094">
        <w:rPr>
          <w:rFonts w:ascii="Arial" w:hAnsi="Arial" w:cs="Arial"/>
          <w:color w:val="4E3B22"/>
        </w:rPr>
        <w:t>Source: Starbucks Corporation (2024)</w:t>
      </w:r>
    </w:p>
    <w:p w14:paraId="7D9C7EFB" w14:textId="19F45A77" w:rsidR="00091AF5" w:rsidRPr="00486094" w:rsidRDefault="00333509" w:rsidP="00333509">
      <w:pPr>
        <w:spacing w:line="360" w:lineRule="auto"/>
        <w:rPr>
          <w:color w:val="4E3B22"/>
        </w:rPr>
      </w:pPr>
      <w:r w:rsidRPr="00486094">
        <w:rPr>
          <w:rFonts w:ascii="Arial" w:hAnsi="Arial" w:cs="Arial"/>
          <w:color w:val="4E3B22"/>
        </w:rPr>
        <w:t xml:space="preserve">Overall, Starbucks exemplifies a refined application of glocalisation (Robertson, 1995): maintaining a coherent global identity while embedding cultural, ethical, and operational nuance </w:t>
      </w:r>
      <w:r w:rsidRPr="00486094">
        <w:rPr>
          <w:rFonts w:ascii="Arial" w:hAnsi="Arial" w:cs="Arial"/>
          <w:color w:val="4E3B22"/>
        </w:rPr>
        <w:lastRenderedPageBreak/>
        <w:t>into each local market. This balance between standardisation and adaptation provides the analytical foundation for the comparative discussion that follows, examining how macro-environmental forces, cultural differences, and marketing strategies shape the brand’s performance in the United States and India.</w:t>
      </w:r>
    </w:p>
    <w:p w14:paraId="2A10A5F5" w14:textId="77777777" w:rsidR="00091AF5" w:rsidRPr="00486094" w:rsidRDefault="00091AF5" w:rsidP="00091AF5"/>
    <w:p w14:paraId="3EC542F1" w14:textId="77777777" w:rsidR="00091AF5" w:rsidRPr="00486094" w:rsidRDefault="00091AF5" w:rsidP="00091AF5"/>
    <w:p w14:paraId="674D3077" w14:textId="77777777" w:rsidR="00091AF5" w:rsidRPr="00486094" w:rsidRDefault="00091AF5" w:rsidP="00091AF5"/>
    <w:p w14:paraId="6FF110E4" w14:textId="77777777" w:rsidR="00091AF5" w:rsidRPr="00486094" w:rsidRDefault="00091AF5" w:rsidP="00091AF5"/>
    <w:p w14:paraId="47EA7C30" w14:textId="77777777" w:rsidR="00091AF5" w:rsidRDefault="00091AF5" w:rsidP="00091AF5"/>
    <w:p w14:paraId="4499BA13" w14:textId="77777777" w:rsidR="00A37C6C" w:rsidRPr="00486094" w:rsidRDefault="00A37C6C" w:rsidP="00091AF5"/>
    <w:p w14:paraId="23EAAAB4" w14:textId="77777777" w:rsidR="00091AF5" w:rsidRDefault="00091AF5" w:rsidP="00091AF5"/>
    <w:p w14:paraId="1E784F15" w14:textId="77777777" w:rsidR="00A37C6C" w:rsidRDefault="00A37C6C" w:rsidP="00091AF5"/>
    <w:p w14:paraId="7BD16275" w14:textId="77777777" w:rsidR="00A37C6C" w:rsidRDefault="00A37C6C" w:rsidP="00091AF5"/>
    <w:p w14:paraId="7D6AB2A2" w14:textId="77777777" w:rsidR="00A37C6C" w:rsidRDefault="00A37C6C" w:rsidP="00091AF5"/>
    <w:p w14:paraId="31D573E0" w14:textId="77777777" w:rsidR="00A37C6C" w:rsidRDefault="00A37C6C" w:rsidP="00091AF5"/>
    <w:p w14:paraId="2D122F61" w14:textId="77777777" w:rsidR="00A37C6C" w:rsidRDefault="00A37C6C" w:rsidP="00091AF5"/>
    <w:p w14:paraId="222CD10A" w14:textId="77777777" w:rsidR="00A37C6C" w:rsidRDefault="00A37C6C" w:rsidP="00091AF5"/>
    <w:p w14:paraId="619BDE2A" w14:textId="77777777" w:rsidR="00A37C6C" w:rsidRDefault="00A37C6C" w:rsidP="00091AF5"/>
    <w:p w14:paraId="0F34AE15" w14:textId="77777777" w:rsidR="00A37C6C" w:rsidRDefault="00A37C6C" w:rsidP="00091AF5"/>
    <w:p w14:paraId="0FA5C45E" w14:textId="77777777" w:rsidR="00A37C6C" w:rsidRDefault="00A37C6C" w:rsidP="00091AF5"/>
    <w:p w14:paraId="1E5EF12B" w14:textId="77777777" w:rsidR="00A37C6C" w:rsidRDefault="00A37C6C" w:rsidP="00091AF5"/>
    <w:p w14:paraId="14A23F3C" w14:textId="77777777" w:rsidR="00A37C6C" w:rsidRDefault="00A37C6C" w:rsidP="00091AF5"/>
    <w:p w14:paraId="48FD418E" w14:textId="77777777" w:rsidR="00A37C6C" w:rsidRDefault="00A37C6C" w:rsidP="00091AF5"/>
    <w:p w14:paraId="260A3DDD" w14:textId="77777777" w:rsidR="00A37C6C" w:rsidRDefault="00A37C6C" w:rsidP="00091AF5"/>
    <w:p w14:paraId="3B0F829B" w14:textId="77777777" w:rsidR="00A37C6C" w:rsidRDefault="00A37C6C" w:rsidP="00091AF5"/>
    <w:p w14:paraId="21A3411C" w14:textId="77777777" w:rsidR="00A37C6C" w:rsidRPr="00486094" w:rsidRDefault="00A37C6C" w:rsidP="00091AF5"/>
    <w:p w14:paraId="2A059117" w14:textId="7A5D981B" w:rsidR="00091AF5" w:rsidRPr="00486094" w:rsidRDefault="00D54C5D" w:rsidP="00D54C5D">
      <w:pPr>
        <w:pStyle w:val="Heading1"/>
        <w:shd w:val="clear" w:color="auto" w:fill="295541"/>
        <w:rPr>
          <w:rFonts w:ascii="Arial" w:hAnsi="Arial" w:cs="Arial"/>
          <w:color w:val="F2FCF3"/>
        </w:rPr>
      </w:pPr>
      <w:bookmarkStart w:id="10" w:name="_Toc214067378"/>
      <w:r w:rsidRPr="00486094">
        <w:rPr>
          <w:rFonts w:ascii="Arial" w:hAnsi="Arial" w:cs="Arial"/>
          <w:color w:val="F2FCF3"/>
        </w:rPr>
        <w:lastRenderedPageBreak/>
        <w:t>PESTLE and Socio-Cultural Context Comparison (USA vs India)</w:t>
      </w:r>
      <w:bookmarkEnd w:id="10"/>
    </w:p>
    <w:p w14:paraId="6DC75959" w14:textId="77777777" w:rsidR="00091AF5" w:rsidRPr="00486094" w:rsidRDefault="00091AF5" w:rsidP="00091AF5"/>
    <w:p w14:paraId="6F5EF6F6" w14:textId="70215C3B" w:rsidR="00CB13AF" w:rsidRPr="00486094" w:rsidRDefault="00CB13AF" w:rsidP="00A75775">
      <w:pPr>
        <w:pStyle w:val="Heading2"/>
        <w:rPr>
          <w:rFonts w:ascii="Arial" w:hAnsi="Arial" w:cs="Arial"/>
          <w:color w:val="4E3B22"/>
        </w:rPr>
      </w:pPr>
      <w:bookmarkStart w:id="11" w:name="_Toc214067379"/>
      <w:r w:rsidRPr="00486094">
        <w:rPr>
          <w:rFonts w:ascii="Arial" w:hAnsi="Arial" w:cs="Arial"/>
          <w:color w:val="4E3B22"/>
        </w:rPr>
        <w:t>Overview</w:t>
      </w:r>
      <w:bookmarkEnd w:id="11"/>
    </w:p>
    <w:p w14:paraId="7A5DA03B" w14:textId="3A3DABC6" w:rsidR="00CB13AF" w:rsidRPr="00486094" w:rsidRDefault="00E11052" w:rsidP="00CB13AF">
      <w:pPr>
        <w:spacing w:line="360" w:lineRule="auto"/>
        <w:rPr>
          <w:rFonts w:ascii="Arial" w:hAnsi="Arial" w:cs="Arial"/>
          <w:color w:val="4E3B22"/>
        </w:rPr>
      </w:pPr>
      <w:r w:rsidRPr="00486094">
        <w:rPr>
          <w:rFonts w:ascii="Arial" w:hAnsi="Arial" w:cs="Arial"/>
          <w:color w:val="4E3B22"/>
        </w:rPr>
        <w:t>Starbucks operates within two fundamentally different macro- and socio-cultural environments: the United States-its saturated, technologically advanced home market-and India, an emerging, high-growth economy where caf</w:t>
      </w:r>
      <w:r w:rsidR="00B73C63">
        <w:rPr>
          <w:rFonts w:ascii="Arial" w:hAnsi="Arial" w:cs="Arial"/>
          <w:color w:val="4E3B22"/>
        </w:rPr>
        <w:t>e</w:t>
      </w:r>
      <w:r w:rsidRPr="00486094">
        <w:rPr>
          <w:rFonts w:ascii="Arial" w:hAnsi="Arial" w:cs="Arial"/>
          <w:color w:val="4E3B22"/>
        </w:rPr>
        <w:t xml:space="preserve"> culture is still developing. Understanding these contextual differences is essential, as global marketing theory consistently emphasises that environmental fit is a key driver of competitive advantage (Czinkota et al., 2022; Hollensen, 2020). While both countries support robust growth in the coffeehouse sector, their political, economic, and cultural foundations differ profoundly, requiring Starbucks to adopt a hybrid strategy of global standardisation and local adaptation (Levitt, 1983; Czinkota, Ronkainen and Cui, 2023). This section provides a comparative analysis using PESTLE and cultural frameworks, while critically evaluating the extent to which global standardisation or localisation is viable.</w:t>
      </w:r>
    </w:p>
    <w:p w14:paraId="0DE5A9BB" w14:textId="77777777" w:rsidR="00E11052" w:rsidRPr="00486094" w:rsidRDefault="00E11052" w:rsidP="00CB13AF">
      <w:pPr>
        <w:spacing w:line="360" w:lineRule="auto"/>
        <w:rPr>
          <w:rFonts w:ascii="Arial" w:hAnsi="Arial" w:cs="Arial"/>
          <w:color w:val="4E3B22"/>
        </w:rPr>
      </w:pPr>
    </w:p>
    <w:p w14:paraId="215A63FB" w14:textId="4F3DF5C5" w:rsidR="00CB13AF" w:rsidRPr="00486094" w:rsidRDefault="00A63277" w:rsidP="00A63277">
      <w:pPr>
        <w:pStyle w:val="Heading2"/>
        <w:rPr>
          <w:rFonts w:ascii="Arial" w:hAnsi="Arial" w:cs="Arial"/>
          <w:color w:val="4E3B22"/>
        </w:rPr>
      </w:pPr>
      <w:bookmarkStart w:id="12" w:name="_Toc214067380"/>
      <w:r w:rsidRPr="00486094">
        <w:rPr>
          <w:rFonts w:ascii="Arial" w:hAnsi="Arial" w:cs="Arial"/>
          <w:color w:val="4E3B22"/>
        </w:rPr>
        <w:t>Political and Legal Context</w:t>
      </w:r>
      <w:bookmarkEnd w:id="12"/>
    </w:p>
    <w:p w14:paraId="7D0E2481" w14:textId="11B8569F" w:rsidR="00CD6BD9" w:rsidRPr="00486094" w:rsidRDefault="00CD6BD9" w:rsidP="00CD6BD9">
      <w:pPr>
        <w:spacing w:line="360" w:lineRule="auto"/>
        <w:rPr>
          <w:rFonts w:ascii="Arial" w:hAnsi="Arial" w:cs="Arial"/>
          <w:color w:val="4E3B22"/>
        </w:rPr>
      </w:pPr>
      <w:r w:rsidRPr="00486094">
        <w:rPr>
          <w:rFonts w:ascii="Arial" w:hAnsi="Arial" w:cs="Arial"/>
          <w:color w:val="4E3B22"/>
        </w:rPr>
        <w:t xml:space="preserve">The United States provides a highly regulated but predictable business environment. </w:t>
      </w:r>
      <w:r w:rsidR="007A6A1B" w:rsidRPr="00486094">
        <w:rPr>
          <w:rFonts w:ascii="Arial" w:hAnsi="Arial" w:cs="Arial"/>
          <w:color w:val="4E3B22"/>
        </w:rPr>
        <w:t>The FDA governs food safety</w:t>
      </w:r>
      <w:r w:rsidRPr="00486094">
        <w:rPr>
          <w:rFonts w:ascii="Arial" w:hAnsi="Arial" w:cs="Arial"/>
          <w:color w:val="4E3B22"/>
        </w:rPr>
        <w:t>, labour standards are well institutionalised, and consumer protection regulations are strictly enforced (Starbucks Annual Report, 2024). This stability enables Starbucks to operate through wholly owned subsidiaries and maintain strong brand control. In contrast, India poses more structural barriers. Although recent FDI reforms have liberalised parts of the retail sector, foreign firms still face bureaucratic complexity and fragmented state-level regulations (Pegan et al., 2020).</w:t>
      </w:r>
    </w:p>
    <w:p w14:paraId="39DB90F4" w14:textId="1D7AF13A" w:rsidR="00CD6BD9" w:rsidRPr="00486094" w:rsidRDefault="00CD6BD9" w:rsidP="00CD6BD9">
      <w:pPr>
        <w:spacing w:line="360" w:lineRule="auto"/>
        <w:rPr>
          <w:rFonts w:ascii="Arial" w:hAnsi="Arial" w:cs="Arial"/>
          <w:color w:val="4E3B22"/>
        </w:rPr>
      </w:pPr>
      <w:r w:rsidRPr="00486094">
        <w:rPr>
          <w:rFonts w:ascii="Arial" w:hAnsi="Arial" w:cs="Arial"/>
          <w:color w:val="4E3B22"/>
        </w:rPr>
        <w:t>Starbucks’ decision to enter India through a 50:50 joint venture with Tata reflects Dunning’s OLI paradigm: local institutional knowledge (L) and established legitimacy through Tata reduce compliance risks. This partnership can be interpreted as a strategic necessity rather than a strategic choice</w:t>
      </w:r>
      <w:r w:rsidR="00A63277" w:rsidRPr="00486094">
        <w:rPr>
          <w:rFonts w:ascii="Arial" w:hAnsi="Arial" w:cs="Arial"/>
          <w:color w:val="4E3B22"/>
        </w:rPr>
        <w:t>-</w:t>
      </w:r>
      <w:r w:rsidRPr="00486094">
        <w:rPr>
          <w:rFonts w:ascii="Arial" w:hAnsi="Arial" w:cs="Arial"/>
          <w:color w:val="4E3B22"/>
        </w:rPr>
        <w:t>an argument supported by Czinkota et al. (2022), who note that emerging markets often require adaptive, partnership-based entry modes.</w:t>
      </w:r>
    </w:p>
    <w:p w14:paraId="71BE7F0B" w14:textId="3754ACD8" w:rsidR="00CB13AF" w:rsidRPr="00486094" w:rsidRDefault="00CD6BD9" w:rsidP="00CD6BD9">
      <w:pPr>
        <w:spacing w:line="360" w:lineRule="auto"/>
        <w:rPr>
          <w:rFonts w:ascii="Arial" w:hAnsi="Arial" w:cs="Arial"/>
          <w:color w:val="4E3B22"/>
        </w:rPr>
      </w:pPr>
      <w:r w:rsidRPr="00486094">
        <w:rPr>
          <w:rFonts w:ascii="Arial" w:hAnsi="Arial" w:cs="Arial"/>
          <w:color w:val="4E3B22"/>
        </w:rPr>
        <w:t xml:space="preserve">Levitt’s (1983) proposition of global standardisation clearly fails here. India’s regulatory heterogeneity necessitates localisation and partnership structures. Starbucks’ Indian expansion </w:t>
      </w:r>
      <w:r w:rsidRPr="00486094">
        <w:rPr>
          <w:rFonts w:ascii="Arial" w:hAnsi="Arial" w:cs="Arial"/>
          <w:color w:val="4E3B22"/>
        </w:rPr>
        <w:lastRenderedPageBreak/>
        <w:t>demonstrates that standardisation is constrained not only by cultural variables but by political and legal realities.</w:t>
      </w:r>
    </w:p>
    <w:p w14:paraId="5838EDC3" w14:textId="77777777" w:rsidR="00A63277" w:rsidRPr="00486094" w:rsidRDefault="00A63277" w:rsidP="00CD6BD9">
      <w:pPr>
        <w:spacing w:line="360" w:lineRule="auto"/>
        <w:rPr>
          <w:rFonts w:ascii="Arial" w:hAnsi="Arial" w:cs="Arial"/>
          <w:color w:val="4E3B22"/>
        </w:rPr>
      </w:pPr>
    </w:p>
    <w:p w14:paraId="57FFD5C9" w14:textId="53A22C20" w:rsidR="00A63277" w:rsidRPr="00486094" w:rsidRDefault="00A63277" w:rsidP="00A63277">
      <w:pPr>
        <w:pStyle w:val="Heading2"/>
        <w:rPr>
          <w:rFonts w:ascii="Arial" w:hAnsi="Arial" w:cs="Arial"/>
          <w:color w:val="4E3B22"/>
        </w:rPr>
      </w:pPr>
      <w:bookmarkStart w:id="13" w:name="_Toc214067381"/>
      <w:r w:rsidRPr="00486094">
        <w:rPr>
          <w:rFonts w:ascii="Arial" w:hAnsi="Arial" w:cs="Arial"/>
          <w:color w:val="4E3B22"/>
        </w:rPr>
        <w:t>Economic Context</w:t>
      </w:r>
      <w:bookmarkEnd w:id="13"/>
    </w:p>
    <w:p w14:paraId="1A3CCE47" w14:textId="49994117" w:rsidR="00A63277" w:rsidRPr="00486094" w:rsidRDefault="00A63277" w:rsidP="00A63277">
      <w:pPr>
        <w:spacing w:line="360" w:lineRule="auto"/>
        <w:rPr>
          <w:rFonts w:ascii="Arial" w:hAnsi="Arial" w:cs="Arial"/>
          <w:color w:val="4E3B22"/>
        </w:rPr>
      </w:pPr>
      <w:r w:rsidRPr="00486094">
        <w:rPr>
          <w:rFonts w:ascii="Arial" w:hAnsi="Arial" w:cs="Arial"/>
          <w:color w:val="4E3B22"/>
        </w:rPr>
        <w:t xml:space="preserve">The U.S. is a high-income economy (GDP per capita ~ $80,000), characterised by mature demand and intense competition (World Bank, 2024). Starbucks’ economic challenge in this market is saturation; growth is incremental, driven </w:t>
      </w:r>
      <w:r w:rsidR="007C79DC" w:rsidRPr="00486094">
        <w:rPr>
          <w:rFonts w:ascii="Arial" w:hAnsi="Arial" w:cs="Arial"/>
          <w:color w:val="4E3B22"/>
        </w:rPr>
        <w:t>by</w:t>
      </w:r>
      <w:r w:rsidRPr="00486094">
        <w:rPr>
          <w:rFonts w:ascii="Arial" w:hAnsi="Arial" w:cs="Arial"/>
          <w:color w:val="4E3B22"/>
        </w:rPr>
        <w:t xml:space="preserve"> loyalty programmes and product innovation.</w:t>
      </w:r>
    </w:p>
    <w:p w14:paraId="1C8B5C7F" w14:textId="1BBBCDD8" w:rsidR="00A63277" w:rsidRPr="00486094" w:rsidRDefault="00A63277" w:rsidP="00A63277">
      <w:pPr>
        <w:spacing w:line="360" w:lineRule="auto"/>
        <w:rPr>
          <w:rFonts w:ascii="Arial" w:hAnsi="Arial" w:cs="Arial"/>
          <w:color w:val="4E3B22"/>
        </w:rPr>
      </w:pPr>
      <w:r w:rsidRPr="00486094">
        <w:rPr>
          <w:rFonts w:ascii="Arial" w:hAnsi="Arial" w:cs="Arial"/>
          <w:color w:val="4E3B22"/>
        </w:rPr>
        <w:t xml:space="preserve">In India, GDP per capita remains far lower (~ $2,600), but the country benefits from rapid urbanisation and a burgeoning middle class. Starbucks India grew at over 20% CAGR between 2020-2024 and surpassed </w:t>
      </w:r>
      <w:r w:rsidR="00710642" w:rsidRPr="00486094">
        <w:rPr>
          <w:rFonts w:ascii="Arial" w:hAnsi="Arial" w:cs="Arial"/>
          <w:color w:val="4E3B22"/>
        </w:rPr>
        <w:t>four hundred</w:t>
      </w:r>
      <w:r w:rsidRPr="00486094">
        <w:rPr>
          <w:rFonts w:ascii="Arial" w:hAnsi="Arial" w:cs="Arial"/>
          <w:color w:val="4E3B22"/>
        </w:rPr>
        <w:t xml:space="preserve"> stores in 2024 (MarketLine, 2024). Price sensitivity, however, remains high.</w:t>
      </w:r>
    </w:p>
    <w:p w14:paraId="1C0F4059" w14:textId="5A4B9A63" w:rsidR="00A63277" w:rsidRPr="00486094" w:rsidRDefault="00A63277" w:rsidP="00A63277">
      <w:pPr>
        <w:spacing w:line="360" w:lineRule="auto"/>
        <w:rPr>
          <w:rFonts w:ascii="Arial" w:hAnsi="Arial" w:cs="Arial"/>
          <w:color w:val="4E3B22"/>
        </w:rPr>
      </w:pPr>
      <w:r w:rsidRPr="00486094">
        <w:rPr>
          <w:rFonts w:ascii="Arial" w:hAnsi="Arial" w:cs="Arial"/>
          <w:color w:val="4E3B22"/>
        </w:rPr>
        <w:t>Thus, Starbucks positions itself differently:</w:t>
      </w:r>
    </w:p>
    <w:p w14:paraId="5C4FCEF0" w14:textId="216EBE47" w:rsidR="00A63277" w:rsidRPr="00486094" w:rsidRDefault="00A63277" w:rsidP="00A63277">
      <w:pPr>
        <w:spacing w:line="360" w:lineRule="auto"/>
        <w:rPr>
          <w:rFonts w:ascii="Arial" w:hAnsi="Arial" w:cs="Arial"/>
          <w:color w:val="4E3B22"/>
        </w:rPr>
      </w:pPr>
      <w:r w:rsidRPr="00486094">
        <w:rPr>
          <w:rFonts w:ascii="Arial" w:hAnsi="Arial" w:cs="Arial"/>
          <w:color w:val="4E3B22"/>
        </w:rPr>
        <w:t>USA: Premium, experience-driven pricing.</w:t>
      </w:r>
    </w:p>
    <w:p w14:paraId="53F8B8EB" w14:textId="30867C5D" w:rsidR="00A63277" w:rsidRPr="00486094" w:rsidRDefault="00A63277" w:rsidP="00A63277">
      <w:pPr>
        <w:spacing w:line="360" w:lineRule="auto"/>
        <w:rPr>
          <w:rFonts w:ascii="Arial" w:hAnsi="Arial" w:cs="Arial"/>
          <w:color w:val="4E3B22"/>
        </w:rPr>
      </w:pPr>
      <w:r w:rsidRPr="00486094">
        <w:rPr>
          <w:rFonts w:ascii="Arial" w:hAnsi="Arial" w:cs="Arial"/>
          <w:color w:val="4E3B22"/>
        </w:rPr>
        <w:t>India: “Affordable luxury” with value bundles (e.g. Americano + snack combos) and regional pricing differentiation.</w:t>
      </w:r>
    </w:p>
    <w:p w14:paraId="1E8C9432" w14:textId="625A0E7B" w:rsidR="00FE75E4" w:rsidRDefault="00A63277" w:rsidP="00CD6BD9">
      <w:pPr>
        <w:spacing w:line="360" w:lineRule="auto"/>
        <w:rPr>
          <w:rFonts w:ascii="Arial" w:hAnsi="Arial" w:cs="Arial"/>
          <w:color w:val="4E3B22"/>
        </w:rPr>
      </w:pPr>
      <w:r w:rsidRPr="00486094">
        <w:rPr>
          <w:rFonts w:ascii="Arial" w:hAnsi="Arial" w:cs="Arial"/>
          <w:color w:val="4E3B22"/>
        </w:rPr>
        <w:t xml:space="preserve">While Starbucks maintains a premium identity globally, economic divergence forces adaptive pricing in India. This contradicts Levitt’s standardisation thesis and aligns with Czinkota’s view that purchasing power parity must drive international segmentation. It also illustrates that in emerging </w:t>
      </w:r>
      <w:r w:rsidR="009757E9" w:rsidRPr="00486094">
        <w:rPr>
          <w:rFonts w:ascii="Arial" w:hAnsi="Arial" w:cs="Arial"/>
          <w:color w:val="4E3B22"/>
        </w:rPr>
        <w:t>markets</w:t>
      </w:r>
      <w:r w:rsidR="009757E9">
        <w:rPr>
          <w:rFonts w:ascii="Arial" w:hAnsi="Arial" w:cs="Arial"/>
          <w:color w:val="4E3B22"/>
        </w:rPr>
        <w:t>;</w:t>
      </w:r>
      <w:r w:rsidRPr="00486094">
        <w:rPr>
          <w:rFonts w:ascii="Arial" w:hAnsi="Arial" w:cs="Arial"/>
          <w:color w:val="4E3B22"/>
        </w:rPr>
        <w:t xml:space="preserve"> psychological aspiration does not automatically override economic constraints.</w:t>
      </w:r>
    </w:p>
    <w:p w14:paraId="4B64FE40" w14:textId="77777777" w:rsidR="00FE75E4" w:rsidRPr="00486094" w:rsidRDefault="00FE75E4" w:rsidP="00CD6BD9">
      <w:pPr>
        <w:spacing w:line="360" w:lineRule="auto"/>
        <w:rPr>
          <w:rFonts w:ascii="Arial" w:hAnsi="Arial" w:cs="Arial"/>
          <w:color w:val="4E3B22"/>
        </w:rPr>
      </w:pPr>
    </w:p>
    <w:p w14:paraId="4B85878F" w14:textId="63F61619" w:rsidR="00CB13AF" w:rsidRPr="00FE75E4" w:rsidRDefault="00C60EB4" w:rsidP="00FE75E4">
      <w:pPr>
        <w:pStyle w:val="Heading2"/>
        <w:rPr>
          <w:rFonts w:ascii="Arial" w:hAnsi="Arial" w:cs="Arial"/>
          <w:color w:val="4E3B22"/>
        </w:rPr>
      </w:pPr>
      <w:bookmarkStart w:id="14" w:name="_Toc214067382"/>
      <w:r w:rsidRPr="00FE75E4">
        <w:rPr>
          <w:rFonts w:ascii="Arial" w:hAnsi="Arial" w:cs="Arial"/>
          <w:color w:val="4E3B22"/>
        </w:rPr>
        <w:t>Socio-Cultural Context</w:t>
      </w:r>
      <w:bookmarkEnd w:id="14"/>
    </w:p>
    <w:p w14:paraId="1B3369C0" w14:textId="77777777" w:rsidR="00965A74" w:rsidRPr="00E467BC" w:rsidRDefault="00965A74" w:rsidP="00E467BC">
      <w:pPr>
        <w:spacing w:line="360" w:lineRule="auto"/>
        <w:rPr>
          <w:rFonts w:ascii="Arial" w:hAnsi="Arial" w:cs="Arial"/>
          <w:color w:val="4E3B22"/>
        </w:rPr>
      </w:pPr>
      <w:r w:rsidRPr="00E467BC">
        <w:rPr>
          <w:rFonts w:ascii="Arial" w:hAnsi="Arial" w:cs="Arial"/>
          <w:color w:val="4E3B22"/>
        </w:rPr>
        <w:t>Culture represents one of the most significant differentiators in Starbucks’ international marketing strategy. While the United States reflects a low-context, individualistic society where consumers value speed, autonomy, and self-expression, India embodies a high-context, collectivist environment where consumption is more communal, symbolic, and status-driven (Hofstede, 2001; Hall, 1976).</w:t>
      </w:r>
    </w:p>
    <w:p w14:paraId="1CF19091" w14:textId="7C8A2010" w:rsidR="002552EC" w:rsidRPr="00486094" w:rsidRDefault="005D3175" w:rsidP="00E467BC">
      <w:pPr>
        <w:spacing w:line="360" w:lineRule="auto"/>
        <w:rPr>
          <w:rFonts w:ascii="Arial" w:hAnsi="Arial" w:cs="Arial"/>
          <w:color w:val="4E3B22"/>
        </w:rPr>
      </w:pPr>
      <w:r w:rsidRPr="00E467BC">
        <w:rPr>
          <w:rFonts w:ascii="Arial" w:hAnsi="Arial" w:cs="Arial"/>
          <w:color w:val="4E3B22"/>
        </w:rPr>
        <w:lastRenderedPageBreak/>
        <w:t>Hofstede’s dimensions offer a baseline for comparing cultural traits</w:t>
      </w:r>
      <w:r w:rsidRPr="00E467BC">
        <w:rPr>
          <w:rFonts w:ascii="Arial" w:hAnsi="Arial" w:cs="Arial"/>
          <w:color w:val="4E3B22"/>
        </w:rPr>
        <w:t xml:space="preserve"> (</w:t>
      </w:r>
      <w:r w:rsidRPr="00E467BC">
        <w:rPr>
          <w:rFonts w:ascii="Arial" w:hAnsi="Arial" w:cs="Arial"/>
          <w:b/>
          <w:bCs/>
          <w:color w:val="4E3B22"/>
        </w:rPr>
        <w:t>Table 1</w:t>
      </w:r>
      <w:r w:rsidRPr="00E467BC">
        <w:rPr>
          <w:rFonts w:ascii="Arial" w:hAnsi="Arial" w:cs="Arial"/>
          <w:color w:val="4E3B22"/>
        </w:rPr>
        <w:t>)</w:t>
      </w:r>
      <w:r w:rsidRPr="005D3175">
        <w:rPr>
          <w:rFonts w:ascii="Arial" w:hAnsi="Arial" w:cs="Arial"/>
          <w:color w:val="4E3B22"/>
        </w:rPr>
        <w:t>.</w:t>
      </w:r>
      <w:r w:rsidR="002552EC" w:rsidRPr="00B32E5E">
        <w:rPr>
          <w:rFonts w:ascii="Arial" w:hAnsi="Arial" w:cs="Arial"/>
          <w:noProof/>
          <w:color w:val="4E3B22"/>
        </w:rPr>
        <w:drawing>
          <wp:inline distT="0" distB="0" distL="0" distR="0" wp14:anchorId="310C4B95" wp14:editId="023F1141">
            <wp:extent cx="5943600" cy="2408555"/>
            <wp:effectExtent l="0" t="0" r="0" b="0"/>
            <wp:docPr id="229448971" name="Picture 1" descr="A chart of a starbu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48971" name="Picture 1" descr="A chart of a starbucks&#10;&#10;AI-generated content may be incorrect."/>
                    <pic:cNvPicPr/>
                  </pic:nvPicPr>
                  <pic:blipFill>
                    <a:blip r:embed="rId12"/>
                    <a:stretch>
                      <a:fillRect/>
                    </a:stretch>
                  </pic:blipFill>
                  <pic:spPr>
                    <a:xfrm>
                      <a:off x="0" y="0"/>
                      <a:ext cx="5943600" cy="2408555"/>
                    </a:xfrm>
                    <a:prstGeom prst="rect">
                      <a:avLst/>
                    </a:prstGeom>
                  </pic:spPr>
                </pic:pic>
              </a:graphicData>
            </a:graphic>
          </wp:inline>
        </w:drawing>
      </w:r>
    </w:p>
    <w:p w14:paraId="21E2AE8B" w14:textId="362A317A" w:rsidR="00C60EB4" w:rsidRPr="00486094" w:rsidRDefault="00C60EB4" w:rsidP="00C60EB4">
      <w:pPr>
        <w:spacing w:line="360" w:lineRule="auto"/>
        <w:rPr>
          <w:rFonts w:ascii="Arial" w:hAnsi="Arial" w:cs="Arial"/>
          <w:color w:val="4E3B22"/>
        </w:rPr>
      </w:pPr>
      <w:r w:rsidRPr="00486094">
        <w:rPr>
          <w:rFonts w:ascii="Arial" w:hAnsi="Arial" w:cs="Arial"/>
          <w:b/>
          <w:bCs/>
          <w:color w:val="4E3B22"/>
        </w:rPr>
        <w:t>Table 1:</w:t>
      </w:r>
      <w:r w:rsidRPr="00486094">
        <w:rPr>
          <w:rFonts w:ascii="Arial" w:hAnsi="Arial" w:cs="Arial"/>
          <w:color w:val="4E3B22"/>
        </w:rPr>
        <w:t xml:space="preserve"> Socio-cultural comparison between the USA and India using Hofstede’s </w:t>
      </w:r>
      <w:r w:rsidR="00933509" w:rsidRPr="00486094">
        <w:rPr>
          <w:rFonts w:ascii="Arial" w:hAnsi="Arial" w:cs="Arial"/>
          <w:color w:val="4E3B22"/>
        </w:rPr>
        <w:t>dimensions.</w:t>
      </w:r>
    </w:p>
    <w:p w14:paraId="367DA30A" w14:textId="0827D896" w:rsidR="00C60EB4" w:rsidRDefault="00C60EB4" w:rsidP="00C60EB4">
      <w:pPr>
        <w:spacing w:line="360" w:lineRule="auto"/>
        <w:rPr>
          <w:rFonts w:ascii="Arial" w:hAnsi="Arial" w:cs="Arial"/>
          <w:color w:val="4E3B22"/>
        </w:rPr>
      </w:pPr>
      <w:r w:rsidRPr="00486094">
        <w:rPr>
          <w:rFonts w:ascii="Arial" w:hAnsi="Arial" w:cs="Arial"/>
          <w:color w:val="4E3B22"/>
        </w:rPr>
        <w:t>Source: Adapted from Hofstede (2001), interpreted by the author.</w:t>
      </w:r>
    </w:p>
    <w:p w14:paraId="2C7009D9" w14:textId="77777777" w:rsidR="002552EC" w:rsidRPr="00486094" w:rsidRDefault="002552EC" w:rsidP="00C60EB4">
      <w:pPr>
        <w:spacing w:line="360" w:lineRule="auto"/>
        <w:rPr>
          <w:rFonts w:ascii="Arial" w:hAnsi="Arial" w:cs="Arial"/>
          <w:color w:val="4E3B22"/>
        </w:rPr>
      </w:pPr>
    </w:p>
    <w:p w14:paraId="7C83D76D" w14:textId="61EF5F01" w:rsidR="00085019" w:rsidRPr="00486094" w:rsidRDefault="00085019" w:rsidP="00085019">
      <w:pPr>
        <w:spacing w:line="360" w:lineRule="auto"/>
        <w:rPr>
          <w:rFonts w:ascii="Arial" w:hAnsi="Arial" w:cs="Arial"/>
          <w:color w:val="4E3B22"/>
        </w:rPr>
      </w:pPr>
      <w:r w:rsidRPr="00486094">
        <w:rPr>
          <w:rFonts w:ascii="Arial" w:hAnsi="Arial" w:cs="Arial"/>
          <w:color w:val="4E3B22"/>
        </w:rPr>
        <w:t>However, Hofstede’s model has its limits. It simplifies cultural identity to national averages and fails to account for subcultures and generational shifts. For example, Indian Gen Z consumers increasingly resemble Western millennials in digital behaviours, aesthetic preferences, and lifestyle aspirations.</w:t>
      </w:r>
    </w:p>
    <w:p w14:paraId="4F269772" w14:textId="371C9749" w:rsidR="00085019" w:rsidRPr="00486094" w:rsidRDefault="00085019" w:rsidP="00085019">
      <w:pPr>
        <w:spacing w:line="360" w:lineRule="auto"/>
        <w:rPr>
          <w:rFonts w:ascii="Arial" w:hAnsi="Arial" w:cs="Arial"/>
          <w:color w:val="4E3B22"/>
        </w:rPr>
      </w:pPr>
      <w:r w:rsidRPr="00486094">
        <w:rPr>
          <w:rFonts w:ascii="Arial" w:hAnsi="Arial" w:cs="Arial"/>
          <w:color w:val="4E3B22"/>
        </w:rPr>
        <w:t>To deepen the cultural analysis, Visconti et al.’s (2020) Cultural Branding Framework adds nuance by examining symbolic consumption, rituals, and identity construction.</w:t>
      </w:r>
    </w:p>
    <w:p w14:paraId="34CA33AC" w14:textId="5EE490E7" w:rsidR="00085019" w:rsidRPr="00486094" w:rsidRDefault="00085019" w:rsidP="00085019">
      <w:pPr>
        <w:spacing w:line="360" w:lineRule="auto"/>
        <w:rPr>
          <w:rFonts w:ascii="Arial" w:hAnsi="Arial" w:cs="Arial"/>
          <w:color w:val="4E3B22"/>
        </w:rPr>
      </w:pPr>
      <w:r w:rsidRPr="00486094">
        <w:rPr>
          <w:rFonts w:ascii="Arial" w:hAnsi="Arial" w:cs="Arial"/>
          <w:color w:val="4E3B22"/>
        </w:rPr>
        <w:t>In the United States, Starbucks markets individualism and self-expression. Personalisation (name on cup), mobile ordering, and rewards-based loyalty reinforce autonomy and digital identity.</w:t>
      </w:r>
    </w:p>
    <w:p w14:paraId="5DAE6010" w14:textId="77777777" w:rsidR="00FE75E4" w:rsidRDefault="00085019" w:rsidP="00085019">
      <w:pPr>
        <w:spacing w:line="360" w:lineRule="auto"/>
        <w:rPr>
          <w:rFonts w:ascii="Arial" w:hAnsi="Arial" w:cs="Arial"/>
          <w:color w:val="4E3B22"/>
        </w:rPr>
      </w:pPr>
      <w:r w:rsidRPr="00486094">
        <w:rPr>
          <w:rFonts w:ascii="Arial" w:hAnsi="Arial" w:cs="Arial"/>
          <w:color w:val="4E3B22"/>
        </w:rPr>
        <w:t>In India, Starbucks serves as a platform for aspiration and community. The brand localises through chai-based beverages (e.g. Masala Chai Tea Latte), Diwali-themed merchandise, vegetarian offerings, and inclusive store design featuring regional art and language. Stores are positioned not just as cafés but as "third places" aligned with collectivist values and family-oriented experiences (Tata Starbucks, 2024).</w:t>
      </w:r>
    </w:p>
    <w:p w14:paraId="3D3C7BF7" w14:textId="10831371" w:rsidR="00085019" w:rsidRPr="00486094" w:rsidRDefault="00085019" w:rsidP="00085019">
      <w:pPr>
        <w:spacing w:line="360" w:lineRule="auto"/>
        <w:rPr>
          <w:rFonts w:ascii="Arial" w:hAnsi="Arial" w:cs="Arial"/>
          <w:color w:val="4E3B22"/>
        </w:rPr>
      </w:pPr>
      <w:r w:rsidRPr="00486094">
        <w:rPr>
          <w:rFonts w:ascii="Arial" w:hAnsi="Arial" w:cs="Arial"/>
          <w:color w:val="4E3B22"/>
        </w:rPr>
        <w:t xml:space="preserve">Cultural adaptation extends to religious and dietary sensitivity: in many Indian regions, menus are </w:t>
      </w:r>
      <w:r w:rsidR="007C79DC" w:rsidRPr="00486094">
        <w:rPr>
          <w:rFonts w:ascii="Arial" w:hAnsi="Arial" w:cs="Arial"/>
          <w:color w:val="4E3B22"/>
        </w:rPr>
        <w:t>vegetarian</w:t>
      </w:r>
      <w:r w:rsidRPr="00486094">
        <w:rPr>
          <w:rFonts w:ascii="Arial" w:hAnsi="Arial" w:cs="Arial"/>
          <w:color w:val="4E3B22"/>
        </w:rPr>
        <w:t>, with no beef offerings - reinforcing cultural harmony and brand trust.</w:t>
      </w:r>
    </w:p>
    <w:p w14:paraId="253018D3" w14:textId="4128F187" w:rsidR="00965A74" w:rsidRPr="00486094" w:rsidRDefault="00085019" w:rsidP="00085019">
      <w:pPr>
        <w:spacing w:line="360" w:lineRule="auto"/>
        <w:rPr>
          <w:rFonts w:ascii="Arial" w:hAnsi="Arial" w:cs="Arial"/>
          <w:color w:val="4E3B22"/>
        </w:rPr>
      </w:pPr>
      <w:r w:rsidRPr="00486094">
        <w:rPr>
          <w:rFonts w:ascii="Arial" w:hAnsi="Arial" w:cs="Arial"/>
          <w:color w:val="4E3B22"/>
        </w:rPr>
        <w:lastRenderedPageBreak/>
        <w:t>Starbucks’ success in India stems not from applying a global cultural template, but from embedding itself into local symbolic life. Hofstede may provide a baseline, but Visconti’s model better explains how brands co-create meaning with local consumers. In emerging markets like India, storytelling, ritual, and authenticity drive emotional resonance - far beyond functional standardisation.</w:t>
      </w:r>
    </w:p>
    <w:p w14:paraId="34E2BB1E" w14:textId="77777777" w:rsidR="00CB13AF" w:rsidRPr="00486094" w:rsidRDefault="00CB13AF" w:rsidP="00CB13AF">
      <w:pPr>
        <w:spacing w:line="360" w:lineRule="auto"/>
        <w:rPr>
          <w:rFonts w:ascii="Arial" w:hAnsi="Arial" w:cs="Arial"/>
          <w:color w:val="4E3B22"/>
        </w:rPr>
      </w:pPr>
    </w:p>
    <w:p w14:paraId="6F21B74B" w14:textId="4C14EF6F" w:rsidR="00CB13AF" w:rsidRPr="00486094" w:rsidRDefault="00C60EB4" w:rsidP="00A75775">
      <w:pPr>
        <w:pStyle w:val="Heading2"/>
        <w:rPr>
          <w:rFonts w:ascii="Arial" w:hAnsi="Arial" w:cs="Arial"/>
          <w:color w:val="4E3B22"/>
        </w:rPr>
      </w:pPr>
      <w:bookmarkStart w:id="15" w:name="_Toc214067383"/>
      <w:r w:rsidRPr="00486094">
        <w:rPr>
          <w:rFonts w:ascii="Arial" w:hAnsi="Arial" w:cs="Arial"/>
          <w:color w:val="4E3B22"/>
        </w:rPr>
        <w:t>Technological Context</w:t>
      </w:r>
      <w:bookmarkEnd w:id="15"/>
    </w:p>
    <w:p w14:paraId="39EF38A4" w14:textId="26A9758B" w:rsidR="00874D12" w:rsidRPr="00486094" w:rsidRDefault="00874D12" w:rsidP="00874D12">
      <w:pPr>
        <w:spacing w:line="360" w:lineRule="auto"/>
        <w:rPr>
          <w:rFonts w:ascii="Arial" w:hAnsi="Arial" w:cs="Arial"/>
          <w:color w:val="4E3B22"/>
        </w:rPr>
      </w:pPr>
      <w:r w:rsidRPr="00486094">
        <w:rPr>
          <w:rFonts w:ascii="Arial" w:hAnsi="Arial" w:cs="Arial"/>
          <w:color w:val="4E3B22"/>
        </w:rPr>
        <w:t>Technology is a major strategic differentiator for Starbucks, yet its application differs sharply between the U.S. and India.</w:t>
      </w:r>
    </w:p>
    <w:p w14:paraId="667052A7" w14:textId="1891573E" w:rsidR="00874D12" w:rsidRPr="00486094" w:rsidRDefault="00874D12" w:rsidP="00874D12">
      <w:pPr>
        <w:spacing w:line="360" w:lineRule="auto"/>
        <w:rPr>
          <w:rFonts w:ascii="Arial" w:hAnsi="Arial" w:cs="Arial"/>
          <w:color w:val="4E3B22"/>
        </w:rPr>
      </w:pPr>
      <w:r w:rsidRPr="00486094">
        <w:rPr>
          <w:rFonts w:ascii="Arial" w:hAnsi="Arial" w:cs="Arial"/>
          <w:color w:val="4E3B22"/>
        </w:rPr>
        <w:t>In the U.S., the Starbucks Rewards programme has over 34 million active members, with AI-powered personalisation (via Deep Brew) and mobile ordering accounting for ~30% of all transactions (Starbucks, 2024). These capabilities illustrate Teece’s (2007) concept of dynamic capabilities - the ability to continuously sense and seize emerging opportunities through digital innovation.</w:t>
      </w:r>
    </w:p>
    <w:p w14:paraId="2504738A" w14:textId="3D6FE9E1" w:rsidR="00874D12" w:rsidRPr="00486094" w:rsidRDefault="00874D12" w:rsidP="00874D12">
      <w:pPr>
        <w:spacing w:line="360" w:lineRule="auto"/>
        <w:rPr>
          <w:rFonts w:ascii="Arial" w:hAnsi="Arial" w:cs="Arial"/>
          <w:color w:val="4E3B22"/>
        </w:rPr>
      </w:pPr>
      <w:r w:rsidRPr="00486094">
        <w:rPr>
          <w:rFonts w:ascii="Arial" w:hAnsi="Arial" w:cs="Arial"/>
          <w:color w:val="4E3B22"/>
        </w:rPr>
        <w:t>India, by contrast, offers a paradoxical technological landscape. While smartphone penetration is high and the Unified Payments Interface (UPI) ranks among the fastest global payment systems, digital adoption remains uneven across regions. To address this, Starbucks has partnered with Tata Digital, launching an app-based loyalty system aligned with local fintech infrastructure. However, tier-2 and tier-3 cities often lack consistent digital access, requiring a blended physical</w:t>
      </w:r>
      <w:r w:rsidR="001551EB">
        <w:rPr>
          <w:rFonts w:ascii="Arial" w:hAnsi="Arial" w:cs="Arial"/>
          <w:color w:val="4E3B22"/>
        </w:rPr>
        <w:t>-</w:t>
      </w:r>
      <w:r w:rsidRPr="00486094">
        <w:rPr>
          <w:rFonts w:ascii="Arial" w:hAnsi="Arial" w:cs="Arial"/>
          <w:color w:val="4E3B22"/>
        </w:rPr>
        <w:t>digital service model.</w:t>
      </w:r>
    </w:p>
    <w:p w14:paraId="7179CB06" w14:textId="62732223" w:rsidR="00CB13AF" w:rsidRDefault="00874D12" w:rsidP="00874D12">
      <w:pPr>
        <w:spacing w:line="360" w:lineRule="auto"/>
        <w:rPr>
          <w:rFonts w:ascii="Arial" w:hAnsi="Arial" w:cs="Arial"/>
          <w:color w:val="4E3B22"/>
        </w:rPr>
      </w:pPr>
      <w:r w:rsidRPr="00486094">
        <w:rPr>
          <w:rFonts w:ascii="Arial" w:hAnsi="Arial" w:cs="Arial"/>
          <w:color w:val="4E3B22"/>
        </w:rPr>
        <w:t>Starbucks’ mobile-first strategy thrives in the U.S., but is less effective in India, where digital inequality persists. This supports Teece’s (2007) view that dynamic capabilities must be context-sensitive - innovation alone is not enough without infrastructural readiness.</w:t>
      </w:r>
    </w:p>
    <w:p w14:paraId="1F9F06A6" w14:textId="77777777" w:rsidR="00FE75E4" w:rsidRPr="00486094" w:rsidRDefault="00FE75E4" w:rsidP="00874D12">
      <w:pPr>
        <w:spacing w:line="360" w:lineRule="auto"/>
        <w:rPr>
          <w:rFonts w:ascii="Arial" w:hAnsi="Arial" w:cs="Arial"/>
          <w:color w:val="4E3B22"/>
        </w:rPr>
      </w:pPr>
    </w:p>
    <w:p w14:paraId="74E2F3C4" w14:textId="45FBECDA" w:rsidR="00CB13AF" w:rsidRPr="00486094" w:rsidRDefault="00C60EB4" w:rsidP="00A75775">
      <w:pPr>
        <w:pStyle w:val="Heading2"/>
        <w:rPr>
          <w:rFonts w:ascii="Arial" w:hAnsi="Arial" w:cs="Arial"/>
          <w:color w:val="4E3B22"/>
        </w:rPr>
      </w:pPr>
      <w:bookmarkStart w:id="16" w:name="_Toc214067384"/>
      <w:r w:rsidRPr="00486094">
        <w:rPr>
          <w:rFonts w:ascii="Arial" w:hAnsi="Arial" w:cs="Arial"/>
          <w:color w:val="4E3B22"/>
        </w:rPr>
        <w:t>Environmental and Ethical Context</w:t>
      </w:r>
      <w:bookmarkEnd w:id="16"/>
    </w:p>
    <w:p w14:paraId="1F8C459E" w14:textId="331C0D7A" w:rsidR="009A34E3" w:rsidRPr="00486094" w:rsidRDefault="009A34E3" w:rsidP="009A34E3">
      <w:pPr>
        <w:spacing w:line="360" w:lineRule="auto"/>
        <w:rPr>
          <w:rFonts w:ascii="Arial" w:hAnsi="Arial" w:cs="Arial"/>
          <w:color w:val="4E3B22"/>
        </w:rPr>
      </w:pPr>
      <w:r w:rsidRPr="00486094">
        <w:rPr>
          <w:rFonts w:ascii="Arial" w:hAnsi="Arial" w:cs="Arial"/>
          <w:color w:val="4E3B22"/>
        </w:rPr>
        <w:t xml:space="preserve">Environmental responsibility is central to Starbucks’ global strategy, particularly through its Planet Positive 2030 agenda, which commits to reducing carbon, </w:t>
      </w:r>
      <w:r w:rsidR="00710642" w:rsidRPr="00486094">
        <w:rPr>
          <w:rFonts w:ascii="Arial" w:hAnsi="Arial" w:cs="Arial"/>
          <w:color w:val="4E3B22"/>
        </w:rPr>
        <w:t>water,</w:t>
      </w:r>
      <w:r w:rsidRPr="00486094">
        <w:rPr>
          <w:rFonts w:ascii="Arial" w:hAnsi="Arial" w:cs="Arial"/>
          <w:color w:val="4E3B22"/>
        </w:rPr>
        <w:t xml:space="preserve"> and waste footprints by 50% (Starbucks Global Environmental and Social Impact Report, 2024). However, the localisation of this agenda varies significantly between the U.S. and India.</w:t>
      </w:r>
    </w:p>
    <w:p w14:paraId="2F30D399" w14:textId="2C93CD7D" w:rsidR="009A34E3" w:rsidRPr="00486094" w:rsidRDefault="009A34E3" w:rsidP="009A34E3">
      <w:pPr>
        <w:spacing w:line="360" w:lineRule="auto"/>
        <w:rPr>
          <w:rFonts w:ascii="Arial" w:hAnsi="Arial" w:cs="Arial"/>
          <w:color w:val="4E3B22"/>
        </w:rPr>
      </w:pPr>
      <w:r w:rsidRPr="00486094">
        <w:rPr>
          <w:rFonts w:ascii="Arial" w:hAnsi="Arial" w:cs="Arial"/>
          <w:color w:val="4E3B22"/>
        </w:rPr>
        <w:lastRenderedPageBreak/>
        <w:t>In the United States, the company discloses detailed year-on-year progress on waste diversion, renewable energy, and carbon reduction. Initiatives such as the shift to reusable cups, investments in regenerative agriculture and energy-efficient store formats are monitored with clear metrics. Yet, critiques persist, for example, the replacement of plastic straws with paper ones resulted in increased waste due to low recyclability and consumer dissatisfaction, raising questions about whether symbolic actions overshadow systemic solutions. Furthermore, the company remains behind schedule on its decarbonisation timeline - a concern raised in independent ESG evaluations.</w:t>
      </w:r>
    </w:p>
    <w:p w14:paraId="490E6195" w14:textId="35E56E19" w:rsidR="009A34E3" w:rsidRPr="00486094" w:rsidRDefault="009A34E3" w:rsidP="009A34E3">
      <w:pPr>
        <w:spacing w:line="360" w:lineRule="auto"/>
        <w:rPr>
          <w:rFonts w:ascii="Arial" w:hAnsi="Arial" w:cs="Arial"/>
          <w:color w:val="4E3B22"/>
        </w:rPr>
      </w:pPr>
      <w:r w:rsidRPr="00486094">
        <w:rPr>
          <w:rFonts w:ascii="Arial" w:hAnsi="Arial" w:cs="Arial"/>
          <w:color w:val="4E3B22"/>
        </w:rPr>
        <w:t xml:space="preserve">In India, sustainability priorities differ. The Tata partnership emphasises water stewardship, local sourcing of Indian arabica, and community uplift programmes. CSR initiatives include women-led stores, night-shift safety policies for female employees, and vocational training for underprivileged youth. These align closely with India’s socio-economic context and address urgent local needs. However, environmental reporting remains narrower: the India division releases </w:t>
      </w:r>
      <w:r w:rsidR="007C79DC" w:rsidRPr="00486094">
        <w:rPr>
          <w:rFonts w:ascii="Arial" w:hAnsi="Arial" w:cs="Arial"/>
          <w:color w:val="4E3B22"/>
        </w:rPr>
        <w:t>fewer</w:t>
      </w:r>
      <w:r w:rsidRPr="00486094">
        <w:rPr>
          <w:rFonts w:ascii="Arial" w:hAnsi="Arial" w:cs="Arial"/>
          <w:color w:val="4E3B22"/>
        </w:rPr>
        <w:t xml:space="preserve"> quantitative metrics, making it difficult to assess progress independently. Scholars argue that fragmented disclosure structures increase the risk of selective transparency or partial greenwashing, where narratives outperform measurable outcomes.</w:t>
      </w:r>
    </w:p>
    <w:p w14:paraId="4DB93FDD" w14:textId="3BF64201" w:rsidR="009A34E3" w:rsidRPr="00486094" w:rsidRDefault="009A34E3" w:rsidP="009A34E3">
      <w:pPr>
        <w:spacing w:line="360" w:lineRule="auto"/>
        <w:rPr>
          <w:rFonts w:ascii="Arial" w:hAnsi="Arial" w:cs="Arial"/>
          <w:color w:val="4E3B22"/>
        </w:rPr>
      </w:pPr>
      <w:r w:rsidRPr="00486094">
        <w:rPr>
          <w:rFonts w:ascii="Arial" w:hAnsi="Arial" w:cs="Arial"/>
          <w:color w:val="4E3B22"/>
        </w:rPr>
        <w:t>Using Carroll’s CSR Pyramid, India appears stronger in ethical and philanthropic dimensions (women empowerment, safety, education), while the U.S. leads in legal compliance and environmental transparency. This suggests that CSR does not travel uniformly across borders: markets prioritise different responsibilities based on cultural and institutional expectations (Visconti et al., 2020).</w:t>
      </w:r>
    </w:p>
    <w:p w14:paraId="56D3DDD2" w14:textId="77777777" w:rsidR="009A34E3" w:rsidRPr="00486094" w:rsidRDefault="009A34E3" w:rsidP="009A34E3">
      <w:pPr>
        <w:spacing w:line="360" w:lineRule="auto"/>
        <w:rPr>
          <w:rFonts w:ascii="Arial" w:hAnsi="Arial" w:cs="Arial"/>
          <w:color w:val="4E3B22"/>
        </w:rPr>
      </w:pPr>
      <w:r w:rsidRPr="00486094">
        <w:rPr>
          <w:rFonts w:ascii="Arial" w:hAnsi="Arial" w:cs="Arial"/>
          <w:color w:val="4E3B22"/>
        </w:rPr>
        <w:t>The contrast between India’s ground-up, socio-economically embedded CSR and the U.S.’s top-down, brand-driven environmental messaging illustrates a key strategic tension: standardised ethical communication cannot resonate equally across cultures.</w:t>
      </w:r>
    </w:p>
    <w:p w14:paraId="09B91D11" w14:textId="755338D1" w:rsidR="009A34E3" w:rsidRPr="00486094" w:rsidRDefault="009A34E3" w:rsidP="009A34E3">
      <w:pPr>
        <w:spacing w:line="360" w:lineRule="auto"/>
        <w:rPr>
          <w:rFonts w:ascii="Arial" w:hAnsi="Arial" w:cs="Arial"/>
          <w:color w:val="4E3B22"/>
        </w:rPr>
      </w:pPr>
      <w:r w:rsidRPr="00486094">
        <w:rPr>
          <w:rFonts w:ascii="Arial" w:hAnsi="Arial" w:cs="Arial"/>
          <w:color w:val="4E3B22"/>
        </w:rPr>
        <w:t>This confirms Visconti’s cultural-branding argument that global brands must localise not only their products, but also their moral compass, translating sustainability into culturally meaningful actions rather than universal slogans.</w:t>
      </w:r>
    </w:p>
    <w:p w14:paraId="1D741F95" w14:textId="764F7392" w:rsidR="00A75775" w:rsidRPr="00486094" w:rsidRDefault="00D04837" w:rsidP="009A34E3">
      <w:pPr>
        <w:spacing w:line="360" w:lineRule="auto"/>
        <w:rPr>
          <w:rFonts w:ascii="Arial" w:hAnsi="Arial" w:cs="Arial"/>
          <w:color w:val="4E3B22"/>
        </w:rPr>
      </w:pPr>
      <w:r w:rsidRPr="00486094">
        <w:rPr>
          <w:rFonts w:ascii="Arial" w:hAnsi="Arial" w:cs="Arial"/>
          <w:color w:val="4E3B22"/>
        </w:rPr>
        <w:t>Starbucks’</w:t>
      </w:r>
      <w:r w:rsidR="009A34E3" w:rsidRPr="00486094">
        <w:rPr>
          <w:rFonts w:ascii="Arial" w:hAnsi="Arial" w:cs="Arial"/>
          <w:color w:val="4E3B22"/>
        </w:rPr>
        <w:t xml:space="preserve"> environmental strategy aligns with its global values but is filtered through local priorities and constraints. In the U.S., environmental initiatives aim to mitigate consumer and regulatory pressures, whereas in India, CSR focuses on community development and socio-economic uplift. This divergence reinforces Czinkota’s (2022) assertion that emerging markets </w:t>
      </w:r>
      <w:r w:rsidR="009A34E3" w:rsidRPr="00486094">
        <w:rPr>
          <w:rFonts w:ascii="Arial" w:hAnsi="Arial" w:cs="Arial"/>
          <w:color w:val="4E3B22"/>
        </w:rPr>
        <w:lastRenderedPageBreak/>
        <w:t>demand locally adapted, culturally embedded CSR practices, rather than standardised global frameworks.</w:t>
      </w:r>
    </w:p>
    <w:p w14:paraId="2AEA94F3" w14:textId="0A2F0DCB" w:rsidR="00A75775" w:rsidRPr="00486094" w:rsidRDefault="00621722" w:rsidP="00CB13AF">
      <w:pPr>
        <w:spacing w:line="360" w:lineRule="auto"/>
        <w:rPr>
          <w:rFonts w:ascii="Arial" w:hAnsi="Arial" w:cs="Arial"/>
          <w:color w:val="4E3B22"/>
        </w:rPr>
      </w:pPr>
      <w:r w:rsidRPr="00486094">
        <w:rPr>
          <w:rFonts w:ascii="Arial" w:hAnsi="Arial" w:cs="Arial"/>
          <w:color w:val="4E3B22"/>
        </w:rPr>
        <w:t xml:space="preserve">A summary table comparing key macro-environmental factors across the two markets is provided in </w:t>
      </w:r>
      <w:r w:rsidRPr="00486094">
        <w:rPr>
          <w:rFonts w:ascii="Arial" w:hAnsi="Arial" w:cs="Arial"/>
          <w:b/>
          <w:bCs/>
          <w:color w:val="4E3B22"/>
        </w:rPr>
        <w:t>Appendix 1</w:t>
      </w:r>
      <w:r w:rsidRPr="00486094">
        <w:rPr>
          <w:rFonts w:ascii="Arial" w:hAnsi="Arial" w:cs="Arial"/>
          <w:color w:val="4E3B22"/>
        </w:rPr>
        <w:t>.</w:t>
      </w:r>
    </w:p>
    <w:p w14:paraId="174AF20D" w14:textId="77777777" w:rsidR="00A75775" w:rsidRPr="00486094" w:rsidRDefault="00A75775" w:rsidP="00CB13AF">
      <w:pPr>
        <w:spacing w:line="360" w:lineRule="auto"/>
        <w:rPr>
          <w:rFonts w:ascii="Arial" w:hAnsi="Arial" w:cs="Arial"/>
          <w:color w:val="4E3B22"/>
        </w:rPr>
      </w:pPr>
    </w:p>
    <w:p w14:paraId="496A1C3E" w14:textId="77777777" w:rsidR="00A75775" w:rsidRPr="00486094" w:rsidRDefault="00A75775" w:rsidP="00CB13AF">
      <w:pPr>
        <w:spacing w:line="360" w:lineRule="auto"/>
        <w:rPr>
          <w:rFonts w:ascii="Arial" w:hAnsi="Arial" w:cs="Arial"/>
          <w:color w:val="4E3B22"/>
        </w:rPr>
      </w:pPr>
    </w:p>
    <w:p w14:paraId="18D90436" w14:textId="77777777" w:rsidR="00A75775" w:rsidRPr="00486094" w:rsidRDefault="00A75775" w:rsidP="00CB13AF">
      <w:pPr>
        <w:spacing w:line="360" w:lineRule="auto"/>
        <w:rPr>
          <w:rFonts w:ascii="Arial" w:hAnsi="Arial" w:cs="Arial"/>
          <w:color w:val="4E3B22"/>
        </w:rPr>
      </w:pPr>
    </w:p>
    <w:p w14:paraId="41570804" w14:textId="77777777" w:rsidR="00A75775" w:rsidRPr="00486094" w:rsidRDefault="00A75775" w:rsidP="00CB13AF">
      <w:pPr>
        <w:spacing w:line="360" w:lineRule="auto"/>
        <w:rPr>
          <w:rFonts w:ascii="Arial" w:hAnsi="Arial" w:cs="Arial"/>
          <w:color w:val="4E3B22"/>
        </w:rPr>
      </w:pPr>
    </w:p>
    <w:p w14:paraId="73F6C1AA" w14:textId="77777777" w:rsidR="00A75775" w:rsidRPr="00486094" w:rsidRDefault="00A75775" w:rsidP="00CB13AF">
      <w:pPr>
        <w:spacing w:line="360" w:lineRule="auto"/>
        <w:rPr>
          <w:rFonts w:ascii="Arial" w:hAnsi="Arial" w:cs="Arial"/>
          <w:color w:val="4E3B22"/>
        </w:rPr>
      </w:pPr>
    </w:p>
    <w:p w14:paraId="66F4862F" w14:textId="77777777" w:rsidR="00A75775" w:rsidRPr="00486094" w:rsidRDefault="00A75775" w:rsidP="00CB13AF">
      <w:pPr>
        <w:spacing w:line="360" w:lineRule="auto"/>
        <w:rPr>
          <w:rFonts w:ascii="Arial" w:hAnsi="Arial" w:cs="Arial"/>
          <w:color w:val="4E3B22"/>
        </w:rPr>
      </w:pPr>
    </w:p>
    <w:p w14:paraId="4E3CBB4C" w14:textId="77777777" w:rsidR="00874D12" w:rsidRPr="00486094" w:rsidRDefault="00874D12" w:rsidP="00CB13AF">
      <w:pPr>
        <w:spacing w:line="360" w:lineRule="auto"/>
        <w:rPr>
          <w:rFonts w:ascii="Arial" w:hAnsi="Arial" w:cs="Arial"/>
          <w:color w:val="4E3B22"/>
        </w:rPr>
      </w:pPr>
    </w:p>
    <w:p w14:paraId="538D16E6" w14:textId="77777777" w:rsidR="00874D12" w:rsidRPr="00486094" w:rsidRDefault="00874D12" w:rsidP="00CB13AF">
      <w:pPr>
        <w:spacing w:line="360" w:lineRule="auto"/>
        <w:rPr>
          <w:rFonts w:ascii="Arial" w:hAnsi="Arial" w:cs="Arial"/>
          <w:color w:val="4E3B22"/>
        </w:rPr>
      </w:pPr>
    </w:p>
    <w:p w14:paraId="2F425CC3" w14:textId="77777777" w:rsidR="00874D12" w:rsidRPr="00486094" w:rsidRDefault="00874D12" w:rsidP="00CB13AF">
      <w:pPr>
        <w:spacing w:line="360" w:lineRule="auto"/>
        <w:rPr>
          <w:rFonts w:ascii="Arial" w:hAnsi="Arial" w:cs="Arial"/>
          <w:color w:val="4E3B22"/>
        </w:rPr>
      </w:pPr>
    </w:p>
    <w:p w14:paraId="3DDEF927" w14:textId="77777777" w:rsidR="00A75775" w:rsidRPr="00486094" w:rsidRDefault="00A75775" w:rsidP="00CB13AF">
      <w:pPr>
        <w:spacing w:line="360" w:lineRule="auto"/>
        <w:rPr>
          <w:rFonts w:ascii="Arial" w:hAnsi="Arial" w:cs="Arial"/>
          <w:color w:val="4E3B22"/>
        </w:rPr>
      </w:pPr>
    </w:p>
    <w:p w14:paraId="610733C6" w14:textId="77777777" w:rsidR="00677050" w:rsidRPr="00486094" w:rsidRDefault="00677050" w:rsidP="00CB13AF">
      <w:pPr>
        <w:spacing w:line="360" w:lineRule="auto"/>
        <w:rPr>
          <w:rFonts w:ascii="Arial" w:hAnsi="Arial" w:cs="Arial"/>
          <w:color w:val="4E3B22"/>
        </w:rPr>
      </w:pPr>
    </w:p>
    <w:p w14:paraId="580737F3" w14:textId="77777777" w:rsidR="00677050" w:rsidRDefault="00677050" w:rsidP="00CB13AF">
      <w:pPr>
        <w:spacing w:line="360" w:lineRule="auto"/>
        <w:rPr>
          <w:rFonts w:ascii="Arial" w:hAnsi="Arial" w:cs="Arial"/>
          <w:color w:val="4E3B22"/>
        </w:rPr>
      </w:pPr>
    </w:p>
    <w:p w14:paraId="7FC738B4" w14:textId="77777777" w:rsidR="00A36CED" w:rsidRDefault="00A36CED" w:rsidP="00CB13AF">
      <w:pPr>
        <w:spacing w:line="360" w:lineRule="auto"/>
        <w:rPr>
          <w:rFonts w:ascii="Arial" w:hAnsi="Arial" w:cs="Arial"/>
          <w:color w:val="4E3B22"/>
        </w:rPr>
      </w:pPr>
    </w:p>
    <w:p w14:paraId="167090D5" w14:textId="77777777" w:rsidR="00A36CED" w:rsidRPr="00486094" w:rsidRDefault="00A36CED" w:rsidP="00CB13AF">
      <w:pPr>
        <w:spacing w:line="360" w:lineRule="auto"/>
        <w:rPr>
          <w:rFonts w:ascii="Arial" w:hAnsi="Arial" w:cs="Arial"/>
          <w:color w:val="4E3B22"/>
        </w:rPr>
      </w:pPr>
    </w:p>
    <w:p w14:paraId="48315E1A" w14:textId="77777777" w:rsidR="00677050" w:rsidRDefault="00677050" w:rsidP="00CB13AF">
      <w:pPr>
        <w:spacing w:line="360" w:lineRule="auto"/>
        <w:rPr>
          <w:rFonts w:ascii="Arial" w:hAnsi="Arial" w:cs="Arial"/>
          <w:color w:val="4E3B22"/>
        </w:rPr>
      </w:pPr>
    </w:p>
    <w:p w14:paraId="499976F4" w14:textId="77777777" w:rsidR="00755074" w:rsidRDefault="00755074" w:rsidP="00CB13AF">
      <w:pPr>
        <w:spacing w:line="360" w:lineRule="auto"/>
        <w:rPr>
          <w:rFonts w:ascii="Arial" w:hAnsi="Arial" w:cs="Arial"/>
          <w:color w:val="4E3B22"/>
        </w:rPr>
      </w:pPr>
    </w:p>
    <w:p w14:paraId="72DD37AB" w14:textId="77777777" w:rsidR="00755074" w:rsidRDefault="00755074" w:rsidP="00CB13AF">
      <w:pPr>
        <w:spacing w:line="360" w:lineRule="auto"/>
        <w:rPr>
          <w:rFonts w:ascii="Arial" w:hAnsi="Arial" w:cs="Arial"/>
          <w:color w:val="4E3B22"/>
        </w:rPr>
      </w:pPr>
    </w:p>
    <w:p w14:paraId="3EED284F" w14:textId="77777777" w:rsidR="00755074" w:rsidRDefault="00755074" w:rsidP="00CB13AF">
      <w:pPr>
        <w:spacing w:line="360" w:lineRule="auto"/>
        <w:rPr>
          <w:rFonts w:ascii="Arial" w:hAnsi="Arial" w:cs="Arial"/>
          <w:color w:val="4E3B22"/>
        </w:rPr>
      </w:pPr>
    </w:p>
    <w:p w14:paraId="2ED438CA" w14:textId="77777777" w:rsidR="00A75775" w:rsidRPr="00486094" w:rsidRDefault="00A75775" w:rsidP="00CB13AF">
      <w:pPr>
        <w:spacing w:line="360" w:lineRule="auto"/>
        <w:rPr>
          <w:rFonts w:ascii="Arial" w:hAnsi="Arial" w:cs="Arial"/>
          <w:color w:val="4E3B22"/>
        </w:rPr>
      </w:pPr>
    </w:p>
    <w:p w14:paraId="7691BA33" w14:textId="053C9B6A" w:rsidR="000B3B8E" w:rsidRPr="00486094" w:rsidRDefault="00B15688" w:rsidP="000B3B8E">
      <w:pPr>
        <w:pStyle w:val="Heading1"/>
        <w:shd w:val="clear" w:color="auto" w:fill="295541"/>
        <w:rPr>
          <w:rFonts w:ascii="Arial" w:hAnsi="Arial" w:cs="Arial"/>
          <w:color w:val="EAFAEC"/>
        </w:rPr>
      </w:pPr>
      <w:bookmarkStart w:id="17" w:name="_Toc214067385"/>
      <w:r w:rsidRPr="00486094">
        <w:rPr>
          <w:rFonts w:ascii="Arial" w:hAnsi="Arial" w:cs="Arial"/>
          <w:color w:val="EAFAEC"/>
        </w:rPr>
        <w:lastRenderedPageBreak/>
        <w:t>Comparison of STP Strategies</w:t>
      </w:r>
      <w:bookmarkEnd w:id="17"/>
    </w:p>
    <w:p w14:paraId="3435B805" w14:textId="77777777" w:rsidR="000B3B8E" w:rsidRPr="00486094" w:rsidRDefault="000B3B8E" w:rsidP="000B3B8E">
      <w:pPr>
        <w:spacing w:line="360" w:lineRule="auto"/>
        <w:rPr>
          <w:rFonts w:ascii="Arial" w:hAnsi="Arial" w:cs="Arial"/>
          <w:color w:val="4E3B22"/>
        </w:rPr>
      </w:pPr>
    </w:p>
    <w:p w14:paraId="4FA128CB" w14:textId="0122EEF4" w:rsidR="000B3B8E" w:rsidRPr="00486094" w:rsidRDefault="000B3B8E" w:rsidP="000B3B8E">
      <w:pPr>
        <w:spacing w:line="360" w:lineRule="auto"/>
        <w:rPr>
          <w:rFonts w:ascii="Arial" w:hAnsi="Arial" w:cs="Arial"/>
          <w:color w:val="4E3B22"/>
        </w:rPr>
      </w:pPr>
      <w:r w:rsidRPr="00486094">
        <w:rPr>
          <w:rFonts w:ascii="Arial" w:hAnsi="Arial" w:cs="Arial"/>
          <w:color w:val="4E3B22"/>
        </w:rPr>
        <w:t>Segmentation, targeting and positioning (STP) form a central pillar of Starbucks’ international marketing strategy. While classical models assume a linear decision-making process (Kotler and Keller, 2022; Hooley et al., 2020), Starbucks adopts a dual approach: highly data-driven segmentation in the U.S. and socio-cultural, lifestyle-centric segmentation in India.</w:t>
      </w:r>
    </w:p>
    <w:p w14:paraId="74A6CDBB" w14:textId="77777777" w:rsidR="000B3B8E" w:rsidRPr="00486094" w:rsidRDefault="000B3B8E" w:rsidP="000B3B8E">
      <w:pPr>
        <w:spacing w:line="360" w:lineRule="auto"/>
        <w:rPr>
          <w:rFonts w:ascii="Arial" w:hAnsi="Arial" w:cs="Arial"/>
          <w:color w:val="4E3B22"/>
        </w:rPr>
      </w:pPr>
    </w:p>
    <w:p w14:paraId="400A896E" w14:textId="153CA097" w:rsidR="000B3B8E" w:rsidRPr="00486094" w:rsidRDefault="000B3B8E" w:rsidP="000B3B8E">
      <w:pPr>
        <w:pStyle w:val="Heading2"/>
        <w:rPr>
          <w:rFonts w:ascii="Arial" w:hAnsi="Arial" w:cs="Arial"/>
          <w:color w:val="4E3B22"/>
        </w:rPr>
      </w:pPr>
      <w:bookmarkStart w:id="18" w:name="_Toc214067386"/>
      <w:r w:rsidRPr="00486094">
        <w:rPr>
          <w:rFonts w:ascii="Arial" w:hAnsi="Arial" w:cs="Arial"/>
          <w:color w:val="4E3B22"/>
        </w:rPr>
        <w:t>Segmentation</w:t>
      </w:r>
      <w:bookmarkEnd w:id="18"/>
    </w:p>
    <w:p w14:paraId="143B2EE6" w14:textId="364C5F38" w:rsidR="000B3B8E" w:rsidRPr="00486094" w:rsidRDefault="000B3B8E" w:rsidP="000B3B8E">
      <w:pPr>
        <w:spacing w:line="360" w:lineRule="auto"/>
        <w:rPr>
          <w:rFonts w:ascii="Arial" w:hAnsi="Arial" w:cs="Arial"/>
          <w:color w:val="4E3B22"/>
        </w:rPr>
      </w:pPr>
      <w:r w:rsidRPr="00486094">
        <w:rPr>
          <w:rFonts w:ascii="Arial" w:hAnsi="Arial" w:cs="Arial"/>
          <w:color w:val="4E3B22"/>
        </w:rPr>
        <w:t xml:space="preserve">In the U.S., segmentation integrates demographic, psychographic and behavioural elements. Starbucks appeals to professionals, </w:t>
      </w:r>
      <w:r w:rsidR="00D04837" w:rsidRPr="00486094">
        <w:rPr>
          <w:rFonts w:ascii="Arial" w:hAnsi="Arial" w:cs="Arial"/>
          <w:color w:val="4E3B22"/>
        </w:rPr>
        <w:t>students,</w:t>
      </w:r>
      <w:r w:rsidRPr="00486094">
        <w:rPr>
          <w:rFonts w:ascii="Arial" w:hAnsi="Arial" w:cs="Arial"/>
          <w:color w:val="4E3B22"/>
        </w:rPr>
        <w:t xml:space="preserve"> and urban consumers with medium-to-high income, while psychographically targeting convenience-seeking, self-expressive individuals. Behavioural segmentation is reinforced through the Starbucks Rewards programme, which provides granular insights into recency, </w:t>
      </w:r>
      <w:r w:rsidR="00D04837" w:rsidRPr="00486094">
        <w:rPr>
          <w:rFonts w:ascii="Arial" w:hAnsi="Arial" w:cs="Arial"/>
          <w:color w:val="4E3B22"/>
        </w:rPr>
        <w:t>frequency,</w:t>
      </w:r>
      <w:r w:rsidRPr="00486094">
        <w:rPr>
          <w:rFonts w:ascii="Arial" w:hAnsi="Arial" w:cs="Arial"/>
          <w:color w:val="4E3B22"/>
        </w:rPr>
        <w:t xml:space="preserve"> and purchase responsiveness (Wedel and Kamakura, 2012). With 34.3 million active U.S. Rewards members (Starbucks, 2024), data-driven segmentation significantly shapes product recommendations and promotional targeting.</w:t>
      </w:r>
    </w:p>
    <w:p w14:paraId="64415C12" w14:textId="4E041EB9" w:rsidR="000B3B8E" w:rsidRPr="00486094" w:rsidRDefault="000B3B8E" w:rsidP="000B3B8E">
      <w:pPr>
        <w:spacing w:line="360" w:lineRule="auto"/>
        <w:rPr>
          <w:rFonts w:ascii="Arial" w:hAnsi="Arial" w:cs="Arial"/>
          <w:color w:val="4E3B22"/>
        </w:rPr>
      </w:pPr>
      <w:r w:rsidRPr="00486094">
        <w:rPr>
          <w:rFonts w:ascii="Arial" w:hAnsi="Arial" w:cs="Arial"/>
          <w:color w:val="4E3B22"/>
        </w:rPr>
        <w:t>In India, segmentation is more tightly tied to socio-economic status and urbanisation. Starbucks concentrates on middle- to upper-income consumers in tier-1 cities and increasingly tier-2/3 cities where caf</w:t>
      </w:r>
      <w:r w:rsidR="00A51C30">
        <w:rPr>
          <w:rFonts w:ascii="Arial" w:hAnsi="Arial" w:cs="Arial"/>
          <w:color w:val="4E3B22"/>
        </w:rPr>
        <w:t>e</w:t>
      </w:r>
      <w:r w:rsidRPr="00486094">
        <w:rPr>
          <w:rFonts w:ascii="Arial" w:hAnsi="Arial" w:cs="Arial"/>
          <w:color w:val="4E3B22"/>
        </w:rPr>
        <w:t xml:space="preserve"> culture is emerging. The brand particularly resonates with aspirational youth for whom Starbucks signals modernity and global identity</w:t>
      </w:r>
      <w:r w:rsidR="00A51C30">
        <w:rPr>
          <w:rFonts w:ascii="Arial" w:hAnsi="Arial" w:cs="Arial"/>
          <w:color w:val="4E3B22"/>
        </w:rPr>
        <w:t>-</w:t>
      </w:r>
      <w:r w:rsidRPr="00486094">
        <w:rPr>
          <w:rFonts w:ascii="Arial" w:hAnsi="Arial" w:cs="Arial"/>
          <w:color w:val="4E3B22"/>
        </w:rPr>
        <w:t>consistent with Czinkota et al. (2022), who argue that segmentation in emerging markets reflects “strata of modernity” rather than purely income.</w:t>
      </w:r>
    </w:p>
    <w:p w14:paraId="5F94BB8F" w14:textId="4A634151" w:rsidR="000B3B8E" w:rsidRPr="00486094" w:rsidRDefault="000B3B8E" w:rsidP="000B3B8E">
      <w:pPr>
        <w:spacing w:line="360" w:lineRule="auto"/>
        <w:rPr>
          <w:rFonts w:ascii="Arial" w:hAnsi="Arial" w:cs="Arial"/>
          <w:color w:val="4E3B22"/>
        </w:rPr>
      </w:pPr>
      <w:r w:rsidRPr="00486094">
        <w:rPr>
          <w:rFonts w:ascii="Arial" w:hAnsi="Arial" w:cs="Arial"/>
          <w:color w:val="4E3B22"/>
        </w:rPr>
        <w:t>However, both markets reveal fluid segment boundaries. U.S. consumers may be price-conscious despite loyalty, while Indian consumers often treat Starbucks as an occasional luxury, not an everyday routine. Classical segmentation frameworks underestimate such dynamic behaviours (Hooley et al., 2020), and Starbucks’ reliance on digital segmentation in the U.S. creates an advantage that is currently limited in India, where app usage remains below an estimated 8% of customers.</w:t>
      </w:r>
    </w:p>
    <w:p w14:paraId="1D6AD5D1" w14:textId="0E49AA63" w:rsidR="00EC06D9" w:rsidRPr="00486094" w:rsidRDefault="000B3B8E" w:rsidP="000B3B8E">
      <w:pPr>
        <w:spacing w:line="360" w:lineRule="auto"/>
        <w:rPr>
          <w:rFonts w:ascii="Arial" w:hAnsi="Arial" w:cs="Arial"/>
          <w:color w:val="4E3B22"/>
        </w:rPr>
      </w:pPr>
      <w:r w:rsidRPr="00486094">
        <w:rPr>
          <w:rFonts w:ascii="Arial" w:hAnsi="Arial" w:cs="Arial"/>
          <w:color w:val="4E3B22"/>
        </w:rPr>
        <w:t>In conclusion,</w:t>
      </w:r>
      <w:r w:rsidR="005D3175">
        <w:rPr>
          <w:rFonts w:ascii="Arial" w:hAnsi="Arial" w:cs="Arial"/>
          <w:color w:val="4E3B22"/>
        </w:rPr>
        <w:t xml:space="preserve"> </w:t>
      </w:r>
      <w:r w:rsidR="005D3175" w:rsidRPr="005D3175">
        <w:rPr>
          <w:rFonts w:ascii="Arial" w:hAnsi="Arial" w:cs="Arial"/>
          <w:color w:val="4E3B22"/>
        </w:rPr>
        <w:t>U.S. segmentation deepens retention, whereas India’s segmentation builds aspiration but lacks behavioural precision</w:t>
      </w:r>
      <w:r w:rsidRPr="00486094">
        <w:rPr>
          <w:rFonts w:ascii="Arial" w:hAnsi="Arial" w:cs="Arial"/>
          <w:color w:val="4E3B22"/>
        </w:rPr>
        <w:t>.</w:t>
      </w:r>
    </w:p>
    <w:p w14:paraId="41334142" w14:textId="094E582D" w:rsidR="000B3B8E" w:rsidRPr="00486094" w:rsidRDefault="000B3B8E" w:rsidP="000B3B8E">
      <w:pPr>
        <w:pStyle w:val="Heading2"/>
        <w:rPr>
          <w:rFonts w:ascii="Arial" w:hAnsi="Arial" w:cs="Arial"/>
          <w:color w:val="4E3B22"/>
        </w:rPr>
      </w:pPr>
      <w:bookmarkStart w:id="19" w:name="_Toc214067387"/>
      <w:r w:rsidRPr="00486094">
        <w:rPr>
          <w:rFonts w:ascii="Arial" w:hAnsi="Arial" w:cs="Arial"/>
          <w:color w:val="4E3B22"/>
        </w:rPr>
        <w:lastRenderedPageBreak/>
        <w:t>Targeting</w:t>
      </w:r>
      <w:bookmarkEnd w:id="19"/>
    </w:p>
    <w:p w14:paraId="343EAA90" w14:textId="77777777" w:rsidR="00387DE9" w:rsidRDefault="00387DE9" w:rsidP="000B3B8E">
      <w:pPr>
        <w:spacing w:line="360" w:lineRule="auto"/>
        <w:rPr>
          <w:rFonts w:ascii="Arial" w:eastAsiaTheme="majorEastAsia" w:hAnsi="Arial" w:cs="Arial"/>
          <w:color w:val="4E3B22"/>
        </w:rPr>
      </w:pPr>
      <w:r w:rsidRPr="00387DE9">
        <w:rPr>
          <w:rFonts w:ascii="Arial" w:eastAsiaTheme="majorEastAsia" w:hAnsi="Arial" w:cs="Arial"/>
          <w:color w:val="4E3B22"/>
        </w:rPr>
        <w:t>In the U.S., Starbucks enhances targeting precision through its Rewards ecosystem, applying Peppers and Rogers’ (2016) segment-of-one principles.</w:t>
      </w:r>
    </w:p>
    <w:p w14:paraId="51475913" w14:textId="71399F76" w:rsidR="000B3B8E" w:rsidRPr="00486094" w:rsidRDefault="000B3B8E" w:rsidP="000B3B8E">
      <w:pPr>
        <w:spacing w:line="360" w:lineRule="auto"/>
        <w:rPr>
          <w:rFonts w:ascii="Arial" w:eastAsiaTheme="majorEastAsia" w:hAnsi="Arial" w:cs="Arial"/>
          <w:color w:val="4E3B22"/>
        </w:rPr>
      </w:pPr>
      <w:r w:rsidRPr="00486094">
        <w:rPr>
          <w:rFonts w:ascii="Arial" w:eastAsiaTheme="majorEastAsia" w:hAnsi="Arial" w:cs="Arial"/>
          <w:color w:val="4E3B22"/>
        </w:rPr>
        <w:t xml:space="preserve">India’s targeting is narrower and more aspirational. The brand focuses on affluent urban consumers and cosmopolitan youth, </w:t>
      </w:r>
      <w:r w:rsidR="007C79DC" w:rsidRPr="00486094">
        <w:rPr>
          <w:rFonts w:ascii="Arial" w:eastAsiaTheme="majorEastAsia" w:hAnsi="Arial" w:cs="Arial"/>
          <w:color w:val="4E3B22"/>
        </w:rPr>
        <w:t>within</w:t>
      </w:r>
      <w:r w:rsidRPr="00486094">
        <w:rPr>
          <w:rFonts w:ascii="Arial" w:eastAsiaTheme="majorEastAsia" w:hAnsi="Arial" w:cs="Arial"/>
          <w:color w:val="4E3B22"/>
        </w:rPr>
        <w:t xml:space="preserve"> malls and high-traffic districts. </w:t>
      </w:r>
      <w:r w:rsidR="00A24E4B" w:rsidRPr="00A24E4B">
        <w:rPr>
          <w:rFonts w:ascii="Arial" w:eastAsiaTheme="majorEastAsia" w:hAnsi="Arial" w:cs="Arial"/>
          <w:color w:val="4E3B22"/>
        </w:rPr>
        <w:t>Pegan et al. (2020) note that targeting upwardly mobile elites creates halo effects, visible in India.</w:t>
      </w:r>
      <w:r w:rsidR="00A24E4B" w:rsidRPr="00A24E4B">
        <w:rPr>
          <w:rFonts w:ascii="Arial" w:eastAsiaTheme="majorEastAsia" w:hAnsi="Arial" w:cs="Arial"/>
          <w:color w:val="4E3B22"/>
        </w:rPr>
        <w:t xml:space="preserve"> </w:t>
      </w:r>
      <w:r w:rsidRPr="00486094">
        <w:rPr>
          <w:rFonts w:ascii="Arial" w:eastAsiaTheme="majorEastAsia" w:hAnsi="Arial" w:cs="Arial"/>
          <w:color w:val="4E3B22"/>
        </w:rPr>
        <w:t>Localised products (e.g., Masala Chai) expand appeal while respecting religious and cultural dietary norms.</w:t>
      </w:r>
    </w:p>
    <w:p w14:paraId="2DDF7632" w14:textId="27A5A5A4" w:rsidR="000B3B8E" w:rsidRPr="00486094" w:rsidRDefault="000B3B8E" w:rsidP="000B3B8E">
      <w:pPr>
        <w:spacing w:line="360" w:lineRule="auto"/>
        <w:rPr>
          <w:rFonts w:ascii="Arial" w:eastAsiaTheme="majorEastAsia" w:hAnsi="Arial" w:cs="Arial"/>
          <w:color w:val="4E3B22"/>
        </w:rPr>
      </w:pPr>
      <w:r w:rsidRPr="00486094">
        <w:rPr>
          <w:rFonts w:ascii="Arial" w:eastAsiaTheme="majorEastAsia" w:hAnsi="Arial" w:cs="Arial"/>
          <w:color w:val="4E3B22"/>
        </w:rPr>
        <w:t>Nonetheless, premium pricing (₹280</w:t>
      </w:r>
      <w:r w:rsidR="001551EB">
        <w:rPr>
          <w:rFonts w:ascii="Arial" w:eastAsiaTheme="majorEastAsia" w:hAnsi="Arial" w:cs="Arial"/>
          <w:color w:val="4E3B22"/>
        </w:rPr>
        <w:t>-</w:t>
      </w:r>
      <w:r w:rsidRPr="00486094">
        <w:rPr>
          <w:rFonts w:ascii="Arial" w:eastAsiaTheme="majorEastAsia" w:hAnsi="Arial" w:cs="Arial"/>
          <w:color w:val="4E3B22"/>
        </w:rPr>
        <w:t xml:space="preserve">₹420 per beverage) restricts accessibility. Carroll’s (1999) CSR framework highlights that aspirational targeting can reinforce social exclusion when affordability limits </w:t>
      </w:r>
      <w:r w:rsidR="00A36CED">
        <w:rPr>
          <w:rFonts w:ascii="Arial" w:eastAsiaTheme="majorEastAsia" w:hAnsi="Arial" w:cs="Arial"/>
          <w:color w:val="4E3B22"/>
        </w:rPr>
        <w:t>participation</w:t>
      </w:r>
      <w:r w:rsidRPr="00486094">
        <w:rPr>
          <w:rFonts w:ascii="Arial" w:eastAsiaTheme="majorEastAsia" w:hAnsi="Arial" w:cs="Arial"/>
          <w:color w:val="4E3B22"/>
        </w:rPr>
        <w:t xml:space="preserve"> ethical concern relevant to Starbucks’ Indian strategy.</w:t>
      </w:r>
    </w:p>
    <w:p w14:paraId="7AB18878" w14:textId="61BBBAE8" w:rsidR="000B3B8E" w:rsidRPr="00486094" w:rsidRDefault="00A36CED" w:rsidP="000B3B8E">
      <w:pPr>
        <w:spacing w:line="360" w:lineRule="auto"/>
        <w:rPr>
          <w:rFonts w:ascii="Arial" w:eastAsiaTheme="majorEastAsia" w:hAnsi="Arial" w:cs="Arial"/>
          <w:color w:val="4E3B22"/>
        </w:rPr>
      </w:pPr>
      <w:r>
        <w:rPr>
          <w:rFonts w:ascii="Arial" w:eastAsiaTheme="majorEastAsia" w:hAnsi="Arial" w:cs="Arial"/>
          <w:color w:val="4E3B22"/>
        </w:rPr>
        <w:t>T</w:t>
      </w:r>
      <w:r w:rsidR="000B3B8E" w:rsidRPr="00486094">
        <w:rPr>
          <w:rFonts w:ascii="Arial" w:eastAsiaTheme="majorEastAsia" w:hAnsi="Arial" w:cs="Arial"/>
          <w:color w:val="4E3B22"/>
        </w:rPr>
        <w:t>argeting in the U.S. maximises personalisation and usage frequency, while India’s aspirational targeting drives brand elevation but risks excluding broader consumer groups.</w:t>
      </w:r>
    </w:p>
    <w:p w14:paraId="7AE6BFBD" w14:textId="77777777" w:rsidR="000B3B8E" w:rsidRPr="00486094" w:rsidRDefault="000B3B8E" w:rsidP="000B3B8E">
      <w:pPr>
        <w:spacing w:line="360" w:lineRule="auto"/>
        <w:rPr>
          <w:rFonts w:ascii="Arial" w:eastAsiaTheme="majorEastAsia" w:hAnsi="Arial" w:cs="Arial"/>
          <w:color w:val="4E3B22"/>
        </w:rPr>
      </w:pPr>
    </w:p>
    <w:p w14:paraId="6CCDE29D" w14:textId="0FD1E245" w:rsidR="000B3B8E" w:rsidRPr="00486094" w:rsidRDefault="000B3B8E" w:rsidP="000B3B8E">
      <w:pPr>
        <w:pStyle w:val="Heading2"/>
        <w:rPr>
          <w:rFonts w:ascii="Arial" w:hAnsi="Arial" w:cs="Arial"/>
          <w:color w:val="4E3B22"/>
        </w:rPr>
      </w:pPr>
      <w:bookmarkStart w:id="20" w:name="_Toc214067388"/>
      <w:r w:rsidRPr="00486094">
        <w:rPr>
          <w:rFonts w:ascii="Arial" w:hAnsi="Arial" w:cs="Arial"/>
          <w:color w:val="4E3B22"/>
        </w:rPr>
        <w:t>Positioning</w:t>
      </w:r>
      <w:bookmarkEnd w:id="20"/>
    </w:p>
    <w:p w14:paraId="6CAF2C75" w14:textId="01E21A5B" w:rsidR="000B3B8E" w:rsidRPr="00486094" w:rsidRDefault="000B3B8E" w:rsidP="000B3B8E">
      <w:pPr>
        <w:spacing w:line="360" w:lineRule="auto"/>
        <w:rPr>
          <w:rFonts w:ascii="Arial" w:eastAsiaTheme="majorEastAsia" w:hAnsi="Arial" w:cs="Arial"/>
          <w:color w:val="4E3B22"/>
        </w:rPr>
      </w:pPr>
      <w:r w:rsidRPr="00486094">
        <w:rPr>
          <w:rFonts w:ascii="Arial" w:eastAsiaTheme="majorEastAsia" w:hAnsi="Arial" w:cs="Arial"/>
          <w:color w:val="4E3B22"/>
        </w:rPr>
        <w:t>In the U.S., Starbucks positions itself as a convenient “Third Place” offering high-quality, customisable beverages and digitally enabled convenience. This combines functional benefits with emotional value creation (Hooley et al., 2020), supported by sustainability narratives such as C.A.F.E. sourcing.</w:t>
      </w:r>
    </w:p>
    <w:p w14:paraId="77A925C6" w14:textId="393E0E47" w:rsidR="000B3B8E" w:rsidRPr="00486094" w:rsidRDefault="000B3B8E" w:rsidP="000B3B8E">
      <w:pPr>
        <w:spacing w:line="360" w:lineRule="auto"/>
        <w:rPr>
          <w:rFonts w:ascii="Arial" w:eastAsiaTheme="majorEastAsia" w:hAnsi="Arial" w:cs="Arial"/>
          <w:color w:val="4E3B22"/>
        </w:rPr>
      </w:pPr>
      <w:r w:rsidRPr="00486094">
        <w:rPr>
          <w:rFonts w:ascii="Arial" w:eastAsiaTheme="majorEastAsia" w:hAnsi="Arial" w:cs="Arial"/>
          <w:color w:val="4E3B22"/>
        </w:rPr>
        <w:t xml:space="preserve">In India, positioning carries </w:t>
      </w:r>
      <w:r w:rsidR="00A36CED">
        <w:rPr>
          <w:rFonts w:ascii="Arial" w:eastAsiaTheme="majorEastAsia" w:hAnsi="Arial" w:cs="Arial"/>
          <w:color w:val="4E3B22"/>
        </w:rPr>
        <w:t xml:space="preserve">a </w:t>
      </w:r>
      <w:r w:rsidRPr="00486094">
        <w:rPr>
          <w:rFonts w:ascii="Arial" w:eastAsiaTheme="majorEastAsia" w:hAnsi="Arial" w:cs="Arial"/>
          <w:color w:val="4E3B22"/>
        </w:rPr>
        <w:t xml:space="preserve">stronger symbolic meaning. Starbucks signals modernity, social </w:t>
      </w:r>
      <w:r w:rsidR="00710642" w:rsidRPr="00486094">
        <w:rPr>
          <w:rFonts w:ascii="Arial" w:eastAsiaTheme="majorEastAsia" w:hAnsi="Arial" w:cs="Arial"/>
          <w:color w:val="4E3B22"/>
        </w:rPr>
        <w:t>status,</w:t>
      </w:r>
      <w:r w:rsidRPr="00486094">
        <w:rPr>
          <w:rFonts w:ascii="Arial" w:eastAsiaTheme="majorEastAsia" w:hAnsi="Arial" w:cs="Arial"/>
          <w:color w:val="4E3B22"/>
        </w:rPr>
        <w:t xml:space="preserve"> and global cultural alignment. Localised beverages and store designs incorporating Indian art and festival campaigns (e.g., Diwali specials) align with Hofstede’s collectivism and Visconti et al.’s (2020) cultural branding framework. The brand becomes a space for identity expression and social belonging.</w:t>
      </w:r>
    </w:p>
    <w:p w14:paraId="2F1B20F4" w14:textId="77777777" w:rsidR="000B3B8E" w:rsidRPr="00486094" w:rsidRDefault="000B3B8E" w:rsidP="000B3B8E">
      <w:pPr>
        <w:spacing w:line="360" w:lineRule="auto"/>
        <w:rPr>
          <w:rFonts w:ascii="Arial" w:eastAsiaTheme="majorEastAsia" w:hAnsi="Arial" w:cs="Arial"/>
          <w:color w:val="4E3B22"/>
        </w:rPr>
      </w:pPr>
      <w:r w:rsidRPr="00486094">
        <w:rPr>
          <w:rFonts w:ascii="Arial" w:eastAsiaTheme="majorEastAsia" w:hAnsi="Arial" w:cs="Arial"/>
          <w:color w:val="4E3B22"/>
        </w:rPr>
        <w:t>Yet Hofstede’s framework risks oversimplifying Indian consumers; urban Gen Z often display hybrid consumption patterns closer to Western behaviours. Visconti’s model provides a more accurate lens by emphasising cultural co-creation and symbolic consumption.</w:t>
      </w:r>
    </w:p>
    <w:p w14:paraId="1550E0F5" w14:textId="2FC6CCFF" w:rsidR="000B3B8E" w:rsidRPr="00A36CED" w:rsidRDefault="000B3B8E" w:rsidP="000B3B8E">
      <w:pPr>
        <w:spacing w:line="360" w:lineRule="auto"/>
        <w:rPr>
          <w:rFonts w:ascii="Arial" w:eastAsiaTheme="majorEastAsia" w:hAnsi="Arial" w:cs="Arial"/>
          <w:color w:val="4E3B22"/>
          <w:sz w:val="32"/>
          <w:szCs w:val="32"/>
        </w:rPr>
      </w:pPr>
      <w:r w:rsidRPr="00486094">
        <w:rPr>
          <w:rFonts w:ascii="Arial" w:eastAsiaTheme="majorEastAsia" w:hAnsi="Arial" w:cs="Arial"/>
          <w:color w:val="4E3B22"/>
        </w:rPr>
        <w:t xml:space="preserve">U.S. positioning revolves around convenience and personalisation, whereas India’s positioning is symbolic and culturally performative </w:t>
      </w:r>
      <w:r w:rsidR="00A51C30">
        <w:rPr>
          <w:rFonts w:ascii="Arial" w:eastAsiaTheme="majorEastAsia" w:hAnsi="Arial" w:cs="Arial"/>
          <w:color w:val="4E3B22"/>
        </w:rPr>
        <w:t>-</w:t>
      </w:r>
      <w:r w:rsidRPr="00486094">
        <w:rPr>
          <w:rFonts w:ascii="Arial" w:eastAsiaTheme="majorEastAsia" w:hAnsi="Arial" w:cs="Arial"/>
          <w:color w:val="4E3B22"/>
        </w:rPr>
        <w:t xml:space="preserve"> strengthening emotional appeal but adding operational complexity.</w:t>
      </w:r>
    </w:p>
    <w:p w14:paraId="0CBFD3CE" w14:textId="78B31433" w:rsidR="000B3B8E" w:rsidRPr="00486094" w:rsidRDefault="000B3B8E" w:rsidP="00A36CED">
      <w:pPr>
        <w:pStyle w:val="Heading2"/>
        <w:rPr>
          <w:rFonts w:ascii="Arial" w:hAnsi="Arial" w:cs="Arial"/>
          <w:color w:val="4E3B22"/>
        </w:rPr>
      </w:pPr>
      <w:bookmarkStart w:id="21" w:name="_Toc214067389"/>
      <w:r w:rsidRPr="00486094">
        <w:rPr>
          <w:rFonts w:ascii="Arial" w:hAnsi="Arial" w:cs="Arial"/>
          <w:color w:val="4E3B22"/>
        </w:rPr>
        <w:lastRenderedPageBreak/>
        <w:t>Critical Evaluation of STP Strategies</w:t>
      </w:r>
      <w:bookmarkEnd w:id="21"/>
    </w:p>
    <w:p w14:paraId="65B2FE75" w14:textId="1F30229F" w:rsidR="00A36CED" w:rsidRPr="00A51C30" w:rsidRDefault="000B3B8E" w:rsidP="00E467BC">
      <w:pPr>
        <w:spacing w:line="360" w:lineRule="auto"/>
        <w:rPr>
          <w:rFonts w:ascii="Arial" w:eastAsiaTheme="majorEastAsia" w:hAnsi="Arial" w:cs="Arial"/>
          <w:color w:val="4E3B22"/>
        </w:rPr>
      </w:pPr>
      <w:r w:rsidRPr="00486094">
        <w:rPr>
          <w:rFonts w:ascii="Arial" w:eastAsiaTheme="majorEastAsia" w:hAnsi="Arial" w:cs="Arial"/>
          <w:color w:val="4E3B22"/>
        </w:rPr>
        <w:t xml:space="preserve">Starbucks’ practice challenges the linearity of classical STP. In the U.S., real-time behavioural data continuously reshape segmentation and </w:t>
      </w:r>
      <w:r w:rsidR="00B73C63">
        <w:rPr>
          <w:rFonts w:ascii="Arial" w:eastAsiaTheme="majorEastAsia" w:hAnsi="Arial" w:cs="Arial"/>
          <w:color w:val="4E3B22"/>
        </w:rPr>
        <w:t>positioning</w:t>
      </w:r>
      <w:r w:rsidRPr="00486094">
        <w:rPr>
          <w:rFonts w:ascii="Arial" w:eastAsiaTheme="majorEastAsia" w:hAnsi="Arial" w:cs="Arial"/>
          <w:color w:val="4E3B22"/>
        </w:rPr>
        <w:t xml:space="preserve"> </w:t>
      </w:r>
      <w:r w:rsidR="00B73C63">
        <w:rPr>
          <w:rFonts w:ascii="Arial" w:eastAsiaTheme="majorEastAsia" w:hAnsi="Arial" w:cs="Arial"/>
          <w:color w:val="4E3B22"/>
        </w:rPr>
        <w:t>dimensions</w:t>
      </w:r>
      <w:r w:rsidRPr="00486094">
        <w:rPr>
          <w:rFonts w:ascii="Arial" w:eastAsiaTheme="majorEastAsia" w:hAnsi="Arial" w:cs="Arial"/>
          <w:color w:val="4E3B22"/>
        </w:rPr>
        <w:t xml:space="preserve"> </w:t>
      </w:r>
      <w:r w:rsidR="007C79DC" w:rsidRPr="00486094">
        <w:rPr>
          <w:rFonts w:ascii="Arial" w:eastAsiaTheme="majorEastAsia" w:hAnsi="Arial" w:cs="Arial"/>
          <w:color w:val="4E3B22"/>
        </w:rPr>
        <w:t>underrepresented</w:t>
      </w:r>
      <w:r w:rsidRPr="00486094">
        <w:rPr>
          <w:rFonts w:ascii="Arial" w:eastAsiaTheme="majorEastAsia" w:hAnsi="Arial" w:cs="Arial"/>
          <w:color w:val="4E3B22"/>
        </w:rPr>
        <w:t xml:space="preserve"> in Kotler’s traditional model. In India, STP remains more macro-level and culturally anchored, reflecting Levitt’s (1983) critique that full standardisation is unfeasible in culturally diverse contexts.</w:t>
      </w:r>
    </w:p>
    <w:p w14:paraId="6ADD751F" w14:textId="25294EBC" w:rsidR="00091AF5" w:rsidRPr="00486094" w:rsidRDefault="000B3B8E" w:rsidP="00E467BC">
      <w:pPr>
        <w:spacing w:line="360" w:lineRule="auto"/>
        <w:rPr>
          <w:rFonts w:ascii="Arial" w:eastAsiaTheme="majorEastAsia" w:hAnsi="Arial" w:cs="Arial"/>
          <w:color w:val="4E3B22"/>
        </w:rPr>
      </w:pPr>
      <w:r w:rsidRPr="00486094">
        <w:rPr>
          <w:rFonts w:ascii="Arial" w:eastAsiaTheme="majorEastAsia" w:hAnsi="Arial" w:cs="Arial"/>
          <w:color w:val="4E3B22"/>
        </w:rPr>
        <w:t>Starbucks clearly contradicts Levitt’s convergence logic:</w:t>
      </w:r>
    </w:p>
    <w:p w14:paraId="6A10285B" w14:textId="49928EC9" w:rsidR="000B3B8E" w:rsidRPr="00486094" w:rsidRDefault="00B9143E" w:rsidP="00E467BC">
      <w:pPr>
        <w:spacing w:line="360" w:lineRule="auto"/>
        <w:rPr>
          <w:rFonts w:ascii="Arial" w:hAnsi="Arial" w:cs="Arial"/>
        </w:rPr>
      </w:pPr>
      <w:r w:rsidRPr="00B9143E">
        <w:rPr>
          <w:rFonts w:ascii="Arial" w:hAnsi="Arial" w:cs="Arial"/>
          <w:noProof/>
        </w:rPr>
        <w:drawing>
          <wp:inline distT="0" distB="0" distL="0" distR="0" wp14:anchorId="167C9B39" wp14:editId="64B74A49">
            <wp:extent cx="6061435" cy="1366413"/>
            <wp:effectExtent l="0" t="0" r="0" b="5715"/>
            <wp:docPr id="1509307314" name="Picture 1" descr="A green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07314" name="Picture 1" descr="A green rectangular box with black text&#10;&#10;AI-generated content may be incorrect."/>
                    <pic:cNvPicPr/>
                  </pic:nvPicPr>
                  <pic:blipFill>
                    <a:blip r:embed="rId13"/>
                    <a:stretch>
                      <a:fillRect/>
                    </a:stretch>
                  </pic:blipFill>
                  <pic:spPr>
                    <a:xfrm>
                      <a:off x="0" y="0"/>
                      <a:ext cx="6066303" cy="1367510"/>
                    </a:xfrm>
                    <a:prstGeom prst="rect">
                      <a:avLst/>
                    </a:prstGeom>
                  </pic:spPr>
                </pic:pic>
              </a:graphicData>
            </a:graphic>
          </wp:inline>
        </w:drawing>
      </w:r>
    </w:p>
    <w:p w14:paraId="3993A2C0" w14:textId="77777777" w:rsidR="00A36CED" w:rsidRDefault="00A36CED" w:rsidP="00E467BC">
      <w:pPr>
        <w:spacing w:line="360" w:lineRule="auto"/>
        <w:rPr>
          <w:rFonts w:ascii="Arial" w:hAnsi="Arial" w:cs="Arial"/>
          <w:color w:val="4E3B22"/>
        </w:rPr>
      </w:pPr>
    </w:p>
    <w:p w14:paraId="32A6F9DF" w14:textId="7CFAB8E2" w:rsidR="000B3B8E" w:rsidRPr="00486094" w:rsidRDefault="000B3B8E" w:rsidP="00E467BC">
      <w:pPr>
        <w:spacing w:line="360" w:lineRule="auto"/>
        <w:rPr>
          <w:rFonts w:ascii="Arial" w:hAnsi="Arial" w:cs="Arial"/>
          <w:color w:val="4E3B22"/>
        </w:rPr>
      </w:pPr>
      <w:r w:rsidRPr="00486094">
        <w:rPr>
          <w:rFonts w:ascii="Arial" w:hAnsi="Arial" w:cs="Arial"/>
          <w:color w:val="4E3B22"/>
        </w:rPr>
        <w:t>These patterns align with Czinkota and Ronkainen’s (2013) adaptive international marketing model rather than global standardisation.</w:t>
      </w:r>
    </w:p>
    <w:p w14:paraId="4ACCBE59" w14:textId="2DED23B7" w:rsidR="000B3B8E" w:rsidRPr="00486094" w:rsidRDefault="000B3B8E" w:rsidP="00E467BC">
      <w:pPr>
        <w:spacing w:line="360" w:lineRule="auto"/>
        <w:rPr>
          <w:rFonts w:ascii="Arial" w:hAnsi="Arial" w:cs="Arial"/>
          <w:color w:val="4E3B22"/>
        </w:rPr>
      </w:pPr>
      <w:r w:rsidRPr="00486094">
        <w:rPr>
          <w:rFonts w:ascii="Arial" w:hAnsi="Arial" w:cs="Arial"/>
          <w:color w:val="4E3B22"/>
        </w:rPr>
        <w:t>Performance implications reflect these differences. Digital STP in the U.S. enhances retention but offers diminishing returns in a saturated market. India’s symbolic positioning accelerates growth (20%+ CAGR) but increases vulnerability to economic volatility and competitive imitation (Market</w:t>
      </w:r>
      <w:r w:rsidR="00AE31EA">
        <w:rPr>
          <w:rFonts w:ascii="Arial" w:hAnsi="Arial" w:cs="Arial"/>
          <w:color w:val="4E3B22"/>
        </w:rPr>
        <w:t xml:space="preserve"> </w:t>
      </w:r>
      <w:r w:rsidRPr="00486094">
        <w:rPr>
          <w:rFonts w:ascii="Arial" w:hAnsi="Arial" w:cs="Arial"/>
          <w:color w:val="4E3B22"/>
        </w:rPr>
        <w:t>Line, 2024).</w:t>
      </w:r>
    </w:p>
    <w:p w14:paraId="1A9BE3DD" w14:textId="292F7813" w:rsidR="000B3B8E" w:rsidRDefault="00466BFF" w:rsidP="00E467BC">
      <w:pPr>
        <w:spacing w:line="360" w:lineRule="auto"/>
        <w:rPr>
          <w:rFonts w:ascii="Arial" w:hAnsi="Arial" w:cs="Arial"/>
          <w:color w:val="4E3B22"/>
        </w:rPr>
      </w:pPr>
      <w:r w:rsidRPr="00486094">
        <w:rPr>
          <w:rFonts w:ascii="Arial" w:hAnsi="Arial" w:cs="Arial"/>
          <w:color w:val="4E3B22"/>
        </w:rPr>
        <w:t xml:space="preserve">In conclusion, </w:t>
      </w:r>
      <w:r w:rsidR="000B3B8E" w:rsidRPr="00486094">
        <w:rPr>
          <w:rFonts w:ascii="Arial" w:hAnsi="Arial" w:cs="Arial"/>
          <w:color w:val="4E3B22"/>
        </w:rPr>
        <w:t>Starbucks’ STP strategies demonstrate strong contextual intelligence yet require rebalancing: deeper community-led positioning in the U.S. and expanded behavioural segmentation in India could strengthen resilience and long-term competitiveness.</w:t>
      </w:r>
    </w:p>
    <w:p w14:paraId="34D41065" w14:textId="77777777" w:rsidR="00A36CED" w:rsidRDefault="00A36CED" w:rsidP="00E467BC">
      <w:pPr>
        <w:spacing w:line="360" w:lineRule="auto"/>
        <w:rPr>
          <w:rFonts w:ascii="Arial" w:hAnsi="Arial" w:cs="Arial"/>
          <w:color w:val="4E3B22"/>
        </w:rPr>
      </w:pPr>
    </w:p>
    <w:p w14:paraId="15A85338" w14:textId="77777777" w:rsidR="00A36CED" w:rsidRDefault="00A36CED" w:rsidP="00E467BC">
      <w:pPr>
        <w:spacing w:line="360" w:lineRule="auto"/>
        <w:rPr>
          <w:rFonts w:ascii="Arial" w:hAnsi="Arial" w:cs="Arial"/>
          <w:color w:val="4E3B22"/>
        </w:rPr>
      </w:pPr>
    </w:p>
    <w:p w14:paraId="492273C5" w14:textId="77777777" w:rsidR="00A36CED" w:rsidRPr="00486094" w:rsidRDefault="00A36CED" w:rsidP="00E467BC">
      <w:pPr>
        <w:spacing w:line="360" w:lineRule="auto"/>
        <w:rPr>
          <w:rFonts w:ascii="Arial" w:hAnsi="Arial" w:cs="Arial"/>
          <w:color w:val="4E3B22"/>
        </w:rPr>
      </w:pPr>
    </w:p>
    <w:p w14:paraId="7713A2F0" w14:textId="77777777" w:rsidR="00091AF5" w:rsidRPr="00486094" w:rsidRDefault="00091AF5" w:rsidP="00091AF5"/>
    <w:p w14:paraId="5424C67C" w14:textId="119C01EF" w:rsidR="00091AF5" w:rsidRPr="00486094" w:rsidRDefault="00B15688" w:rsidP="00B15688">
      <w:pPr>
        <w:pStyle w:val="Heading1"/>
        <w:shd w:val="clear" w:color="auto" w:fill="295541"/>
        <w:rPr>
          <w:rFonts w:ascii="Arial" w:hAnsi="Arial" w:cs="Arial"/>
          <w:color w:val="EAFAEC"/>
        </w:rPr>
      </w:pPr>
      <w:bookmarkStart w:id="22" w:name="_Toc214067390"/>
      <w:r w:rsidRPr="00486094">
        <w:rPr>
          <w:rFonts w:ascii="Arial" w:hAnsi="Arial" w:cs="Arial"/>
          <w:color w:val="EAFAEC"/>
        </w:rPr>
        <w:lastRenderedPageBreak/>
        <w:t>Comparison of Marketing Mix (7Ps) Strategies</w:t>
      </w:r>
      <w:bookmarkEnd w:id="22"/>
    </w:p>
    <w:p w14:paraId="1CFDEAC8" w14:textId="77777777" w:rsidR="00091AF5" w:rsidRPr="00201FE3" w:rsidRDefault="00091AF5" w:rsidP="00201FE3">
      <w:pPr>
        <w:spacing w:line="360" w:lineRule="auto"/>
        <w:rPr>
          <w:color w:val="4E3B22"/>
        </w:rPr>
      </w:pPr>
    </w:p>
    <w:p w14:paraId="69E8BBA6" w14:textId="24C68A74" w:rsidR="00201FE3" w:rsidRPr="00201FE3" w:rsidRDefault="00201FE3" w:rsidP="00201FE3">
      <w:pPr>
        <w:spacing w:line="360" w:lineRule="auto"/>
        <w:rPr>
          <w:rFonts w:ascii="Arial" w:hAnsi="Arial" w:cs="Arial"/>
          <w:color w:val="4E3B22"/>
        </w:rPr>
      </w:pPr>
      <w:r w:rsidRPr="00201FE3">
        <w:rPr>
          <w:rFonts w:ascii="Arial" w:hAnsi="Arial" w:cs="Arial"/>
          <w:color w:val="4E3B22"/>
        </w:rPr>
        <w:t xml:space="preserve">The marketing mix provides a structured lens for comparing Starbucks’ strategic configuration in the United States and India. </w:t>
      </w:r>
      <w:r w:rsidR="00A24E4B" w:rsidRPr="00A24E4B">
        <w:rPr>
          <w:rFonts w:ascii="Arial" w:hAnsi="Arial" w:cs="Arial"/>
          <w:color w:val="4E3B22"/>
        </w:rPr>
        <w:t xml:space="preserve">The 7Ps </w:t>
      </w:r>
      <w:r w:rsidR="00A24E4B" w:rsidRPr="00201FE3">
        <w:rPr>
          <w:rFonts w:ascii="Arial" w:hAnsi="Arial" w:cs="Arial"/>
          <w:color w:val="4E3B22"/>
        </w:rPr>
        <w:t>framework (Booms and Bitner, 1981)</w:t>
      </w:r>
      <w:r w:rsidR="00A24E4B">
        <w:rPr>
          <w:rFonts w:ascii="Arial" w:hAnsi="Arial" w:cs="Arial"/>
          <w:color w:val="4E3B22"/>
        </w:rPr>
        <w:t xml:space="preserve"> </w:t>
      </w:r>
      <w:r w:rsidR="00A24E4B" w:rsidRPr="00A24E4B">
        <w:rPr>
          <w:rFonts w:ascii="Arial" w:hAnsi="Arial" w:cs="Arial"/>
          <w:color w:val="4E3B22"/>
        </w:rPr>
        <w:t>must be viewed as interdependent and context-adaptive rather than linear</w:t>
      </w:r>
      <w:r w:rsidR="00A24E4B">
        <w:rPr>
          <w:rFonts w:ascii="Arial" w:hAnsi="Arial" w:cs="Arial"/>
          <w:color w:val="4E3B22"/>
        </w:rPr>
        <w:t xml:space="preserve"> </w:t>
      </w:r>
      <w:r w:rsidRPr="00201FE3">
        <w:rPr>
          <w:rFonts w:ascii="Arial" w:hAnsi="Arial" w:cs="Arial"/>
          <w:color w:val="4E3B22"/>
        </w:rPr>
        <w:t>(Kotler and Keller, 2022; Czinkota et al., 2022).</w:t>
      </w:r>
    </w:p>
    <w:p w14:paraId="498710F5" w14:textId="1EAD951A" w:rsidR="00201FE3" w:rsidRDefault="00201FE3" w:rsidP="00A24E4B">
      <w:pPr>
        <w:spacing w:line="360" w:lineRule="auto"/>
        <w:rPr>
          <w:rFonts w:ascii="Arial" w:hAnsi="Arial" w:cs="Arial"/>
          <w:color w:val="4E3B22"/>
        </w:rPr>
      </w:pPr>
      <w:r w:rsidRPr="00201FE3">
        <w:rPr>
          <w:rFonts w:ascii="Arial" w:hAnsi="Arial" w:cs="Arial"/>
          <w:color w:val="4E3B22"/>
        </w:rPr>
        <w:t xml:space="preserve">To visualise the extent of localisation and standardisation across markets, </w:t>
      </w:r>
      <w:r w:rsidRPr="00A51C30">
        <w:rPr>
          <w:rFonts w:ascii="Arial" w:hAnsi="Arial" w:cs="Arial"/>
          <w:b/>
          <w:bCs/>
          <w:color w:val="4E3B22"/>
        </w:rPr>
        <w:t>Figure 1</w:t>
      </w:r>
      <w:r w:rsidRPr="00201FE3">
        <w:rPr>
          <w:rFonts w:ascii="Arial" w:hAnsi="Arial" w:cs="Arial"/>
          <w:color w:val="4E3B22"/>
        </w:rPr>
        <w:t xml:space="preserve"> presents a radar chart comparing the strategic distance between the U.S. and India. </w:t>
      </w:r>
      <w:r w:rsidR="00A24E4B" w:rsidRPr="00A24E4B">
        <w:rPr>
          <w:rFonts w:ascii="Arial" w:hAnsi="Arial" w:cs="Arial"/>
          <w:color w:val="4E3B22"/>
        </w:rPr>
        <w:t>The diagram shows divergence in key Ps, reflecting two distinct strategic logics.</w:t>
      </w:r>
    </w:p>
    <w:p w14:paraId="4587724E" w14:textId="77777777" w:rsidR="00FE75E4" w:rsidRDefault="00FE75E4" w:rsidP="00A24E4B">
      <w:pPr>
        <w:spacing w:line="360" w:lineRule="auto"/>
        <w:rPr>
          <w:rFonts w:ascii="Arial" w:hAnsi="Arial" w:cs="Arial"/>
          <w:color w:val="4E3B22"/>
        </w:rPr>
      </w:pPr>
    </w:p>
    <w:p w14:paraId="32A53DBC" w14:textId="7856BFBD" w:rsidR="00091AF5" w:rsidRPr="00486094" w:rsidRDefault="00730478" w:rsidP="00091AF5">
      <w:pPr>
        <w:rPr>
          <w:rFonts w:ascii="Arial" w:hAnsi="Arial" w:cs="Arial"/>
          <w:color w:val="4E3B22"/>
        </w:rPr>
      </w:pPr>
      <w:r w:rsidRPr="00486094">
        <w:rPr>
          <w:rFonts w:ascii="Arial" w:hAnsi="Arial" w:cs="Arial"/>
          <w:b/>
          <w:bCs/>
          <w:color w:val="4E3B22"/>
        </w:rPr>
        <w:t>Figure 1.</w:t>
      </w:r>
      <w:r w:rsidRPr="00486094">
        <w:rPr>
          <w:rFonts w:ascii="Arial" w:hAnsi="Arial" w:cs="Arial"/>
          <w:color w:val="4E3B22"/>
        </w:rPr>
        <w:t xml:space="preserve"> </w:t>
      </w:r>
      <w:r w:rsidR="00201FE3" w:rsidRPr="00201FE3">
        <w:rPr>
          <w:rFonts w:ascii="Arial" w:hAnsi="Arial" w:cs="Arial"/>
          <w:color w:val="4E3B22"/>
        </w:rPr>
        <w:t xml:space="preserve">Comparative Degree of Marketing Mix Adaptation </w:t>
      </w:r>
      <w:r w:rsidR="009F2ABF">
        <w:rPr>
          <w:rFonts w:ascii="Arial" w:hAnsi="Arial" w:cs="Arial"/>
          <w:color w:val="4E3B22"/>
        </w:rPr>
        <w:t xml:space="preserve">between </w:t>
      </w:r>
      <w:r w:rsidR="00201FE3" w:rsidRPr="00201FE3">
        <w:rPr>
          <w:rFonts w:ascii="Arial" w:hAnsi="Arial" w:cs="Arial"/>
          <w:color w:val="4E3B22"/>
        </w:rPr>
        <w:t xml:space="preserve">USA </w:t>
      </w:r>
      <w:r w:rsidR="009F2ABF">
        <w:rPr>
          <w:rFonts w:ascii="Arial" w:hAnsi="Arial" w:cs="Arial"/>
          <w:color w:val="4E3B22"/>
        </w:rPr>
        <w:t>and</w:t>
      </w:r>
      <w:r w:rsidR="00201FE3" w:rsidRPr="00201FE3">
        <w:rPr>
          <w:rFonts w:ascii="Arial" w:hAnsi="Arial" w:cs="Arial"/>
          <w:color w:val="4E3B22"/>
        </w:rPr>
        <w:t xml:space="preserve"> India</w:t>
      </w:r>
    </w:p>
    <w:p w14:paraId="55C57653" w14:textId="2C2EC491" w:rsidR="00091AF5" w:rsidRPr="00486094" w:rsidRDefault="000E6648" w:rsidP="00091AF5">
      <w:r w:rsidRPr="00486094">
        <w:rPr>
          <w:noProof/>
        </w:rPr>
        <w:drawing>
          <wp:inline distT="0" distB="0" distL="0" distR="0" wp14:anchorId="1937C658" wp14:editId="0BC0E561">
            <wp:extent cx="4572000" cy="2743200"/>
            <wp:effectExtent l="0" t="0" r="0" b="0"/>
            <wp:docPr id="1421803394" name="Chart 1">
              <a:extLst xmlns:a="http://schemas.openxmlformats.org/drawingml/2006/main">
                <a:ext uri="{FF2B5EF4-FFF2-40B4-BE49-F238E27FC236}">
                  <a16:creationId xmlns:a16="http://schemas.microsoft.com/office/drawing/2014/main" id="{CCABBE34-DC91-670E-7F3F-D6B87F8DC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BABB7A4" w14:textId="77777777" w:rsidR="00FE75E4" w:rsidRDefault="00FE75E4" w:rsidP="00A51C30">
      <w:pPr>
        <w:spacing w:line="360" w:lineRule="auto"/>
        <w:rPr>
          <w:rFonts w:ascii="Arial" w:hAnsi="Arial" w:cs="Arial"/>
          <w:color w:val="4E3B22"/>
        </w:rPr>
      </w:pPr>
    </w:p>
    <w:p w14:paraId="2E2A1F16" w14:textId="7838F213" w:rsidR="00A51C30" w:rsidRPr="00A51C30" w:rsidRDefault="00A51C30" w:rsidP="00A51C30">
      <w:pPr>
        <w:spacing w:line="360" w:lineRule="auto"/>
        <w:rPr>
          <w:rFonts w:ascii="Arial" w:hAnsi="Arial" w:cs="Arial"/>
          <w:color w:val="4E3B22"/>
        </w:rPr>
      </w:pPr>
      <w:r w:rsidRPr="00A51C30">
        <w:rPr>
          <w:rFonts w:ascii="Arial" w:hAnsi="Arial" w:cs="Arial"/>
          <w:color w:val="4E3B22"/>
        </w:rPr>
        <w:t>The radar chart illustrates the relative degree of localisation across Starbucks’ 7Ps in the United States and India (1 = highly standardised; 5 = highly localised). The U.S. configuration clusters around lower localisation scores, reflecting a digitally standardised model built on operational efficiency, personalisation technology, and consistent brand identity. In contrast, India displays markedly higher localisation in Product, Promotion, People and Physical Evidence, indicating deeper cultural embedding.</w:t>
      </w:r>
    </w:p>
    <w:p w14:paraId="20F74983" w14:textId="77777777" w:rsidR="00A51C30" w:rsidRPr="00A51C30" w:rsidRDefault="00A51C30" w:rsidP="00A51C30">
      <w:pPr>
        <w:spacing w:line="360" w:lineRule="auto"/>
        <w:rPr>
          <w:rFonts w:ascii="Arial" w:hAnsi="Arial" w:cs="Arial"/>
          <w:color w:val="4E3B22"/>
        </w:rPr>
      </w:pPr>
    </w:p>
    <w:p w14:paraId="45DCBB01" w14:textId="6D211D97" w:rsidR="00A51C30" w:rsidRDefault="00A51C30" w:rsidP="00A51C30">
      <w:pPr>
        <w:spacing w:line="360" w:lineRule="auto"/>
        <w:rPr>
          <w:rFonts w:ascii="Arial" w:hAnsi="Arial" w:cs="Arial"/>
          <w:color w:val="4E3B22"/>
        </w:rPr>
      </w:pPr>
      <w:r w:rsidRPr="00A51C30">
        <w:rPr>
          <w:rFonts w:ascii="Arial" w:hAnsi="Arial" w:cs="Arial"/>
          <w:color w:val="4E3B22"/>
        </w:rPr>
        <w:lastRenderedPageBreak/>
        <w:t>This pattern supports the dual-strategy argument developed in international marketing research: mature markets favour efficiency-led standardisation, whereas emerging markets require culturally adaptive strategies (Czinkota et al., 2022; Visconti et al., 2020). Starbucks</w:t>
      </w:r>
      <w:r w:rsidR="00B73C63">
        <w:rPr>
          <w:rFonts w:ascii="Arial" w:hAnsi="Arial" w:cs="Arial"/>
          <w:color w:val="4E3B22"/>
        </w:rPr>
        <w:t>,</w:t>
      </w:r>
      <w:r w:rsidRPr="00A51C30">
        <w:rPr>
          <w:rFonts w:ascii="Arial" w:hAnsi="Arial" w:cs="Arial"/>
          <w:color w:val="4E3B22"/>
        </w:rPr>
        <w:t xml:space="preserve"> therefore</w:t>
      </w:r>
      <w:r w:rsidR="00B73C63">
        <w:rPr>
          <w:rFonts w:ascii="Arial" w:hAnsi="Arial" w:cs="Arial"/>
          <w:color w:val="4E3B22"/>
        </w:rPr>
        <w:t>,</w:t>
      </w:r>
      <w:r w:rsidRPr="00A51C30">
        <w:rPr>
          <w:rFonts w:ascii="Arial" w:hAnsi="Arial" w:cs="Arial"/>
          <w:color w:val="4E3B22"/>
        </w:rPr>
        <w:t xml:space="preserve"> operates two complementary strategic logics</w:t>
      </w:r>
      <w:r w:rsidR="00E15774">
        <w:rPr>
          <w:rFonts w:ascii="Arial" w:hAnsi="Arial" w:cs="Arial"/>
          <w:color w:val="4E3B22"/>
        </w:rPr>
        <w:t>-</w:t>
      </w:r>
      <w:r w:rsidRPr="00A51C30">
        <w:rPr>
          <w:rFonts w:ascii="Arial" w:hAnsi="Arial" w:cs="Arial"/>
          <w:color w:val="4E3B22"/>
        </w:rPr>
        <w:t>one anchored in digital scale and uniformity in the U.S., and another centred on socio-cultural resonance and experiential localisation in India.</w:t>
      </w:r>
    </w:p>
    <w:p w14:paraId="0A7CE70E" w14:textId="77777777" w:rsidR="00A51C30" w:rsidRPr="00A51C30" w:rsidRDefault="00A51C30" w:rsidP="00A51C30">
      <w:pPr>
        <w:spacing w:line="360" w:lineRule="auto"/>
        <w:rPr>
          <w:rFonts w:ascii="Arial" w:hAnsi="Arial" w:cs="Arial"/>
          <w:color w:val="4E3B22"/>
        </w:rPr>
      </w:pPr>
    </w:p>
    <w:p w14:paraId="790A54CF" w14:textId="316D36D1" w:rsidR="00201FE3" w:rsidRPr="00201FE3" w:rsidRDefault="00201FE3" w:rsidP="00A51C30">
      <w:pPr>
        <w:pStyle w:val="Heading2"/>
        <w:rPr>
          <w:rFonts w:ascii="Arial" w:hAnsi="Arial" w:cs="Arial"/>
          <w:color w:val="4E3B22"/>
        </w:rPr>
      </w:pPr>
      <w:bookmarkStart w:id="23" w:name="_Toc214067391"/>
      <w:r w:rsidRPr="00201FE3">
        <w:rPr>
          <w:rFonts w:ascii="Arial" w:hAnsi="Arial" w:cs="Arial"/>
          <w:color w:val="4E3B22"/>
        </w:rPr>
        <w:t>Product Strategy</w:t>
      </w:r>
      <w:bookmarkEnd w:id="23"/>
    </w:p>
    <w:p w14:paraId="5485AD05" w14:textId="77777777" w:rsidR="009F2ABF" w:rsidRDefault="009F2ABF" w:rsidP="00E15774">
      <w:pPr>
        <w:spacing w:line="360" w:lineRule="auto"/>
        <w:rPr>
          <w:rFonts w:ascii="Arial" w:hAnsi="Arial" w:cs="Arial"/>
          <w:color w:val="4E3B22"/>
        </w:rPr>
      </w:pPr>
      <w:r w:rsidRPr="009F2ABF">
        <w:rPr>
          <w:rFonts w:ascii="Arial" w:hAnsi="Arial" w:cs="Arial"/>
          <w:color w:val="4E3B22"/>
        </w:rPr>
        <w:t>Among the 7Ps, product strategy reflects the most pronounced divergence between the two markets.</w:t>
      </w:r>
      <w:r w:rsidRPr="00E15774">
        <w:rPr>
          <w:rFonts w:ascii="Arial" w:hAnsi="Arial" w:cs="Arial"/>
          <w:color w:val="4E3B22"/>
        </w:rPr>
        <w:t xml:space="preserve"> </w:t>
      </w:r>
    </w:p>
    <w:p w14:paraId="775EF71B" w14:textId="5A4FBFF5" w:rsidR="00E15774" w:rsidRPr="00E15774" w:rsidRDefault="007C424D" w:rsidP="00E15774">
      <w:pPr>
        <w:spacing w:line="360" w:lineRule="auto"/>
        <w:rPr>
          <w:rFonts w:ascii="Arial" w:hAnsi="Arial" w:cs="Arial"/>
          <w:color w:val="4E3B22"/>
        </w:rPr>
      </w:pPr>
      <w:r w:rsidRPr="007C424D">
        <w:rPr>
          <w:rFonts w:ascii="Arial" w:hAnsi="Arial" w:cs="Arial"/>
          <w:color w:val="4E3B22"/>
        </w:rPr>
        <w:t>In the U.S., Starbucks offers a highly standardised portfolio focused on beverage customisation</w:t>
      </w:r>
      <w:r w:rsidR="00E15774" w:rsidRPr="00E15774">
        <w:rPr>
          <w:rFonts w:ascii="Arial" w:hAnsi="Arial" w:cs="Arial"/>
          <w:color w:val="4E3B22"/>
        </w:rPr>
        <w:t>, seasonal innovations, and a unified flavour profile. This approach strengthens brand equity (Aaker, 2009) and delivers consistent sensory expectations across a saturated market.</w:t>
      </w:r>
    </w:p>
    <w:p w14:paraId="3A32F4A6" w14:textId="061F7B50" w:rsidR="00E15774" w:rsidRPr="00E15774" w:rsidRDefault="00E15774" w:rsidP="00E15774">
      <w:pPr>
        <w:spacing w:line="360" w:lineRule="auto"/>
        <w:rPr>
          <w:rFonts w:ascii="Arial" w:hAnsi="Arial" w:cs="Arial"/>
          <w:color w:val="4E3B22"/>
        </w:rPr>
      </w:pPr>
      <w:r w:rsidRPr="00E15774">
        <w:rPr>
          <w:rFonts w:ascii="Arial" w:hAnsi="Arial" w:cs="Arial"/>
          <w:color w:val="4E3B22"/>
        </w:rPr>
        <w:t xml:space="preserve">By contrast, India requires extensive product adaptation. Localised beverages such as Masala Chai, Cardamom Latte, regional </w:t>
      </w:r>
      <w:r w:rsidR="00710642" w:rsidRPr="00E15774">
        <w:rPr>
          <w:rFonts w:ascii="Arial" w:hAnsi="Arial" w:cs="Arial"/>
          <w:color w:val="4E3B22"/>
        </w:rPr>
        <w:t>snacks,</w:t>
      </w:r>
      <w:r w:rsidRPr="00E15774">
        <w:rPr>
          <w:rFonts w:ascii="Arial" w:hAnsi="Arial" w:cs="Arial"/>
          <w:color w:val="4E3B22"/>
        </w:rPr>
        <w:t xml:space="preserve"> and vegetarian items demonstrate cultural embedding consistent with Visconti et al.’s (2020) cultural branding framework. Starbucks’ reliance on Tata Coffee also signals a country-of-origin repositioning (Pegan et al., 2020), reframing the brand as both global and distinctly Indian.</w:t>
      </w:r>
      <w:r w:rsidR="00700602">
        <w:rPr>
          <w:rFonts w:ascii="Arial" w:hAnsi="Arial" w:cs="Arial"/>
          <w:color w:val="4E3B22"/>
        </w:rPr>
        <w:t xml:space="preserve"> </w:t>
      </w:r>
      <w:r w:rsidR="00700602" w:rsidRPr="00700602">
        <w:rPr>
          <w:rFonts w:ascii="Arial" w:hAnsi="Arial" w:cs="Arial"/>
          <w:color w:val="4E3B22"/>
        </w:rPr>
        <w:t>Starbucks India currently operates over 390 stores with an annual expansion rate of approximately 21% (Tata Starbucks, 2024), indicating that localisation is strongly correlated with market penetration.</w:t>
      </w:r>
    </w:p>
    <w:p w14:paraId="05E1C6F7" w14:textId="6D81E3A5" w:rsidR="00E15774" w:rsidRDefault="00E15774" w:rsidP="00E15774">
      <w:pPr>
        <w:spacing w:line="360" w:lineRule="auto"/>
        <w:rPr>
          <w:rFonts w:ascii="Arial" w:hAnsi="Arial" w:cs="Arial"/>
          <w:color w:val="4E3B22"/>
        </w:rPr>
      </w:pPr>
      <w:r w:rsidRPr="00E15774">
        <w:rPr>
          <w:rFonts w:ascii="Arial" w:hAnsi="Arial" w:cs="Arial"/>
          <w:color w:val="4E3B22"/>
        </w:rPr>
        <w:t xml:space="preserve">Levitt’s (1983) assertion that global markets are converging is contradicted here. Consumer taste preferences in India remain deeply tied to social rituals and climate, requiring a more nuanced product strategy. Furthermore, </w:t>
      </w:r>
      <w:r w:rsidR="008E51A1">
        <w:rPr>
          <w:rFonts w:ascii="Arial" w:hAnsi="Arial" w:cs="Arial"/>
          <w:color w:val="4E3B22"/>
        </w:rPr>
        <w:t>t</w:t>
      </w:r>
      <w:r w:rsidR="008E51A1" w:rsidRPr="008E51A1">
        <w:rPr>
          <w:rFonts w:ascii="Arial" w:hAnsi="Arial" w:cs="Arial"/>
          <w:color w:val="4E3B22"/>
        </w:rPr>
        <w:t>he increasing SKU diversity in India enhances local appeal but also elevates operational complexity</w:t>
      </w:r>
      <w:r w:rsidR="008E51A1">
        <w:rPr>
          <w:rFonts w:ascii="Arial" w:hAnsi="Arial" w:cs="Arial"/>
          <w:color w:val="4E3B22"/>
        </w:rPr>
        <w:t>-</w:t>
      </w:r>
      <w:r w:rsidR="008E51A1" w:rsidRPr="008E51A1">
        <w:rPr>
          <w:rFonts w:ascii="Arial" w:hAnsi="Arial" w:cs="Arial"/>
          <w:color w:val="4E3B22"/>
        </w:rPr>
        <w:t>an often-overlooked trade-off in standardisation theory.</w:t>
      </w:r>
    </w:p>
    <w:p w14:paraId="4C06C06F" w14:textId="77777777" w:rsidR="008E51A1" w:rsidRPr="00201FE3" w:rsidRDefault="008E51A1" w:rsidP="00E15774">
      <w:pPr>
        <w:spacing w:line="360" w:lineRule="auto"/>
        <w:rPr>
          <w:rFonts w:ascii="Arial" w:hAnsi="Arial" w:cs="Arial"/>
          <w:color w:val="4E3B22"/>
        </w:rPr>
      </w:pPr>
    </w:p>
    <w:p w14:paraId="60299994" w14:textId="7ABB28AE" w:rsidR="00201FE3" w:rsidRPr="00201FE3" w:rsidRDefault="00201FE3" w:rsidP="00201FE3">
      <w:pPr>
        <w:pStyle w:val="Heading2"/>
        <w:rPr>
          <w:rFonts w:ascii="Arial" w:hAnsi="Arial" w:cs="Arial"/>
          <w:color w:val="4E3B22"/>
        </w:rPr>
      </w:pPr>
      <w:bookmarkStart w:id="24" w:name="_Toc214067392"/>
      <w:r w:rsidRPr="00201FE3">
        <w:rPr>
          <w:rFonts w:ascii="Arial" w:hAnsi="Arial" w:cs="Arial"/>
          <w:color w:val="4E3B22"/>
        </w:rPr>
        <w:t>Price Strategy</w:t>
      </w:r>
      <w:bookmarkEnd w:id="24"/>
    </w:p>
    <w:p w14:paraId="2758EF81" w14:textId="77777777" w:rsidR="00E15774" w:rsidRPr="00E15774" w:rsidRDefault="00E15774" w:rsidP="00E15774">
      <w:pPr>
        <w:spacing w:line="360" w:lineRule="auto"/>
        <w:rPr>
          <w:rFonts w:ascii="Arial" w:hAnsi="Arial" w:cs="Arial"/>
          <w:color w:val="4E3B22"/>
        </w:rPr>
      </w:pPr>
      <w:r w:rsidRPr="00E15774">
        <w:rPr>
          <w:rFonts w:ascii="Arial" w:hAnsi="Arial" w:cs="Arial"/>
          <w:color w:val="4E3B22"/>
        </w:rPr>
        <w:t>Pricing strategies further expose structural divergence.</w:t>
      </w:r>
    </w:p>
    <w:p w14:paraId="45D1DFDB" w14:textId="62002825" w:rsidR="00E15774" w:rsidRPr="00E15774" w:rsidRDefault="00E15774" w:rsidP="00E15774">
      <w:pPr>
        <w:spacing w:line="360" w:lineRule="auto"/>
        <w:rPr>
          <w:rFonts w:ascii="Arial" w:hAnsi="Arial" w:cs="Arial"/>
          <w:color w:val="4E3B22"/>
        </w:rPr>
      </w:pPr>
      <w:r w:rsidRPr="00E15774">
        <w:rPr>
          <w:rFonts w:ascii="Arial" w:hAnsi="Arial" w:cs="Arial"/>
          <w:color w:val="4E3B22"/>
        </w:rPr>
        <w:t xml:space="preserve">In the U.S., Starbucks employs premium pricing, supported by low price elasticity due to strong loyalty programme engagement (Monroe, 2012). </w:t>
      </w:r>
      <w:r w:rsidR="00700602" w:rsidRPr="00700602">
        <w:rPr>
          <w:rFonts w:ascii="Arial" w:hAnsi="Arial" w:cs="Arial"/>
          <w:color w:val="4E3B22"/>
        </w:rPr>
        <w:t xml:space="preserve">The strength of the U.S. value proposition is reinforced by the scale of Starbucks Rewards, which now exceeds 34.3 million active members </w:t>
      </w:r>
      <w:r w:rsidR="00700602" w:rsidRPr="00700602">
        <w:rPr>
          <w:rFonts w:ascii="Arial" w:hAnsi="Arial" w:cs="Arial"/>
          <w:color w:val="4E3B22"/>
        </w:rPr>
        <w:lastRenderedPageBreak/>
        <w:t>(Starbucks, 2024).</w:t>
      </w:r>
      <w:r w:rsidR="00700602">
        <w:rPr>
          <w:rFonts w:ascii="Arial" w:hAnsi="Arial" w:cs="Arial"/>
          <w:color w:val="4E3B22"/>
        </w:rPr>
        <w:t xml:space="preserve"> </w:t>
      </w:r>
      <w:r w:rsidR="008B5E30" w:rsidRPr="008B5E30">
        <w:rPr>
          <w:rFonts w:ascii="Arial" w:hAnsi="Arial" w:cs="Arial"/>
          <w:color w:val="4E3B22"/>
        </w:rPr>
        <w:t>Digital personalisation further reinforces perceived value by strengthening Starbucks’ “</w:t>
      </w:r>
      <w:r w:rsidR="007C424D" w:rsidRPr="008B5E30">
        <w:rPr>
          <w:rFonts w:ascii="Arial" w:hAnsi="Arial" w:cs="Arial"/>
          <w:color w:val="4E3B22"/>
        </w:rPr>
        <w:t>personalised luxury</w:t>
      </w:r>
      <w:r w:rsidR="008B5E30" w:rsidRPr="008B5E30">
        <w:rPr>
          <w:rFonts w:ascii="Arial" w:hAnsi="Arial" w:cs="Arial"/>
          <w:color w:val="4E3B22"/>
        </w:rPr>
        <w:t>” proposition.</w:t>
      </w:r>
      <w:r w:rsidR="008B5E30" w:rsidRPr="00E15774">
        <w:rPr>
          <w:rFonts w:ascii="Arial" w:hAnsi="Arial" w:cs="Arial"/>
          <w:color w:val="4E3B22"/>
        </w:rPr>
        <w:t xml:space="preserve"> In</w:t>
      </w:r>
      <w:r w:rsidRPr="00E15774">
        <w:rPr>
          <w:rFonts w:ascii="Arial" w:hAnsi="Arial" w:cs="Arial"/>
          <w:color w:val="4E3B22"/>
        </w:rPr>
        <w:t xml:space="preserve"> India, Starbucks uses value-based pricing, introducing more affordable beverages and local snacks to accommodate diverse income segments. However, the brand still positions itself as aspirational, targeting upper-middle-class youth and professionals. This aligns with Hooley et al.’s (2020) positioning theory but raises ethical concerns under Carroll’s (1999) CSR Pyramid, since premium positioning may implicitly exclude lower-income consumers.</w:t>
      </w:r>
    </w:p>
    <w:p w14:paraId="7D77A020" w14:textId="1F859FB7" w:rsidR="00201FE3" w:rsidRDefault="00E15774" w:rsidP="00E15774">
      <w:pPr>
        <w:spacing w:line="360" w:lineRule="auto"/>
        <w:rPr>
          <w:rFonts w:ascii="Arial" w:hAnsi="Arial" w:cs="Arial"/>
          <w:color w:val="4E3B22"/>
        </w:rPr>
      </w:pPr>
      <w:r w:rsidRPr="00E15774">
        <w:rPr>
          <w:rFonts w:ascii="Arial" w:hAnsi="Arial" w:cs="Arial"/>
          <w:color w:val="4E3B22"/>
        </w:rPr>
        <w:t>India’s high price sensitivity challenges Starbucks’ long-term ability to maintain premium positioning. Without deeper local sourcing efficiencies and smaller portion options, price barriers may inhibit penetration in tier-2 and tier-3 cities.</w:t>
      </w:r>
    </w:p>
    <w:p w14:paraId="189BEC8E" w14:textId="77777777" w:rsidR="00E15774" w:rsidRPr="00E15774" w:rsidRDefault="00E15774" w:rsidP="00E15774">
      <w:pPr>
        <w:spacing w:line="360" w:lineRule="auto"/>
        <w:rPr>
          <w:rFonts w:ascii="Arial" w:hAnsi="Arial" w:cs="Arial"/>
          <w:color w:val="4E3B22"/>
        </w:rPr>
      </w:pPr>
    </w:p>
    <w:p w14:paraId="47706598" w14:textId="7B60EEAF" w:rsidR="00201FE3" w:rsidRPr="00201FE3" w:rsidRDefault="00201FE3" w:rsidP="00201FE3">
      <w:pPr>
        <w:pStyle w:val="Heading2"/>
        <w:rPr>
          <w:rFonts w:ascii="Arial" w:hAnsi="Arial" w:cs="Arial"/>
          <w:color w:val="4E3B22"/>
        </w:rPr>
      </w:pPr>
      <w:bookmarkStart w:id="25" w:name="_Toc214067393"/>
      <w:r w:rsidRPr="00201FE3">
        <w:rPr>
          <w:rFonts w:ascii="Arial" w:hAnsi="Arial" w:cs="Arial"/>
          <w:color w:val="4E3B22"/>
        </w:rPr>
        <w:t>Place / Distribution Strategy</w:t>
      </w:r>
      <w:bookmarkEnd w:id="25"/>
    </w:p>
    <w:p w14:paraId="20666E6A" w14:textId="77777777" w:rsidR="00E15774" w:rsidRPr="00E15774" w:rsidRDefault="00E15774" w:rsidP="00E15774">
      <w:pPr>
        <w:spacing w:line="360" w:lineRule="auto"/>
        <w:rPr>
          <w:rFonts w:ascii="Arial" w:hAnsi="Arial" w:cs="Arial"/>
          <w:color w:val="4E3B22"/>
        </w:rPr>
      </w:pPr>
      <w:r w:rsidRPr="00E15774">
        <w:rPr>
          <w:rFonts w:ascii="Arial" w:hAnsi="Arial" w:cs="Arial"/>
          <w:color w:val="4E3B22"/>
        </w:rPr>
        <w:t>The U.S. distribution model prioritises convenience and digital integration.</w:t>
      </w:r>
    </w:p>
    <w:p w14:paraId="543295C5" w14:textId="264392F8" w:rsidR="00E15774" w:rsidRPr="00E15774" w:rsidRDefault="00E15774" w:rsidP="00E15774">
      <w:pPr>
        <w:spacing w:line="360" w:lineRule="auto"/>
        <w:rPr>
          <w:rFonts w:ascii="Arial" w:hAnsi="Arial" w:cs="Arial"/>
          <w:color w:val="4E3B22"/>
        </w:rPr>
      </w:pPr>
      <w:r w:rsidRPr="00E15774">
        <w:rPr>
          <w:rFonts w:ascii="Arial" w:hAnsi="Arial" w:cs="Arial"/>
          <w:color w:val="4E3B22"/>
        </w:rPr>
        <w:t>Over 75% of stores include drive-thru facilities, and mobile ordering accounts for more than 55% of transactions (Starbucks, 2024). This reflects Christopher’s (2016) supply chain optimisation theory, where efficiency and speed maximise customer satisfaction.</w:t>
      </w:r>
    </w:p>
    <w:p w14:paraId="4C94E301" w14:textId="14E110E3" w:rsidR="00E15774" w:rsidRPr="00E15774" w:rsidRDefault="00E15774" w:rsidP="00E15774">
      <w:pPr>
        <w:spacing w:line="360" w:lineRule="auto"/>
        <w:rPr>
          <w:rFonts w:ascii="Arial" w:hAnsi="Arial" w:cs="Arial"/>
          <w:color w:val="4E3B22"/>
        </w:rPr>
      </w:pPr>
      <w:r w:rsidRPr="00E15774">
        <w:rPr>
          <w:rFonts w:ascii="Arial" w:hAnsi="Arial" w:cs="Arial"/>
          <w:color w:val="4E3B22"/>
        </w:rPr>
        <w:t xml:space="preserve">In India, distribution relies on mall-based stores, high-footfall urban districts, and partnerships with delivery aggregators. Expansion into tier-2/3 cities leverages Tata’s regulatory insight and real estate networks </w:t>
      </w:r>
      <w:r>
        <w:rPr>
          <w:rFonts w:ascii="Arial" w:hAnsi="Arial" w:cs="Arial"/>
          <w:color w:val="4E3B22"/>
        </w:rPr>
        <w:t>-</w:t>
      </w:r>
      <w:r w:rsidRPr="00E15774">
        <w:rPr>
          <w:rFonts w:ascii="Arial" w:hAnsi="Arial" w:cs="Arial"/>
          <w:color w:val="4E3B22"/>
        </w:rPr>
        <w:t xml:space="preserve"> a strategic advantage aligned with Dunning’s OLI framework (1993).</w:t>
      </w:r>
    </w:p>
    <w:p w14:paraId="5F55C9A3" w14:textId="06D57A6E" w:rsidR="00201FE3" w:rsidRDefault="00E15774" w:rsidP="00E15774">
      <w:pPr>
        <w:spacing w:line="360" w:lineRule="auto"/>
        <w:rPr>
          <w:rFonts w:ascii="Arial" w:hAnsi="Arial" w:cs="Arial"/>
          <w:color w:val="4E3B22"/>
        </w:rPr>
      </w:pPr>
      <w:r w:rsidRPr="00E15774">
        <w:rPr>
          <w:rFonts w:ascii="Arial" w:hAnsi="Arial" w:cs="Arial"/>
          <w:color w:val="4E3B22"/>
        </w:rPr>
        <w:t>India’s infrastructure gaps (traffic congestion, less widespread drive-thru culture) limit the viability of the U.S. model. Standardised logistics systems thus cannot be directly transferred, challenging the premise of global operational scalability.</w:t>
      </w:r>
    </w:p>
    <w:p w14:paraId="3B0464D6" w14:textId="38E0BAB3" w:rsidR="00700602" w:rsidRDefault="00700602" w:rsidP="00E15774">
      <w:pPr>
        <w:spacing w:line="360" w:lineRule="auto"/>
        <w:rPr>
          <w:rFonts w:ascii="Arial" w:hAnsi="Arial" w:cs="Arial"/>
          <w:color w:val="4E3B22"/>
        </w:rPr>
      </w:pPr>
      <w:r w:rsidRPr="00700602">
        <w:rPr>
          <w:rFonts w:ascii="Arial" w:hAnsi="Arial" w:cs="Arial"/>
          <w:color w:val="4E3B22"/>
        </w:rPr>
        <w:t>Overall, the divergence in distribution structures reflects how infrastructural and institutional conditions constrain the transferability of U.S. logistics models to emerging markets.</w:t>
      </w:r>
    </w:p>
    <w:p w14:paraId="32AA4A6B" w14:textId="77777777" w:rsidR="00663380" w:rsidRPr="00E15774" w:rsidRDefault="00663380" w:rsidP="00E15774">
      <w:pPr>
        <w:spacing w:line="360" w:lineRule="auto"/>
        <w:rPr>
          <w:rFonts w:ascii="Arial" w:hAnsi="Arial" w:cs="Arial"/>
          <w:color w:val="4E3B22"/>
        </w:rPr>
      </w:pPr>
    </w:p>
    <w:p w14:paraId="2A4D5F72" w14:textId="2ACB8012" w:rsidR="00201FE3" w:rsidRPr="00E15774" w:rsidRDefault="00201FE3" w:rsidP="00201FE3">
      <w:pPr>
        <w:pStyle w:val="Heading2"/>
        <w:rPr>
          <w:rFonts w:ascii="Arial" w:hAnsi="Arial" w:cs="Arial"/>
          <w:color w:val="4E3B22"/>
        </w:rPr>
      </w:pPr>
      <w:bookmarkStart w:id="26" w:name="_Toc214067394"/>
      <w:r w:rsidRPr="00E15774">
        <w:rPr>
          <w:rFonts w:ascii="Arial" w:hAnsi="Arial" w:cs="Arial"/>
          <w:color w:val="4E3B22"/>
        </w:rPr>
        <w:t>Promotion Strategy</w:t>
      </w:r>
      <w:bookmarkEnd w:id="26"/>
    </w:p>
    <w:p w14:paraId="7F6D1918" w14:textId="77777777" w:rsidR="00E15774" w:rsidRPr="00E15774" w:rsidRDefault="00E15774" w:rsidP="00E15774">
      <w:pPr>
        <w:spacing w:line="360" w:lineRule="auto"/>
        <w:rPr>
          <w:rFonts w:ascii="Arial" w:hAnsi="Arial" w:cs="Arial"/>
          <w:color w:val="4E3B22"/>
        </w:rPr>
      </w:pPr>
      <w:r w:rsidRPr="00E15774">
        <w:rPr>
          <w:rFonts w:ascii="Arial" w:hAnsi="Arial" w:cs="Arial"/>
          <w:color w:val="4E3B22"/>
        </w:rPr>
        <w:t>Promotional strategy is shaped heavily by cultural communication norms.</w:t>
      </w:r>
    </w:p>
    <w:p w14:paraId="25247113" w14:textId="756C236B" w:rsidR="00E15774" w:rsidRPr="00E15774" w:rsidRDefault="00E15774" w:rsidP="00E15774">
      <w:pPr>
        <w:spacing w:line="360" w:lineRule="auto"/>
        <w:rPr>
          <w:rFonts w:ascii="Arial" w:hAnsi="Arial" w:cs="Arial"/>
          <w:color w:val="4E3B22"/>
        </w:rPr>
      </w:pPr>
      <w:r w:rsidRPr="00E15774">
        <w:rPr>
          <w:rFonts w:ascii="Arial" w:hAnsi="Arial" w:cs="Arial"/>
          <w:color w:val="4E3B22"/>
        </w:rPr>
        <w:lastRenderedPageBreak/>
        <w:t xml:space="preserve">In the U.S., Starbucks employs sophisticated integrated marketing communication (IMC) </w:t>
      </w:r>
      <w:r>
        <w:rPr>
          <w:rFonts w:ascii="Arial" w:hAnsi="Arial" w:cs="Arial"/>
          <w:color w:val="4E3B22"/>
        </w:rPr>
        <w:t>-</w:t>
      </w:r>
      <w:r w:rsidRPr="00E15774">
        <w:rPr>
          <w:rFonts w:ascii="Arial" w:hAnsi="Arial" w:cs="Arial"/>
          <w:color w:val="4E3B22"/>
        </w:rPr>
        <w:t xml:space="preserve"> loyalty-based offers, AI-driven personalisation, and consistent brand storytelling (Kitchen and Burgmann, 2015).</w:t>
      </w:r>
    </w:p>
    <w:p w14:paraId="1FA403A0" w14:textId="034D5247" w:rsidR="00E15774" w:rsidRPr="00E15774" w:rsidRDefault="00E15774" w:rsidP="00E15774">
      <w:pPr>
        <w:spacing w:line="360" w:lineRule="auto"/>
        <w:rPr>
          <w:rFonts w:ascii="Arial" w:hAnsi="Arial" w:cs="Arial"/>
          <w:color w:val="4E3B22"/>
        </w:rPr>
      </w:pPr>
      <w:r w:rsidRPr="00E15774">
        <w:rPr>
          <w:rFonts w:ascii="Arial" w:hAnsi="Arial" w:cs="Arial"/>
          <w:color w:val="4E3B22"/>
        </w:rPr>
        <w:t>In India, storytelling is culturally contextualised through festival-led campaigns (Diwali, Holi), community engagement, and locally resonant visual symbols. High-context communication (Hall, 1976) plays a critical role, requiring greater emphasis on emotional, symbolic, and family-oriented narratives.</w:t>
      </w:r>
    </w:p>
    <w:p w14:paraId="238577B3" w14:textId="18A2DCC3" w:rsidR="00201FE3" w:rsidRDefault="00E15774" w:rsidP="00E15774">
      <w:pPr>
        <w:spacing w:line="360" w:lineRule="auto"/>
        <w:rPr>
          <w:rFonts w:ascii="Arial" w:hAnsi="Arial" w:cs="Arial"/>
          <w:color w:val="4E3B22"/>
        </w:rPr>
      </w:pPr>
      <w:r w:rsidRPr="00E15774">
        <w:rPr>
          <w:rFonts w:ascii="Arial" w:hAnsi="Arial" w:cs="Arial"/>
          <w:color w:val="4E3B22"/>
        </w:rPr>
        <w:t>U.S. promotion leverages data; Indian promotion leverages culture. The inability to transfer symbolic meaning across borders supports Visconti et al.’s (2020) argument that global brands must localise their moral and cultural compass.</w:t>
      </w:r>
    </w:p>
    <w:p w14:paraId="459E3B86" w14:textId="77777777" w:rsidR="00E15774" w:rsidRPr="00E15774" w:rsidRDefault="00E15774" w:rsidP="00E15774">
      <w:pPr>
        <w:spacing w:line="360" w:lineRule="auto"/>
        <w:rPr>
          <w:rFonts w:ascii="Arial" w:hAnsi="Arial" w:cs="Arial"/>
          <w:color w:val="4E3B22"/>
        </w:rPr>
      </w:pPr>
    </w:p>
    <w:p w14:paraId="0C727EA0" w14:textId="7D0F4252" w:rsidR="00201FE3" w:rsidRPr="00201FE3" w:rsidRDefault="00201FE3" w:rsidP="00201FE3">
      <w:pPr>
        <w:pStyle w:val="Heading2"/>
        <w:rPr>
          <w:rFonts w:ascii="Arial" w:hAnsi="Arial" w:cs="Arial"/>
          <w:color w:val="4E3B22"/>
        </w:rPr>
      </w:pPr>
      <w:bookmarkStart w:id="27" w:name="_Toc214067395"/>
      <w:r w:rsidRPr="00201FE3">
        <w:rPr>
          <w:rFonts w:ascii="Arial" w:hAnsi="Arial" w:cs="Arial"/>
          <w:color w:val="4E3B22"/>
        </w:rPr>
        <w:t>People Strategy</w:t>
      </w:r>
      <w:bookmarkEnd w:id="27"/>
    </w:p>
    <w:p w14:paraId="1F707002" w14:textId="77777777" w:rsidR="00201FE3" w:rsidRPr="00201FE3" w:rsidRDefault="00201FE3" w:rsidP="00201FE3">
      <w:pPr>
        <w:spacing w:line="360" w:lineRule="auto"/>
        <w:rPr>
          <w:rFonts w:ascii="Arial" w:hAnsi="Arial" w:cs="Arial"/>
          <w:color w:val="4E3B22"/>
        </w:rPr>
      </w:pPr>
      <w:r w:rsidRPr="00201FE3">
        <w:rPr>
          <w:rFonts w:ascii="Arial" w:hAnsi="Arial" w:cs="Arial"/>
          <w:color w:val="4E3B22"/>
        </w:rPr>
        <w:t>Starbucks’ people strategy demonstrates strong localisation in India.</w:t>
      </w:r>
    </w:p>
    <w:p w14:paraId="1F2A280A" w14:textId="45E3335B" w:rsidR="00201FE3" w:rsidRPr="00201FE3" w:rsidRDefault="00201FE3" w:rsidP="00201FE3">
      <w:pPr>
        <w:spacing w:line="360" w:lineRule="auto"/>
        <w:rPr>
          <w:rFonts w:ascii="Arial" w:hAnsi="Arial" w:cs="Arial"/>
          <w:color w:val="4E3B22"/>
        </w:rPr>
      </w:pPr>
      <w:r w:rsidRPr="00201FE3">
        <w:rPr>
          <w:rFonts w:ascii="Arial" w:hAnsi="Arial" w:cs="Arial"/>
          <w:color w:val="4E3B22"/>
        </w:rPr>
        <w:t xml:space="preserve">The firm’s U.S. model emphasises employee benefits, training, and retention, aligning with services marketing literature (Zeithaml, Berry </w:t>
      </w:r>
      <w:r>
        <w:rPr>
          <w:rFonts w:ascii="Arial" w:hAnsi="Arial" w:cs="Arial"/>
          <w:color w:val="4E3B22"/>
        </w:rPr>
        <w:t>and</w:t>
      </w:r>
      <w:r w:rsidRPr="00201FE3">
        <w:rPr>
          <w:rFonts w:ascii="Arial" w:hAnsi="Arial" w:cs="Arial"/>
          <w:color w:val="4E3B22"/>
        </w:rPr>
        <w:t xml:space="preserve"> Parasuraman, 1985).</w:t>
      </w:r>
    </w:p>
    <w:p w14:paraId="7B7A456D" w14:textId="583BAC2E" w:rsidR="00201FE3" w:rsidRPr="00201FE3" w:rsidRDefault="00201FE3" w:rsidP="00201FE3">
      <w:pPr>
        <w:spacing w:line="360" w:lineRule="auto"/>
        <w:rPr>
          <w:rFonts w:ascii="Arial" w:hAnsi="Arial" w:cs="Arial"/>
          <w:color w:val="4E3B22"/>
        </w:rPr>
      </w:pPr>
      <w:r w:rsidRPr="00201FE3">
        <w:rPr>
          <w:rFonts w:ascii="Arial" w:hAnsi="Arial" w:cs="Arial"/>
          <w:color w:val="4E3B22"/>
        </w:rPr>
        <w:t>In India, Starbucks goes further:</w:t>
      </w:r>
      <w:r>
        <w:rPr>
          <w:rFonts w:ascii="Arial" w:hAnsi="Arial" w:cs="Arial"/>
          <w:color w:val="4E3B22"/>
        </w:rPr>
        <w:t xml:space="preserve"> </w:t>
      </w:r>
      <w:r w:rsidRPr="00201FE3">
        <w:rPr>
          <w:rFonts w:ascii="Arial" w:hAnsi="Arial" w:cs="Arial"/>
          <w:color w:val="4E3B22"/>
        </w:rPr>
        <w:t>women-operated stores</w:t>
      </w:r>
      <w:r>
        <w:rPr>
          <w:rFonts w:ascii="Arial" w:hAnsi="Arial" w:cs="Arial"/>
          <w:color w:val="4E3B22"/>
        </w:rPr>
        <w:t xml:space="preserve">; </w:t>
      </w:r>
      <w:r w:rsidR="00B73C63">
        <w:rPr>
          <w:rFonts w:ascii="Arial" w:hAnsi="Arial" w:cs="Arial"/>
          <w:color w:val="4E3B22"/>
        </w:rPr>
        <w:t xml:space="preserve">a </w:t>
      </w:r>
      <w:r w:rsidRPr="00201FE3">
        <w:rPr>
          <w:rFonts w:ascii="Arial" w:hAnsi="Arial" w:cs="Arial"/>
          <w:color w:val="4E3B22"/>
        </w:rPr>
        <w:t>five-day workweek policy</w:t>
      </w:r>
      <w:r>
        <w:rPr>
          <w:rFonts w:ascii="Arial" w:hAnsi="Arial" w:cs="Arial"/>
          <w:color w:val="4E3B22"/>
        </w:rPr>
        <w:t xml:space="preserve">; </w:t>
      </w:r>
      <w:r w:rsidRPr="00201FE3">
        <w:rPr>
          <w:rFonts w:ascii="Arial" w:hAnsi="Arial" w:cs="Arial"/>
          <w:color w:val="4E3B22"/>
        </w:rPr>
        <w:t>100% gender pay equity</w:t>
      </w:r>
      <w:r>
        <w:rPr>
          <w:rFonts w:ascii="Arial" w:hAnsi="Arial" w:cs="Arial"/>
          <w:color w:val="4E3B22"/>
        </w:rPr>
        <w:t xml:space="preserve">; </w:t>
      </w:r>
      <w:r w:rsidR="00B73C63">
        <w:rPr>
          <w:rFonts w:ascii="Arial" w:hAnsi="Arial" w:cs="Arial"/>
          <w:color w:val="4E3B22"/>
        </w:rPr>
        <w:t xml:space="preserve">and </w:t>
      </w:r>
      <w:r w:rsidRPr="00201FE3">
        <w:rPr>
          <w:rFonts w:ascii="Arial" w:hAnsi="Arial" w:cs="Arial"/>
          <w:color w:val="4E3B22"/>
        </w:rPr>
        <w:t>skills programmes for marginalised groups</w:t>
      </w:r>
      <w:r>
        <w:rPr>
          <w:rFonts w:ascii="Arial" w:hAnsi="Arial" w:cs="Arial"/>
          <w:color w:val="4E3B22"/>
        </w:rPr>
        <w:t>.</w:t>
      </w:r>
    </w:p>
    <w:p w14:paraId="020F3C0D" w14:textId="5BF0BA26" w:rsidR="00201FE3" w:rsidRPr="00201FE3" w:rsidRDefault="00201FE3" w:rsidP="00201FE3">
      <w:pPr>
        <w:spacing w:line="360" w:lineRule="auto"/>
        <w:rPr>
          <w:rFonts w:ascii="Arial" w:hAnsi="Arial" w:cs="Arial"/>
          <w:color w:val="4E3B22"/>
        </w:rPr>
      </w:pPr>
      <w:r w:rsidRPr="00201FE3">
        <w:rPr>
          <w:rFonts w:ascii="Arial" w:hAnsi="Arial" w:cs="Arial"/>
          <w:color w:val="4E3B22"/>
        </w:rPr>
        <w:t xml:space="preserve">These initiatives align with ethical leadership theory and strengthen CSR legitimacy (Rosenbaum </w:t>
      </w:r>
      <w:r>
        <w:rPr>
          <w:rFonts w:ascii="Arial" w:hAnsi="Arial" w:cs="Arial"/>
          <w:color w:val="4E3B22"/>
        </w:rPr>
        <w:t>and</w:t>
      </w:r>
      <w:r w:rsidRPr="00201FE3">
        <w:rPr>
          <w:rFonts w:ascii="Arial" w:hAnsi="Arial" w:cs="Arial"/>
          <w:color w:val="4E3B22"/>
        </w:rPr>
        <w:t xml:space="preserve"> Massiah, 2011).</w:t>
      </w:r>
    </w:p>
    <w:p w14:paraId="3A3C2382" w14:textId="79E1948C" w:rsidR="00201FE3" w:rsidRPr="00201FE3" w:rsidRDefault="00201FE3" w:rsidP="00201FE3">
      <w:pPr>
        <w:spacing w:line="360" w:lineRule="auto"/>
        <w:rPr>
          <w:rFonts w:ascii="Arial" w:hAnsi="Arial" w:cs="Arial"/>
          <w:color w:val="4E3B22"/>
        </w:rPr>
      </w:pPr>
      <w:r w:rsidRPr="00201FE3">
        <w:rPr>
          <w:rFonts w:ascii="Arial" w:hAnsi="Arial" w:cs="Arial"/>
          <w:color w:val="4E3B22"/>
        </w:rPr>
        <w:t xml:space="preserve">India’s people strategy </w:t>
      </w:r>
      <w:r w:rsidR="007268B0" w:rsidRPr="008B5E30">
        <w:rPr>
          <w:rFonts w:ascii="Arial" w:hAnsi="Arial" w:cs="Arial"/>
          <w:color w:val="4E3B22"/>
        </w:rPr>
        <w:t>exceeds</w:t>
      </w:r>
      <w:r w:rsidR="008B5E30">
        <w:rPr>
          <w:rFonts w:ascii="Arial" w:hAnsi="Arial" w:cs="Arial"/>
          <w:color w:val="4E3B22"/>
        </w:rPr>
        <w:t xml:space="preserve"> </w:t>
      </w:r>
      <w:r w:rsidRPr="00201FE3">
        <w:rPr>
          <w:rFonts w:ascii="Arial" w:hAnsi="Arial" w:cs="Arial"/>
          <w:color w:val="4E3B22"/>
        </w:rPr>
        <w:t xml:space="preserve">U.S. standards, demonstrating that CSR-driven HR practices are not fully standardised globally </w:t>
      </w:r>
      <w:r>
        <w:rPr>
          <w:rFonts w:ascii="Arial" w:hAnsi="Arial" w:cs="Arial"/>
          <w:color w:val="4E3B22"/>
        </w:rPr>
        <w:t>-</w:t>
      </w:r>
      <w:r w:rsidRPr="00201FE3">
        <w:rPr>
          <w:rFonts w:ascii="Arial" w:hAnsi="Arial" w:cs="Arial"/>
          <w:color w:val="4E3B22"/>
        </w:rPr>
        <w:t xml:space="preserve"> contradicting Starbucks’ claimed universalisation of values.</w:t>
      </w:r>
    </w:p>
    <w:p w14:paraId="302B08C5" w14:textId="77777777" w:rsidR="00201FE3" w:rsidRPr="00201FE3" w:rsidRDefault="00201FE3" w:rsidP="00201FE3">
      <w:pPr>
        <w:spacing w:line="360" w:lineRule="auto"/>
        <w:rPr>
          <w:rFonts w:ascii="Arial" w:hAnsi="Arial" w:cs="Arial"/>
          <w:color w:val="4E3B22"/>
        </w:rPr>
      </w:pPr>
    </w:p>
    <w:p w14:paraId="511E6008" w14:textId="1A52A66B" w:rsidR="00201FE3" w:rsidRPr="00201FE3" w:rsidRDefault="00201FE3" w:rsidP="00201FE3">
      <w:pPr>
        <w:pStyle w:val="Heading2"/>
        <w:rPr>
          <w:rFonts w:ascii="Arial" w:hAnsi="Arial" w:cs="Arial"/>
          <w:color w:val="4E3B22"/>
        </w:rPr>
      </w:pPr>
      <w:bookmarkStart w:id="28" w:name="_Toc214067396"/>
      <w:r w:rsidRPr="00201FE3">
        <w:rPr>
          <w:rFonts w:ascii="Arial" w:hAnsi="Arial" w:cs="Arial"/>
          <w:color w:val="4E3B22"/>
        </w:rPr>
        <w:t>Process Strategy</w:t>
      </w:r>
      <w:bookmarkEnd w:id="28"/>
    </w:p>
    <w:p w14:paraId="1556F717" w14:textId="77777777" w:rsidR="00201FE3" w:rsidRPr="00201FE3" w:rsidRDefault="00201FE3" w:rsidP="00201FE3">
      <w:pPr>
        <w:spacing w:line="360" w:lineRule="auto"/>
        <w:rPr>
          <w:rFonts w:ascii="Arial" w:hAnsi="Arial" w:cs="Arial"/>
          <w:color w:val="4E3B22"/>
        </w:rPr>
      </w:pPr>
      <w:r w:rsidRPr="00201FE3">
        <w:rPr>
          <w:rFonts w:ascii="Arial" w:hAnsi="Arial" w:cs="Arial"/>
          <w:color w:val="4E3B22"/>
        </w:rPr>
        <w:t>Process strategies reflect digital maturity.</w:t>
      </w:r>
    </w:p>
    <w:p w14:paraId="135386C1" w14:textId="4339FDD8" w:rsidR="00201FE3" w:rsidRPr="00201FE3" w:rsidRDefault="00201FE3" w:rsidP="00201FE3">
      <w:pPr>
        <w:spacing w:line="360" w:lineRule="auto"/>
        <w:rPr>
          <w:rFonts w:ascii="Arial" w:hAnsi="Arial" w:cs="Arial"/>
          <w:color w:val="4E3B22"/>
        </w:rPr>
      </w:pPr>
      <w:r w:rsidRPr="00201FE3">
        <w:rPr>
          <w:rFonts w:ascii="Arial" w:hAnsi="Arial" w:cs="Arial"/>
          <w:color w:val="4E3B22"/>
        </w:rPr>
        <w:t xml:space="preserve">U.S. operations rely on highly optimised digital flows </w:t>
      </w:r>
      <w:r>
        <w:rPr>
          <w:rFonts w:ascii="Arial" w:hAnsi="Arial" w:cs="Arial"/>
          <w:color w:val="4E3B22"/>
        </w:rPr>
        <w:t>-</w:t>
      </w:r>
      <w:r w:rsidRPr="00201FE3">
        <w:rPr>
          <w:rFonts w:ascii="Arial" w:hAnsi="Arial" w:cs="Arial"/>
          <w:color w:val="4E3B22"/>
        </w:rPr>
        <w:t xml:space="preserve"> mobile ordering, queue algorithms, and automated inventory systems </w:t>
      </w:r>
      <w:r>
        <w:rPr>
          <w:rFonts w:ascii="Arial" w:hAnsi="Arial" w:cs="Arial"/>
          <w:color w:val="4E3B22"/>
        </w:rPr>
        <w:t>-</w:t>
      </w:r>
      <w:r w:rsidRPr="00201FE3">
        <w:rPr>
          <w:rFonts w:ascii="Arial" w:hAnsi="Arial" w:cs="Arial"/>
          <w:color w:val="4E3B22"/>
        </w:rPr>
        <w:t xml:space="preserve"> consistent with Teece’s (2007) dynamic capabilities framework.</w:t>
      </w:r>
    </w:p>
    <w:p w14:paraId="64A376EA" w14:textId="09273194" w:rsidR="00201FE3" w:rsidRPr="00201FE3" w:rsidRDefault="00201FE3" w:rsidP="00201FE3">
      <w:pPr>
        <w:spacing w:line="360" w:lineRule="auto"/>
        <w:rPr>
          <w:rFonts w:ascii="Arial" w:hAnsi="Arial" w:cs="Arial"/>
          <w:color w:val="4E3B22"/>
        </w:rPr>
      </w:pPr>
      <w:r w:rsidRPr="00201FE3">
        <w:rPr>
          <w:rFonts w:ascii="Arial" w:hAnsi="Arial" w:cs="Arial"/>
          <w:color w:val="4E3B22"/>
        </w:rPr>
        <w:lastRenderedPageBreak/>
        <w:t>In India, digital adoption is rising but uneven. Limited app penetration (15</w:t>
      </w:r>
      <w:r w:rsidR="00152824">
        <w:rPr>
          <w:rFonts w:ascii="Arial" w:hAnsi="Arial" w:cs="Arial"/>
          <w:color w:val="4E3B22"/>
        </w:rPr>
        <w:t>-</w:t>
      </w:r>
      <w:r w:rsidRPr="00201FE3">
        <w:rPr>
          <w:rFonts w:ascii="Arial" w:hAnsi="Arial" w:cs="Arial"/>
          <w:color w:val="4E3B22"/>
        </w:rPr>
        <w:t>20%) restricts Starbucks’ ability to implement data-driven process innovations. Instead, the company focuses on manual service quality, barista interactions, and in-store rituals.</w:t>
      </w:r>
    </w:p>
    <w:p w14:paraId="6E15EC36" w14:textId="2DFB48DD" w:rsidR="00201FE3" w:rsidRDefault="00201FE3" w:rsidP="00201FE3">
      <w:pPr>
        <w:spacing w:line="360" w:lineRule="auto"/>
        <w:rPr>
          <w:rFonts w:ascii="Arial" w:hAnsi="Arial" w:cs="Arial"/>
          <w:color w:val="4E3B22"/>
        </w:rPr>
      </w:pPr>
      <w:r w:rsidRPr="00201FE3">
        <w:rPr>
          <w:rFonts w:ascii="Arial" w:hAnsi="Arial" w:cs="Arial"/>
          <w:color w:val="4E3B22"/>
        </w:rPr>
        <w:t>Starbucks’ digital ecosystem remains disproportionately U.S.-centric.</w:t>
      </w:r>
    </w:p>
    <w:p w14:paraId="3C14C61B" w14:textId="4CF45218" w:rsidR="00700602" w:rsidRPr="00201FE3" w:rsidRDefault="00700602" w:rsidP="00201FE3">
      <w:pPr>
        <w:spacing w:line="360" w:lineRule="auto"/>
        <w:rPr>
          <w:rFonts w:ascii="Arial" w:hAnsi="Arial" w:cs="Arial"/>
          <w:color w:val="4E3B22"/>
        </w:rPr>
      </w:pPr>
      <w:r w:rsidRPr="00700602">
        <w:rPr>
          <w:rFonts w:ascii="Arial" w:hAnsi="Arial" w:cs="Arial"/>
          <w:color w:val="4E3B22"/>
        </w:rPr>
        <w:t>Environmental practices embedded in digital processes</w:t>
      </w:r>
      <w:r>
        <w:rPr>
          <w:rFonts w:ascii="Arial" w:hAnsi="Arial" w:cs="Arial"/>
          <w:color w:val="4E3B22"/>
        </w:rPr>
        <w:t>-</w:t>
      </w:r>
      <w:r w:rsidRPr="00700602">
        <w:rPr>
          <w:rFonts w:ascii="Arial" w:hAnsi="Arial" w:cs="Arial"/>
          <w:color w:val="4E3B22"/>
        </w:rPr>
        <w:t>such as reusable cup tracking or automated waste reporting</w:t>
      </w:r>
      <w:r>
        <w:rPr>
          <w:rFonts w:ascii="Arial" w:hAnsi="Arial" w:cs="Arial"/>
          <w:color w:val="4E3B22"/>
        </w:rPr>
        <w:t>-</w:t>
      </w:r>
      <w:r w:rsidRPr="00700602">
        <w:rPr>
          <w:rFonts w:ascii="Arial" w:hAnsi="Arial" w:cs="Arial"/>
          <w:color w:val="4E3B22"/>
        </w:rPr>
        <w:t>remain more advanced in the U.S., whereas India’s progress is constrained by infrastructural limitations (Starbucks, 2024).</w:t>
      </w:r>
    </w:p>
    <w:p w14:paraId="5A13C176" w14:textId="77777777" w:rsidR="00201FE3" w:rsidRPr="00201FE3" w:rsidRDefault="00201FE3" w:rsidP="00201FE3">
      <w:pPr>
        <w:spacing w:line="360" w:lineRule="auto"/>
        <w:rPr>
          <w:rFonts w:ascii="Arial" w:hAnsi="Arial" w:cs="Arial"/>
          <w:color w:val="4E3B22"/>
        </w:rPr>
      </w:pPr>
    </w:p>
    <w:p w14:paraId="4D184F49" w14:textId="64ABFEDB" w:rsidR="00201FE3" w:rsidRPr="00201FE3" w:rsidRDefault="00201FE3" w:rsidP="00201FE3">
      <w:pPr>
        <w:pStyle w:val="Heading2"/>
        <w:rPr>
          <w:rFonts w:ascii="Arial" w:hAnsi="Arial" w:cs="Arial"/>
          <w:color w:val="4E3B22"/>
        </w:rPr>
      </w:pPr>
      <w:bookmarkStart w:id="29" w:name="_Toc214067397"/>
      <w:r w:rsidRPr="00201FE3">
        <w:rPr>
          <w:rFonts w:ascii="Arial" w:hAnsi="Arial" w:cs="Arial"/>
          <w:color w:val="4E3B22"/>
        </w:rPr>
        <w:t>Physical Evidence</w:t>
      </w:r>
      <w:bookmarkEnd w:id="29"/>
    </w:p>
    <w:p w14:paraId="66A83E25" w14:textId="25E0C7E5" w:rsidR="00201FE3" w:rsidRPr="00680113" w:rsidRDefault="00201FE3" w:rsidP="00201FE3">
      <w:pPr>
        <w:spacing w:line="360" w:lineRule="auto"/>
        <w:rPr>
          <w:rFonts w:ascii="Arial" w:hAnsi="Arial" w:cs="Arial"/>
          <w:color w:val="4E3B22"/>
        </w:rPr>
      </w:pPr>
      <w:r w:rsidRPr="00680113">
        <w:rPr>
          <w:rFonts w:ascii="Arial" w:hAnsi="Arial" w:cs="Arial"/>
          <w:color w:val="4E3B22"/>
        </w:rPr>
        <w:t xml:space="preserve">In the U.S., </w:t>
      </w:r>
      <w:r w:rsidR="00B73C63">
        <w:rPr>
          <w:rFonts w:ascii="Arial" w:hAnsi="Arial" w:cs="Arial"/>
          <w:color w:val="4E3B22"/>
        </w:rPr>
        <w:t>servicecape</w:t>
      </w:r>
      <w:r w:rsidRPr="00680113">
        <w:rPr>
          <w:rFonts w:ascii="Arial" w:hAnsi="Arial" w:cs="Arial"/>
          <w:color w:val="4E3B22"/>
        </w:rPr>
        <w:t xml:space="preserve"> elements standardise the “Third Place” experience (Bitner, 1992), with uniform layouts, lighting, and branding.</w:t>
      </w:r>
    </w:p>
    <w:p w14:paraId="07175DC9" w14:textId="0448AA43" w:rsidR="00201FE3" w:rsidRPr="00680113" w:rsidRDefault="00201FE3" w:rsidP="00201FE3">
      <w:pPr>
        <w:spacing w:line="360" w:lineRule="auto"/>
        <w:rPr>
          <w:rFonts w:ascii="Arial" w:hAnsi="Arial" w:cs="Arial"/>
          <w:color w:val="4E3B22"/>
        </w:rPr>
      </w:pPr>
      <w:r w:rsidRPr="00680113">
        <w:rPr>
          <w:rFonts w:ascii="Arial" w:hAnsi="Arial" w:cs="Arial"/>
          <w:color w:val="4E3B22"/>
        </w:rPr>
        <w:t>In India, physical evidence integrates local cultural cues - Indian artwork, regional materials, and festival décor - reinforcing symbolic belonging and cultural inclusivity (Holt, 2004).</w:t>
      </w:r>
    </w:p>
    <w:p w14:paraId="267598E0" w14:textId="04FBA4EF" w:rsidR="00201FE3" w:rsidRPr="00680113" w:rsidRDefault="008B5E30" w:rsidP="00201FE3">
      <w:pPr>
        <w:spacing w:line="360" w:lineRule="auto"/>
        <w:rPr>
          <w:rFonts w:ascii="Arial" w:hAnsi="Arial" w:cs="Arial"/>
          <w:color w:val="4E3B22"/>
        </w:rPr>
      </w:pPr>
      <w:r w:rsidRPr="00680113">
        <w:rPr>
          <w:rFonts w:ascii="Arial" w:hAnsi="Arial" w:cs="Arial"/>
          <w:color w:val="4E3B22"/>
        </w:rPr>
        <w:t>Standardised store design, while operationally efficient, cannot generate cultural resonance in India. Physical</w:t>
      </w:r>
      <w:r w:rsidR="00201FE3" w:rsidRPr="00680113">
        <w:rPr>
          <w:rFonts w:ascii="Arial" w:hAnsi="Arial" w:cs="Arial"/>
          <w:color w:val="4E3B22"/>
        </w:rPr>
        <w:t xml:space="preserve"> </w:t>
      </w:r>
      <w:r w:rsidR="00B73C63" w:rsidRPr="00680113">
        <w:rPr>
          <w:rFonts w:ascii="Arial" w:hAnsi="Arial" w:cs="Arial"/>
          <w:color w:val="4E3B22"/>
        </w:rPr>
        <w:t>localisation,</w:t>
      </w:r>
      <w:r w:rsidR="00201FE3" w:rsidRPr="00680113">
        <w:rPr>
          <w:rFonts w:ascii="Arial" w:hAnsi="Arial" w:cs="Arial"/>
          <w:color w:val="4E3B22"/>
        </w:rPr>
        <w:t xml:space="preserve"> therefore</w:t>
      </w:r>
      <w:r w:rsidR="00B73C63">
        <w:rPr>
          <w:rFonts w:ascii="Arial" w:hAnsi="Arial" w:cs="Arial"/>
          <w:color w:val="4E3B22"/>
        </w:rPr>
        <w:t>,</w:t>
      </w:r>
      <w:r w:rsidR="00201FE3" w:rsidRPr="00680113">
        <w:rPr>
          <w:rFonts w:ascii="Arial" w:hAnsi="Arial" w:cs="Arial"/>
          <w:color w:val="4E3B22"/>
        </w:rPr>
        <w:t xml:space="preserve"> becomes a strategic necessity, not an aesthetic choice.</w:t>
      </w:r>
    </w:p>
    <w:p w14:paraId="08768D57" w14:textId="6957B613" w:rsidR="00201FE3" w:rsidRPr="00680113" w:rsidRDefault="00700602" w:rsidP="00201FE3">
      <w:pPr>
        <w:spacing w:line="360" w:lineRule="auto"/>
        <w:rPr>
          <w:rFonts w:ascii="Arial" w:hAnsi="Arial" w:cs="Arial"/>
          <w:color w:val="4E3B22"/>
        </w:rPr>
      </w:pPr>
      <w:r w:rsidRPr="00680113">
        <w:rPr>
          <w:rFonts w:ascii="Arial" w:hAnsi="Arial" w:cs="Arial"/>
          <w:color w:val="4E3B22"/>
        </w:rPr>
        <w:t>Thus, physical localisation operates not merely as aesthetic differentiation, but as a strategic mechanism for cultural legitimacy.</w:t>
      </w:r>
    </w:p>
    <w:p w14:paraId="71167993" w14:textId="77777777" w:rsidR="00700602" w:rsidRPr="00201FE3" w:rsidRDefault="00700602" w:rsidP="00201FE3">
      <w:pPr>
        <w:spacing w:line="360" w:lineRule="auto"/>
        <w:rPr>
          <w:rFonts w:ascii="Arial" w:hAnsi="Arial" w:cs="Arial"/>
          <w:color w:val="4E3B22"/>
        </w:rPr>
      </w:pPr>
    </w:p>
    <w:p w14:paraId="223285FC" w14:textId="5DD7917D" w:rsidR="00201FE3" w:rsidRPr="00201FE3" w:rsidRDefault="00201FE3" w:rsidP="00201FE3">
      <w:pPr>
        <w:pStyle w:val="Heading2"/>
        <w:rPr>
          <w:rFonts w:ascii="Arial" w:hAnsi="Arial" w:cs="Arial"/>
          <w:color w:val="4E3B22"/>
        </w:rPr>
      </w:pPr>
      <w:bookmarkStart w:id="30" w:name="_Toc214067398"/>
      <w:r w:rsidRPr="00201FE3">
        <w:rPr>
          <w:rFonts w:ascii="Arial" w:hAnsi="Arial" w:cs="Arial"/>
          <w:color w:val="4E3B22"/>
        </w:rPr>
        <w:t>Integrated Evaluation and KPI Evidence</w:t>
      </w:r>
      <w:bookmarkEnd w:id="30"/>
    </w:p>
    <w:p w14:paraId="68F7E3D6" w14:textId="4A33E147" w:rsidR="00912EED" w:rsidRPr="00912EED" w:rsidRDefault="00912EED" w:rsidP="00912EED">
      <w:pPr>
        <w:spacing w:line="360" w:lineRule="auto"/>
        <w:rPr>
          <w:rFonts w:ascii="Arial" w:hAnsi="Arial" w:cs="Arial"/>
          <w:color w:val="4E3B22"/>
        </w:rPr>
      </w:pPr>
      <w:r w:rsidRPr="00912EED">
        <w:rPr>
          <w:rFonts w:ascii="Arial" w:hAnsi="Arial" w:cs="Arial"/>
          <w:color w:val="4E3B22"/>
        </w:rPr>
        <w:t xml:space="preserve">To strengthen the comparative analysis, </w:t>
      </w:r>
      <w:r w:rsidRPr="0066043C">
        <w:rPr>
          <w:rFonts w:ascii="Arial" w:hAnsi="Arial" w:cs="Arial"/>
          <w:b/>
          <w:bCs/>
          <w:color w:val="4E3B22"/>
        </w:rPr>
        <w:t xml:space="preserve">Appendix </w:t>
      </w:r>
      <w:r w:rsidR="00DA2109">
        <w:rPr>
          <w:rFonts w:ascii="Arial" w:hAnsi="Arial" w:cs="Arial"/>
          <w:b/>
          <w:bCs/>
          <w:color w:val="4E3B22"/>
        </w:rPr>
        <w:t>2</w:t>
      </w:r>
      <w:r w:rsidRPr="00912EED">
        <w:rPr>
          <w:rFonts w:ascii="Arial" w:hAnsi="Arial" w:cs="Arial"/>
          <w:color w:val="4E3B22"/>
        </w:rPr>
        <w:t xml:space="preserve"> presents a set of performance-linked KPIs mapped against each element of the 7Ps framework. </w:t>
      </w:r>
      <w:r w:rsidR="008A7F0D" w:rsidRPr="008A7F0D">
        <w:rPr>
          <w:rFonts w:ascii="Arial" w:hAnsi="Arial" w:cs="Arial"/>
          <w:color w:val="4E3B22"/>
        </w:rPr>
        <w:t>KPIs further evidence strategic divergence</w:t>
      </w:r>
      <w:r w:rsidR="008A7F0D">
        <w:rPr>
          <w:rFonts w:ascii="Arial" w:hAnsi="Arial" w:cs="Arial"/>
          <w:color w:val="4E3B22"/>
        </w:rPr>
        <w:t xml:space="preserve">. </w:t>
      </w:r>
      <w:r w:rsidRPr="00912EED">
        <w:rPr>
          <w:rFonts w:ascii="Arial" w:hAnsi="Arial" w:cs="Arial"/>
          <w:color w:val="4E3B22"/>
        </w:rPr>
        <w:t>The KPI evidence highlights, for instance, how mobile-ordering penetration and Rewards membership density drive operational efficiency and customer lifetime value in the United States, whereas menu localisation intensity, store-format adaptation and partnership-led expansion are the primary performance drivers in India.</w:t>
      </w:r>
    </w:p>
    <w:p w14:paraId="2101FAAA" w14:textId="7F745619" w:rsidR="00912EED" w:rsidRPr="00912EED" w:rsidRDefault="00912EED" w:rsidP="00912EED">
      <w:pPr>
        <w:spacing w:line="360" w:lineRule="auto"/>
        <w:rPr>
          <w:rFonts w:ascii="Arial" w:hAnsi="Arial" w:cs="Arial"/>
          <w:color w:val="4E3B22"/>
        </w:rPr>
      </w:pPr>
      <w:r w:rsidRPr="00912EED">
        <w:rPr>
          <w:rFonts w:ascii="Arial" w:hAnsi="Arial" w:cs="Arial"/>
          <w:color w:val="4E3B22"/>
        </w:rPr>
        <w:t xml:space="preserve">This triangulation of data reinforces the critical argument developed in this section: Starbucks’ marketing mix cannot be standardised across heterogeneous markets. The U.S. relies heavily on digital ecosystems, scale </w:t>
      </w:r>
      <w:r w:rsidR="00710642" w:rsidRPr="00912EED">
        <w:rPr>
          <w:rFonts w:ascii="Arial" w:hAnsi="Arial" w:cs="Arial"/>
          <w:color w:val="4E3B22"/>
        </w:rPr>
        <w:t>efficiencies,</w:t>
      </w:r>
      <w:r w:rsidRPr="00912EED">
        <w:rPr>
          <w:rFonts w:ascii="Arial" w:hAnsi="Arial" w:cs="Arial"/>
          <w:color w:val="4E3B22"/>
        </w:rPr>
        <w:t xml:space="preserve"> and personalised engagement, while India achieves growth through cultural resonance, value-based </w:t>
      </w:r>
      <w:r w:rsidR="00710642" w:rsidRPr="00912EED">
        <w:rPr>
          <w:rFonts w:ascii="Arial" w:hAnsi="Arial" w:cs="Arial"/>
          <w:color w:val="4E3B22"/>
        </w:rPr>
        <w:t>propositions,</w:t>
      </w:r>
      <w:r w:rsidRPr="00912EED">
        <w:rPr>
          <w:rFonts w:ascii="Arial" w:hAnsi="Arial" w:cs="Arial"/>
          <w:color w:val="4E3B22"/>
        </w:rPr>
        <w:t xml:space="preserve"> and institutional partnerships </w:t>
      </w:r>
      <w:r w:rsidRPr="00912EED">
        <w:rPr>
          <w:rFonts w:ascii="Arial" w:hAnsi="Arial" w:cs="Arial"/>
          <w:color w:val="4E3B22"/>
        </w:rPr>
        <w:lastRenderedPageBreak/>
        <w:t>(e.g., Tata). These patterns support adaptive internationalisation perspectives (Czinkota et al., 2022) and challenge Levitt’s (1983) convergence thesis by demonstrating that consumer expectations and institutional environments continue to shape divergent strategic logics.</w:t>
      </w:r>
    </w:p>
    <w:p w14:paraId="71FBBB0B" w14:textId="0EA0CC52" w:rsidR="00091AF5" w:rsidRDefault="008A7F0D" w:rsidP="008A7F0D">
      <w:pPr>
        <w:spacing w:line="360" w:lineRule="auto"/>
        <w:rPr>
          <w:rFonts w:ascii="Arial" w:hAnsi="Arial" w:cs="Arial"/>
          <w:color w:val="4E3B22"/>
        </w:rPr>
      </w:pPr>
      <w:r w:rsidRPr="008A7F0D">
        <w:rPr>
          <w:rFonts w:ascii="Arial" w:hAnsi="Arial" w:cs="Arial"/>
          <w:color w:val="4E3B22"/>
        </w:rPr>
        <w:t>The KPI comparison confirms that Starbucks’ performance stems from a dual logic</w:t>
      </w:r>
      <w:r>
        <w:rPr>
          <w:rFonts w:ascii="Arial" w:hAnsi="Arial" w:cs="Arial"/>
          <w:color w:val="4E3B22"/>
        </w:rPr>
        <w:t>-</w:t>
      </w:r>
      <w:r w:rsidRPr="008A7F0D">
        <w:rPr>
          <w:rFonts w:ascii="Arial" w:hAnsi="Arial" w:cs="Arial"/>
          <w:color w:val="4E3B22"/>
        </w:rPr>
        <w:t>digital optimisation in the U.S. and cultural alignment in India.</w:t>
      </w:r>
    </w:p>
    <w:p w14:paraId="2ED1228B" w14:textId="77777777" w:rsidR="00FE75E4" w:rsidRDefault="00FE75E4" w:rsidP="008A7F0D">
      <w:pPr>
        <w:spacing w:line="360" w:lineRule="auto"/>
        <w:rPr>
          <w:rFonts w:ascii="Arial" w:hAnsi="Arial" w:cs="Arial"/>
          <w:color w:val="4E3B22"/>
        </w:rPr>
      </w:pPr>
    </w:p>
    <w:p w14:paraId="7C665DB0" w14:textId="77777777" w:rsidR="00FE75E4" w:rsidRDefault="00FE75E4" w:rsidP="008A7F0D">
      <w:pPr>
        <w:spacing w:line="360" w:lineRule="auto"/>
        <w:rPr>
          <w:rFonts w:ascii="Arial" w:hAnsi="Arial" w:cs="Arial"/>
          <w:color w:val="4E3B22"/>
        </w:rPr>
      </w:pPr>
    </w:p>
    <w:p w14:paraId="708BB423" w14:textId="77777777" w:rsidR="00FE75E4" w:rsidRDefault="00FE75E4" w:rsidP="008A7F0D">
      <w:pPr>
        <w:spacing w:line="360" w:lineRule="auto"/>
        <w:rPr>
          <w:rFonts w:ascii="Arial" w:hAnsi="Arial" w:cs="Arial"/>
          <w:color w:val="4E3B22"/>
        </w:rPr>
      </w:pPr>
    </w:p>
    <w:p w14:paraId="6FF58D04" w14:textId="77777777" w:rsidR="00FE75E4" w:rsidRDefault="00FE75E4" w:rsidP="008A7F0D">
      <w:pPr>
        <w:spacing w:line="360" w:lineRule="auto"/>
        <w:rPr>
          <w:rFonts w:ascii="Arial" w:hAnsi="Arial" w:cs="Arial"/>
          <w:color w:val="4E3B22"/>
        </w:rPr>
      </w:pPr>
    </w:p>
    <w:p w14:paraId="578BEA88" w14:textId="77777777" w:rsidR="00FE75E4" w:rsidRDefault="00FE75E4" w:rsidP="008A7F0D">
      <w:pPr>
        <w:spacing w:line="360" w:lineRule="auto"/>
        <w:rPr>
          <w:rFonts w:ascii="Arial" w:hAnsi="Arial" w:cs="Arial"/>
          <w:color w:val="4E3B22"/>
        </w:rPr>
      </w:pPr>
    </w:p>
    <w:p w14:paraId="07D45A08" w14:textId="77777777" w:rsidR="00FE75E4" w:rsidRDefault="00FE75E4" w:rsidP="008A7F0D">
      <w:pPr>
        <w:spacing w:line="360" w:lineRule="auto"/>
        <w:rPr>
          <w:rFonts w:ascii="Arial" w:hAnsi="Arial" w:cs="Arial"/>
          <w:color w:val="4E3B22"/>
        </w:rPr>
      </w:pPr>
    </w:p>
    <w:p w14:paraId="1095A37E" w14:textId="77777777" w:rsidR="00FE75E4" w:rsidRDefault="00FE75E4" w:rsidP="008A7F0D">
      <w:pPr>
        <w:spacing w:line="360" w:lineRule="auto"/>
        <w:rPr>
          <w:rFonts w:ascii="Arial" w:hAnsi="Arial" w:cs="Arial"/>
          <w:color w:val="4E3B22"/>
        </w:rPr>
      </w:pPr>
    </w:p>
    <w:p w14:paraId="443EE55E" w14:textId="77777777" w:rsidR="00FE75E4" w:rsidRDefault="00FE75E4" w:rsidP="008A7F0D">
      <w:pPr>
        <w:spacing w:line="360" w:lineRule="auto"/>
        <w:rPr>
          <w:rFonts w:ascii="Arial" w:hAnsi="Arial" w:cs="Arial"/>
          <w:color w:val="4E3B22"/>
        </w:rPr>
      </w:pPr>
    </w:p>
    <w:p w14:paraId="51A0AA53" w14:textId="77777777" w:rsidR="00FE75E4" w:rsidRDefault="00FE75E4" w:rsidP="008A7F0D">
      <w:pPr>
        <w:spacing w:line="360" w:lineRule="auto"/>
        <w:rPr>
          <w:rFonts w:ascii="Arial" w:hAnsi="Arial" w:cs="Arial"/>
          <w:color w:val="4E3B22"/>
        </w:rPr>
      </w:pPr>
    </w:p>
    <w:p w14:paraId="4038D16D" w14:textId="77777777" w:rsidR="00FE75E4" w:rsidRDefault="00FE75E4" w:rsidP="008A7F0D">
      <w:pPr>
        <w:spacing w:line="360" w:lineRule="auto"/>
        <w:rPr>
          <w:rFonts w:ascii="Arial" w:hAnsi="Arial" w:cs="Arial"/>
          <w:color w:val="4E3B22"/>
        </w:rPr>
      </w:pPr>
    </w:p>
    <w:p w14:paraId="182A7FE5" w14:textId="77777777" w:rsidR="00FE75E4" w:rsidRDefault="00FE75E4" w:rsidP="008A7F0D">
      <w:pPr>
        <w:spacing w:line="360" w:lineRule="auto"/>
        <w:rPr>
          <w:rFonts w:ascii="Arial" w:hAnsi="Arial" w:cs="Arial"/>
          <w:color w:val="4E3B22"/>
        </w:rPr>
      </w:pPr>
    </w:p>
    <w:p w14:paraId="137FF3EE" w14:textId="77777777" w:rsidR="00FE75E4" w:rsidRDefault="00FE75E4" w:rsidP="008A7F0D">
      <w:pPr>
        <w:spacing w:line="360" w:lineRule="auto"/>
        <w:rPr>
          <w:rFonts w:ascii="Arial" w:hAnsi="Arial" w:cs="Arial"/>
          <w:color w:val="4E3B22"/>
        </w:rPr>
      </w:pPr>
    </w:p>
    <w:p w14:paraId="3CAC9A04" w14:textId="77777777" w:rsidR="00FE75E4" w:rsidRDefault="00FE75E4" w:rsidP="008A7F0D">
      <w:pPr>
        <w:spacing w:line="360" w:lineRule="auto"/>
        <w:rPr>
          <w:rFonts w:ascii="Arial" w:hAnsi="Arial" w:cs="Arial"/>
          <w:color w:val="4E3B22"/>
        </w:rPr>
      </w:pPr>
    </w:p>
    <w:p w14:paraId="631BD8BF" w14:textId="77777777" w:rsidR="00FE75E4" w:rsidRDefault="00FE75E4" w:rsidP="008A7F0D">
      <w:pPr>
        <w:spacing w:line="360" w:lineRule="auto"/>
        <w:rPr>
          <w:rFonts w:ascii="Arial" w:hAnsi="Arial" w:cs="Arial"/>
          <w:color w:val="4E3B22"/>
        </w:rPr>
      </w:pPr>
    </w:p>
    <w:p w14:paraId="2BF7A723" w14:textId="77777777" w:rsidR="00FE75E4" w:rsidRDefault="00FE75E4" w:rsidP="008A7F0D">
      <w:pPr>
        <w:spacing w:line="360" w:lineRule="auto"/>
        <w:rPr>
          <w:rFonts w:ascii="Arial" w:hAnsi="Arial" w:cs="Arial"/>
          <w:color w:val="4E3B22"/>
        </w:rPr>
      </w:pPr>
    </w:p>
    <w:p w14:paraId="10BDA168" w14:textId="77777777" w:rsidR="00FE75E4" w:rsidRDefault="00FE75E4" w:rsidP="008A7F0D">
      <w:pPr>
        <w:spacing w:line="360" w:lineRule="auto"/>
        <w:rPr>
          <w:rFonts w:ascii="Arial" w:hAnsi="Arial" w:cs="Arial"/>
          <w:color w:val="4E3B22"/>
        </w:rPr>
      </w:pPr>
    </w:p>
    <w:p w14:paraId="69D9F052" w14:textId="77777777" w:rsidR="00FE75E4" w:rsidRDefault="00FE75E4" w:rsidP="008A7F0D">
      <w:pPr>
        <w:spacing w:line="360" w:lineRule="auto"/>
        <w:rPr>
          <w:rFonts w:ascii="Arial" w:hAnsi="Arial" w:cs="Arial"/>
          <w:color w:val="4E3B22"/>
        </w:rPr>
      </w:pPr>
    </w:p>
    <w:p w14:paraId="43BCF705" w14:textId="77777777" w:rsidR="00FE75E4" w:rsidRDefault="00FE75E4" w:rsidP="008A7F0D">
      <w:pPr>
        <w:spacing w:line="360" w:lineRule="auto"/>
        <w:rPr>
          <w:rFonts w:ascii="Arial" w:hAnsi="Arial" w:cs="Arial"/>
          <w:color w:val="4E3B22"/>
        </w:rPr>
      </w:pPr>
    </w:p>
    <w:p w14:paraId="6C635B46" w14:textId="77777777" w:rsidR="00FE75E4" w:rsidRDefault="00FE75E4" w:rsidP="008A7F0D">
      <w:pPr>
        <w:spacing w:line="360" w:lineRule="auto"/>
        <w:rPr>
          <w:rFonts w:ascii="Arial" w:hAnsi="Arial" w:cs="Arial"/>
          <w:color w:val="4E3B22"/>
        </w:rPr>
      </w:pPr>
    </w:p>
    <w:p w14:paraId="297F7634" w14:textId="77777777" w:rsidR="00FE75E4" w:rsidRPr="008A7F0D" w:rsidRDefault="00FE75E4" w:rsidP="008A7F0D">
      <w:pPr>
        <w:spacing w:line="360" w:lineRule="auto"/>
        <w:rPr>
          <w:rFonts w:ascii="Arial" w:hAnsi="Arial" w:cs="Arial"/>
          <w:color w:val="4E3B22"/>
        </w:rPr>
      </w:pPr>
    </w:p>
    <w:p w14:paraId="07562D3F" w14:textId="07346B3D" w:rsidR="00091AF5" w:rsidRPr="00486094" w:rsidRDefault="00B15688" w:rsidP="00B15688">
      <w:pPr>
        <w:pStyle w:val="Heading1"/>
        <w:shd w:val="clear" w:color="auto" w:fill="295541"/>
        <w:rPr>
          <w:rFonts w:ascii="Arial" w:hAnsi="Arial" w:cs="Arial"/>
          <w:color w:val="EAFAEC"/>
        </w:rPr>
      </w:pPr>
      <w:r w:rsidRPr="00486094">
        <w:rPr>
          <w:rFonts w:asciiTheme="minorHAnsi" w:eastAsiaTheme="minorHAnsi" w:hAnsiTheme="minorHAnsi" w:cstheme="minorBidi"/>
          <w:color w:val="auto"/>
          <w:sz w:val="22"/>
          <w:szCs w:val="22"/>
        </w:rPr>
        <w:lastRenderedPageBreak/>
        <w:t xml:space="preserve"> </w:t>
      </w:r>
      <w:bookmarkStart w:id="31" w:name="_Toc214067399"/>
      <w:r w:rsidRPr="00486094">
        <w:rPr>
          <w:rFonts w:ascii="Arial" w:hAnsi="Arial" w:cs="Arial"/>
          <w:color w:val="EAFAEC"/>
        </w:rPr>
        <w:t>Evaluation of Marketing Performance</w:t>
      </w:r>
      <w:bookmarkEnd w:id="31"/>
    </w:p>
    <w:p w14:paraId="6A213A48" w14:textId="77777777" w:rsidR="00624377" w:rsidRDefault="00624377" w:rsidP="00624377"/>
    <w:p w14:paraId="33EB4EC9" w14:textId="6E48BFDA" w:rsidR="004A7240" w:rsidRPr="004A7240" w:rsidRDefault="004A7240" w:rsidP="004A7240">
      <w:pPr>
        <w:spacing w:line="360" w:lineRule="auto"/>
        <w:rPr>
          <w:rFonts w:ascii="Arial" w:hAnsi="Arial" w:cs="Arial"/>
          <w:color w:val="4E3B22"/>
        </w:rPr>
      </w:pPr>
      <w:r w:rsidRPr="004A7240">
        <w:rPr>
          <w:rFonts w:ascii="Arial" w:hAnsi="Arial" w:cs="Arial"/>
          <w:color w:val="4E3B22"/>
        </w:rPr>
        <w:t xml:space="preserve">Evaluating Starbucks’ marketing performance across the United States and India requires examining not only financial outcomes but also brand equity, customer engagement, and operational effectiveness. Performance indicators show that Starbucks’ strategies generate divergent outcomes across the two markets due to fundamentally </w:t>
      </w:r>
      <w:r w:rsidR="00FB6220" w:rsidRPr="004A7240">
        <w:rPr>
          <w:rFonts w:ascii="Arial" w:hAnsi="Arial" w:cs="Arial"/>
          <w:color w:val="4E3B22"/>
        </w:rPr>
        <w:t>distinct levels</w:t>
      </w:r>
      <w:r w:rsidRPr="004A7240">
        <w:rPr>
          <w:rFonts w:ascii="Arial" w:hAnsi="Arial" w:cs="Arial"/>
          <w:color w:val="4E3B22"/>
        </w:rPr>
        <w:t xml:space="preserve"> of market maturity, digital infrastructure, and cultural expectations.</w:t>
      </w:r>
    </w:p>
    <w:p w14:paraId="062CFF69" w14:textId="77741CD1" w:rsidR="004A7240" w:rsidRPr="004A7240" w:rsidRDefault="004A7240" w:rsidP="004A7240">
      <w:pPr>
        <w:spacing w:line="360" w:lineRule="auto"/>
        <w:rPr>
          <w:rFonts w:ascii="Arial" w:hAnsi="Arial" w:cs="Arial"/>
          <w:color w:val="4E3B22"/>
        </w:rPr>
      </w:pPr>
      <w:r w:rsidRPr="004A7240">
        <w:rPr>
          <w:rFonts w:ascii="Arial" w:hAnsi="Arial" w:cs="Arial"/>
          <w:color w:val="4E3B22"/>
        </w:rPr>
        <w:t xml:space="preserve">In the U.S., performance is driven primarily by digital engagement and customer retention. Starbucks Rewards membership exceeded 34.3 million active users in 2024 (Starbucks, 2024), underpinning high customer lifetime value and enabling data-driven personalisation. The U.S. also maintains strong brand equity through consistency, innovation, and seasonal product cycles. Nonetheless, growth has plateaued at ~2% annually, signalling diminishing returns in a mature category and intensifying competition from Dunkin’ and independent </w:t>
      </w:r>
      <w:r w:rsidR="00B73C63">
        <w:rPr>
          <w:rFonts w:ascii="Arial" w:hAnsi="Arial" w:cs="Arial"/>
          <w:color w:val="4E3B22"/>
        </w:rPr>
        <w:t>speciality</w:t>
      </w:r>
      <w:r w:rsidRPr="004A7240">
        <w:rPr>
          <w:rFonts w:ascii="Arial" w:hAnsi="Arial" w:cs="Arial"/>
          <w:color w:val="4E3B22"/>
        </w:rPr>
        <w:t xml:space="preserve"> caf</w:t>
      </w:r>
      <w:r>
        <w:rPr>
          <w:rFonts w:ascii="Arial" w:hAnsi="Arial" w:cs="Arial"/>
          <w:color w:val="4E3B22"/>
        </w:rPr>
        <w:t>e</w:t>
      </w:r>
      <w:r w:rsidRPr="004A7240">
        <w:rPr>
          <w:rFonts w:ascii="Arial" w:hAnsi="Arial" w:cs="Arial"/>
          <w:color w:val="4E3B22"/>
        </w:rPr>
        <w:t>s. This suggests that digital optimisation alone cannot sustain long-term differentiation, aligning with Keller’s (2013) argument that brand equity stagnates without renewed experiential relevance.</w:t>
      </w:r>
    </w:p>
    <w:p w14:paraId="01EB9405" w14:textId="05316FB0" w:rsidR="004A7240" w:rsidRPr="004A7240" w:rsidRDefault="004A7240" w:rsidP="004A7240">
      <w:pPr>
        <w:spacing w:line="360" w:lineRule="auto"/>
        <w:rPr>
          <w:rFonts w:ascii="Arial" w:hAnsi="Arial" w:cs="Arial"/>
          <w:color w:val="4E3B22"/>
        </w:rPr>
      </w:pPr>
      <w:r w:rsidRPr="004A7240">
        <w:rPr>
          <w:rFonts w:ascii="Arial" w:hAnsi="Arial" w:cs="Arial"/>
          <w:color w:val="4E3B22"/>
        </w:rPr>
        <w:t xml:space="preserve">India demonstrates a contrasting performance trajectory. Starbucks reports over 21% annual store growth and continues expanding beyond tier-1 into tier-2/3 cities (Tata Starbucks, 2024). </w:t>
      </w:r>
      <w:r w:rsidR="00BB5340" w:rsidRPr="00BB5340">
        <w:rPr>
          <w:rFonts w:ascii="Arial" w:hAnsi="Arial" w:cs="Arial"/>
          <w:color w:val="4E3B22"/>
        </w:rPr>
        <w:t xml:space="preserve">Performance is supported by localised menus, festival </w:t>
      </w:r>
      <w:r w:rsidR="00710642" w:rsidRPr="00BB5340">
        <w:rPr>
          <w:rFonts w:ascii="Arial" w:hAnsi="Arial" w:cs="Arial"/>
          <w:color w:val="4E3B22"/>
        </w:rPr>
        <w:t>campaigns,</w:t>
      </w:r>
      <w:r w:rsidR="00BB5340" w:rsidRPr="00BB5340">
        <w:rPr>
          <w:rFonts w:ascii="Arial" w:hAnsi="Arial" w:cs="Arial"/>
          <w:color w:val="4E3B22"/>
        </w:rPr>
        <w:t xml:space="preserve"> and Tata partnerships</w:t>
      </w:r>
      <w:r w:rsidR="00BB5340">
        <w:rPr>
          <w:rFonts w:ascii="Arial" w:hAnsi="Arial" w:cs="Arial"/>
          <w:color w:val="4E3B22"/>
        </w:rPr>
        <w:t xml:space="preserve"> </w:t>
      </w:r>
      <w:r>
        <w:rPr>
          <w:rFonts w:ascii="Arial" w:hAnsi="Arial" w:cs="Arial"/>
          <w:color w:val="4E3B22"/>
        </w:rPr>
        <w:t>-</w:t>
      </w:r>
      <w:r w:rsidRPr="004A7240">
        <w:rPr>
          <w:rFonts w:ascii="Arial" w:hAnsi="Arial" w:cs="Arial"/>
          <w:color w:val="4E3B22"/>
        </w:rPr>
        <w:t>consistent with Peng’s (2002) institutional theory, which emphasises the role of local alliances in emerging markets. However, digital penetration remains low (15</w:t>
      </w:r>
      <w:r w:rsidR="00494AC5">
        <w:rPr>
          <w:rFonts w:ascii="Arial" w:hAnsi="Arial" w:cs="Arial"/>
          <w:color w:val="4E3B22"/>
        </w:rPr>
        <w:t>-</w:t>
      </w:r>
      <w:r w:rsidRPr="004A7240">
        <w:rPr>
          <w:rFonts w:ascii="Arial" w:hAnsi="Arial" w:cs="Arial"/>
          <w:color w:val="4E3B22"/>
        </w:rPr>
        <w:t>20%), limiting the effectiveness of loyalty programmes and constraining opportunities for data-driven performance enhancement. Moreover, India’s high price sensitivity creates a tension between aspirational positioning and mass accessibility, raising questions about the long-term scalability of Starbucks’ premium model.</w:t>
      </w:r>
    </w:p>
    <w:p w14:paraId="71544133" w14:textId="22897D2D" w:rsidR="00091AF5" w:rsidRPr="004A7240" w:rsidRDefault="004A7240" w:rsidP="004A7240">
      <w:pPr>
        <w:spacing w:line="360" w:lineRule="auto"/>
        <w:rPr>
          <w:rFonts w:ascii="Arial" w:hAnsi="Arial" w:cs="Arial"/>
          <w:color w:val="4E3B22"/>
        </w:rPr>
      </w:pPr>
      <w:r w:rsidRPr="004A7240">
        <w:rPr>
          <w:rFonts w:ascii="Arial" w:hAnsi="Arial" w:cs="Arial"/>
          <w:color w:val="4E3B22"/>
        </w:rPr>
        <w:t xml:space="preserve">From a comparative perspective, Starbucks’ U.S. performance reflects operational excellence and digital maturity, whereas India’s performance is driven by cultural relevance and rapid physical expansion. </w:t>
      </w:r>
      <w:r w:rsidR="00BB5340" w:rsidRPr="00BB5340">
        <w:rPr>
          <w:rFonts w:ascii="Arial" w:hAnsi="Arial" w:cs="Arial"/>
          <w:b/>
          <w:bCs/>
          <w:color w:val="4E3B22"/>
        </w:rPr>
        <w:t>Appendix 3</w:t>
      </w:r>
      <w:r w:rsidR="00BB5340" w:rsidRPr="00BB5340">
        <w:rPr>
          <w:rFonts w:ascii="Arial" w:hAnsi="Arial" w:cs="Arial"/>
          <w:color w:val="4E3B22"/>
        </w:rPr>
        <w:t xml:space="preserve"> illustrates these performance differences across the two markets</w:t>
      </w:r>
      <w:r w:rsidR="00BB5340">
        <w:rPr>
          <w:rFonts w:ascii="Arial" w:hAnsi="Arial" w:cs="Arial"/>
          <w:color w:val="4E3B22"/>
        </w:rPr>
        <w:t xml:space="preserve">. </w:t>
      </w:r>
      <w:r w:rsidRPr="004A7240">
        <w:rPr>
          <w:rFonts w:ascii="Arial" w:hAnsi="Arial" w:cs="Arial"/>
          <w:color w:val="4E3B22"/>
        </w:rPr>
        <w:t>Overall, performance evidence confirms that Starbucks’ competitive advantage emerges not from standardisation, but from its capacity to tailor value creation mechanisms</w:t>
      </w:r>
      <w:r>
        <w:rPr>
          <w:rFonts w:ascii="Arial" w:hAnsi="Arial" w:cs="Arial"/>
          <w:color w:val="4E3B22"/>
        </w:rPr>
        <w:t>-</w:t>
      </w:r>
      <w:r w:rsidRPr="004A7240">
        <w:rPr>
          <w:rFonts w:ascii="Arial" w:hAnsi="Arial" w:cs="Arial"/>
          <w:color w:val="4E3B22"/>
        </w:rPr>
        <w:t xml:space="preserve">digital ecosystems in the U.S., and cultural embedding in India. This reinforces the limitations of </w:t>
      </w:r>
      <w:r w:rsidRPr="004A7240">
        <w:rPr>
          <w:rFonts w:ascii="Arial" w:hAnsi="Arial" w:cs="Arial"/>
          <w:color w:val="4E3B22"/>
        </w:rPr>
        <w:lastRenderedPageBreak/>
        <w:t>universalist global marketing assumptions and highlights the strategic necessity of market-contingent performance models.</w:t>
      </w:r>
    </w:p>
    <w:p w14:paraId="2D41B5FE" w14:textId="77777777" w:rsidR="00091AF5" w:rsidRPr="004A7240" w:rsidRDefault="00091AF5" w:rsidP="004A7240">
      <w:pPr>
        <w:spacing w:line="360" w:lineRule="auto"/>
        <w:rPr>
          <w:rFonts w:ascii="Arial" w:hAnsi="Arial" w:cs="Arial"/>
          <w:color w:val="4E3B22"/>
        </w:rPr>
      </w:pPr>
    </w:p>
    <w:p w14:paraId="2147EBED" w14:textId="77777777" w:rsidR="00091AF5" w:rsidRPr="004A7240" w:rsidRDefault="00091AF5" w:rsidP="004A7240">
      <w:pPr>
        <w:spacing w:line="360" w:lineRule="auto"/>
        <w:rPr>
          <w:rFonts w:ascii="Arial" w:hAnsi="Arial" w:cs="Arial"/>
          <w:color w:val="4E3B22"/>
        </w:rPr>
      </w:pPr>
    </w:p>
    <w:p w14:paraId="342EA6E9" w14:textId="77777777" w:rsidR="00091AF5" w:rsidRPr="00486094" w:rsidRDefault="00091AF5" w:rsidP="00091AF5"/>
    <w:p w14:paraId="53392DD1" w14:textId="77777777" w:rsidR="00091AF5" w:rsidRPr="00486094" w:rsidRDefault="00091AF5" w:rsidP="00091AF5"/>
    <w:p w14:paraId="2AA0DA46" w14:textId="77777777" w:rsidR="00091AF5" w:rsidRPr="00486094" w:rsidRDefault="00091AF5" w:rsidP="00091AF5"/>
    <w:p w14:paraId="4401A40E" w14:textId="77777777" w:rsidR="00091AF5" w:rsidRPr="00486094" w:rsidRDefault="00091AF5" w:rsidP="00091AF5"/>
    <w:p w14:paraId="1F88FC88" w14:textId="77777777" w:rsidR="00091AF5" w:rsidRPr="00486094" w:rsidRDefault="00091AF5" w:rsidP="00091AF5"/>
    <w:p w14:paraId="479C9195" w14:textId="77777777" w:rsidR="00091AF5" w:rsidRPr="00486094" w:rsidRDefault="00091AF5" w:rsidP="00091AF5"/>
    <w:p w14:paraId="32768D2D" w14:textId="77777777" w:rsidR="00091AF5" w:rsidRPr="00486094" w:rsidRDefault="00091AF5" w:rsidP="00091AF5"/>
    <w:p w14:paraId="3177358B" w14:textId="77777777" w:rsidR="00091AF5" w:rsidRPr="00486094" w:rsidRDefault="00091AF5" w:rsidP="00091AF5"/>
    <w:p w14:paraId="5703A905" w14:textId="77777777" w:rsidR="00091AF5" w:rsidRPr="00486094" w:rsidRDefault="00091AF5" w:rsidP="00091AF5"/>
    <w:p w14:paraId="133FE460" w14:textId="77777777" w:rsidR="00091AF5" w:rsidRDefault="00091AF5" w:rsidP="00091AF5"/>
    <w:p w14:paraId="15D27345" w14:textId="77777777" w:rsidR="006474E3" w:rsidRDefault="006474E3" w:rsidP="00091AF5"/>
    <w:p w14:paraId="2B1FBEAE" w14:textId="77777777" w:rsidR="006474E3" w:rsidRDefault="006474E3" w:rsidP="00091AF5"/>
    <w:p w14:paraId="49FB0945" w14:textId="77777777" w:rsidR="006474E3" w:rsidRDefault="006474E3" w:rsidP="00091AF5"/>
    <w:p w14:paraId="055BA3E4" w14:textId="77777777" w:rsidR="006474E3" w:rsidRDefault="006474E3" w:rsidP="00091AF5"/>
    <w:p w14:paraId="67D074DA" w14:textId="77777777" w:rsidR="006474E3" w:rsidRDefault="006474E3" w:rsidP="00091AF5"/>
    <w:p w14:paraId="35505A25" w14:textId="77777777" w:rsidR="006474E3" w:rsidRDefault="006474E3" w:rsidP="00091AF5"/>
    <w:p w14:paraId="7C47E520" w14:textId="77777777" w:rsidR="006474E3" w:rsidRDefault="006474E3" w:rsidP="00091AF5"/>
    <w:p w14:paraId="1518C77E" w14:textId="77777777" w:rsidR="006474E3" w:rsidRDefault="006474E3" w:rsidP="00091AF5"/>
    <w:p w14:paraId="7DF51BEA" w14:textId="77777777" w:rsidR="006474E3" w:rsidRDefault="006474E3" w:rsidP="00091AF5"/>
    <w:p w14:paraId="60E60FD9" w14:textId="77777777" w:rsidR="00BB5340" w:rsidRDefault="00BB5340" w:rsidP="00091AF5"/>
    <w:p w14:paraId="595DF636" w14:textId="77777777" w:rsidR="00BB5340" w:rsidRPr="00486094" w:rsidRDefault="00BB5340" w:rsidP="00091AF5"/>
    <w:p w14:paraId="493810C2" w14:textId="77777777" w:rsidR="00091AF5" w:rsidRDefault="00091AF5" w:rsidP="00091AF5"/>
    <w:p w14:paraId="37D11038" w14:textId="77777777" w:rsidR="00BB5340" w:rsidRPr="00486094" w:rsidRDefault="00BB5340" w:rsidP="00091AF5"/>
    <w:p w14:paraId="0EC82132" w14:textId="49DDD119" w:rsidR="00091AF5" w:rsidRPr="00486094" w:rsidRDefault="00B15688" w:rsidP="00B15688">
      <w:pPr>
        <w:pStyle w:val="Heading1"/>
        <w:shd w:val="clear" w:color="auto" w:fill="295541"/>
        <w:rPr>
          <w:rFonts w:ascii="Arial" w:hAnsi="Arial" w:cs="Arial"/>
          <w:color w:val="EAFAEC"/>
        </w:rPr>
      </w:pPr>
      <w:bookmarkStart w:id="32" w:name="_Toc214067400"/>
      <w:r w:rsidRPr="00486094">
        <w:rPr>
          <w:rFonts w:ascii="Arial" w:hAnsi="Arial" w:cs="Arial"/>
          <w:color w:val="EAFAEC"/>
        </w:rPr>
        <w:lastRenderedPageBreak/>
        <w:t>Marketing Ethics and CSR</w:t>
      </w:r>
      <w:bookmarkEnd w:id="32"/>
    </w:p>
    <w:p w14:paraId="0491D132" w14:textId="77777777" w:rsidR="00091AF5" w:rsidRPr="00486094" w:rsidRDefault="00091AF5" w:rsidP="00091AF5"/>
    <w:p w14:paraId="33D61294" w14:textId="49881AAD" w:rsidR="00603AA6" w:rsidRPr="00603AA6" w:rsidRDefault="00603AA6" w:rsidP="00603AA6">
      <w:pPr>
        <w:spacing w:line="360" w:lineRule="auto"/>
        <w:rPr>
          <w:rFonts w:ascii="Arial" w:hAnsi="Arial" w:cs="Arial"/>
          <w:color w:val="4E3B22"/>
        </w:rPr>
      </w:pPr>
      <w:r w:rsidRPr="00603AA6">
        <w:rPr>
          <w:rFonts w:ascii="Arial" w:hAnsi="Arial" w:cs="Arial"/>
          <w:color w:val="4E3B22"/>
        </w:rPr>
        <w:t xml:space="preserve">Ethical responsibility is an increasingly central dimension of international marketing strategy, particularly for global brands operating across heterogeneous cultural and institutional contexts. Evaluating Starbucks’ ethical performance in the United States and India requires a multidimensional assessment based on Carroll’s (1999) CSR Pyramid, Elkington’s (1998) Triple Bottom Line (TBL), and cultural-ethical frameworks such as Visconti et al.’s (2020) notion of moral localisation. These theories show that CSR is not a universally transferable construct; rather, </w:t>
      </w:r>
      <w:r w:rsidR="00BB5340" w:rsidRPr="00BB5340">
        <w:rPr>
          <w:rFonts w:ascii="Arial" w:hAnsi="Arial" w:cs="Arial"/>
          <w:color w:val="4E3B22"/>
        </w:rPr>
        <w:t>its meaning depends on cultural expectations and institutional pressures</w:t>
      </w:r>
      <w:r w:rsidRPr="00603AA6">
        <w:rPr>
          <w:rFonts w:ascii="Arial" w:hAnsi="Arial" w:cs="Arial"/>
          <w:color w:val="4E3B22"/>
        </w:rPr>
        <w:t xml:space="preserve"> (Peng, 2002).</w:t>
      </w:r>
    </w:p>
    <w:p w14:paraId="369381A5" w14:textId="77777777" w:rsidR="00603AA6" w:rsidRPr="00603AA6" w:rsidRDefault="00603AA6" w:rsidP="00603AA6">
      <w:pPr>
        <w:spacing w:line="360" w:lineRule="auto"/>
        <w:rPr>
          <w:rFonts w:ascii="Arial" w:hAnsi="Arial" w:cs="Arial"/>
          <w:color w:val="4E3B22"/>
        </w:rPr>
      </w:pPr>
    </w:p>
    <w:p w14:paraId="0B4033DE" w14:textId="624709A6" w:rsidR="00603AA6" w:rsidRPr="00603AA6" w:rsidRDefault="00603AA6" w:rsidP="00603AA6">
      <w:pPr>
        <w:pStyle w:val="Heading2"/>
        <w:rPr>
          <w:rFonts w:ascii="Arial" w:hAnsi="Arial" w:cs="Arial"/>
          <w:color w:val="4E3B22"/>
        </w:rPr>
      </w:pPr>
      <w:bookmarkStart w:id="33" w:name="_Toc214067401"/>
      <w:r w:rsidRPr="00603AA6">
        <w:rPr>
          <w:rFonts w:ascii="Arial" w:hAnsi="Arial" w:cs="Arial"/>
          <w:color w:val="4E3B22"/>
        </w:rPr>
        <w:t>Economic and Legal Responsibilities</w:t>
      </w:r>
      <w:bookmarkEnd w:id="33"/>
    </w:p>
    <w:p w14:paraId="137059A6" w14:textId="553F3918" w:rsidR="00603AA6" w:rsidRPr="00603AA6" w:rsidRDefault="00603AA6" w:rsidP="00603AA6">
      <w:pPr>
        <w:spacing w:line="360" w:lineRule="auto"/>
        <w:rPr>
          <w:rFonts w:ascii="Arial" w:hAnsi="Arial" w:cs="Arial"/>
          <w:color w:val="4E3B22"/>
        </w:rPr>
      </w:pPr>
      <w:r w:rsidRPr="00603AA6">
        <w:rPr>
          <w:rFonts w:ascii="Arial" w:hAnsi="Arial" w:cs="Arial"/>
          <w:color w:val="4E3B22"/>
        </w:rPr>
        <w:t xml:space="preserve">In the U.S., Starbucks demonstrates strong compliance with food safety, labour </w:t>
      </w:r>
      <w:r w:rsidR="00710642" w:rsidRPr="00603AA6">
        <w:rPr>
          <w:rFonts w:ascii="Arial" w:hAnsi="Arial" w:cs="Arial"/>
          <w:color w:val="4E3B22"/>
        </w:rPr>
        <w:t>regulations,</w:t>
      </w:r>
      <w:r w:rsidRPr="00603AA6">
        <w:rPr>
          <w:rFonts w:ascii="Arial" w:hAnsi="Arial" w:cs="Arial"/>
          <w:color w:val="4E3B22"/>
        </w:rPr>
        <w:t xml:space="preserve"> and sustainability reporting, consistent with the economic and legal layers of Carroll’s model. Its Planet Positive 2030 agenda </w:t>
      </w:r>
      <w:r w:rsidR="00710642">
        <w:rPr>
          <w:rFonts w:ascii="Arial" w:hAnsi="Arial" w:cs="Arial"/>
          <w:color w:val="4E3B22"/>
        </w:rPr>
        <w:t>outline</w:t>
      </w:r>
      <w:r w:rsidRPr="00603AA6">
        <w:rPr>
          <w:rFonts w:ascii="Arial" w:hAnsi="Arial" w:cs="Arial"/>
          <w:color w:val="4E3B22"/>
        </w:rPr>
        <w:t xml:space="preserve"> commitments to waste, </w:t>
      </w:r>
      <w:r w:rsidR="00710642" w:rsidRPr="00603AA6">
        <w:rPr>
          <w:rFonts w:ascii="Arial" w:hAnsi="Arial" w:cs="Arial"/>
          <w:color w:val="4E3B22"/>
        </w:rPr>
        <w:t>carbon,</w:t>
      </w:r>
      <w:r w:rsidRPr="00603AA6">
        <w:rPr>
          <w:rFonts w:ascii="Arial" w:hAnsi="Arial" w:cs="Arial"/>
          <w:color w:val="4E3B22"/>
        </w:rPr>
        <w:t xml:space="preserve"> and water reduction, supported by detailed ESG disclosures. However, the company faces criticism over its anti-unionisation stance in several states, which raises ethical tensions around workers’ rights. This reveals a misalignment between economic priorities and ethical expectations, challenging the assumption that corporate values are applied consistently across markets.</w:t>
      </w:r>
    </w:p>
    <w:p w14:paraId="582BEA6D" w14:textId="04B3F098" w:rsidR="00603AA6" w:rsidRPr="00603AA6" w:rsidRDefault="00603AA6" w:rsidP="00603AA6">
      <w:pPr>
        <w:spacing w:line="360" w:lineRule="auto"/>
        <w:rPr>
          <w:rFonts w:ascii="Arial" w:hAnsi="Arial" w:cs="Arial"/>
          <w:color w:val="4E3B22"/>
        </w:rPr>
      </w:pPr>
      <w:r w:rsidRPr="00603AA6">
        <w:rPr>
          <w:rFonts w:ascii="Arial" w:hAnsi="Arial" w:cs="Arial"/>
          <w:color w:val="4E3B22"/>
        </w:rPr>
        <w:t xml:space="preserve">In India, legal compliance is reinforced through its partnership with Tata, whose reputation in ethical governance facilitates institutional legitimacy. The joint venture structure ensures adherence to local labour norms and FSSAI food standards. Yet environmental accountability is less transparent, with limited public metrics on waste, water </w:t>
      </w:r>
      <w:r w:rsidR="00710642" w:rsidRPr="00603AA6">
        <w:rPr>
          <w:rFonts w:ascii="Arial" w:hAnsi="Arial" w:cs="Arial"/>
          <w:color w:val="4E3B22"/>
        </w:rPr>
        <w:t>use,</w:t>
      </w:r>
      <w:r w:rsidRPr="00603AA6">
        <w:rPr>
          <w:rFonts w:ascii="Arial" w:hAnsi="Arial" w:cs="Arial"/>
          <w:color w:val="4E3B22"/>
        </w:rPr>
        <w:t xml:space="preserve"> and carbon performance. This asymmetry suggests potential selective disclosure </w:t>
      </w:r>
      <w:r w:rsidR="00FE75E4">
        <w:rPr>
          <w:rFonts w:ascii="Arial" w:hAnsi="Arial" w:cs="Arial"/>
          <w:color w:val="4E3B22"/>
        </w:rPr>
        <w:t>-</w:t>
      </w:r>
      <w:r w:rsidRPr="00603AA6">
        <w:rPr>
          <w:rFonts w:ascii="Arial" w:hAnsi="Arial" w:cs="Arial"/>
          <w:color w:val="4E3B22"/>
        </w:rPr>
        <w:t xml:space="preserve"> a pattern often identified as contextual greenwashing in emerging markets.</w:t>
      </w:r>
    </w:p>
    <w:p w14:paraId="27CD4F7C" w14:textId="77777777" w:rsidR="00603AA6" w:rsidRPr="00603AA6" w:rsidRDefault="00603AA6" w:rsidP="00603AA6">
      <w:pPr>
        <w:spacing w:line="360" w:lineRule="auto"/>
        <w:rPr>
          <w:rFonts w:ascii="Arial" w:hAnsi="Arial" w:cs="Arial"/>
          <w:color w:val="4E3B22"/>
        </w:rPr>
      </w:pPr>
    </w:p>
    <w:p w14:paraId="624BEBF7" w14:textId="6526F098" w:rsidR="00603AA6" w:rsidRPr="00603AA6" w:rsidRDefault="00603AA6" w:rsidP="00603AA6">
      <w:pPr>
        <w:pStyle w:val="Heading2"/>
        <w:rPr>
          <w:rFonts w:ascii="Arial" w:hAnsi="Arial" w:cs="Arial"/>
          <w:color w:val="4E3B22"/>
        </w:rPr>
      </w:pPr>
      <w:bookmarkStart w:id="34" w:name="_Toc214067402"/>
      <w:r w:rsidRPr="00603AA6">
        <w:rPr>
          <w:rFonts w:ascii="Arial" w:hAnsi="Arial" w:cs="Arial"/>
          <w:color w:val="4E3B22"/>
        </w:rPr>
        <w:t>Ethical and Philanthropic Responsibilities</w:t>
      </w:r>
      <w:bookmarkEnd w:id="34"/>
    </w:p>
    <w:p w14:paraId="75AF161A" w14:textId="21E8D4CE" w:rsidR="00603AA6" w:rsidRPr="00603AA6" w:rsidRDefault="00603AA6" w:rsidP="00603AA6">
      <w:pPr>
        <w:spacing w:line="360" w:lineRule="auto"/>
        <w:rPr>
          <w:rFonts w:ascii="Arial" w:hAnsi="Arial" w:cs="Arial"/>
          <w:color w:val="4E3B22"/>
        </w:rPr>
      </w:pPr>
      <w:r w:rsidRPr="00603AA6">
        <w:rPr>
          <w:rFonts w:ascii="Arial" w:hAnsi="Arial" w:cs="Arial"/>
          <w:color w:val="4E3B22"/>
        </w:rPr>
        <w:t>Starbucks’ philanthropic and ethical initiatives diverge significantly between the two markets. In the U.S., efforts include ethical coffee sourcing (C.A.F.E. Practices), community stores, and investments in farmer welfare. These initiatives create social value but are criticised by some scholars for being overly brand-centric rather than community-centric, aligning with Visconti et al.’s (2020) argument that global brands often universalise Western ethical narratives.</w:t>
      </w:r>
    </w:p>
    <w:p w14:paraId="01B8DA33" w14:textId="77E9EBBC" w:rsidR="00603AA6" w:rsidRPr="00603AA6" w:rsidRDefault="00603AA6" w:rsidP="00603AA6">
      <w:pPr>
        <w:spacing w:line="360" w:lineRule="auto"/>
        <w:rPr>
          <w:rFonts w:ascii="Arial" w:hAnsi="Arial" w:cs="Arial"/>
          <w:color w:val="4E3B22"/>
        </w:rPr>
      </w:pPr>
      <w:r w:rsidRPr="00603AA6">
        <w:rPr>
          <w:rFonts w:ascii="Arial" w:hAnsi="Arial" w:cs="Arial"/>
          <w:color w:val="4E3B22"/>
        </w:rPr>
        <w:lastRenderedPageBreak/>
        <w:t xml:space="preserve">In India, CSR performance is comparatively stronger in its social dimension. The introduction of women-operated stores, 100% gender pay equity, five-day work week policies, and </w:t>
      </w:r>
      <w:r w:rsidR="00B73C63">
        <w:rPr>
          <w:rFonts w:ascii="Arial" w:hAnsi="Arial" w:cs="Arial"/>
          <w:color w:val="4E3B22"/>
        </w:rPr>
        <w:t>safe</w:t>
      </w:r>
      <w:r w:rsidRPr="00603AA6">
        <w:rPr>
          <w:rFonts w:ascii="Arial" w:hAnsi="Arial" w:cs="Arial"/>
          <w:color w:val="4E3B22"/>
        </w:rPr>
        <w:t xml:space="preserve"> transport for female employees </w:t>
      </w:r>
      <w:r w:rsidR="00B73C63">
        <w:rPr>
          <w:rFonts w:ascii="Arial" w:hAnsi="Arial" w:cs="Arial"/>
          <w:color w:val="4E3B22"/>
        </w:rPr>
        <w:t>represents</w:t>
      </w:r>
      <w:r w:rsidRPr="00603AA6">
        <w:rPr>
          <w:rFonts w:ascii="Arial" w:hAnsi="Arial" w:cs="Arial"/>
          <w:color w:val="4E3B22"/>
        </w:rPr>
        <w:t xml:space="preserve"> high-impact ethical practices aligned with local socio-economic realities. These initiatives address gender inequalities</w:t>
      </w:r>
      <w:r w:rsidR="00B73C63">
        <w:rPr>
          <w:rFonts w:ascii="Arial" w:hAnsi="Arial" w:cs="Arial"/>
          <w:color w:val="4E3B22"/>
        </w:rPr>
        <w:t>,</w:t>
      </w:r>
      <w:r w:rsidRPr="00603AA6">
        <w:rPr>
          <w:rFonts w:ascii="Arial" w:hAnsi="Arial" w:cs="Arial"/>
          <w:color w:val="4E3B22"/>
        </w:rPr>
        <w:t xml:space="preserve"> particularly salient in the Indian context and resonate with the philanthropic tier of Carroll’s pyramid. Moreover, Starbucks supports Tata-led community programmes in education and employment, further embedding the brand within local ethical norms.</w:t>
      </w:r>
    </w:p>
    <w:p w14:paraId="2B9789A1" w14:textId="036AF1E0" w:rsidR="00603AA6" w:rsidRPr="00603AA6" w:rsidRDefault="00603AA6" w:rsidP="00603AA6">
      <w:pPr>
        <w:spacing w:line="360" w:lineRule="auto"/>
        <w:rPr>
          <w:rFonts w:ascii="Arial" w:hAnsi="Arial" w:cs="Arial"/>
          <w:color w:val="4E3B22"/>
        </w:rPr>
      </w:pPr>
      <w:r w:rsidRPr="00603AA6">
        <w:rPr>
          <w:rFonts w:ascii="Arial" w:hAnsi="Arial" w:cs="Arial"/>
          <w:color w:val="4E3B22"/>
        </w:rPr>
        <w:t>However, cultural sensitivity requires continual evaluation. Product localisation aligns well with Indian cultural preferences, yet promotional campaigns risk oversimplifying local identity if they overemphasise festival symbolism without substantive community impact. This tension supports Visconti’s notion that brands must “localise their moral compass”</w:t>
      </w:r>
      <w:r w:rsidR="00710642">
        <w:rPr>
          <w:rFonts w:ascii="Arial" w:hAnsi="Arial" w:cs="Arial"/>
          <w:color w:val="4E3B22"/>
        </w:rPr>
        <w:t xml:space="preserve"> </w:t>
      </w:r>
      <w:r w:rsidRPr="00603AA6">
        <w:rPr>
          <w:rFonts w:ascii="Arial" w:hAnsi="Arial" w:cs="Arial"/>
          <w:color w:val="4E3B22"/>
        </w:rPr>
        <w:t>not only their visual language.</w:t>
      </w:r>
    </w:p>
    <w:p w14:paraId="6F87BAAE" w14:textId="77777777" w:rsidR="00603AA6" w:rsidRPr="00603AA6" w:rsidRDefault="00603AA6" w:rsidP="00603AA6">
      <w:pPr>
        <w:spacing w:line="360" w:lineRule="auto"/>
        <w:rPr>
          <w:rFonts w:ascii="Arial" w:hAnsi="Arial" w:cs="Arial"/>
          <w:color w:val="4E3B22"/>
        </w:rPr>
      </w:pPr>
    </w:p>
    <w:p w14:paraId="51BB9CFA" w14:textId="26EA7330" w:rsidR="00603AA6" w:rsidRPr="00603AA6" w:rsidRDefault="00603AA6" w:rsidP="00603AA6">
      <w:pPr>
        <w:pStyle w:val="Heading2"/>
        <w:rPr>
          <w:rFonts w:ascii="Arial" w:hAnsi="Arial" w:cs="Arial"/>
          <w:color w:val="4E3B22"/>
        </w:rPr>
      </w:pPr>
      <w:bookmarkStart w:id="35" w:name="_Toc214067403"/>
      <w:r w:rsidRPr="00603AA6">
        <w:rPr>
          <w:rFonts w:ascii="Arial" w:hAnsi="Arial" w:cs="Arial"/>
          <w:color w:val="4E3B22"/>
        </w:rPr>
        <w:t>Comparative Ethical Evaluation</w:t>
      </w:r>
      <w:bookmarkEnd w:id="35"/>
    </w:p>
    <w:p w14:paraId="0878BD8B" w14:textId="0B51B31C" w:rsidR="00603AA6" w:rsidRPr="00603AA6" w:rsidRDefault="00603AA6" w:rsidP="00603AA6">
      <w:pPr>
        <w:spacing w:line="360" w:lineRule="auto"/>
        <w:rPr>
          <w:rFonts w:ascii="Arial" w:hAnsi="Arial" w:cs="Arial"/>
          <w:color w:val="4E3B22"/>
        </w:rPr>
      </w:pPr>
      <w:r w:rsidRPr="00603AA6">
        <w:rPr>
          <w:rFonts w:ascii="Arial" w:hAnsi="Arial" w:cs="Arial"/>
          <w:color w:val="4E3B22"/>
        </w:rPr>
        <w:t>Overall, Starbucks demonstrates higher environmental sophistication and reporting transparency in the United States, but stronger social-progressive practices and community alignment in India. The contrast highlights the limitations of a universal CSR strategy and reinforces the need for culturally contingent ethical approaches. Starbucks’ practices reveal that CSR effectiveness depends not simply on global standards, but on the firm’s ability to navigate institutional constraints, cultural expectations, and stakeholder values in each market.</w:t>
      </w:r>
    </w:p>
    <w:p w14:paraId="06B31051" w14:textId="07C6E9E3" w:rsidR="00BB5340" w:rsidRDefault="007268B0" w:rsidP="00603AA6">
      <w:pPr>
        <w:spacing w:line="360" w:lineRule="auto"/>
        <w:rPr>
          <w:rFonts w:ascii="Arial" w:hAnsi="Arial" w:cs="Arial"/>
          <w:color w:val="4E3B22"/>
        </w:rPr>
      </w:pPr>
      <w:r w:rsidRPr="00603AA6">
        <w:rPr>
          <w:rFonts w:ascii="Arial" w:hAnsi="Arial" w:cs="Arial"/>
          <w:color w:val="4E3B22"/>
        </w:rPr>
        <w:t>The</w:t>
      </w:r>
      <w:r w:rsidR="00603AA6" w:rsidRPr="00603AA6">
        <w:rPr>
          <w:rFonts w:ascii="Arial" w:hAnsi="Arial" w:cs="Arial"/>
          <w:color w:val="4E3B22"/>
        </w:rPr>
        <w:t xml:space="preserve"> comparison shows that Starbucks’ ethical performance is asymmetrical: environmentally stronger in the U.S., socially stronger in India, and challenged in both markets by gaps between corporate commitments and operational realities. </w:t>
      </w:r>
      <w:r w:rsidR="00BB5340" w:rsidRPr="00BB5340">
        <w:rPr>
          <w:rFonts w:ascii="Arial" w:hAnsi="Arial" w:cs="Arial"/>
          <w:color w:val="4E3B22"/>
        </w:rPr>
        <w:t>This shows that CSR requires locally embedded strategies, not standardised narratives.</w:t>
      </w:r>
    </w:p>
    <w:p w14:paraId="085BDA80" w14:textId="4056BF0F" w:rsidR="00F80F0A" w:rsidRDefault="00F80F0A" w:rsidP="00603AA6">
      <w:pPr>
        <w:spacing w:line="360" w:lineRule="auto"/>
        <w:rPr>
          <w:rFonts w:ascii="Arial" w:hAnsi="Arial" w:cs="Arial"/>
          <w:color w:val="4E3B22"/>
        </w:rPr>
      </w:pPr>
      <w:r w:rsidRPr="00F80F0A">
        <w:rPr>
          <w:rFonts w:ascii="Arial" w:hAnsi="Arial" w:cs="Arial"/>
          <w:color w:val="4E3B22"/>
        </w:rPr>
        <w:t>A comparative summary of CSR and ESG indicators (</w:t>
      </w:r>
      <w:r w:rsidRPr="00F80F0A">
        <w:rPr>
          <w:rFonts w:ascii="Arial" w:hAnsi="Arial" w:cs="Arial"/>
          <w:b/>
          <w:bCs/>
          <w:color w:val="4E3B22"/>
        </w:rPr>
        <w:t>Appendix 4</w:t>
      </w:r>
      <w:r w:rsidRPr="00F80F0A">
        <w:rPr>
          <w:rFonts w:ascii="Arial" w:hAnsi="Arial" w:cs="Arial"/>
          <w:color w:val="4E3B22"/>
        </w:rPr>
        <w:t xml:space="preserve">) further shows that accountability remains uneven: while U.S. reporting is KPI-driven and transparent, India still lacks measurable environmental and labour </w:t>
      </w:r>
      <w:r w:rsidR="00B73C63">
        <w:rPr>
          <w:rFonts w:ascii="Arial" w:hAnsi="Arial" w:cs="Arial"/>
          <w:color w:val="4E3B22"/>
        </w:rPr>
        <w:t>disclosures, reinforcing</w:t>
      </w:r>
      <w:r w:rsidRPr="00F80F0A">
        <w:rPr>
          <w:rFonts w:ascii="Arial" w:hAnsi="Arial" w:cs="Arial"/>
          <w:color w:val="4E3B22"/>
        </w:rPr>
        <w:t xml:space="preserve"> the argument that global ethical performance cannot rely on standardised templates.</w:t>
      </w:r>
    </w:p>
    <w:p w14:paraId="06BFF059" w14:textId="77777777" w:rsidR="00BB5340" w:rsidRPr="00603AA6" w:rsidRDefault="00BB5340" w:rsidP="00603AA6">
      <w:pPr>
        <w:spacing w:line="360" w:lineRule="auto"/>
        <w:rPr>
          <w:rFonts w:ascii="Arial" w:hAnsi="Arial" w:cs="Arial"/>
          <w:color w:val="4E3B22"/>
        </w:rPr>
      </w:pPr>
    </w:p>
    <w:p w14:paraId="7A1959E8" w14:textId="77777777" w:rsidR="00091AF5" w:rsidRPr="00486094" w:rsidRDefault="00091AF5" w:rsidP="00091AF5"/>
    <w:p w14:paraId="527DC4D6" w14:textId="77777777" w:rsidR="00091AF5" w:rsidRPr="00486094" w:rsidRDefault="00091AF5" w:rsidP="00B15688">
      <w:pPr>
        <w:pStyle w:val="Heading1"/>
        <w:shd w:val="clear" w:color="auto" w:fill="295541"/>
        <w:rPr>
          <w:rFonts w:ascii="Arial" w:hAnsi="Arial" w:cs="Arial"/>
          <w:color w:val="EAFAEC"/>
        </w:rPr>
      </w:pPr>
      <w:bookmarkStart w:id="36" w:name="_Toc214067404"/>
      <w:r w:rsidRPr="00486094">
        <w:rPr>
          <w:rFonts w:ascii="Arial" w:hAnsi="Arial" w:cs="Arial"/>
          <w:color w:val="EAFAEC"/>
        </w:rPr>
        <w:lastRenderedPageBreak/>
        <w:t>Recommendations and Conclusion</w:t>
      </w:r>
      <w:bookmarkEnd w:id="36"/>
    </w:p>
    <w:p w14:paraId="4D73F733" w14:textId="77777777" w:rsidR="007F55B4" w:rsidRPr="008F7159" w:rsidRDefault="007F55B4" w:rsidP="008F7159">
      <w:pPr>
        <w:spacing w:line="360" w:lineRule="auto"/>
        <w:rPr>
          <w:rFonts w:ascii="Arial" w:hAnsi="Arial" w:cs="Arial"/>
          <w:color w:val="4E3B22"/>
        </w:rPr>
      </w:pPr>
    </w:p>
    <w:p w14:paraId="74DF48CC" w14:textId="003C3391" w:rsidR="007F55B4" w:rsidRPr="008F7159" w:rsidRDefault="00E467BC" w:rsidP="008F7159">
      <w:pPr>
        <w:spacing w:line="360" w:lineRule="auto"/>
        <w:rPr>
          <w:rFonts w:ascii="Arial" w:hAnsi="Arial" w:cs="Arial"/>
          <w:color w:val="4E3B22"/>
        </w:rPr>
      </w:pPr>
      <w:r w:rsidRPr="00E467BC">
        <w:rPr>
          <w:rFonts w:ascii="Arial" w:hAnsi="Arial" w:cs="Arial"/>
          <w:color w:val="4E3B22"/>
        </w:rPr>
        <w:t>The analysis highlights Starbucks’ dual logic: digital standardisation in the U.S. and cultural localisation in India.</w:t>
      </w:r>
      <w:r>
        <w:rPr>
          <w:rFonts w:ascii="Arial" w:hAnsi="Arial" w:cs="Arial"/>
          <w:color w:val="4E3B22"/>
        </w:rPr>
        <w:t xml:space="preserve"> </w:t>
      </w:r>
      <w:r w:rsidR="007F55B4" w:rsidRPr="008F7159">
        <w:rPr>
          <w:rFonts w:ascii="Arial" w:hAnsi="Arial" w:cs="Arial"/>
          <w:color w:val="4E3B22"/>
        </w:rPr>
        <w:t>The following recommendations aim to strengthen strategic alignment, deepen cultural legitimacy, and enhance long-term performance across both contexts.</w:t>
      </w:r>
    </w:p>
    <w:p w14:paraId="34F8C22E" w14:textId="77777777" w:rsidR="007F55B4" w:rsidRPr="008F7159" w:rsidRDefault="007F55B4" w:rsidP="008F7159">
      <w:pPr>
        <w:spacing w:line="360" w:lineRule="auto"/>
        <w:rPr>
          <w:rFonts w:ascii="Arial" w:hAnsi="Arial" w:cs="Arial"/>
          <w:color w:val="4E3B22"/>
        </w:rPr>
      </w:pPr>
    </w:p>
    <w:p w14:paraId="5B3D5434" w14:textId="0F161D25" w:rsidR="007F55B4" w:rsidRPr="008F7159" w:rsidRDefault="007F55B4" w:rsidP="008F7159">
      <w:pPr>
        <w:spacing w:line="360" w:lineRule="auto"/>
        <w:rPr>
          <w:rFonts w:ascii="Arial" w:hAnsi="Arial" w:cs="Arial"/>
          <w:color w:val="4E3B22"/>
        </w:rPr>
      </w:pPr>
      <w:r w:rsidRPr="008F7159">
        <w:rPr>
          <w:rFonts w:ascii="Arial" w:hAnsi="Arial" w:cs="Arial"/>
          <w:color w:val="4E3B22"/>
        </w:rPr>
        <w:t>1. Expand Behavioural and Psychographic Segmentation in India</w:t>
      </w:r>
    </w:p>
    <w:p w14:paraId="5AD44474" w14:textId="0E7386AB" w:rsidR="007F55B4" w:rsidRPr="008F7159" w:rsidRDefault="00E467BC" w:rsidP="008F7159">
      <w:pPr>
        <w:spacing w:line="360" w:lineRule="auto"/>
        <w:rPr>
          <w:rFonts w:ascii="Arial" w:hAnsi="Arial" w:cs="Arial"/>
          <w:color w:val="4E3B22"/>
        </w:rPr>
      </w:pPr>
      <w:r w:rsidRPr="00E467BC">
        <w:rPr>
          <w:rFonts w:ascii="Arial" w:hAnsi="Arial" w:cs="Arial"/>
          <w:color w:val="4E3B22"/>
        </w:rPr>
        <w:t>Starbucks should shift from socio-economic to behavioural, occasion-</w:t>
      </w:r>
      <w:r w:rsidR="00710642" w:rsidRPr="00E467BC">
        <w:rPr>
          <w:rFonts w:ascii="Arial" w:hAnsi="Arial" w:cs="Arial"/>
          <w:color w:val="4E3B22"/>
        </w:rPr>
        <w:t>based,</w:t>
      </w:r>
      <w:r w:rsidRPr="00E467BC">
        <w:rPr>
          <w:rFonts w:ascii="Arial" w:hAnsi="Arial" w:cs="Arial"/>
          <w:color w:val="4E3B22"/>
        </w:rPr>
        <w:t xml:space="preserve"> and digital segmentation, supported by local analytics.</w:t>
      </w:r>
      <w:r>
        <w:rPr>
          <w:rFonts w:ascii="Arial" w:hAnsi="Arial" w:cs="Arial"/>
          <w:color w:val="4E3B22"/>
        </w:rPr>
        <w:t xml:space="preserve"> </w:t>
      </w:r>
      <w:r w:rsidR="007F55B4" w:rsidRPr="008F7159">
        <w:rPr>
          <w:rFonts w:ascii="Arial" w:hAnsi="Arial" w:cs="Arial"/>
          <w:color w:val="4E3B22"/>
        </w:rPr>
        <w:t>This</w:t>
      </w:r>
      <w:r w:rsidR="00FE75E4">
        <w:rPr>
          <w:rFonts w:ascii="Arial" w:hAnsi="Arial" w:cs="Arial"/>
          <w:color w:val="4E3B22"/>
        </w:rPr>
        <w:t xml:space="preserve"> </w:t>
      </w:r>
      <w:r w:rsidR="007F55B4" w:rsidRPr="008F7159">
        <w:rPr>
          <w:rFonts w:ascii="Arial" w:hAnsi="Arial" w:cs="Arial"/>
          <w:color w:val="4E3B22"/>
        </w:rPr>
        <w:t>aligns with Wedel and Kamakura’s (2012) dynamic segmentation approach and will reduce reliance on aspirational targeting alone. Greater behavioural precision would allow Starbucks to reach emerging middle-income consumers without diluting premium positioning.</w:t>
      </w:r>
    </w:p>
    <w:p w14:paraId="1C52EFC2" w14:textId="77777777" w:rsidR="007F55B4" w:rsidRPr="008F7159" w:rsidRDefault="007F55B4" w:rsidP="008F7159">
      <w:pPr>
        <w:spacing w:line="360" w:lineRule="auto"/>
        <w:rPr>
          <w:rFonts w:ascii="Arial" w:hAnsi="Arial" w:cs="Arial"/>
          <w:color w:val="4E3B22"/>
        </w:rPr>
      </w:pPr>
    </w:p>
    <w:p w14:paraId="76910A46" w14:textId="7180BC66" w:rsidR="007F55B4" w:rsidRPr="008F7159" w:rsidRDefault="007F55B4" w:rsidP="008F7159">
      <w:pPr>
        <w:spacing w:line="360" w:lineRule="auto"/>
        <w:rPr>
          <w:rFonts w:ascii="Arial" w:hAnsi="Arial" w:cs="Arial"/>
          <w:color w:val="4E3B22"/>
        </w:rPr>
      </w:pPr>
      <w:r w:rsidRPr="008F7159">
        <w:rPr>
          <w:rFonts w:ascii="Arial" w:hAnsi="Arial" w:cs="Arial"/>
          <w:color w:val="4E3B22"/>
        </w:rPr>
        <w:t>2. Strengthen Localised Product Innovation and Supply Chain Integration</w:t>
      </w:r>
    </w:p>
    <w:p w14:paraId="354412E5" w14:textId="77777777" w:rsidR="007F55B4" w:rsidRPr="008F7159" w:rsidRDefault="007F55B4" w:rsidP="008F7159">
      <w:pPr>
        <w:spacing w:line="360" w:lineRule="auto"/>
        <w:rPr>
          <w:rFonts w:ascii="Arial" w:hAnsi="Arial" w:cs="Arial"/>
          <w:color w:val="4E3B22"/>
        </w:rPr>
      </w:pPr>
      <w:r w:rsidRPr="008F7159">
        <w:rPr>
          <w:rFonts w:ascii="Arial" w:hAnsi="Arial" w:cs="Arial"/>
          <w:color w:val="4E3B22"/>
        </w:rPr>
        <w:t>The success of local beverages (e.g. Masala Chai, regional snacks) confirms the relevance of Visconti et al.’s (2020) cultural branding theory. Starbucks should embed deeper supply-chain integration with Tata to create region-specific seasonal menus and improve cost efficiency, which would support affordability in tier-2/3 cities while reinforcing authenticity. This also mitigates operational complexity associated with SKU proliferation.</w:t>
      </w:r>
    </w:p>
    <w:p w14:paraId="0F95B196" w14:textId="77777777" w:rsidR="007F55B4" w:rsidRPr="008F7159" w:rsidRDefault="007F55B4" w:rsidP="008F7159">
      <w:pPr>
        <w:spacing w:line="360" w:lineRule="auto"/>
        <w:rPr>
          <w:rFonts w:ascii="Arial" w:hAnsi="Arial" w:cs="Arial"/>
          <w:color w:val="4E3B22"/>
        </w:rPr>
      </w:pPr>
    </w:p>
    <w:p w14:paraId="01579130" w14:textId="2C0FAB73" w:rsidR="007F55B4" w:rsidRPr="008F7159" w:rsidRDefault="007F55B4" w:rsidP="008F7159">
      <w:pPr>
        <w:spacing w:line="360" w:lineRule="auto"/>
        <w:rPr>
          <w:rFonts w:ascii="Arial" w:hAnsi="Arial" w:cs="Arial"/>
          <w:color w:val="4E3B22"/>
        </w:rPr>
      </w:pPr>
      <w:r w:rsidRPr="008F7159">
        <w:rPr>
          <w:rFonts w:ascii="Arial" w:hAnsi="Arial" w:cs="Arial"/>
          <w:color w:val="4E3B22"/>
        </w:rPr>
        <w:t>3. Enhance Digital Personalisation and App Adoption in India</w:t>
      </w:r>
    </w:p>
    <w:p w14:paraId="497F7F20" w14:textId="14AF0D17" w:rsidR="007F55B4" w:rsidRPr="008F7159" w:rsidRDefault="007F55B4" w:rsidP="008F7159">
      <w:pPr>
        <w:spacing w:line="360" w:lineRule="auto"/>
        <w:rPr>
          <w:rFonts w:ascii="Arial" w:hAnsi="Arial" w:cs="Arial"/>
          <w:color w:val="4E3B22"/>
        </w:rPr>
      </w:pPr>
      <w:r w:rsidRPr="008F7159">
        <w:rPr>
          <w:rFonts w:ascii="Arial" w:hAnsi="Arial" w:cs="Arial"/>
          <w:color w:val="4E3B22"/>
        </w:rPr>
        <w:t xml:space="preserve">The U.S. model demonstrates the strategic power of digital ecosystems: </w:t>
      </w:r>
      <w:r w:rsidR="00B73C63">
        <w:rPr>
          <w:rFonts w:ascii="Arial" w:hAnsi="Arial" w:cs="Arial"/>
          <w:color w:val="4E3B22"/>
        </w:rPr>
        <w:t>providing</w:t>
      </w:r>
      <w:r w:rsidRPr="008F7159">
        <w:rPr>
          <w:rFonts w:ascii="Arial" w:hAnsi="Arial" w:cs="Arial"/>
          <w:color w:val="4E3B22"/>
        </w:rPr>
        <w:t xml:space="preserve"> a performance advantage through personalisation, loyalty, and operational efficiency. India’s current app penetration (15</w:t>
      </w:r>
      <w:r w:rsidR="00A64A4D" w:rsidRPr="008F7159">
        <w:rPr>
          <w:rFonts w:ascii="Arial" w:hAnsi="Arial" w:cs="Arial"/>
          <w:color w:val="4E3B22"/>
        </w:rPr>
        <w:t>-</w:t>
      </w:r>
      <w:r w:rsidRPr="008F7159">
        <w:rPr>
          <w:rFonts w:ascii="Arial" w:hAnsi="Arial" w:cs="Arial"/>
          <w:color w:val="4E3B22"/>
        </w:rPr>
        <w:t xml:space="preserve">20%) limits similar value creation. Starbucks should introduce regional-language interfaces, micro-loyalty </w:t>
      </w:r>
      <w:r w:rsidR="00710642" w:rsidRPr="008F7159">
        <w:rPr>
          <w:rFonts w:ascii="Arial" w:hAnsi="Arial" w:cs="Arial"/>
          <w:color w:val="4E3B22"/>
        </w:rPr>
        <w:t>rewards,</w:t>
      </w:r>
      <w:r w:rsidRPr="008F7159">
        <w:rPr>
          <w:rFonts w:ascii="Arial" w:hAnsi="Arial" w:cs="Arial"/>
          <w:color w:val="4E3B22"/>
        </w:rPr>
        <w:t xml:space="preserve"> and mobile-first value menus to stimulate adoption. This aligns with Teece’s (2007) dynamic capabilities, enabling India to transition towards data-driven competitiveness.</w:t>
      </w:r>
    </w:p>
    <w:p w14:paraId="28FB3B50" w14:textId="224F88DC" w:rsidR="007F55B4" w:rsidRPr="008F7159" w:rsidRDefault="007F55B4" w:rsidP="008F7159">
      <w:pPr>
        <w:spacing w:line="360" w:lineRule="auto"/>
        <w:rPr>
          <w:rFonts w:ascii="Arial" w:hAnsi="Arial" w:cs="Arial"/>
          <w:color w:val="4E3B22"/>
        </w:rPr>
      </w:pPr>
      <w:r w:rsidRPr="008F7159">
        <w:rPr>
          <w:rFonts w:ascii="Arial" w:hAnsi="Arial" w:cs="Arial"/>
          <w:color w:val="4E3B22"/>
        </w:rPr>
        <w:t>4. Balance Premium Pricing with Inclusive Value Propositions</w:t>
      </w:r>
    </w:p>
    <w:p w14:paraId="491F321F" w14:textId="188FB626" w:rsidR="007F55B4" w:rsidRPr="008F7159" w:rsidRDefault="007F55B4" w:rsidP="008F7159">
      <w:pPr>
        <w:spacing w:line="360" w:lineRule="auto"/>
        <w:rPr>
          <w:rFonts w:ascii="Arial" w:hAnsi="Arial" w:cs="Arial"/>
          <w:color w:val="4E3B22"/>
        </w:rPr>
      </w:pPr>
      <w:r w:rsidRPr="008F7159">
        <w:rPr>
          <w:rFonts w:ascii="Arial" w:hAnsi="Arial" w:cs="Arial"/>
          <w:color w:val="4E3B22"/>
        </w:rPr>
        <w:lastRenderedPageBreak/>
        <w:t xml:space="preserve">India's income heterogeneity requires a more flexible pricing architecture. Starbucks should introduce smaller portion sizes, regional value bundles and time-of-day pricing, consistent with Monroe’s (2012) value-perception model. This maintains aspirational positioning while reducing socio-economic </w:t>
      </w:r>
      <w:r w:rsidR="00B73C63">
        <w:rPr>
          <w:rFonts w:ascii="Arial" w:hAnsi="Arial" w:cs="Arial"/>
          <w:color w:val="4E3B22"/>
        </w:rPr>
        <w:t>exclusion</w:t>
      </w:r>
      <w:r w:rsidRPr="008F7159">
        <w:rPr>
          <w:rFonts w:ascii="Arial" w:hAnsi="Arial" w:cs="Arial"/>
          <w:color w:val="4E3B22"/>
        </w:rPr>
        <w:t xml:space="preserve"> </w:t>
      </w:r>
      <w:r w:rsidR="00B73C63">
        <w:rPr>
          <w:rFonts w:ascii="Arial" w:hAnsi="Arial" w:cs="Arial"/>
          <w:color w:val="4E3B22"/>
        </w:rPr>
        <w:t xml:space="preserve">and </w:t>
      </w:r>
      <w:r w:rsidRPr="008F7159">
        <w:rPr>
          <w:rFonts w:ascii="Arial" w:hAnsi="Arial" w:cs="Arial"/>
          <w:color w:val="4E3B22"/>
        </w:rPr>
        <w:t>ethical concern under Carroll’s (1999) CSR Pyramid.</w:t>
      </w:r>
    </w:p>
    <w:p w14:paraId="4CD2A2BB" w14:textId="77777777" w:rsidR="007F55B4" w:rsidRPr="008F7159" w:rsidRDefault="007F55B4" w:rsidP="008F7159">
      <w:pPr>
        <w:spacing w:line="360" w:lineRule="auto"/>
        <w:rPr>
          <w:rFonts w:ascii="Arial" w:hAnsi="Arial" w:cs="Arial"/>
          <w:color w:val="4E3B22"/>
        </w:rPr>
      </w:pPr>
    </w:p>
    <w:p w14:paraId="3D185B95" w14:textId="40521E0C" w:rsidR="007F55B4" w:rsidRPr="008F7159" w:rsidRDefault="007F55B4" w:rsidP="008F7159">
      <w:pPr>
        <w:spacing w:line="360" w:lineRule="auto"/>
        <w:rPr>
          <w:rFonts w:ascii="Arial" w:hAnsi="Arial" w:cs="Arial"/>
          <w:color w:val="4E3B22"/>
        </w:rPr>
      </w:pPr>
      <w:r w:rsidRPr="008F7159">
        <w:rPr>
          <w:rFonts w:ascii="Arial" w:hAnsi="Arial" w:cs="Arial"/>
          <w:color w:val="4E3B22"/>
        </w:rPr>
        <w:t>5. Strengthen ESG Transparency and Culturally Aligned CSR</w:t>
      </w:r>
    </w:p>
    <w:p w14:paraId="6A7E37DF" w14:textId="77777777" w:rsidR="007F55B4" w:rsidRPr="008F7159" w:rsidRDefault="007F55B4" w:rsidP="008F7159">
      <w:pPr>
        <w:spacing w:line="360" w:lineRule="auto"/>
        <w:rPr>
          <w:rFonts w:ascii="Arial" w:hAnsi="Arial" w:cs="Arial"/>
          <w:color w:val="4E3B22"/>
        </w:rPr>
      </w:pPr>
      <w:r w:rsidRPr="008F7159">
        <w:rPr>
          <w:rFonts w:ascii="Arial" w:hAnsi="Arial" w:cs="Arial"/>
          <w:color w:val="4E3B22"/>
        </w:rPr>
        <w:t>CSR performance is uneven across markets. While the U.S. discloses detailed KPIs, India’s reporting remains fragmented. Starbucks should extend ESG reporting frameworks to the Indian market, including waste reduction, reusable cup adoption, gender equity, and community impact indicators. This enhances legitimacy and prevents “symbolic CSR,” consistent with Elkington’s Triple Bottom Line and Visconti’s (2020) moral localisation.</w:t>
      </w:r>
    </w:p>
    <w:p w14:paraId="100BE11D" w14:textId="46E0A104" w:rsidR="00091AF5" w:rsidRPr="008F7159" w:rsidRDefault="007F55B4" w:rsidP="008F7159">
      <w:pPr>
        <w:spacing w:line="360" w:lineRule="auto"/>
        <w:rPr>
          <w:rFonts w:ascii="Arial" w:hAnsi="Arial" w:cs="Arial"/>
          <w:color w:val="4E3B22"/>
        </w:rPr>
      </w:pPr>
      <w:r w:rsidRPr="008F7159">
        <w:rPr>
          <w:rFonts w:ascii="Arial" w:hAnsi="Arial" w:cs="Arial"/>
          <w:color w:val="4E3B22"/>
        </w:rPr>
        <w:t xml:space="preserve">A comparative summary of CSR indicators is shown in </w:t>
      </w:r>
      <w:r w:rsidRPr="008F7159">
        <w:rPr>
          <w:rFonts w:ascii="Arial" w:hAnsi="Arial" w:cs="Arial"/>
          <w:b/>
          <w:bCs/>
          <w:color w:val="4E3B22"/>
        </w:rPr>
        <w:t xml:space="preserve">Appendix </w:t>
      </w:r>
      <w:r w:rsidR="003979BE" w:rsidRPr="008F7159">
        <w:rPr>
          <w:rFonts w:ascii="Arial" w:hAnsi="Arial" w:cs="Arial"/>
          <w:b/>
          <w:bCs/>
          <w:color w:val="4E3B22"/>
        </w:rPr>
        <w:t>5</w:t>
      </w:r>
      <w:r w:rsidRPr="008F7159">
        <w:rPr>
          <w:rFonts w:ascii="Arial" w:hAnsi="Arial" w:cs="Arial"/>
          <w:color w:val="4E3B22"/>
        </w:rPr>
        <w:t>.</w:t>
      </w:r>
    </w:p>
    <w:p w14:paraId="3790D194" w14:textId="77777777" w:rsidR="00091AF5" w:rsidRPr="008F7159" w:rsidRDefault="00091AF5" w:rsidP="008F7159">
      <w:pPr>
        <w:spacing w:line="360" w:lineRule="auto"/>
        <w:rPr>
          <w:rFonts w:ascii="Arial" w:hAnsi="Arial" w:cs="Arial"/>
          <w:color w:val="4E3B22"/>
        </w:rPr>
      </w:pPr>
    </w:p>
    <w:p w14:paraId="321966E6" w14:textId="6EA7FF02" w:rsidR="00E76DEB" w:rsidRPr="008F7159" w:rsidRDefault="00E76DEB" w:rsidP="008F7159">
      <w:pPr>
        <w:spacing w:line="360" w:lineRule="auto"/>
        <w:rPr>
          <w:rFonts w:ascii="Arial" w:hAnsi="Arial" w:cs="Arial"/>
          <w:color w:val="4E3B22"/>
        </w:rPr>
      </w:pPr>
      <w:r w:rsidRPr="008F7159">
        <w:rPr>
          <w:rFonts w:ascii="Arial" w:hAnsi="Arial" w:cs="Arial"/>
          <w:color w:val="4E3B22"/>
        </w:rPr>
        <w:t>Conclusion</w:t>
      </w:r>
    </w:p>
    <w:p w14:paraId="138D60AC" w14:textId="16FA8AAE" w:rsidR="00E76DEB" w:rsidRPr="008F7159" w:rsidRDefault="00E76DEB" w:rsidP="008F7159">
      <w:pPr>
        <w:spacing w:line="360" w:lineRule="auto"/>
        <w:rPr>
          <w:rFonts w:ascii="Arial" w:hAnsi="Arial" w:cs="Arial"/>
          <w:color w:val="4E3B22"/>
        </w:rPr>
      </w:pPr>
      <w:r w:rsidRPr="008F7159">
        <w:rPr>
          <w:rFonts w:ascii="Arial" w:hAnsi="Arial" w:cs="Arial"/>
          <w:color w:val="4E3B22"/>
        </w:rPr>
        <w:t xml:space="preserve">Overall, Starbucks’ global competitiveness depends not on universal standardisation, but on the ability to orchestrate differentiated market responses while sustaining a coherent global identity. The U.S. model illustrates the strengths of digital scale, loyalty </w:t>
      </w:r>
      <w:r w:rsidR="007A1D18" w:rsidRPr="008F7159">
        <w:rPr>
          <w:rFonts w:ascii="Arial" w:hAnsi="Arial" w:cs="Arial"/>
          <w:color w:val="4E3B22"/>
        </w:rPr>
        <w:t>ecosystems,</w:t>
      </w:r>
      <w:r w:rsidRPr="008F7159">
        <w:rPr>
          <w:rFonts w:ascii="Arial" w:hAnsi="Arial" w:cs="Arial"/>
          <w:color w:val="4E3B22"/>
        </w:rPr>
        <w:t xml:space="preserve"> and process efficiency, whereas the Indian model demonstrates the strategic value of cultural resonance, institutional </w:t>
      </w:r>
      <w:r w:rsidR="007A1D18" w:rsidRPr="008F7159">
        <w:rPr>
          <w:rFonts w:ascii="Arial" w:hAnsi="Arial" w:cs="Arial"/>
          <w:color w:val="4E3B22"/>
        </w:rPr>
        <w:t>partnerships,</w:t>
      </w:r>
      <w:r w:rsidRPr="008F7159">
        <w:rPr>
          <w:rFonts w:ascii="Arial" w:hAnsi="Arial" w:cs="Arial"/>
          <w:color w:val="4E3B22"/>
        </w:rPr>
        <w:t xml:space="preserve"> and adaptive retail formats.</w:t>
      </w:r>
    </w:p>
    <w:p w14:paraId="23561694" w14:textId="6347567D" w:rsidR="00091AF5" w:rsidRPr="008F7159" w:rsidRDefault="00E467BC" w:rsidP="008F7159">
      <w:pPr>
        <w:spacing w:line="360" w:lineRule="auto"/>
        <w:rPr>
          <w:rFonts w:ascii="Arial" w:hAnsi="Arial" w:cs="Arial"/>
          <w:color w:val="4E3B22"/>
        </w:rPr>
      </w:pPr>
      <w:r w:rsidRPr="00E467BC">
        <w:rPr>
          <w:rFonts w:ascii="Arial" w:hAnsi="Arial" w:cs="Arial"/>
          <w:color w:val="4E3B22"/>
        </w:rPr>
        <w:t xml:space="preserve">These recommendations support a strategic path that combines digital precision, cultural </w:t>
      </w:r>
      <w:r w:rsidR="007A1D18" w:rsidRPr="00E467BC">
        <w:rPr>
          <w:rFonts w:ascii="Arial" w:hAnsi="Arial" w:cs="Arial"/>
          <w:color w:val="4E3B22"/>
        </w:rPr>
        <w:t>authenticity,</w:t>
      </w:r>
      <w:r w:rsidRPr="00E467BC">
        <w:rPr>
          <w:rFonts w:ascii="Arial" w:hAnsi="Arial" w:cs="Arial"/>
          <w:color w:val="4E3B22"/>
        </w:rPr>
        <w:t xml:space="preserve"> and transparent ethical practice.</w:t>
      </w:r>
      <w:r>
        <w:rPr>
          <w:rFonts w:ascii="Arial" w:hAnsi="Arial" w:cs="Arial"/>
          <w:color w:val="4E3B22"/>
        </w:rPr>
        <w:t xml:space="preserve"> </w:t>
      </w:r>
      <w:r w:rsidR="00E76DEB" w:rsidRPr="008F7159">
        <w:rPr>
          <w:rFonts w:ascii="Arial" w:hAnsi="Arial" w:cs="Arial"/>
          <w:color w:val="4E3B22"/>
        </w:rPr>
        <w:t xml:space="preserve">Such an approach positions Starbucks to navigate the evolving dynamics of international marketing while aligning growth with </w:t>
      </w:r>
      <w:r w:rsidR="00B73C63">
        <w:rPr>
          <w:rFonts w:ascii="Arial" w:hAnsi="Arial" w:cs="Arial"/>
          <w:color w:val="4E3B22"/>
        </w:rPr>
        <w:t xml:space="preserve">a </w:t>
      </w:r>
      <w:r w:rsidR="00E76DEB" w:rsidRPr="008F7159">
        <w:rPr>
          <w:rFonts w:ascii="Arial" w:hAnsi="Arial" w:cs="Arial"/>
          <w:color w:val="4E3B22"/>
        </w:rPr>
        <w:t>culturally attuned, socially responsible strategy.</w:t>
      </w:r>
    </w:p>
    <w:p w14:paraId="5DAC2049" w14:textId="77777777" w:rsidR="00091AF5" w:rsidRDefault="00091AF5" w:rsidP="008F7159">
      <w:pPr>
        <w:spacing w:line="360" w:lineRule="auto"/>
        <w:rPr>
          <w:rFonts w:ascii="Arial" w:hAnsi="Arial" w:cs="Arial"/>
          <w:color w:val="4E3B22"/>
        </w:rPr>
      </w:pPr>
    </w:p>
    <w:p w14:paraId="4EC5D1EB" w14:textId="77777777" w:rsidR="00E467BC" w:rsidRDefault="00E467BC" w:rsidP="008F7159">
      <w:pPr>
        <w:spacing w:line="360" w:lineRule="auto"/>
        <w:rPr>
          <w:rFonts w:ascii="Arial" w:hAnsi="Arial" w:cs="Arial"/>
          <w:color w:val="4E3B22"/>
        </w:rPr>
      </w:pPr>
    </w:p>
    <w:p w14:paraId="74E82A2B" w14:textId="77777777" w:rsidR="00E467BC" w:rsidRPr="008F7159" w:rsidRDefault="00E467BC" w:rsidP="008F7159">
      <w:pPr>
        <w:spacing w:line="360" w:lineRule="auto"/>
        <w:rPr>
          <w:rFonts w:ascii="Arial" w:hAnsi="Arial" w:cs="Arial"/>
          <w:color w:val="4E3B22"/>
        </w:rPr>
      </w:pPr>
    </w:p>
    <w:p w14:paraId="7CCFADC8" w14:textId="77777777" w:rsidR="00091AF5" w:rsidRPr="00486094" w:rsidRDefault="00091AF5" w:rsidP="00091AF5"/>
    <w:p w14:paraId="3DE08800" w14:textId="2CBA5E7B" w:rsidR="00091AF5" w:rsidRPr="00486094" w:rsidRDefault="00091AF5" w:rsidP="00B15688">
      <w:pPr>
        <w:pStyle w:val="Heading1"/>
        <w:shd w:val="clear" w:color="auto" w:fill="295541"/>
        <w:rPr>
          <w:rFonts w:ascii="Arial" w:hAnsi="Arial" w:cs="Arial"/>
          <w:color w:val="EAFAEC"/>
        </w:rPr>
      </w:pPr>
      <w:bookmarkStart w:id="37" w:name="_Toc214067405"/>
      <w:r w:rsidRPr="00486094">
        <w:rPr>
          <w:rFonts w:ascii="Arial" w:hAnsi="Arial" w:cs="Arial"/>
          <w:color w:val="EAFAEC"/>
        </w:rPr>
        <w:lastRenderedPageBreak/>
        <w:t>List of References</w:t>
      </w:r>
      <w:bookmarkEnd w:id="37"/>
    </w:p>
    <w:p w14:paraId="035F9F96" w14:textId="77777777" w:rsidR="00091AF5" w:rsidRDefault="00091AF5" w:rsidP="00091AF5"/>
    <w:p w14:paraId="5A303549" w14:textId="686769C1" w:rsidR="00E74516" w:rsidRPr="00E74516" w:rsidRDefault="00E74516" w:rsidP="00E74516">
      <w:pPr>
        <w:spacing w:line="360" w:lineRule="auto"/>
        <w:rPr>
          <w:rFonts w:ascii="Arial" w:hAnsi="Arial" w:cs="Arial"/>
          <w:color w:val="4E3B22"/>
        </w:rPr>
      </w:pPr>
      <w:r w:rsidRPr="00E74516">
        <w:rPr>
          <w:rFonts w:ascii="Arial" w:hAnsi="Arial" w:cs="Arial"/>
          <w:color w:val="4E3B22"/>
        </w:rPr>
        <w:t xml:space="preserve">Aaker, D.A. (2009) </w:t>
      </w:r>
      <w:r w:rsidRPr="008710E8">
        <w:rPr>
          <w:rFonts w:ascii="Arial" w:hAnsi="Arial" w:cs="Arial"/>
          <w:i/>
          <w:iCs/>
          <w:color w:val="4E3B22"/>
        </w:rPr>
        <w:t xml:space="preserve">Managing Brand Equity: </w:t>
      </w:r>
      <w:r w:rsidR="008710E8">
        <w:rPr>
          <w:rFonts w:ascii="Arial" w:hAnsi="Arial" w:cs="Arial"/>
          <w:i/>
          <w:iCs/>
          <w:color w:val="4E3B22"/>
        </w:rPr>
        <w:t>Capitalising</w:t>
      </w:r>
      <w:r w:rsidRPr="008710E8">
        <w:rPr>
          <w:rFonts w:ascii="Arial" w:hAnsi="Arial" w:cs="Arial"/>
          <w:i/>
          <w:iCs/>
          <w:color w:val="4E3B22"/>
        </w:rPr>
        <w:t xml:space="preserve"> on the Value of a Brand Name.</w:t>
      </w:r>
      <w:r w:rsidRPr="00E74516">
        <w:rPr>
          <w:rFonts w:ascii="Arial" w:hAnsi="Arial" w:cs="Arial"/>
          <w:color w:val="4E3B22"/>
        </w:rPr>
        <w:t xml:space="preserve"> Free Press.</w:t>
      </w:r>
    </w:p>
    <w:p w14:paraId="708CADDD" w14:textId="29A4964B" w:rsidR="00E74516" w:rsidRPr="00E74516" w:rsidRDefault="00E74516" w:rsidP="00E74516">
      <w:pPr>
        <w:spacing w:line="360" w:lineRule="auto"/>
        <w:rPr>
          <w:rFonts w:ascii="Arial" w:hAnsi="Arial" w:cs="Arial"/>
          <w:color w:val="4E3B22"/>
        </w:rPr>
      </w:pPr>
      <w:r w:rsidRPr="00E74516">
        <w:rPr>
          <w:rFonts w:ascii="Arial" w:hAnsi="Arial" w:cs="Arial"/>
          <w:color w:val="4E3B22"/>
        </w:rPr>
        <w:t>Bitner, M.J. (1992) ‘</w:t>
      </w:r>
      <w:r w:rsidR="00FE75E4" w:rsidRPr="00FE75E4">
        <w:rPr>
          <w:rFonts w:ascii="Arial" w:hAnsi="Arial" w:cs="Arial"/>
          <w:color w:val="4E3B22"/>
        </w:rPr>
        <w:t>Servicescapes</w:t>
      </w:r>
      <w:r w:rsidRPr="00E74516">
        <w:rPr>
          <w:rFonts w:ascii="Arial" w:hAnsi="Arial" w:cs="Arial"/>
          <w:color w:val="4E3B22"/>
        </w:rPr>
        <w:t xml:space="preserve">: The impact of physical surroundings on customers and employees’, </w:t>
      </w:r>
      <w:r w:rsidRPr="008710E8">
        <w:rPr>
          <w:rFonts w:ascii="Arial" w:hAnsi="Arial" w:cs="Arial"/>
          <w:i/>
          <w:iCs/>
          <w:color w:val="4E3B22"/>
        </w:rPr>
        <w:t>Journal of Marketing</w:t>
      </w:r>
      <w:r w:rsidRPr="00E74516">
        <w:rPr>
          <w:rFonts w:ascii="Arial" w:hAnsi="Arial" w:cs="Arial"/>
          <w:color w:val="4E3B22"/>
        </w:rPr>
        <w:t>, 56(2), pp. 57–71.</w:t>
      </w:r>
    </w:p>
    <w:p w14:paraId="2960CC4D" w14:textId="339E0FF6" w:rsidR="00E74516" w:rsidRPr="00E74516" w:rsidRDefault="00E74516" w:rsidP="00E74516">
      <w:pPr>
        <w:spacing w:line="360" w:lineRule="auto"/>
        <w:rPr>
          <w:rFonts w:ascii="Arial" w:hAnsi="Arial" w:cs="Arial"/>
          <w:color w:val="4E3B22"/>
        </w:rPr>
      </w:pPr>
      <w:r w:rsidRPr="00E74516">
        <w:rPr>
          <w:rFonts w:ascii="Arial" w:hAnsi="Arial" w:cs="Arial"/>
          <w:color w:val="4E3B22"/>
        </w:rPr>
        <w:t>Booms, B.H. and Bitner, M.J. (1981) ‘Marketing strategies and organi</w:t>
      </w:r>
      <w:r w:rsidR="00FE75E4">
        <w:rPr>
          <w:rFonts w:ascii="Arial" w:hAnsi="Arial" w:cs="Arial"/>
          <w:color w:val="4E3B22"/>
        </w:rPr>
        <w:t>s</w:t>
      </w:r>
      <w:r w:rsidRPr="00E74516">
        <w:rPr>
          <w:rFonts w:ascii="Arial" w:hAnsi="Arial" w:cs="Arial"/>
          <w:color w:val="4E3B22"/>
        </w:rPr>
        <w:t xml:space="preserve">ational structures for service firms’, in Donnelly, J. and George, W. (eds.) </w:t>
      </w:r>
      <w:r w:rsidRPr="00FE75E4">
        <w:rPr>
          <w:rFonts w:ascii="Arial" w:hAnsi="Arial" w:cs="Arial"/>
          <w:i/>
          <w:iCs/>
          <w:color w:val="4E3B22"/>
        </w:rPr>
        <w:t>Marketing of Services</w:t>
      </w:r>
      <w:r w:rsidRPr="00E74516">
        <w:rPr>
          <w:rFonts w:ascii="Arial" w:hAnsi="Arial" w:cs="Arial"/>
          <w:color w:val="4E3B22"/>
        </w:rPr>
        <w:t>. American Marketing Association, pp. 47–51.</w:t>
      </w:r>
    </w:p>
    <w:p w14:paraId="73C07C33" w14:textId="06AE078F"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Carroll, A.B. (1999) ‘Corporate social responsibility: Evolution of a definitional construct’, </w:t>
      </w:r>
      <w:r w:rsidRPr="00CD1529">
        <w:rPr>
          <w:rFonts w:ascii="Arial" w:hAnsi="Arial" w:cs="Arial"/>
          <w:i/>
          <w:iCs/>
          <w:color w:val="4E3B22"/>
        </w:rPr>
        <w:t xml:space="preserve">Business </w:t>
      </w:r>
      <w:r w:rsidR="00CD1529" w:rsidRPr="00CD1529">
        <w:rPr>
          <w:rFonts w:ascii="Arial" w:hAnsi="Arial" w:cs="Arial"/>
          <w:i/>
          <w:iCs/>
          <w:color w:val="4E3B22"/>
        </w:rPr>
        <w:t>&amp;</w:t>
      </w:r>
      <w:r w:rsidRPr="00CD1529">
        <w:rPr>
          <w:rFonts w:ascii="Arial" w:hAnsi="Arial" w:cs="Arial"/>
          <w:i/>
          <w:iCs/>
          <w:color w:val="4E3B22"/>
        </w:rPr>
        <w:t xml:space="preserve"> Society</w:t>
      </w:r>
      <w:r w:rsidRPr="00486094">
        <w:rPr>
          <w:rFonts w:ascii="Arial" w:hAnsi="Arial" w:cs="Arial"/>
          <w:color w:val="4E3B22"/>
        </w:rPr>
        <w:t>, 38(3), pp. 268</w:t>
      </w:r>
      <w:r w:rsidR="00A64A4D">
        <w:rPr>
          <w:rFonts w:ascii="Arial" w:hAnsi="Arial" w:cs="Arial"/>
          <w:color w:val="4E3B22"/>
        </w:rPr>
        <w:t>-</w:t>
      </w:r>
      <w:r w:rsidRPr="00486094">
        <w:rPr>
          <w:rFonts w:ascii="Arial" w:hAnsi="Arial" w:cs="Arial"/>
          <w:color w:val="4E3B22"/>
        </w:rPr>
        <w:t>295.</w:t>
      </w:r>
    </w:p>
    <w:p w14:paraId="02ED3046" w14:textId="7403B49B"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Cateora, P., Gilly, M.C., Graham, J.L. and Money, R.B. (2023) </w:t>
      </w:r>
      <w:r w:rsidRPr="00CD1529">
        <w:rPr>
          <w:rFonts w:ascii="Arial" w:hAnsi="Arial" w:cs="Arial"/>
          <w:i/>
          <w:iCs/>
          <w:color w:val="4E3B22"/>
        </w:rPr>
        <w:t>International Marketing</w:t>
      </w:r>
      <w:r w:rsidRPr="00486094">
        <w:rPr>
          <w:rFonts w:ascii="Arial" w:hAnsi="Arial" w:cs="Arial"/>
          <w:color w:val="4E3B22"/>
        </w:rPr>
        <w:t>. 19th edn. McGraw-Hill.</w:t>
      </w:r>
    </w:p>
    <w:p w14:paraId="1D77C9AC" w14:textId="195B45E1"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Czinkota, M., Ronkainen, I. and Cui, C. (2023) </w:t>
      </w:r>
      <w:r w:rsidRPr="00CD1529">
        <w:rPr>
          <w:rFonts w:ascii="Arial" w:hAnsi="Arial" w:cs="Arial"/>
          <w:i/>
          <w:iCs/>
          <w:color w:val="4E3B22"/>
        </w:rPr>
        <w:t>International Marketing</w:t>
      </w:r>
      <w:r w:rsidRPr="00486094">
        <w:rPr>
          <w:rFonts w:ascii="Arial" w:hAnsi="Arial" w:cs="Arial"/>
          <w:color w:val="4E3B22"/>
        </w:rPr>
        <w:t>. 11th edn.</w:t>
      </w:r>
      <w:r w:rsidR="00CD1529">
        <w:rPr>
          <w:rFonts w:ascii="Arial" w:hAnsi="Arial" w:cs="Arial"/>
          <w:color w:val="4E3B22"/>
        </w:rPr>
        <w:t xml:space="preserve"> </w:t>
      </w:r>
      <w:r w:rsidRPr="00486094">
        <w:rPr>
          <w:rFonts w:ascii="Arial" w:hAnsi="Arial" w:cs="Arial"/>
          <w:color w:val="4E3B22"/>
        </w:rPr>
        <w:t>Cengage.</w:t>
      </w:r>
    </w:p>
    <w:p w14:paraId="39C6DBB1" w14:textId="7AAC0B0F"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Dunning, J.H. (1993) </w:t>
      </w:r>
      <w:r w:rsidRPr="00CD1529">
        <w:rPr>
          <w:rFonts w:ascii="Arial" w:hAnsi="Arial" w:cs="Arial"/>
          <w:i/>
          <w:iCs/>
          <w:color w:val="4E3B22"/>
        </w:rPr>
        <w:t>Multinational Enterprises and the Global Economy</w:t>
      </w:r>
      <w:r w:rsidRPr="00486094">
        <w:rPr>
          <w:rFonts w:ascii="Arial" w:hAnsi="Arial" w:cs="Arial"/>
          <w:color w:val="4E3B22"/>
        </w:rPr>
        <w:t>. Addison-Wesley.</w:t>
      </w:r>
    </w:p>
    <w:p w14:paraId="620F4E25" w14:textId="66CC5C9B"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Elkington, J. (1998) </w:t>
      </w:r>
      <w:r w:rsidRPr="00CD1529">
        <w:rPr>
          <w:rFonts w:ascii="Arial" w:hAnsi="Arial" w:cs="Arial"/>
          <w:i/>
          <w:iCs/>
          <w:color w:val="4E3B22"/>
        </w:rPr>
        <w:t>Cannibals with Forks: The Triple Bottom Line of 21st Century Business</w:t>
      </w:r>
      <w:r w:rsidRPr="00486094">
        <w:rPr>
          <w:rFonts w:ascii="Arial" w:hAnsi="Arial" w:cs="Arial"/>
          <w:color w:val="4E3B22"/>
        </w:rPr>
        <w:t>. Capstone.</w:t>
      </w:r>
    </w:p>
    <w:p w14:paraId="2C0D6069" w14:textId="5CABC986"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Hall, E.T. (1976) </w:t>
      </w:r>
      <w:r w:rsidRPr="00CD1529">
        <w:rPr>
          <w:rFonts w:ascii="Arial" w:hAnsi="Arial" w:cs="Arial"/>
          <w:i/>
          <w:iCs/>
          <w:color w:val="4E3B22"/>
        </w:rPr>
        <w:t>Beyond Culture</w:t>
      </w:r>
      <w:r w:rsidRPr="00486094">
        <w:rPr>
          <w:rFonts w:ascii="Arial" w:hAnsi="Arial" w:cs="Arial"/>
          <w:color w:val="4E3B22"/>
        </w:rPr>
        <w:t>. Anchor Press.</w:t>
      </w:r>
    </w:p>
    <w:p w14:paraId="1FFBBDF8" w14:textId="6F61996A" w:rsidR="00FE75E4" w:rsidRPr="00FE75E4" w:rsidRDefault="00FE75E4" w:rsidP="00FE75E4">
      <w:pPr>
        <w:spacing w:line="360" w:lineRule="auto"/>
        <w:rPr>
          <w:rFonts w:ascii="Arial" w:hAnsi="Arial" w:cs="Arial"/>
          <w:color w:val="4E3B22"/>
        </w:rPr>
      </w:pPr>
      <w:r w:rsidRPr="00FE75E4">
        <w:rPr>
          <w:rFonts w:ascii="Arial" w:hAnsi="Arial" w:cs="Arial"/>
          <w:color w:val="4E3B22"/>
        </w:rPr>
        <w:t xml:space="preserve">Hindustan Times (2024) ‘Tata Starbucks opens 30 women-operated stores in India’, </w:t>
      </w:r>
      <w:r w:rsidRPr="000432EE">
        <w:rPr>
          <w:rFonts w:ascii="Arial" w:hAnsi="Arial" w:cs="Arial"/>
          <w:i/>
          <w:iCs/>
          <w:color w:val="4E3B22"/>
        </w:rPr>
        <w:t>Hindustan Times</w:t>
      </w:r>
      <w:r w:rsidRPr="00FE75E4">
        <w:rPr>
          <w:rFonts w:ascii="Arial" w:hAnsi="Arial" w:cs="Arial"/>
          <w:color w:val="4E3B22"/>
        </w:rPr>
        <w:t>, 19 March.</w:t>
      </w:r>
      <w:r w:rsidR="000432EE">
        <w:rPr>
          <w:rFonts w:ascii="Arial" w:hAnsi="Arial" w:cs="Arial"/>
          <w:color w:val="4E3B22"/>
        </w:rPr>
        <w:t xml:space="preserve"> </w:t>
      </w:r>
      <w:r w:rsidRPr="00FE75E4">
        <w:rPr>
          <w:rFonts w:ascii="Arial" w:hAnsi="Arial" w:cs="Arial"/>
          <w:color w:val="4E3B22"/>
        </w:rPr>
        <w:t xml:space="preserve">Available at: </w:t>
      </w:r>
      <w:hyperlink r:id="rId15" w:history="1">
        <w:r w:rsidRPr="000432EE">
          <w:rPr>
            <w:rStyle w:val="Hyperlink"/>
            <w:rFonts w:ascii="Arial" w:hAnsi="Arial" w:cs="Arial"/>
          </w:rPr>
          <w:t>https://www.hindustantimes.com</w:t>
        </w:r>
      </w:hyperlink>
    </w:p>
    <w:p w14:paraId="6882B209" w14:textId="77777777" w:rsidR="00CD1529" w:rsidRDefault="00FE75E4" w:rsidP="00FE75E4">
      <w:pPr>
        <w:spacing w:line="360" w:lineRule="auto"/>
        <w:rPr>
          <w:rFonts w:ascii="Arial" w:hAnsi="Arial" w:cs="Arial"/>
          <w:color w:val="4E3B22"/>
        </w:rPr>
      </w:pPr>
      <w:r w:rsidRPr="00FE75E4">
        <w:rPr>
          <w:rFonts w:ascii="Arial" w:hAnsi="Arial" w:cs="Arial"/>
          <w:color w:val="4E3B22"/>
        </w:rPr>
        <w:t xml:space="preserve"> (Accessed: 13 November 2025).</w:t>
      </w:r>
      <w:r w:rsidR="008710E8">
        <w:rPr>
          <w:rFonts w:ascii="Arial" w:hAnsi="Arial" w:cs="Arial"/>
          <w:color w:val="4E3B22"/>
        </w:rPr>
        <w:t xml:space="preserve"> </w:t>
      </w:r>
    </w:p>
    <w:p w14:paraId="0F685AFC" w14:textId="11E2B5EE" w:rsidR="00E91E44" w:rsidRPr="00486094" w:rsidRDefault="00E91E44" w:rsidP="00FE75E4">
      <w:pPr>
        <w:spacing w:line="360" w:lineRule="auto"/>
        <w:rPr>
          <w:rFonts w:ascii="Arial" w:hAnsi="Arial" w:cs="Arial"/>
          <w:color w:val="4E3B22"/>
        </w:rPr>
      </w:pPr>
      <w:r w:rsidRPr="00486094">
        <w:rPr>
          <w:rFonts w:ascii="Arial" w:hAnsi="Arial" w:cs="Arial"/>
          <w:color w:val="4E3B22"/>
        </w:rPr>
        <w:t xml:space="preserve">Hofstede, G. (2001) </w:t>
      </w:r>
      <w:r w:rsidRPr="00CD1529">
        <w:rPr>
          <w:rFonts w:ascii="Arial" w:hAnsi="Arial" w:cs="Arial"/>
          <w:i/>
          <w:iCs/>
          <w:color w:val="4E3B22"/>
        </w:rPr>
        <w:t xml:space="preserve">Culture’s Consequences: Comparing Values, </w:t>
      </w:r>
      <w:r w:rsidR="002B22C6" w:rsidRPr="00CD1529">
        <w:rPr>
          <w:rFonts w:ascii="Arial" w:hAnsi="Arial" w:cs="Arial"/>
          <w:i/>
          <w:iCs/>
          <w:color w:val="4E3B22"/>
        </w:rPr>
        <w:t>Behaviours</w:t>
      </w:r>
      <w:r w:rsidRPr="00CD1529">
        <w:rPr>
          <w:rFonts w:ascii="Arial" w:hAnsi="Arial" w:cs="Arial"/>
          <w:i/>
          <w:iCs/>
          <w:color w:val="4E3B22"/>
        </w:rPr>
        <w:t xml:space="preserve">, Institutions and </w:t>
      </w:r>
      <w:r w:rsidR="002B22C6" w:rsidRPr="00CD1529">
        <w:rPr>
          <w:rFonts w:ascii="Arial" w:hAnsi="Arial" w:cs="Arial"/>
          <w:i/>
          <w:iCs/>
          <w:color w:val="4E3B22"/>
        </w:rPr>
        <w:t>Organisations</w:t>
      </w:r>
      <w:r w:rsidRPr="00CD1529">
        <w:rPr>
          <w:rFonts w:ascii="Arial" w:hAnsi="Arial" w:cs="Arial"/>
          <w:i/>
          <w:iCs/>
          <w:color w:val="4E3B22"/>
        </w:rPr>
        <w:t xml:space="preserve"> Across Nations</w:t>
      </w:r>
      <w:r w:rsidRPr="00486094">
        <w:rPr>
          <w:rFonts w:ascii="Arial" w:hAnsi="Arial" w:cs="Arial"/>
          <w:color w:val="4E3B22"/>
        </w:rPr>
        <w:t>. 2nd edn. Sage Publications.</w:t>
      </w:r>
    </w:p>
    <w:p w14:paraId="43DAD7F0" w14:textId="14558AA8" w:rsidR="00E91E44" w:rsidRDefault="00E91E44" w:rsidP="00660DAA">
      <w:pPr>
        <w:spacing w:line="360" w:lineRule="auto"/>
        <w:rPr>
          <w:rFonts w:ascii="Arial" w:hAnsi="Arial" w:cs="Arial"/>
          <w:color w:val="4E3B22"/>
        </w:rPr>
      </w:pPr>
      <w:r w:rsidRPr="00486094">
        <w:rPr>
          <w:rFonts w:ascii="Arial" w:hAnsi="Arial" w:cs="Arial"/>
          <w:color w:val="4E3B22"/>
        </w:rPr>
        <w:t xml:space="preserve">Hollensen, S. (2020) </w:t>
      </w:r>
      <w:r w:rsidRPr="008710E8">
        <w:rPr>
          <w:rFonts w:ascii="Arial" w:hAnsi="Arial" w:cs="Arial"/>
          <w:i/>
          <w:iCs/>
          <w:color w:val="4E3B22"/>
        </w:rPr>
        <w:t>Global Marketing</w:t>
      </w:r>
      <w:r w:rsidRPr="00486094">
        <w:rPr>
          <w:rFonts w:ascii="Arial" w:hAnsi="Arial" w:cs="Arial"/>
          <w:color w:val="4E3B22"/>
        </w:rPr>
        <w:t>. 8th edn. Pearson.</w:t>
      </w:r>
    </w:p>
    <w:p w14:paraId="4EF68321" w14:textId="30B51BAF" w:rsidR="00E74516" w:rsidRPr="00E74516" w:rsidRDefault="00E74516" w:rsidP="00E74516">
      <w:pPr>
        <w:spacing w:line="360" w:lineRule="auto"/>
        <w:rPr>
          <w:rFonts w:ascii="Arial" w:hAnsi="Arial" w:cs="Arial"/>
          <w:color w:val="4E3B22"/>
        </w:rPr>
      </w:pPr>
      <w:r w:rsidRPr="00E74516">
        <w:rPr>
          <w:rFonts w:ascii="Arial" w:hAnsi="Arial" w:cs="Arial"/>
          <w:color w:val="4E3B22"/>
        </w:rPr>
        <w:t xml:space="preserve">Holt, D.B. (2004) </w:t>
      </w:r>
      <w:r w:rsidRPr="000432EE">
        <w:rPr>
          <w:rFonts w:ascii="Arial" w:hAnsi="Arial" w:cs="Arial"/>
          <w:i/>
          <w:iCs/>
          <w:color w:val="4E3B22"/>
        </w:rPr>
        <w:t>How Brands Become Icons: The Principles of Cultural Branding</w:t>
      </w:r>
      <w:r w:rsidRPr="00E74516">
        <w:rPr>
          <w:rFonts w:ascii="Arial" w:hAnsi="Arial" w:cs="Arial"/>
          <w:color w:val="4E3B22"/>
        </w:rPr>
        <w:t>. Harvard Business School Press.</w:t>
      </w:r>
    </w:p>
    <w:p w14:paraId="6211569D" w14:textId="2EF3DB72" w:rsidR="00E74516" w:rsidRPr="00E74516" w:rsidRDefault="00E74516" w:rsidP="00E74516">
      <w:pPr>
        <w:spacing w:line="360" w:lineRule="auto"/>
        <w:rPr>
          <w:rFonts w:ascii="Arial" w:hAnsi="Arial" w:cs="Arial"/>
          <w:color w:val="4E3B22"/>
        </w:rPr>
      </w:pPr>
      <w:r w:rsidRPr="00E74516">
        <w:rPr>
          <w:rFonts w:ascii="Arial" w:hAnsi="Arial" w:cs="Arial"/>
          <w:color w:val="4E3B22"/>
        </w:rPr>
        <w:lastRenderedPageBreak/>
        <w:t xml:space="preserve">Hooley, G., Piercy, N.F. and Nicoulaud, B. (2020) </w:t>
      </w:r>
      <w:r w:rsidRPr="00CD1529">
        <w:rPr>
          <w:rFonts w:ascii="Arial" w:hAnsi="Arial" w:cs="Arial"/>
          <w:i/>
          <w:iCs/>
          <w:color w:val="4E3B22"/>
        </w:rPr>
        <w:t xml:space="preserve">Marketing Strategy and Competitive Positioning. </w:t>
      </w:r>
      <w:r w:rsidRPr="00E74516">
        <w:rPr>
          <w:rFonts w:ascii="Arial" w:hAnsi="Arial" w:cs="Arial"/>
          <w:color w:val="4E3B22"/>
        </w:rPr>
        <w:t>7th edn. Pearson.</w:t>
      </w:r>
    </w:p>
    <w:p w14:paraId="42F51369" w14:textId="009CEB22" w:rsidR="00E74516" w:rsidRPr="00486094" w:rsidRDefault="00E74516" w:rsidP="00660DAA">
      <w:pPr>
        <w:spacing w:line="360" w:lineRule="auto"/>
        <w:rPr>
          <w:rFonts w:ascii="Arial" w:hAnsi="Arial" w:cs="Arial"/>
          <w:color w:val="4E3B22"/>
        </w:rPr>
      </w:pPr>
      <w:r w:rsidRPr="00E74516">
        <w:rPr>
          <w:rFonts w:ascii="Arial" w:hAnsi="Arial" w:cs="Arial"/>
          <w:color w:val="4E3B22"/>
        </w:rPr>
        <w:t xml:space="preserve">Kitchen, P.J. and Burgmann, I. (2015) ‘Integrated marketing communication: making it work at a strategic level’, </w:t>
      </w:r>
      <w:r w:rsidRPr="00CD1529">
        <w:rPr>
          <w:rFonts w:ascii="Arial" w:hAnsi="Arial" w:cs="Arial"/>
          <w:i/>
          <w:iCs/>
          <w:color w:val="4E3B22"/>
        </w:rPr>
        <w:t>Journal of Business Strategy</w:t>
      </w:r>
      <w:r w:rsidRPr="00E74516">
        <w:rPr>
          <w:rFonts w:ascii="Arial" w:hAnsi="Arial" w:cs="Arial"/>
          <w:color w:val="4E3B22"/>
        </w:rPr>
        <w:t>, 36(4), pp. 34–39.</w:t>
      </w:r>
    </w:p>
    <w:p w14:paraId="7AD3A06B" w14:textId="747D2390"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Kotler, P. and Keller, K.L. (2022) </w:t>
      </w:r>
      <w:r w:rsidRPr="00CD1529">
        <w:rPr>
          <w:rFonts w:ascii="Arial" w:hAnsi="Arial" w:cs="Arial"/>
          <w:i/>
          <w:iCs/>
          <w:color w:val="4E3B22"/>
        </w:rPr>
        <w:t>Marketing Management</w:t>
      </w:r>
      <w:r w:rsidRPr="00486094">
        <w:rPr>
          <w:rFonts w:ascii="Arial" w:hAnsi="Arial" w:cs="Arial"/>
          <w:color w:val="4E3B22"/>
        </w:rPr>
        <w:t>. 16th edn. Pearson.</w:t>
      </w:r>
    </w:p>
    <w:p w14:paraId="520F4614" w14:textId="0F4132CF"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Levitt, T. (1983) ‘The </w:t>
      </w:r>
      <w:r w:rsidR="002B22C6" w:rsidRPr="00486094">
        <w:rPr>
          <w:rFonts w:ascii="Arial" w:hAnsi="Arial" w:cs="Arial"/>
          <w:color w:val="4E3B22"/>
        </w:rPr>
        <w:t>globalisation</w:t>
      </w:r>
      <w:r w:rsidRPr="00486094">
        <w:rPr>
          <w:rFonts w:ascii="Arial" w:hAnsi="Arial" w:cs="Arial"/>
          <w:color w:val="4E3B22"/>
        </w:rPr>
        <w:t xml:space="preserve"> of markets’, </w:t>
      </w:r>
      <w:r w:rsidRPr="00CD1529">
        <w:rPr>
          <w:rFonts w:ascii="Arial" w:hAnsi="Arial" w:cs="Arial"/>
          <w:i/>
          <w:iCs/>
          <w:color w:val="4E3B22"/>
        </w:rPr>
        <w:t>Harvard Business Review</w:t>
      </w:r>
      <w:r w:rsidRPr="00486094">
        <w:rPr>
          <w:rFonts w:ascii="Arial" w:hAnsi="Arial" w:cs="Arial"/>
          <w:color w:val="4E3B22"/>
        </w:rPr>
        <w:t>, 61(3), pp. 92</w:t>
      </w:r>
      <w:r w:rsidR="00A64A4D">
        <w:rPr>
          <w:rFonts w:ascii="Arial" w:hAnsi="Arial" w:cs="Arial"/>
          <w:color w:val="4E3B22"/>
        </w:rPr>
        <w:t>-</w:t>
      </w:r>
      <w:r w:rsidRPr="00486094">
        <w:rPr>
          <w:rFonts w:ascii="Arial" w:hAnsi="Arial" w:cs="Arial"/>
          <w:color w:val="4E3B22"/>
        </w:rPr>
        <w:t>102.</w:t>
      </w:r>
    </w:p>
    <w:p w14:paraId="39F979DE" w14:textId="1F411867"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MarketLine (2024) </w:t>
      </w:r>
      <w:r w:rsidRPr="00CD1529">
        <w:rPr>
          <w:rFonts w:ascii="Arial" w:hAnsi="Arial" w:cs="Arial"/>
          <w:i/>
          <w:iCs/>
          <w:color w:val="4E3B22"/>
        </w:rPr>
        <w:t>Company Profile: Starbucks Corporation</w:t>
      </w:r>
      <w:r w:rsidRPr="00486094">
        <w:rPr>
          <w:rFonts w:ascii="Arial" w:hAnsi="Arial" w:cs="Arial"/>
          <w:color w:val="4E3B22"/>
        </w:rPr>
        <w:t>. MarketLine. Available via UWTSD Library databases (Accessed: 1</w:t>
      </w:r>
      <w:r w:rsidR="000432EE">
        <w:rPr>
          <w:rFonts w:ascii="Arial" w:hAnsi="Arial" w:cs="Arial"/>
          <w:color w:val="4E3B22"/>
        </w:rPr>
        <w:t>0</w:t>
      </w:r>
      <w:r w:rsidRPr="00486094">
        <w:rPr>
          <w:rFonts w:ascii="Arial" w:hAnsi="Arial" w:cs="Arial"/>
          <w:color w:val="4E3B22"/>
        </w:rPr>
        <w:t xml:space="preserve"> November 2025).</w:t>
      </w:r>
    </w:p>
    <w:p w14:paraId="4CAC1E0A" w14:textId="5DEE7498" w:rsidR="00E91E44" w:rsidRDefault="00E91E44" w:rsidP="00660DAA">
      <w:pPr>
        <w:spacing w:line="360" w:lineRule="auto"/>
        <w:rPr>
          <w:rFonts w:ascii="Arial" w:hAnsi="Arial" w:cs="Arial"/>
          <w:color w:val="4E3B22"/>
        </w:rPr>
      </w:pPr>
      <w:r w:rsidRPr="00486094">
        <w:rPr>
          <w:rFonts w:ascii="Arial" w:hAnsi="Arial" w:cs="Arial"/>
          <w:color w:val="4E3B22"/>
        </w:rPr>
        <w:t xml:space="preserve">MarketLine (2024) </w:t>
      </w:r>
      <w:r w:rsidRPr="00A36CED">
        <w:rPr>
          <w:rFonts w:ascii="Arial" w:hAnsi="Arial" w:cs="Arial"/>
          <w:i/>
          <w:iCs/>
          <w:color w:val="4E3B22"/>
        </w:rPr>
        <w:t xml:space="preserve">Country Profile: India </w:t>
      </w:r>
      <w:r w:rsidR="00A64A4D" w:rsidRPr="00A36CED">
        <w:rPr>
          <w:rFonts w:ascii="Arial" w:hAnsi="Arial" w:cs="Arial"/>
          <w:i/>
          <w:iCs/>
          <w:color w:val="4E3B22"/>
        </w:rPr>
        <w:t>-</w:t>
      </w:r>
      <w:r w:rsidRPr="00A36CED">
        <w:rPr>
          <w:rFonts w:ascii="Arial" w:hAnsi="Arial" w:cs="Arial"/>
          <w:i/>
          <w:iCs/>
          <w:color w:val="4E3B22"/>
        </w:rPr>
        <w:t xml:space="preserve"> Foodservice Sector</w:t>
      </w:r>
      <w:r w:rsidRPr="00486094">
        <w:rPr>
          <w:rFonts w:ascii="Arial" w:hAnsi="Arial" w:cs="Arial"/>
          <w:color w:val="4E3B22"/>
        </w:rPr>
        <w:t>. MarketLine.</w:t>
      </w:r>
      <w:r w:rsidR="000432EE">
        <w:rPr>
          <w:rFonts w:ascii="Arial" w:hAnsi="Arial" w:cs="Arial"/>
          <w:color w:val="4E3B22"/>
        </w:rPr>
        <w:t xml:space="preserve"> </w:t>
      </w:r>
      <w:r w:rsidR="000432EE" w:rsidRPr="00486094">
        <w:rPr>
          <w:rFonts w:ascii="Arial" w:hAnsi="Arial" w:cs="Arial"/>
          <w:color w:val="4E3B22"/>
        </w:rPr>
        <w:t>Available via UWTSD Library databases (Accessed: 1</w:t>
      </w:r>
      <w:r w:rsidR="000432EE">
        <w:rPr>
          <w:rFonts w:ascii="Arial" w:hAnsi="Arial" w:cs="Arial"/>
          <w:color w:val="4E3B22"/>
        </w:rPr>
        <w:t>0</w:t>
      </w:r>
      <w:r w:rsidR="000432EE" w:rsidRPr="00486094">
        <w:rPr>
          <w:rFonts w:ascii="Arial" w:hAnsi="Arial" w:cs="Arial"/>
          <w:color w:val="4E3B22"/>
        </w:rPr>
        <w:t xml:space="preserve"> November 2025).</w:t>
      </w:r>
    </w:p>
    <w:p w14:paraId="3B3FDDCE" w14:textId="1FFBD9F7" w:rsidR="00E74516" w:rsidRPr="00486094" w:rsidRDefault="00E74516" w:rsidP="00660DAA">
      <w:pPr>
        <w:spacing w:line="360" w:lineRule="auto"/>
        <w:rPr>
          <w:rFonts w:ascii="Arial" w:hAnsi="Arial" w:cs="Arial"/>
          <w:color w:val="4E3B22"/>
        </w:rPr>
      </w:pPr>
      <w:r w:rsidRPr="00E74516">
        <w:rPr>
          <w:rFonts w:ascii="Arial" w:hAnsi="Arial" w:cs="Arial"/>
          <w:color w:val="4E3B22"/>
        </w:rPr>
        <w:t xml:space="preserve">Monroe, K.B. (2012) </w:t>
      </w:r>
      <w:r w:rsidRPr="00A36CED">
        <w:rPr>
          <w:rFonts w:ascii="Arial" w:hAnsi="Arial" w:cs="Arial"/>
          <w:i/>
          <w:iCs/>
          <w:color w:val="4E3B22"/>
        </w:rPr>
        <w:t>Pricing: Making Profitable Decisions</w:t>
      </w:r>
      <w:r w:rsidRPr="00E74516">
        <w:rPr>
          <w:rFonts w:ascii="Arial" w:hAnsi="Arial" w:cs="Arial"/>
          <w:color w:val="4E3B22"/>
        </w:rPr>
        <w:t>. 3rd edn. McGraw-Hill.</w:t>
      </w:r>
    </w:p>
    <w:p w14:paraId="3953256E" w14:textId="608C012E"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Peng, M.W. (2002) ‘Towards an institution-based view of business strategy’, </w:t>
      </w:r>
      <w:r w:rsidRPr="00A36CED">
        <w:rPr>
          <w:rFonts w:ascii="Arial" w:hAnsi="Arial" w:cs="Arial"/>
          <w:i/>
          <w:iCs/>
          <w:color w:val="4E3B22"/>
        </w:rPr>
        <w:t>Asia Pacific Journal of Management</w:t>
      </w:r>
      <w:r w:rsidRPr="00486094">
        <w:rPr>
          <w:rFonts w:ascii="Arial" w:hAnsi="Arial" w:cs="Arial"/>
          <w:color w:val="4E3B22"/>
        </w:rPr>
        <w:t>, 19(2</w:t>
      </w:r>
      <w:r w:rsidR="00A64A4D">
        <w:rPr>
          <w:rFonts w:ascii="Arial" w:hAnsi="Arial" w:cs="Arial"/>
          <w:color w:val="4E3B22"/>
        </w:rPr>
        <w:t>-</w:t>
      </w:r>
      <w:r w:rsidRPr="00486094">
        <w:rPr>
          <w:rFonts w:ascii="Arial" w:hAnsi="Arial" w:cs="Arial"/>
          <w:color w:val="4E3B22"/>
        </w:rPr>
        <w:t>3), pp. 251</w:t>
      </w:r>
      <w:r w:rsidR="00A64A4D">
        <w:rPr>
          <w:rFonts w:ascii="Arial" w:hAnsi="Arial" w:cs="Arial"/>
          <w:color w:val="4E3B22"/>
        </w:rPr>
        <w:t>-</w:t>
      </w:r>
      <w:r w:rsidRPr="00486094">
        <w:rPr>
          <w:rFonts w:ascii="Arial" w:hAnsi="Arial" w:cs="Arial"/>
          <w:color w:val="4E3B22"/>
        </w:rPr>
        <w:t>267.</w:t>
      </w:r>
    </w:p>
    <w:p w14:paraId="43D140AB" w14:textId="48BBA6F0" w:rsidR="001D53E4" w:rsidRPr="00486094" w:rsidRDefault="001D53E4" w:rsidP="00660DAA">
      <w:pPr>
        <w:spacing w:line="360" w:lineRule="auto"/>
        <w:rPr>
          <w:rFonts w:ascii="Arial" w:hAnsi="Arial" w:cs="Arial"/>
          <w:color w:val="4E3B22"/>
        </w:rPr>
      </w:pPr>
      <w:r w:rsidRPr="00486094">
        <w:rPr>
          <w:rFonts w:ascii="Arial" w:hAnsi="Arial" w:cs="Arial"/>
          <w:color w:val="4E3B22"/>
        </w:rPr>
        <w:t xml:space="preserve">Pegan, G., Vianelli, D. and De Luca, P. (2020) ‘International marketing strategies in emerging markets: A multidimensional approach’, </w:t>
      </w:r>
      <w:r w:rsidRPr="00A36CED">
        <w:rPr>
          <w:rFonts w:ascii="Arial" w:hAnsi="Arial" w:cs="Arial"/>
          <w:i/>
          <w:iCs/>
          <w:color w:val="4E3B22"/>
        </w:rPr>
        <w:t>International Marketing Review</w:t>
      </w:r>
      <w:r w:rsidRPr="00486094">
        <w:rPr>
          <w:rFonts w:ascii="Arial" w:hAnsi="Arial" w:cs="Arial"/>
          <w:color w:val="4E3B22"/>
        </w:rPr>
        <w:t>, 37(2), pp. 191</w:t>
      </w:r>
      <w:r w:rsidR="00A64A4D">
        <w:rPr>
          <w:rFonts w:ascii="Arial" w:hAnsi="Arial" w:cs="Arial"/>
          <w:color w:val="4E3B22"/>
        </w:rPr>
        <w:t>-</w:t>
      </w:r>
      <w:r w:rsidRPr="00486094">
        <w:rPr>
          <w:rFonts w:ascii="Arial" w:hAnsi="Arial" w:cs="Arial"/>
          <w:color w:val="4E3B22"/>
        </w:rPr>
        <w:t>208.</w:t>
      </w:r>
    </w:p>
    <w:p w14:paraId="42605DAA" w14:textId="495C2250" w:rsidR="001D53E4" w:rsidRPr="00486094" w:rsidRDefault="001D53E4" w:rsidP="00660DAA">
      <w:pPr>
        <w:spacing w:line="360" w:lineRule="auto"/>
        <w:rPr>
          <w:rFonts w:ascii="Arial" w:hAnsi="Arial" w:cs="Arial"/>
          <w:color w:val="4E3B22"/>
        </w:rPr>
      </w:pPr>
      <w:r w:rsidRPr="00486094">
        <w:rPr>
          <w:rFonts w:ascii="Arial" w:hAnsi="Arial" w:cs="Arial"/>
          <w:color w:val="4E3B22"/>
        </w:rPr>
        <w:t xml:space="preserve">Peppers, D. and Rogers, M. (2016) </w:t>
      </w:r>
      <w:r w:rsidRPr="00A36CED">
        <w:rPr>
          <w:rFonts w:ascii="Arial" w:hAnsi="Arial" w:cs="Arial"/>
          <w:i/>
          <w:iCs/>
          <w:color w:val="4E3B22"/>
        </w:rPr>
        <w:t>Managing Customer Experience and Relationships: A Strategic Framework</w:t>
      </w:r>
      <w:r w:rsidRPr="00486094">
        <w:rPr>
          <w:rFonts w:ascii="Arial" w:hAnsi="Arial" w:cs="Arial"/>
          <w:color w:val="4E3B22"/>
        </w:rPr>
        <w:t>. 3rd edn. Wiley.</w:t>
      </w:r>
    </w:p>
    <w:p w14:paraId="4D52C2EF" w14:textId="10C3DDF5"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Porter, M.E. (1990) </w:t>
      </w:r>
      <w:r w:rsidRPr="00A36CED">
        <w:rPr>
          <w:rFonts w:ascii="Arial" w:hAnsi="Arial" w:cs="Arial"/>
          <w:i/>
          <w:iCs/>
          <w:color w:val="4E3B22"/>
        </w:rPr>
        <w:t>The Competitive Advantage of Nations</w:t>
      </w:r>
      <w:r w:rsidRPr="00486094">
        <w:rPr>
          <w:rFonts w:ascii="Arial" w:hAnsi="Arial" w:cs="Arial"/>
          <w:color w:val="4E3B22"/>
        </w:rPr>
        <w:t>. Free Press.</w:t>
      </w:r>
    </w:p>
    <w:p w14:paraId="43585304" w14:textId="116A156F" w:rsidR="00E91E44" w:rsidRDefault="00E91E44" w:rsidP="00660DAA">
      <w:pPr>
        <w:spacing w:line="360" w:lineRule="auto"/>
        <w:rPr>
          <w:rFonts w:ascii="Arial" w:hAnsi="Arial" w:cs="Arial"/>
          <w:color w:val="4E3B22"/>
        </w:rPr>
      </w:pPr>
      <w:r w:rsidRPr="00486094">
        <w:rPr>
          <w:rFonts w:ascii="Arial" w:hAnsi="Arial" w:cs="Arial"/>
          <w:color w:val="4E3B22"/>
        </w:rPr>
        <w:t>Robertson, R. (1995) ‘</w:t>
      </w:r>
      <w:r w:rsidR="002B22C6" w:rsidRPr="00486094">
        <w:rPr>
          <w:rFonts w:ascii="Arial" w:hAnsi="Arial" w:cs="Arial"/>
          <w:color w:val="4E3B22"/>
        </w:rPr>
        <w:t>Glocalisation</w:t>
      </w:r>
      <w:r w:rsidRPr="00486094">
        <w:rPr>
          <w:rFonts w:ascii="Arial" w:hAnsi="Arial" w:cs="Arial"/>
          <w:color w:val="4E3B22"/>
        </w:rPr>
        <w:t>: Time</w:t>
      </w:r>
      <w:r w:rsidR="00A64A4D">
        <w:rPr>
          <w:rFonts w:ascii="Arial" w:hAnsi="Arial" w:cs="Arial"/>
          <w:color w:val="4E3B22"/>
        </w:rPr>
        <w:t>-</w:t>
      </w:r>
      <w:r w:rsidRPr="00486094">
        <w:rPr>
          <w:rFonts w:ascii="Arial" w:hAnsi="Arial" w:cs="Arial"/>
          <w:color w:val="4E3B22"/>
        </w:rPr>
        <w:t>Space and Homogeneity</w:t>
      </w:r>
      <w:r w:rsidR="00A64A4D">
        <w:rPr>
          <w:rFonts w:ascii="Arial" w:hAnsi="Arial" w:cs="Arial"/>
          <w:color w:val="4E3B22"/>
        </w:rPr>
        <w:t>-</w:t>
      </w:r>
      <w:r w:rsidRPr="00486094">
        <w:rPr>
          <w:rFonts w:ascii="Arial" w:hAnsi="Arial" w:cs="Arial"/>
          <w:color w:val="4E3B22"/>
        </w:rPr>
        <w:t xml:space="preserve">Heterogeneity’, in Featherstone, M., Lash, S. and Robertson, R. (eds.) </w:t>
      </w:r>
      <w:r w:rsidRPr="000432EE">
        <w:rPr>
          <w:rFonts w:ascii="Arial" w:hAnsi="Arial" w:cs="Arial"/>
          <w:i/>
          <w:iCs/>
          <w:color w:val="4E3B22"/>
        </w:rPr>
        <w:t>Global Modernities</w:t>
      </w:r>
      <w:r w:rsidRPr="00486094">
        <w:rPr>
          <w:rFonts w:ascii="Arial" w:hAnsi="Arial" w:cs="Arial"/>
          <w:color w:val="4E3B22"/>
        </w:rPr>
        <w:t>. Sage, pp. 25</w:t>
      </w:r>
      <w:r w:rsidR="00A64A4D">
        <w:rPr>
          <w:rFonts w:ascii="Arial" w:hAnsi="Arial" w:cs="Arial"/>
          <w:color w:val="4E3B22"/>
        </w:rPr>
        <w:t>-</w:t>
      </w:r>
      <w:r w:rsidRPr="00486094">
        <w:rPr>
          <w:rFonts w:ascii="Arial" w:hAnsi="Arial" w:cs="Arial"/>
          <w:color w:val="4E3B22"/>
        </w:rPr>
        <w:t>44.</w:t>
      </w:r>
    </w:p>
    <w:p w14:paraId="69B33D78" w14:textId="6C6DCC54" w:rsidR="00E74516" w:rsidRPr="00486094" w:rsidRDefault="00E74516" w:rsidP="00660DAA">
      <w:pPr>
        <w:spacing w:line="360" w:lineRule="auto"/>
        <w:rPr>
          <w:rFonts w:ascii="Arial" w:hAnsi="Arial" w:cs="Arial"/>
          <w:color w:val="4E3B22"/>
        </w:rPr>
      </w:pPr>
      <w:r w:rsidRPr="00E74516">
        <w:rPr>
          <w:rFonts w:ascii="Arial" w:hAnsi="Arial" w:cs="Arial"/>
          <w:color w:val="4E3B22"/>
        </w:rPr>
        <w:t xml:space="preserve">Rosenbaum, M.S. and Massiah, C. (2011) ‘An expanded services cape perspective’, </w:t>
      </w:r>
      <w:r w:rsidRPr="00A36CED">
        <w:rPr>
          <w:rFonts w:ascii="Arial" w:hAnsi="Arial" w:cs="Arial"/>
          <w:i/>
          <w:iCs/>
          <w:color w:val="4E3B22"/>
        </w:rPr>
        <w:t>Journal of Service Management</w:t>
      </w:r>
      <w:r w:rsidRPr="00E74516">
        <w:rPr>
          <w:rFonts w:ascii="Arial" w:hAnsi="Arial" w:cs="Arial"/>
          <w:color w:val="4E3B22"/>
        </w:rPr>
        <w:t>, 22(4), pp. 471–490.</w:t>
      </w:r>
    </w:p>
    <w:p w14:paraId="6ED59620" w14:textId="616F5DB4"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Schultz, H. and Yang, D.J. (1997) </w:t>
      </w:r>
      <w:r w:rsidRPr="000432EE">
        <w:rPr>
          <w:rFonts w:ascii="Arial" w:hAnsi="Arial" w:cs="Arial"/>
          <w:i/>
          <w:iCs/>
          <w:color w:val="4E3B22"/>
        </w:rPr>
        <w:t xml:space="preserve">Pour Your Heart </w:t>
      </w:r>
      <w:r w:rsidR="002B22C6" w:rsidRPr="000432EE">
        <w:rPr>
          <w:rFonts w:ascii="Arial" w:hAnsi="Arial" w:cs="Arial"/>
          <w:i/>
          <w:iCs/>
          <w:color w:val="4E3B22"/>
        </w:rPr>
        <w:t>into</w:t>
      </w:r>
      <w:r w:rsidRPr="000432EE">
        <w:rPr>
          <w:rFonts w:ascii="Arial" w:hAnsi="Arial" w:cs="Arial"/>
          <w:i/>
          <w:iCs/>
          <w:color w:val="4E3B22"/>
        </w:rPr>
        <w:t xml:space="preserve"> It: How Starbucks Built a Company One Cup at a Time</w:t>
      </w:r>
      <w:r w:rsidRPr="00486094">
        <w:rPr>
          <w:rFonts w:ascii="Arial" w:hAnsi="Arial" w:cs="Arial"/>
          <w:color w:val="4E3B22"/>
        </w:rPr>
        <w:t>. Hyperion Books.</w:t>
      </w:r>
    </w:p>
    <w:p w14:paraId="31F175E3" w14:textId="008A6BFC"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Starbucks Corporation (2024) </w:t>
      </w:r>
      <w:r w:rsidRPr="000432EE">
        <w:rPr>
          <w:rFonts w:ascii="Arial" w:hAnsi="Arial" w:cs="Arial"/>
          <w:i/>
          <w:iCs/>
          <w:color w:val="4E3B22"/>
        </w:rPr>
        <w:t>Annual Report 2024</w:t>
      </w:r>
      <w:r w:rsidRPr="00486094">
        <w:rPr>
          <w:rFonts w:ascii="Arial" w:hAnsi="Arial" w:cs="Arial"/>
          <w:color w:val="4E3B22"/>
        </w:rPr>
        <w:t xml:space="preserve">. Available at: </w:t>
      </w:r>
      <w:hyperlink r:id="rId16" w:history="1">
        <w:r w:rsidRPr="000432EE">
          <w:rPr>
            <w:rStyle w:val="Hyperlink"/>
            <w:rFonts w:ascii="Arial" w:hAnsi="Arial" w:cs="Arial"/>
          </w:rPr>
          <w:t>https://investor.starbucks.com/financial-data/annual-reports/default.aspx</w:t>
        </w:r>
      </w:hyperlink>
      <w:r w:rsidRPr="00486094">
        <w:rPr>
          <w:rFonts w:ascii="Arial" w:hAnsi="Arial" w:cs="Arial"/>
          <w:color w:val="4E3B22"/>
        </w:rPr>
        <w:t xml:space="preserve"> (Accessed: </w:t>
      </w:r>
      <w:r w:rsidR="000432EE">
        <w:rPr>
          <w:rFonts w:ascii="Arial" w:hAnsi="Arial" w:cs="Arial"/>
          <w:color w:val="4E3B22"/>
        </w:rPr>
        <w:t>1</w:t>
      </w:r>
      <w:r w:rsidRPr="00486094">
        <w:rPr>
          <w:rFonts w:ascii="Arial" w:hAnsi="Arial" w:cs="Arial"/>
          <w:color w:val="4E3B22"/>
        </w:rPr>
        <w:t xml:space="preserve"> November 2025).</w:t>
      </w:r>
    </w:p>
    <w:p w14:paraId="34486DAC" w14:textId="6BBD013B"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Starbucks Corporation (2024) </w:t>
      </w:r>
      <w:r w:rsidRPr="000432EE">
        <w:rPr>
          <w:rFonts w:ascii="Arial" w:hAnsi="Arial" w:cs="Arial"/>
          <w:i/>
          <w:iCs/>
          <w:color w:val="4E3B22"/>
        </w:rPr>
        <w:t xml:space="preserve">Global Environmental </w:t>
      </w:r>
      <w:r w:rsidR="00C62C17" w:rsidRPr="000432EE">
        <w:rPr>
          <w:rFonts w:ascii="Arial" w:hAnsi="Arial" w:cs="Arial"/>
          <w:i/>
          <w:iCs/>
          <w:color w:val="4E3B22"/>
        </w:rPr>
        <w:t>and</w:t>
      </w:r>
      <w:r w:rsidRPr="000432EE">
        <w:rPr>
          <w:rFonts w:ascii="Arial" w:hAnsi="Arial" w:cs="Arial"/>
          <w:i/>
          <w:iCs/>
          <w:color w:val="4E3B22"/>
        </w:rPr>
        <w:t xml:space="preserve"> Social Impact Report 2024</w:t>
      </w:r>
      <w:r w:rsidRPr="00486094">
        <w:rPr>
          <w:rFonts w:ascii="Arial" w:hAnsi="Arial" w:cs="Arial"/>
          <w:color w:val="4E3B22"/>
        </w:rPr>
        <w:t>.</w:t>
      </w:r>
    </w:p>
    <w:p w14:paraId="0D490A8B" w14:textId="47807576" w:rsidR="00E91E44" w:rsidRPr="00486094" w:rsidRDefault="00E91E44" w:rsidP="00660DAA">
      <w:pPr>
        <w:spacing w:line="360" w:lineRule="auto"/>
        <w:rPr>
          <w:rFonts w:ascii="Arial" w:hAnsi="Arial" w:cs="Arial"/>
          <w:color w:val="4E3B22"/>
        </w:rPr>
      </w:pPr>
      <w:r w:rsidRPr="00486094">
        <w:rPr>
          <w:rFonts w:ascii="Arial" w:hAnsi="Arial" w:cs="Arial"/>
          <w:color w:val="4E3B22"/>
        </w:rPr>
        <w:lastRenderedPageBreak/>
        <w:t xml:space="preserve">Tata Coffee (2023) </w:t>
      </w:r>
      <w:r w:rsidRPr="00A36CED">
        <w:rPr>
          <w:rFonts w:ascii="Arial" w:hAnsi="Arial" w:cs="Arial"/>
          <w:i/>
          <w:iCs/>
          <w:color w:val="4E3B22"/>
        </w:rPr>
        <w:t>Sustainability Report 2023</w:t>
      </w:r>
      <w:r w:rsidRPr="00486094">
        <w:rPr>
          <w:rFonts w:ascii="Arial" w:hAnsi="Arial" w:cs="Arial"/>
          <w:color w:val="4E3B22"/>
        </w:rPr>
        <w:t xml:space="preserve">. Bangalore: Tata Coffee Limited. Available at: </w:t>
      </w:r>
      <w:hyperlink r:id="rId17" w:history="1">
        <w:r w:rsidRPr="00A36CED">
          <w:rPr>
            <w:rStyle w:val="Hyperlink"/>
            <w:rFonts w:ascii="Arial" w:hAnsi="Arial" w:cs="Arial"/>
          </w:rPr>
          <w:t>https://tatacoffee.com/sustainability</w:t>
        </w:r>
      </w:hyperlink>
      <w:r w:rsidRPr="00486094">
        <w:rPr>
          <w:rFonts w:ascii="Arial" w:hAnsi="Arial" w:cs="Arial"/>
          <w:color w:val="4E3B22"/>
        </w:rPr>
        <w:t xml:space="preserve"> (Accessed: 10 November 2025).</w:t>
      </w:r>
    </w:p>
    <w:p w14:paraId="3FE5F57C" w14:textId="693A34FA"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Tata Starbucks (2024) </w:t>
      </w:r>
      <w:r w:rsidRPr="00A36CED">
        <w:rPr>
          <w:rFonts w:ascii="Arial" w:hAnsi="Arial" w:cs="Arial"/>
          <w:i/>
          <w:iCs/>
          <w:color w:val="4E3B22"/>
        </w:rPr>
        <w:t xml:space="preserve">About Us </w:t>
      </w:r>
      <w:r w:rsidR="00A64A4D" w:rsidRPr="00A36CED">
        <w:rPr>
          <w:rFonts w:ascii="Arial" w:hAnsi="Arial" w:cs="Arial"/>
          <w:i/>
          <w:iCs/>
          <w:color w:val="4E3B22"/>
        </w:rPr>
        <w:t>-</w:t>
      </w:r>
      <w:r w:rsidRPr="00A36CED">
        <w:rPr>
          <w:rFonts w:ascii="Arial" w:hAnsi="Arial" w:cs="Arial"/>
          <w:i/>
          <w:iCs/>
          <w:color w:val="4E3B22"/>
        </w:rPr>
        <w:t xml:space="preserve"> Partnership with Tata Global Beverages</w:t>
      </w:r>
      <w:r w:rsidRPr="00486094">
        <w:rPr>
          <w:rFonts w:ascii="Arial" w:hAnsi="Arial" w:cs="Arial"/>
          <w:color w:val="4E3B22"/>
        </w:rPr>
        <w:t xml:space="preserve">. Available at: </w:t>
      </w:r>
      <w:hyperlink r:id="rId18" w:history="1">
        <w:r w:rsidRPr="00A36CED">
          <w:rPr>
            <w:rStyle w:val="Hyperlink"/>
            <w:rFonts w:ascii="Arial" w:hAnsi="Arial" w:cs="Arial"/>
          </w:rPr>
          <w:t>https://www.starbucks.in/about-us</w:t>
        </w:r>
      </w:hyperlink>
      <w:r w:rsidRPr="00486094">
        <w:rPr>
          <w:rFonts w:ascii="Arial" w:hAnsi="Arial" w:cs="Arial"/>
          <w:color w:val="4E3B22"/>
        </w:rPr>
        <w:t xml:space="preserve"> (Accessed: 12 November 2025).</w:t>
      </w:r>
    </w:p>
    <w:p w14:paraId="5BDACEF4" w14:textId="2941A38F"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Teece, D.J. (2007) ‘Explicating dynamic capabilities: the nature and </w:t>
      </w:r>
      <w:r w:rsidR="002B22C6" w:rsidRPr="00486094">
        <w:rPr>
          <w:rFonts w:ascii="Arial" w:hAnsi="Arial" w:cs="Arial"/>
          <w:color w:val="4E3B22"/>
        </w:rPr>
        <w:t>micro foundations</w:t>
      </w:r>
      <w:r w:rsidRPr="00486094">
        <w:rPr>
          <w:rFonts w:ascii="Arial" w:hAnsi="Arial" w:cs="Arial"/>
          <w:color w:val="4E3B22"/>
        </w:rPr>
        <w:t xml:space="preserve"> of (sustainable) enterprise performance’, </w:t>
      </w:r>
      <w:r w:rsidRPr="00A36CED">
        <w:rPr>
          <w:rFonts w:ascii="Arial" w:hAnsi="Arial" w:cs="Arial"/>
          <w:i/>
          <w:iCs/>
          <w:color w:val="4E3B22"/>
        </w:rPr>
        <w:t>Strategic Management Journal</w:t>
      </w:r>
      <w:r w:rsidRPr="00486094">
        <w:rPr>
          <w:rFonts w:ascii="Arial" w:hAnsi="Arial" w:cs="Arial"/>
          <w:color w:val="4E3B22"/>
        </w:rPr>
        <w:t>, 28(13), pp. 1319</w:t>
      </w:r>
      <w:r w:rsidR="001551EB">
        <w:rPr>
          <w:rFonts w:ascii="Arial" w:hAnsi="Arial" w:cs="Arial"/>
          <w:color w:val="4E3B22"/>
        </w:rPr>
        <w:t>-</w:t>
      </w:r>
      <w:r w:rsidRPr="00486094">
        <w:rPr>
          <w:rFonts w:ascii="Arial" w:hAnsi="Arial" w:cs="Arial"/>
          <w:color w:val="4E3B22"/>
        </w:rPr>
        <w:t>1350.</w:t>
      </w:r>
    </w:p>
    <w:p w14:paraId="316D89C8" w14:textId="02A968E1" w:rsidR="00E91E44" w:rsidRPr="00486094" w:rsidRDefault="00E91E44" w:rsidP="00660DAA">
      <w:pPr>
        <w:spacing w:line="360" w:lineRule="auto"/>
        <w:rPr>
          <w:rFonts w:ascii="Arial" w:hAnsi="Arial" w:cs="Arial"/>
          <w:color w:val="4E3B22"/>
        </w:rPr>
      </w:pPr>
      <w:r w:rsidRPr="00486094">
        <w:rPr>
          <w:rFonts w:ascii="Arial" w:hAnsi="Arial" w:cs="Arial"/>
          <w:color w:val="4E3B22"/>
        </w:rPr>
        <w:t xml:space="preserve">Visconti, L.M., Sherry, J.F., Borghini, S. and Anderson, L. (2020) </w:t>
      </w:r>
      <w:r w:rsidRPr="000432EE">
        <w:rPr>
          <w:rFonts w:ascii="Arial" w:hAnsi="Arial" w:cs="Arial"/>
          <w:i/>
          <w:iCs/>
          <w:color w:val="4E3B22"/>
        </w:rPr>
        <w:t xml:space="preserve">Global Consumer Culture Theory: Research in Consumer </w:t>
      </w:r>
      <w:r w:rsidR="002B22C6" w:rsidRPr="000432EE">
        <w:rPr>
          <w:rFonts w:ascii="Arial" w:hAnsi="Arial" w:cs="Arial"/>
          <w:i/>
          <w:iCs/>
          <w:color w:val="4E3B22"/>
        </w:rPr>
        <w:t>Behaviour</w:t>
      </w:r>
      <w:r w:rsidR="00A36CED">
        <w:rPr>
          <w:rFonts w:ascii="Arial" w:hAnsi="Arial" w:cs="Arial"/>
          <w:color w:val="4E3B22"/>
        </w:rPr>
        <w:t xml:space="preserve">. </w:t>
      </w:r>
      <w:r w:rsidRPr="00486094">
        <w:rPr>
          <w:rFonts w:ascii="Arial" w:hAnsi="Arial" w:cs="Arial"/>
          <w:color w:val="4E3B22"/>
        </w:rPr>
        <w:t>Emerald.</w:t>
      </w:r>
    </w:p>
    <w:p w14:paraId="006BD980" w14:textId="4F97A722" w:rsidR="002B22C6" w:rsidRPr="00486094" w:rsidRDefault="002B22C6" w:rsidP="00660DAA">
      <w:pPr>
        <w:spacing w:line="360" w:lineRule="auto"/>
        <w:rPr>
          <w:rFonts w:ascii="Arial" w:hAnsi="Arial" w:cs="Arial"/>
          <w:color w:val="4E3B22"/>
        </w:rPr>
      </w:pPr>
      <w:r w:rsidRPr="00486094">
        <w:rPr>
          <w:rFonts w:ascii="Arial" w:hAnsi="Arial" w:cs="Arial"/>
          <w:color w:val="4E3B22"/>
        </w:rPr>
        <w:t xml:space="preserve">Wedel, M. and Kamakura, W.A. (2012) </w:t>
      </w:r>
      <w:r w:rsidRPr="00A36CED">
        <w:rPr>
          <w:rFonts w:ascii="Arial" w:hAnsi="Arial" w:cs="Arial"/>
          <w:i/>
          <w:iCs/>
          <w:color w:val="4E3B22"/>
        </w:rPr>
        <w:t>Market Segmentation: Conceptual and Methodological Foundations</w:t>
      </w:r>
      <w:r w:rsidRPr="00486094">
        <w:rPr>
          <w:rFonts w:ascii="Arial" w:hAnsi="Arial" w:cs="Arial"/>
          <w:color w:val="4E3B22"/>
        </w:rPr>
        <w:t>. 2nd edn. Springer.</w:t>
      </w:r>
    </w:p>
    <w:p w14:paraId="535B12FD" w14:textId="454A85ED" w:rsidR="00091AF5" w:rsidRPr="00486094" w:rsidRDefault="00E91E44" w:rsidP="00660DAA">
      <w:pPr>
        <w:spacing w:line="360" w:lineRule="auto"/>
        <w:rPr>
          <w:rFonts w:ascii="Arial" w:hAnsi="Arial" w:cs="Arial"/>
          <w:color w:val="4E3B22"/>
        </w:rPr>
      </w:pPr>
      <w:r w:rsidRPr="00486094">
        <w:rPr>
          <w:rFonts w:ascii="Arial" w:hAnsi="Arial" w:cs="Arial"/>
          <w:color w:val="4E3B22"/>
        </w:rPr>
        <w:t xml:space="preserve">World Bank (2024) </w:t>
      </w:r>
      <w:r w:rsidRPr="00A36CED">
        <w:rPr>
          <w:rFonts w:ascii="Arial" w:hAnsi="Arial" w:cs="Arial"/>
          <w:i/>
          <w:iCs/>
          <w:color w:val="4E3B22"/>
        </w:rPr>
        <w:t>World Development Indicators</w:t>
      </w:r>
      <w:r w:rsidRPr="00486094">
        <w:rPr>
          <w:rFonts w:ascii="Arial" w:hAnsi="Arial" w:cs="Arial"/>
          <w:color w:val="4E3B22"/>
        </w:rPr>
        <w:t>. World Bank.</w:t>
      </w:r>
      <w:r w:rsidR="008710E8">
        <w:rPr>
          <w:rFonts w:ascii="Arial" w:hAnsi="Arial" w:cs="Arial"/>
          <w:color w:val="4E3B22"/>
        </w:rPr>
        <w:t xml:space="preserve"> Available at: </w:t>
      </w:r>
      <w:hyperlink r:id="rId19" w:history="1">
        <w:r w:rsidR="008710E8" w:rsidRPr="008710E8">
          <w:rPr>
            <w:rStyle w:val="Hyperlink"/>
            <w:rFonts w:ascii="Arial" w:hAnsi="Arial" w:cs="Arial"/>
          </w:rPr>
          <w:t>https://databank.worldbank.org/source/world-development-indicators</w:t>
        </w:r>
      </w:hyperlink>
    </w:p>
    <w:p w14:paraId="2229927E" w14:textId="77777777" w:rsidR="00091AF5" w:rsidRPr="00486094" w:rsidRDefault="00091AF5" w:rsidP="00091AF5"/>
    <w:p w14:paraId="6CD1F777" w14:textId="77777777" w:rsidR="00091AF5" w:rsidRDefault="00091AF5" w:rsidP="00091AF5"/>
    <w:p w14:paraId="23B48399" w14:textId="77777777" w:rsidR="00E74516" w:rsidRDefault="00E74516" w:rsidP="00091AF5"/>
    <w:p w14:paraId="4E356824" w14:textId="77777777" w:rsidR="00E74516" w:rsidRDefault="00E74516" w:rsidP="00091AF5"/>
    <w:p w14:paraId="705C2C8A" w14:textId="77777777" w:rsidR="00E74516" w:rsidRDefault="00E74516" w:rsidP="00091AF5"/>
    <w:p w14:paraId="312441D8" w14:textId="77777777" w:rsidR="00E74516" w:rsidRDefault="00E74516" w:rsidP="00091AF5"/>
    <w:p w14:paraId="35A7C4A6" w14:textId="77777777" w:rsidR="00E74516" w:rsidRDefault="00E74516" w:rsidP="00091AF5"/>
    <w:p w14:paraId="30684BFA" w14:textId="77777777" w:rsidR="00E74516" w:rsidRDefault="00E74516" w:rsidP="00091AF5"/>
    <w:p w14:paraId="29D0ED43" w14:textId="77777777" w:rsidR="00E74516" w:rsidRDefault="00E74516" w:rsidP="00091AF5"/>
    <w:p w14:paraId="15B73BE6" w14:textId="77777777" w:rsidR="00FE75E4" w:rsidRDefault="00FE75E4" w:rsidP="00091AF5"/>
    <w:p w14:paraId="57CA8ADD" w14:textId="77777777" w:rsidR="00FE75E4" w:rsidRDefault="00FE75E4" w:rsidP="00091AF5"/>
    <w:p w14:paraId="345EA1B8" w14:textId="77777777" w:rsidR="00E74516" w:rsidRDefault="00E74516" w:rsidP="00091AF5"/>
    <w:p w14:paraId="5C288D86" w14:textId="77777777" w:rsidR="00E74516" w:rsidRDefault="00E74516" w:rsidP="00091AF5"/>
    <w:p w14:paraId="6915D1E7" w14:textId="77777777" w:rsidR="00A36CED" w:rsidRDefault="00A36CED" w:rsidP="00091AF5"/>
    <w:p w14:paraId="17124F07" w14:textId="77777777" w:rsidR="00A36CED" w:rsidRPr="00486094" w:rsidRDefault="00A36CED" w:rsidP="00091AF5"/>
    <w:p w14:paraId="3F972627" w14:textId="1B004764" w:rsidR="00621722" w:rsidRPr="00486094" w:rsidRDefault="00621722" w:rsidP="00621722">
      <w:pPr>
        <w:pStyle w:val="Heading1"/>
        <w:shd w:val="clear" w:color="auto" w:fill="295541"/>
        <w:rPr>
          <w:color w:val="F2FCF3"/>
        </w:rPr>
      </w:pPr>
      <w:bookmarkStart w:id="38" w:name="_Toc214067406"/>
      <w:r w:rsidRPr="00486094">
        <w:rPr>
          <w:color w:val="F2FCF3"/>
        </w:rPr>
        <w:lastRenderedPageBreak/>
        <w:t>Appendices</w:t>
      </w:r>
      <w:bookmarkEnd w:id="38"/>
    </w:p>
    <w:p w14:paraId="37CCEB37" w14:textId="77777777" w:rsidR="00621722" w:rsidRPr="00486094" w:rsidRDefault="00621722" w:rsidP="00091AF5">
      <w:pPr>
        <w:rPr>
          <w:rFonts w:ascii="Arial" w:hAnsi="Arial" w:cs="Arial"/>
        </w:rPr>
      </w:pPr>
    </w:p>
    <w:p w14:paraId="434D84DE" w14:textId="05A66DA3" w:rsidR="00091AF5" w:rsidRPr="00486094" w:rsidRDefault="00621722" w:rsidP="00091AF5">
      <w:pPr>
        <w:rPr>
          <w:rFonts w:ascii="Arial" w:hAnsi="Arial" w:cs="Arial"/>
        </w:rPr>
      </w:pPr>
      <w:r w:rsidRPr="00486094">
        <w:rPr>
          <w:rFonts w:ascii="Arial" w:hAnsi="Arial" w:cs="Arial"/>
          <w:b/>
          <w:bCs/>
        </w:rPr>
        <w:t>Appendix 1:</w:t>
      </w:r>
      <w:r w:rsidRPr="00486094">
        <w:rPr>
          <w:rFonts w:ascii="Arial" w:hAnsi="Arial" w:cs="Arial"/>
        </w:rPr>
        <w:t xml:space="preserve"> </w:t>
      </w:r>
      <w:r w:rsidR="00346DED" w:rsidRPr="00486094">
        <w:rPr>
          <w:rFonts w:ascii="Arial" w:hAnsi="Arial" w:cs="Arial"/>
          <w:color w:val="4E3B22"/>
        </w:rPr>
        <w:t xml:space="preserve">Summary of Macro-Environmental Comparison Between </w:t>
      </w:r>
      <w:r w:rsidR="00B73C63">
        <w:rPr>
          <w:rFonts w:ascii="Arial" w:hAnsi="Arial" w:cs="Arial"/>
          <w:color w:val="4E3B22"/>
        </w:rPr>
        <w:t xml:space="preserve">the </w:t>
      </w:r>
      <w:r w:rsidR="00346DED" w:rsidRPr="00486094">
        <w:rPr>
          <w:rFonts w:ascii="Arial" w:hAnsi="Arial" w:cs="Arial"/>
          <w:color w:val="4E3B22"/>
        </w:rPr>
        <w:t>USA and India (Starbucks Context)</w:t>
      </w:r>
    </w:p>
    <w:tbl>
      <w:tblPr>
        <w:tblW w:w="0" w:type="auto"/>
        <w:tblCellSpacing w:w="15" w:type="dxa"/>
        <w:tblBorders>
          <w:top w:val="single" w:sz="4" w:space="0" w:color="295541"/>
          <w:left w:val="single" w:sz="4" w:space="0" w:color="295541"/>
          <w:bottom w:val="single" w:sz="4" w:space="0" w:color="295541"/>
          <w:right w:val="single" w:sz="4" w:space="0" w:color="295541"/>
          <w:insideH w:val="single" w:sz="4" w:space="0" w:color="295541"/>
          <w:insideV w:val="single" w:sz="4" w:space="0" w:color="295541"/>
        </w:tblBorders>
        <w:shd w:val="clear" w:color="auto" w:fill="EAFAEC"/>
        <w:tblCellMar>
          <w:top w:w="15" w:type="dxa"/>
          <w:left w:w="15" w:type="dxa"/>
          <w:bottom w:w="15" w:type="dxa"/>
          <w:right w:w="15" w:type="dxa"/>
        </w:tblCellMar>
        <w:tblLook w:val="04A0" w:firstRow="1" w:lastRow="0" w:firstColumn="1" w:lastColumn="0" w:noHBand="0" w:noVBand="1"/>
      </w:tblPr>
      <w:tblGrid>
        <w:gridCol w:w="2149"/>
        <w:gridCol w:w="3566"/>
        <w:gridCol w:w="3635"/>
      </w:tblGrid>
      <w:tr w:rsidR="00621722" w:rsidRPr="00486094" w14:paraId="3F2085A7" w14:textId="77777777" w:rsidTr="00621722">
        <w:trPr>
          <w:tblHeader/>
          <w:tblCellSpacing w:w="15" w:type="dxa"/>
        </w:trPr>
        <w:tc>
          <w:tcPr>
            <w:tcW w:w="0" w:type="auto"/>
            <w:shd w:val="clear" w:color="auto" w:fill="EAFAEC"/>
            <w:vAlign w:val="center"/>
            <w:hideMark/>
          </w:tcPr>
          <w:p w14:paraId="30BC8577" w14:textId="77777777" w:rsidR="00621722" w:rsidRPr="00621722" w:rsidRDefault="00621722" w:rsidP="00621722">
            <w:pPr>
              <w:rPr>
                <w:rFonts w:ascii="Arial" w:hAnsi="Arial" w:cs="Arial"/>
                <w:b/>
                <w:bCs/>
                <w:color w:val="4E3B22"/>
              </w:rPr>
            </w:pPr>
            <w:r w:rsidRPr="00621722">
              <w:rPr>
                <w:rFonts w:ascii="Arial" w:hAnsi="Arial" w:cs="Arial"/>
                <w:b/>
                <w:bCs/>
                <w:color w:val="4E3B22"/>
              </w:rPr>
              <w:t>Factor</w:t>
            </w:r>
          </w:p>
        </w:tc>
        <w:tc>
          <w:tcPr>
            <w:tcW w:w="0" w:type="auto"/>
            <w:shd w:val="clear" w:color="auto" w:fill="EAFAEC"/>
            <w:vAlign w:val="center"/>
            <w:hideMark/>
          </w:tcPr>
          <w:p w14:paraId="4B58EC70" w14:textId="77777777" w:rsidR="00621722" w:rsidRPr="00621722" w:rsidRDefault="00621722" w:rsidP="00621722">
            <w:pPr>
              <w:rPr>
                <w:rFonts w:ascii="Arial" w:hAnsi="Arial" w:cs="Arial"/>
                <w:b/>
                <w:bCs/>
                <w:color w:val="4E3B22"/>
              </w:rPr>
            </w:pPr>
            <w:r w:rsidRPr="00621722">
              <w:rPr>
                <w:rFonts w:ascii="Arial" w:hAnsi="Arial" w:cs="Arial"/>
                <w:b/>
                <w:bCs/>
                <w:color w:val="4E3B22"/>
              </w:rPr>
              <w:t>USA</w:t>
            </w:r>
          </w:p>
        </w:tc>
        <w:tc>
          <w:tcPr>
            <w:tcW w:w="0" w:type="auto"/>
            <w:shd w:val="clear" w:color="auto" w:fill="EAFAEC"/>
            <w:vAlign w:val="center"/>
            <w:hideMark/>
          </w:tcPr>
          <w:p w14:paraId="2D736619" w14:textId="77777777" w:rsidR="00621722" w:rsidRPr="00621722" w:rsidRDefault="00621722" w:rsidP="00621722">
            <w:pPr>
              <w:rPr>
                <w:rFonts w:ascii="Arial" w:hAnsi="Arial" w:cs="Arial"/>
                <w:b/>
                <w:bCs/>
                <w:color w:val="4E3B22"/>
              </w:rPr>
            </w:pPr>
            <w:r w:rsidRPr="00621722">
              <w:rPr>
                <w:rFonts w:ascii="Arial" w:hAnsi="Arial" w:cs="Arial"/>
                <w:b/>
                <w:bCs/>
                <w:color w:val="4E3B22"/>
              </w:rPr>
              <w:t>India</w:t>
            </w:r>
          </w:p>
        </w:tc>
      </w:tr>
      <w:tr w:rsidR="00621722" w:rsidRPr="00486094" w14:paraId="41B00189" w14:textId="77777777" w:rsidTr="00621722">
        <w:trPr>
          <w:tblCellSpacing w:w="15" w:type="dxa"/>
        </w:trPr>
        <w:tc>
          <w:tcPr>
            <w:tcW w:w="0" w:type="auto"/>
            <w:shd w:val="clear" w:color="auto" w:fill="EAFAEC"/>
            <w:vAlign w:val="center"/>
            <w:hideMark/>
          </w:tcPr>
          <w:p w14:paraId="5DB436D3" w14:textId="77777777" w:rsidR="00621722" w:rsidRPr="00621722" w:rsidRDefault="00621722" w:rsidP="00621722">
            <w:pPr>
              <w:rPr>
                <w:rFonts w:ascii="Arial" w:hAnsi="Arial" w:cs="Arial"/>
                <w:color w:val="4E3B22"/>
              </w:rPr>
            </w:pPr>
            <w:r w:rsidRPr="00621722">
              <w:rPr>
                <w:rFonts w:ascii="Arial" w:hAnsi="Arial" w:cs="Arial"/>
                <w:b/>
                <w:bCs/>
                <w:color w:val="4E3B22"/>
              </w:rPr>
              <w:t>Political</w:t>
            </w:r>
          </w:p>
        </w:tc>
        <w:tc>
          <w:tcPr>
            <w:tcW w:w="0" w:type="auto"/>
            <w:shd w:val="clear" w:color="auto" w:fill="EAFAEC"/>
            <w:vAlign w:val="center"/>
            <w:hideMark/>
          </w:tcPr>
          <w:p w14:paraId="65A830B7" w14:textId="77777777" w:rsidR="00621722" w:rsidRPr="00621722" w:rsidRDefault="00621722" w:rsidP="00621722">
            <w:pPr>
              <w:rPr>
                <w:rFonts w:ascii="Arial" w:hAnsi="Arial" w:cs="Arial"/>
                <w:color w:val="4E3B22"/>
              </w:rPr>
            </w:pPr>
            <w:r w:rsidRPr="00621722">
              <w:rPr>
                <w:rFonts w:ascii="Arial" w:hAnsi="Arial" w:cs="Arial"/>
                <w:color w:val="4E3B22"/>
              </w:rPr>
              <w:t>Stable regulations, full ownership model</w:t>
            </w:r>
          </w:p>
        </w:tc>
        <w:tc>
          <w:tcPr>
            <w:tcW w:w="0" w:type="auto"/>
            <w:shd w:val="clear" w:color="auto" w:fill="EAFAEC"/>
            <w:vAlign w:val="center"/>
            <w:hideMark/>
          </w:tcPr>
          <w:p w14:paraId="0061C42F" w14:textId="77777777" w:rsidR="00621722" w:rsidRPr="00621722" w:rsidRDefault="00621722" w:rsidP="00621722">
            <w:pPr>
              <w:rPr>
                <w:rFonts w:ascii="Arial" w:hAnsi="Arial" w:cs="Arial"/>
                <w:color w:val="4E3B22"/>
              </w:rPr>
            </w:pPr>
            <w:r w:rsidRPr="00621722">
              <w:rPr>
                <w:rFonts w:ascii="Arial" w:hAnsi="Arial" w:cs="Arial"/>
                <w:color w:val="4E3B22"/>
              </w:rPr>
              <w:t>FDI barriers, joint venture with Tata</w:t>
            </w:r>
          </w:p>
        </w:tc>
      </w:tr>
      <w:tr w:rsidR="00621722" w:rsidRPr="00486094" w14:paraId="3E27BB9E" w14:textId="77777777" w:rsidTr="00621722">
        <w:trPr>
          <w:tblCellSpacing w:w="15" w:type="dxa"/>
        </w:trPr>
        <w:tc>
          <w:tcPr>
            <w:tcW w:w="0" w:type="auto"/>
            <w:shd w:val="clear" w:color="auto" w:fill="EAFAEC"/>
            <w:vAlign w:val="center"/>
            <w:hideMark/>
          </w:tcPr>
          <w:p w14:paraId="1837C309" w14:textId="77777777" w:rsidR="00621722" w:rsidRPr="00621722" w:rsidRDefault="00621722" w:rsidP="00621722">
            <w:pPr>
              <w:rPr>
                <w:rFonts w:ascii="Arial" w:hAnsi="Arial" w:cs="Arial"/>
                <w:color w:val="4E3B22"/>
              </w:rPr>
            </w:pPr>
            <w:r w:rsidRPr="00621722">
              <w:rPr>
                <w:rFonts w:ascii="Arial" w:hAnsi="Arial" w:cs="Arial"/>
                <w:b/>
                <w:bCs/>
                <w:color w:val="4E3B22"/>
              </w:rPr>
              <w:t>Economic</w:t>
            </w:r>
          </w:p>
        </w:tc>
        <w:tc>
          <w:tcPr>
            <w:tcW w:w="0" w:type="auto"/>
            <w:shd w:val="clear" w:color="auto" w:fill="EAFAEC"/>
            <w:vAlign w:val="center"/>
            <w:hideMark/>
          </w:tcPr>
          <w:p w14:paraId="2E41DF1A" w14:textId="77777777" w:rsidR="00621722" w:rsidRPr="00621722" w:rsidRDefault="00621722" w:rsidP="00621722">
            <w:pPr>
              <w:rPr>
                <w:rFonts w:ascii="Arial" w:hAnsi="Arial" w:cs="Arial"/>
                <w:color w:val="4E3B22"/>
              </w:rPr>
            </w:pPr>
            <w:r w:rsidRPr="00621722">
              <w:rPr>
                <w:rFonts w:ascii="Arial" w:hAnsi="Arial" w:cs="Arial"/>
                <w:color w:val="4E3B22"/>
              </w:rPr>
              <w:t>Saturated market, high income per capita</w:t>
            </w:r>
          </w:p>
        </w:tc>
        <w:tc>
          <w:tcPr>
            <w:tcW w:w="0" w:type="auto"/>
            <w:shd w:val="clear" w:color="auto" w:fill="EAFAEC"/>
            <w:vAlign w:val="center"/>
            <w:hideMark/>
          </w:tcPr>
          <w:p w14:paraId="3018B014" w14:textId="77777777" w:rsidR="00621722" w:rsidRPr="00621722" w:rsidRDefault="00621722" w:rsidP="00621722">
            <w:pPr>
              <w:rPr>
                <w:rFonts w:ascii="Arial" w:hAnsi="Arial" w:cs="Arial"/>
                <w:color w:val="4E3B22"/>
              </w:rPr>
            </w:pPr>
            <w:r w:rsidRPr="00621722">
              <w:rPr>
                <w:rFonts w:ascii="Arial" w:hAnsi="Arial" w:cs="Arial"/>
                <w:color w:val="4E3B22"/>
              </w:rPr>
              <w:t>Rapid growth, price-sensitive middle class</w:t>
            </w:r>
          </w:p>
        </w:tc>
      </w:tr>
      <w:tr w:rsidR="00621722" w:rsidRPr="00486094" w14:paraId="7081EC52" w14:textId="77777777" w:rsidTr="00621722">
        <w:trPr>
          <w:tblCellSpacing w:w="15" w:type="dxa"/>
        </w:trPr>
        <w:tc>
          <w:tcPr>
            <w:tcW w:w="0" w:type="auto"/>
            <w:shd w:val="clear" w:color="auto" w:fill="EAFAEC"/>
            <w:vAlign w:val="center"/>
            <w:hideMark/>
          </w:tcPr>
          <w:p w14:paraId="155579C3" w14:textId="77777777" w:rsidR="00621722" w:rsidRPr="00621722" w:rsidRDefault="00621722" w:rsidP="00621722">
            <w:pPr>
              <w:rPr>
                <w:rFonts w:ascii="Arial" w:hAnsi="Arial" w:cs="Arial"/>
                <w:color w:val="4E3B22"/>
              </w:rPr>
            </w:pPr>
            <w:r w:rsidRPr="00621722">
              <w:rPr>
                <w:rFonts w:ascii="Arial" w:hAnsi="Arial" w:cs="Arial"/>
                <w:b/>
                <w:bCs/>
                <w:color w:val="4E3B22"/>
              </w:rPr>
              <w:t>Socio-cultural</w:t>
            </w:r>
          </w:p>
        </w:tc>
        <w:tc>
          <w:tcPr>
            <w:tcW w:w="0" w:type="auto"/>
            <w:shd w:val="clear" w:color="auto" w:fill="EAFAEC"/>
            <w:vAlign w:val="center"/>
            <w:hideMark/>
          </w:tcPr>
          <w:p w14:paraId="0B2CEDC2" w14:textId="77777777" w:rsidR="00621722" w:rsidRPr="00621722" w:rsidRDefault="00621722" w:rsidP="00621722">
            <w:pPr>
              <w:rPr>
                <w:rFonts w:ascii="Arial" w:hAnsi="Arial" w:cs="Arial"/>
                <w:color w:val="4E3B22"/>
              </w:rPr>
            </w:pPr>
            <w:r w:rsidRPr="00621722">
              <w:rPr>
                <w:rFonts w:ascii="Arial" w:hAnsi="Arial" w:cs="Arial"/>
                <w:color w:val="4E3B22"/>
              </w:rPr>
              <w:t>Individualistic, mobile-based experience</w:t>
            </w:r>
          </w:p>
        </w:tc>
        <w:tc>
          <w:tcPr>
            <w:tcW w:w="0" w:type="auto"/>
            <w:shd w:val="clear" w:color="auto" w:fill="EAFAEC"/>
            <w:vAlign w:val="center"/>
            <w:hideMark/>
          </w:tcPr>
          <w:p w14:paraId="55A9DCA1" w14:textId="25F97920" w:rsidR="00621722" w:rsidRPr="00621722" w:rsidRDefault="00621722" w:rsidP="00621722">
            <w:pPr>
              <w:rPr>
                <w:rFonts w:ascii="Arial" w:hAnsi="Arial" w:cs="Arial"/>
                <w:color w:val="4E3B22"/>
              </w:rPr>
            </w:pPr>
            <w:r w:rsidRPr="00621722">
              <w:rPr>
                <w:rFonts w:ascii="Arial" w:hAnsi="Arial" w:cs="Arial"/>
                <w:color w:val="4E3B22"/>
              </w:rPr>
              <w:t>Collectivist, aspirational caf</w:t>
            </w:r>
            <w:r w:rsidR="00B73C63">
              <w:rPr>
                <w:rFonts w:ascii="Arial" w:hAnsi="Arial" w:cs="Arial"/>
                <w:color w:val="4E3B22"/>
              </w:rPr>
              <w:t>e</w:t>
            </w:r>
            <w:r w:rsidRPr="00621722">
              <w:rPr>
                <w:rFonts w:ascii="Arial" w:hAnsi="Arial" w:cs="Arial"/>
                <w:color w:val="4E3B22"/>
              </w:rPr>
              <w:t xml:space="preserve"> culture</w:t>
            </w:r>
          </w:p>
        </w:tc>
      </w:tr>
      <w:tr w:rsidR="00621722" w:rsidRPr="00486094" w14:paraId="015D4695" w14:textId="77777777" w:rsidTr="00621722">
        <w:trPr>
          <w:tblCellSpacing w:w="15" w:type="dxa"/>
        </w:trPr>
        <w:tc>
          <w:tcPr>
            <w:tcW w:w="0" w:type="auto"/>
            <w:shd w:val="clear" w:color="auto" w:fill="EAFAEC"/>
            <w:vAlign w:val="center"/>
            <w:hideMark/>
          </w:tcPr>
          <w:p w14:paraId="4353EBD7" w14:textId="77777777" w:rsidR="00621722" w:rsidRPr="00621722" w:rsidRDefault="00621722" w:rsidP="00621722">
            <w:pPr>
              <w:rPr>
                <w:rFonts w:ascii="Arial" w:hAnsi="Arial" w:cs="Arial"/>
                <w:color w:val="4E3B22"/>
              </w:rPr>
            </w:pPr>
            <w:r w:rsidRPr="00621722">
              <w:rPr>
                <w:rFonts w:ascii="Arial" w:hAnsi="Arial" w:cs="Arial"/>
                <w:b/>
                <w:bCs/>
                <w:color w:val="4E3B22"/>
              </w:rPr>
              <w:t>Technological</w:t>
            </w:r>
          </w:p>
        </w:tc>
        <w:tc>
          <w:tcPr>
            <w:tcW w:w="0" w:type="auto"/>
            <w:shd w:val="clear" w:color="auto" w:fill="EAFAEC"/>
            <w:vAlign w:val="center"/>
            <w:hideMark/>
          </w:tcPr>
          <w:p w14:paraId="058B803C" w14:textId="77777777" w:rsidR="00621722" w:rsidRPr="00621722" w:rsidRDefault="00621722" w:rsidP="00621722">
            <w:pPr>
              <w:rPr>
                <w:rFonts w:ascii="Arial" w:hAnsi="Arial" w:cs="Arial"/>
                <w:color w:val="4E3B22"/>
              </w:rPr>
            </w:pPr>
            <w:r w:rsidRPr="00621722">
              <w:rPr>
                <w:rFonts w:ascii="Arial" w:hAnsi="Arial" w:cs="Arial"/>
                <w:color w:val="4E3B22"/>
              </w:rPr>
              <w:t>AI, Deep Brew, 30% mobile orders</w:t>
            </w:r>
          </w:p>
        </w:tc>
        <w:tc>
          <w:tcPr>
            <w:tcW w:w="0" w:type="auto"/>
            <w:shd w:val="clear" w:color="auto" w:fill="EAFAEC"/>
            <w:vAlign w:val="center"/>
            <w:hideMark/>
          </w:tcPr>
          <w:p w14:paraId="53C32B34" w14:textId="77777777" w:rsidR="00621722" w:rsidRPr="00621722" w:rsidRDefault="00621722" w:rsidP="00621722">
            <w:pPr>
              <w:rPr>
                <w:rFonts w:ascii="Arial" w:hAnsi="Arial" w:cs="Arial"/>
                <w:color w:val="4E3B22"/>
              </w:rPr>
            </w:pPr>
            <w:r w:rsidRPr="00621722">
              <w:rPr>
                <w:rFonts w:ascii="Arial" w:hAnsi="Arial" w:cs="Arial"/>
                <w:color w:val="4E3B22"/>
              </w:rPr>
              <w:t>UPI, Tata Digital app, digital inequality</w:t>
            </w:r>
          </w:p>
        </w:tc>
      </w:tr>
      <w:tr w:rsidR="00621722" w:rsidRPr="00486094" w14:paraId="1E365B58" w14:textId="77777777" w:rsidTr="00621722">
        <w:trPr>
          <w:tblCellSpacing w:w="15" w:type="dxa"/>
        </w:trPr>
        <w:tc>
          <w:tcPr>
            <w:tcW w:w="0" w:type="auto"/>
            <w:shd w:val="clear" w:color="auto" w:fill="EAFAEC"/>
            <w:vAlign w:val="center"/>
            <w:hideMark/>
          </w:tcPr>
          <w:p w14:paraId="726969B0" w14:textId="77777777" w:rsidR="00621722" w:rsidRPr="00621722" w:rsidRDefault="00621722" w:rsidP="00621722">
            <w:pPr>
              <w:rPr>
                <w:rFonts w:ascii="Arial" w:hAnsi="Arial" w:cs="Arial"/>
                <w:color w:val="4E3B22"/>
              </w:rPr>
            </w:pPr>
            <w:r w:rsidRPr="00621722">
              <w:rPr>
                <w:rFonts w:ascii="Arial" w:hAnsi="Arial" w:cs="Arial"/>
                <w:b/>
                <w:bCs/>
                <w:color w:val="4E3B22"/>
              </w:rPr>
              <w:t>Legal</w:t>
            </w:r>
          </w:p>
        </w:tc>
        <w:tc>
          <w:tcPr>
            <w:tcW w:w="0" w:type="auto"/>
            <w:shd w:val="clear" w:color="auto" w:fill="EAFAEC"/>
            <w:vAlign w:val="center"/>
            <w:hideMark/>
          </w:tcPr>
          <w:p w14:paraId="5108818B" w14:textId="544EE382" w:rsidR="00621722" w:rsidRPr="00621722" w:rsidRDefault="00621722" w:rsidP="00621722">
            <w:pPr>
              <w:rPr>
                <w:rFonts w:ascii="Arial" w:hAnsi="Arial" w:cs="Arial"/>
                <w:color w:val="4E3B22"/>
              </w:rPr>
            </w:pPr>
            <w:r w:rsidRPr="00621722">
              <w:rPr>
                <w:rFonts w:ascii="Arial" w:hAnsi="Arial" w:cs="Arial"/>
                <w:color w:val="4E3B22"/>
              </w:rPr>
              <w:t xml:space="preserve">Strong FDA, </w:t>
            </w:r>
            <w:r w:rsidR="00B73C63">
              <w:rPr>
                <w:rFonts w:ascii="Arial" w:hAnsi="Arial" w:cs="Arial"/>
                <w:color w:val="4E3B22"/>
              </w:rPr>
              <w:t>labour</w:t>
            </w:r>
            <w:r w:rsidRPr="00621722">
              <w:rPr>
                <w:rFonts w:ascii="Arial" w:hAnsi="Arial" w:cs="Arial"/>
                <w:color w:val="4E3B22"/>
              </w:rPr>
              <w:t xml:space="preserve"> protection</w:t>
            </w:r>
          </w:p>
        </w:tc>
        <w:tc>
          <w:tcPr>
            <w:tcW w:w="0" w:type="auto"/>
            <w:shd w:val="clear" w:color="auto" w:fill="EAFAEC"/>
            <w:vAlign w:val="center"/>
            <w:hideMark/>
          </w:tcPr>
          <w:p w14:paraId="4E5E9992" w14:textId="77777777" w:rsidR="00621722" w:rsidRPr="00621722" w:rsidRDefault="00621722" w:rsidP="00621722">
            <w:pPr>
              <w:rPr>
                <w:rFonts w:ascii="Arial" w:hAnsi="Arial" w:cs="Arial"/>
                <w:color w:val="4E3B22"/>
              </w:rPr>
            </w:pPr>
            <w:r w:rsidRPr="00621722">
              <w:rPr>
                <w:rFonts w:ascii="Arial" w:hAnsi="Arial" w:cs="Arial"/>
                <w:color w:val="4E3B22"/>
              </w:rPr>
              <w:t>Bureaucratic, state-level fragmentation</w:t>
            </w:r>
          </w:p>
        </w:tc>
      </w:tr>
      <w:tr w:rsidR="00621722" w:rsidRPr="00486094" w14:paraId="1F8FC3D9" w14:textId="77777777" w:rsidTr="00621722">
        <w:trPr>
          <w:tblCellSpacing w:w="15" w:type="dxa"/>
        </w:trPr>
        <w:tc>
          <w:tcPr>
            <w:tcW w:w="0" w:type="auto"/>
            <w:shd w:val="clear" w:color="auto" w:fill="EAFAEC"/>
            <w:vAlign w:val="center"/>
            <w:hideMark/>
          </w:tcPr>
          <w:p w14:paraId="265B08A0" w14:textId="77777777" w:rsidR="00621722" w:rsidRPr="00621722" w:rsidRDefault="00621722" w:rsidP="00621722">
            <w:pPr>
              <w:rPr>
                <w:rFonts w:ascii="Arial" w:hAnsi="Arial" w:cs="Arial"/>
                <w:color w:val="4E3B22"/>
              </w:rPr>
            </w:pPr>
            <w:r w:rsidRPr="00621722">
              <w:rPr>
                <w:rFonts w:ascii="Arial" w:hAnsi="Arial" w:cs="Arial"/>
                <w:b/>
                <w:bCs/>
                <w:color w:val="4E3B22"/>
              </w:rPr>
              <w:t>Environmental/CSR</w:t>
            </w:r>
          </w:p>
        </w:tc>
        <w:tc>
          <w:tcPr>
            <w:tcW w:w="0" w:type="auto"/>
            <w:shd w:val="clear" w:color="auto" w:fill="EAFAEC"/>
            <w:vAlign w:val="center"/>
            <w:hideMark/>
          </w:tcPr>
          <w:p w14:paraId="0D66AACF" w14:textId="61EA6F9C" w:rsidR="00621722" w:rsidRPr="00621722" w:rsidRDefault="00621722" w:rsidP="00621722">
            <w:pPr>
              <w:rPr>
                <w:rFonts w:ascii="Arial" w:hAnsi="Arial" w:cs="Arial"/>
                <w:color w:val="4E3B22"/>
              </w:rPr>
            </w:pPr>
            <w:r w:rsidRPr="00621722">
              <w:rPr>
                <w:rFonts w:ascii="Arial" w:hAnsi="Arial" w:cs="Arial"/>
                <w:color w:val="4E3B22"/>
              </w:rPr>
              <w:t xml:space="preserve">Carbon goals, </w:t>
            </w:r>
            <w:r w:rsidR="00B73C63">
              <w:rPr>
                <w:rFonts w:ascii="Arial" w:hAnsi="Arial" w:cs="Arial"/>
                <w:color w:val="4E3B22"/>
              </w:rPr>
              <w:t>unionisation</w:t>
            </w:r>
            <w:r w:rsidRPr="00621722">
              <w:rPr>
                <w:rFonts w:ascii="Arial" w:hAnsi="Arial" w:cs="Arial"/>
                <w:color w:val="4E3B22"/>
              </w:rPr>
              <w:t xml:space="preserve"> issues</w:t>
            </w:r>
          </w:p>
        </w:tc>
        <w:tc>
          <w:tcPr>
            <w:tcW w:w="0" w:type="auto"/>
            <w:shd w:val="clear" w:color="auto" w:fill="EAFAEC"/>
            <w:vAlign w:val="center"/>
            <w:hideMark/>
          </w:tcPr>
          <w:p w14:paraId="36B38205" w14:textId="77777777" w:rsidR="00621722" w:rsidRPr="00621722" w:rsidRDefault="00621722" w:rsidP="00621722">
            <w:pPr>
              <w:rPr>
                <w:rFonts w:ascii="Arial" w:hAnsi="Arial" w:cs="Arial"/>
                <w:color w:val="4E3B22"/>
              </w:rPr>
            </w:pPr>
            <w:r w:rsidRPr="00621722">
              <w:rPr>
                <w:rFonts w:ascii="Arial" w:hAnsi="Arial" w:cs="Arial"/>
                <w:color w:val="4E3B22"/>
              </w:rPr>
              <w:t>Women-led stores, local sourcing focus</w:t>
            </w:r>
          </w:p>
        </w:tc>
      </w:tr>
    </w:tbl>
    <w:p w14:paraId="5394F7D1" w14:textId="47D57361" w:rsidR="004147D6" w:rsidRPr="00486094" w:rsidRDefault="00621722" w:rsidP="00091AF5">
      <w:pPr>
        <w:rPr>
          <w:rFonts w:ascii="Arial" w:hAnsi="Arial" w:cs="Arial"/>
          <w:color w:val="4E3B22"/>
        </w:rPr>
      </w:pPr>
      <w:r w:rsidRPr="00486094">
        <w:rPr>
          <w:rFonts w:ascii="Arial" w:hAnsi="Arial" w:cs="Arial"/>
          <w:color w:val="4E3B22"/>
        </w:rPr>
        <w:t>Source: Developed by the author based on Hofstede (2001), Teece (2007), Visconti et al. (2020), Tata Starbucks (2024)</w:t>
      </w:r>
    </w:p>
    <w:p w14:paraId="25B5E32F" w14:textId="77777777" w:rsidR="00023FAF" w:rsidRDefault="00023FAF" w:rsidP="00091AF5">
      <w:pPr>
        <w:rPr>
          <w:rFonts w:ascii="Arial" w:hAnsi="Arial" w:cs="Arial"/>
          <w:color w:val="4E3B22"/>
        </w:rPr>
      </w:pPr>
    </w:p>
    <w:p w14:paraId="1A44F462" w14:textId="2723DBD9" w:rsidR="00EC06D9" w:rsidRPr="00486094" w:rsidRDefault="00EC06D9" w:rsidP="00091AF5">
      <w:pPr>
        <w:rPr>
          <w:rFonts w:ascii="Arial" w:hAnsi="Arial" w:cs="Arial"/>
          <w:color w:val="4E3B22"/>
        </w:rPr>
      </w:pPr>
      <w:r w:rsidRPr="00486094">
        <w:rPr>
          <w:rFonts w:ascii="Arial" w:hAnsi="Arial" w:cs="Arial"/>
          <w:b/>
          <w:bCs/>
          <w:color w:val="4E3B22"/>
        </w:rPr>
        <w:t>Appendix 2</w:t>
      </w:r>
      <w:r w:rsidRPr="00486094">
        <w:rPr>
          <w:rFonts w:ascii="Arial" w:hAnsi="Arial" w:cs="Arial"/>
          <w:color w:val="4E3B22"/>
        </w:rPr>
        <w:t>: Comparative STP Strategies of Starbucks in the USA and India</w:t>
      </w:r>
    </w:p>
    <w:tbl>
      <w:tblPr>
        <w:tblW w:w="0" w:type="auto"/>
        <w:tblCellSpacing w:w="15" w:type="dxa"/>
        <w:tblBorders>
          <w:top w:val="single" w:sz="4" w:space="0" w:color="295541"/>
          <w:left w:val="single" w:sz="4" w:space="0" w:color="295541"/>
          <w:bottom w:val="single" w:sz="4" w:space="0" w:color="295541"/>
          <w:right w:val="single" w:sz="4" w:space="0" w:color="295541"/>
          <w:insideH w:val="single" w:sz="4" w:space="0" w:color="295541"/>
          <w:insideV w:val="single" w:sz="4" w:space="0" w:color="295541"/>
        </w:tblBorders>
        <w:shd w:val="clear" w:color="auto" w:fill="EAFAEC"/>
        <w:tblCellMar>
          <w:top w:w="15" w:type="dxa"/>
          <w:left w:w="15" w:type="dxa"/>
          <w:bottom w:w="15" w:type="dxa"/>
          <w:right w:w="15" w:type="dxa"/>
        </w:tblCellMar>
        <w:tblLook w:val="04A0" w:firstRow="1" w:lastRow="0" w:firstColumn="1" w:lastColumn="0" w:noHBand="0" w:noVBand="1"/>
      </w:tblPr>
      <w:tblGrid>
        <w:gridCol w:w="1550"/>
        <w:gridCol w:w="4202"/>
        <w:gridCol w:w="3598"/>
      </w:tblGrid>
      <w:tr w:rsidR="004147D6" w:rsidRPr="004147D6" w14:paraId="01B4E7D9" w14:textId="77777777" w:rsidTr="00466BFF">
        <w:trPr>
          <w:tblHeader/>
          <w:tblCellSpacing w:w="15" w:type="dxa"/>
        </w:trPr>
        <w:tc>
          <w:tcPr>
            <w:tcW w:w="0" w:type="auto"/>
            <w:shd w:val="clear" w:color="auto" w:fill="EAFAEC"/>
            <w:vAlign w:val="center"/>
            <w:hideMark/>
          </w:tcPr>
          <w:p w14:paraId="00817818" w14:textId="77777777" w:rsidR="004147D6" w:rsidRPr="004147D6" w:rsidRDefault="004147D6" w:rsidP="004147D6">
            <w:pPr>
              <w:rPr>
                <w:rFonts w:ascii="Arial" w:hAnsi="Arial" w:cs="Arial"/>
                <w:b/>
                <w:bCs/>
                <w:color w:val="4E3B22"/>
              </w:rPr>
            </w:pPr>
            <w:r w:rsidRPr="004147D6">
              <w:rPr>
                <w:rFonts w:ascii="Arial" w:hAnsi="Arial" w:cs="Arial"/>
                <w:b/>
                <w:bCs/>
                <w:color w:val="4E3B22"/>
              </w:rPr>
              <w:t>STP Element</w:t>
            </w:r>
          </w:p>
        </w:tc>
        <w:tc>
          <w:tcPr>
            <w:tcW w:w="0" w:type="auto"/>
            <w:shd w:val="clear" w:color="auto" w:fill="EAFAEC"/>
            <w:vAlign w:val="center"/>
            <w:hideMark/>
          </w:tcPr>
          <w:p w14:paraId="01E8DA75" w14:textId="77777777" w:rsidR="004147D6" w:rsidRPr="004147D6" w:rsidRDefault="004147D6" w:rsidP="004147D6">
            <w:pPr>
              <w:rPr>
                <w:rFonts w:ascii="Arial" w:hAnsi="Arial" w:cs="Arial"/>
                <w:b/>
                <w:bCs/>
                <w:color w:val="4E3B22"/>
              </w:rPr>
            </w:pPr>
            <w:r w:rsidRPr="004147D6">
              <w:rPr>
                <w:rFonts w:ascii="Arial" w:hAnsi="Arial" w:cs="Arial"/>
                <w:b/>
                <w:bCs/>
                <w:color w:val="4E3B22"/>
              </w:rPr>
              <w:t>USA</w:t>
            </w:r>
          </w:p>
        </w:tc>
        <w:tc>
          <w:tcPr>
            <w:tcW w:w="0" w:type="auto"/>
            <w:shd w:val="clear" w:color="auto" w:fill="EAFAEC"/>
            <w:vAlign w:val="center"/>
            <w:hideMark/>
          </w:tcPr>
          <w:p w14:paraId="5D1174A6" w14:textId="77777777" w:rsidR="004147D6" w:rsidRPr="004147D6" w:rsidRDefault="004147D6" w:rsidP="004147D6">
            <w:pPr>
              <w:rPr>
                <w:rFonts w:ascii="Arial" w:hAnsi="Arial" w:cs="Arial"/>
                <w:b/>
                <w:bCs/>
                <w:color w:val="4E3B22"/>
              </w:rPr>
            </w:pPr>
            <w:r w:rsidRPr="004147D6">
              <w:rPr>
                <w:rFonts w:ascii="Arial" w:hAnsi="Arial" w:cs="Arial"/>
                <w:b/>
                <w:bCs/>
                <w:color w:val="4E3B22"/>
              </w:rPr>
              <w:t>India</w:t>
            </w:r>
          </w:p>
        </w:tc>
      </w:tr>
      <w:tr w:rsidR="004147D6" w:rsidRPr="004147D6" w14:paraId="446FF257" w14:textId="77777777" w:rsidTr="00466BFF">
        <w:trPr>
          <w:tblCellSpacing w:w="15" w:type="dxa"/>
        </w:trPr>
        <w:tc>
          <w:tcPr>
            <w:tcW w:w="0" w:type="auto"/>
            <w:shd w:val="clear" w:color="auto" w:fill="EAFAEC"/>
            <w:vAlign w:val="center"/>
            <w:hideMark/>
          </w:tcPr>
          <w:p w14:paraId="142F2B67" w14:textId="77777777" w:rsidR="004147D6" w:rsidRPr="004147D6" w:rsidRDefault="004147D6" w:rsidP="004147D6">
            <w:pPr>
              <w:rPr>
                <w:rFonts w:ascii="Arial" w:hAnsi="Arial" w:cs="Arial"/>
                <w:color w:val="4E3B22"/>
              </w:rPr>
            </w:pPr>
            <w:r w:rsidRPr="004147D6">
              <w:rPr>
                <w:rFonts w:ascii="Arial" w:hAnsi="Arial" w:cs="Arial"/>
                <w:b/>
                <w:bCs/>
                <w:color w:val="4E3B22"/>
              </w:rPr>
              <w:t>Segmentation</w:t>
            </w:r>
          </w:p>
        </w:tc>
        <w:tc>
          <w:tcPr>
            <w:tcW w:w="0" w:type="auto"/>
            <w:shd w:val="clear" w:color="auto" w:fill="EAFAEC"/>
            <w:vAlign w:val="center"/>
            <w:hideMark/>
          </w:tcPr>
          <w:p w14:paraId="70A0D167" w14:textId="77777777" w:rsidR="004147D6" w:rsidRPr="004147D6" w:rsidRDefault="004147D6" w:rsidP="004147D6">
            <w:pPr>
              <w:rPr>
                <w:rFonts w:ascii="Arial" w:hAnsi="Arial" w:cs="Arial"/>
                <w:color w:val="4E3B22"/>
              </w:rPr>
            </w:pPr>
            <w:r w:rsidRPr="004147D6">
              <w:rPr>
                <w:rFonts w:ascii="Arial" w:hAnsi="Arial" w:cs="Arial"/>
                <w:color w:val="4E3B22"/>
              </w:rPr>
              <w:t>Behavioural and psychographic (via app data analytics; income, lifestyle, convenience orientation).</w:t>
            </w:r>
          </w:p>
        </w:tc>
        <w:tc>
          <w:tcPr>
            <w:tcW w:w="0" w:type="auto"/>
            <w:shd w:val="clear" w:color="auto" w:fill="EAFAEC"/>
            <w:vAlign w:val="center"/>
            <w:hideMark/>
          </w:tcPr>
          <w:p w14:paraId="648E5C18" w14:textId="77777777" w:rsidR="004147D6" w:rsidRPr="004147D6" w:rsidRDefault="004147D6" w:rsidP="004147D6">
            <w:pPr>
              <w:rPr>
                <w:rFonts w:ascii="Arial" w:hAnsi="Arial" w:cs="Arial"/>
                <w:color w:val="4E3B22"/>
              </w:rPr>
            </w:pPr>
            <w:r w:rsidRPr="004147D6">
              <w:rPr>
                <w:rFonts w:ascii="Arial" w:hAnsi="Arial" w:cs="Arial"/>
                <w:color w:val="4E3B22"/>
              </w:rPr>
              <w:t>Socio-cultural, aspirational middle-class, urban youth; lifestyle-driven segmentation tied to modernity.</w:t>
            </w:r>
          </w:p>
        </w:tc>
      </w:tr>
      <w:tr w:rsidR="004147D6" w:rsidRPr="004147D6" w14:paraId="5972A3DC" w14:textId="77777777" w:rsidTr="00466BFF">
        <w:trPr>
          <w:tblCellSpacing w:w="15" w:type="dxa"/>
        </w:trPr>
        <w:tc>
          <w:tcPr>
            <w:tcW w:w="0" w:type="auto"/>
            <w:shd w:val="clear" w:color="auto" w:fill="EAFAEC"/>
            <w:vAlign w:val="center"/>
            <w:hideMark/>
          </w:tcPr>
          <w:p w14:paraId="15B0C37B" w14:textId="77777777" w:rsidR="004147D6" w:rsidRPr="004147D6" w:rsidRDefault="004147D6" w:rsidP="004147D6">
            <w:pPr>
              <w:rPr>
                <w:rFonts w:ascii="Arial" w:hAnsi="Arial" w:cs="Arial"/>
                <w:color w:val="4E3B22"/>
              </w:rPr>
            </w:pPr>
            <w:r w:rsidRPr="004147D6">
              <w:rPr>
                <w:rFonts w:ascii="Arial" w:hAnsi="Arial" w:cs="Arial"/>
                <w:b/>
                <w:bCs/>
                <w:color w:val="4E3B22"/>
              </w:rPr>
              <w:t>Targeting</w:t>
            </w:r>
          </w:p>
        </w:tc>
        <w:tc>
          <w:tcPr>
            <w:tcW w:w="0" w:type="auto"/>
            <w:shd w:val="clear" w:color="auto" w:fill="EAFAEC"/>
            <w:vAlign w:val="center"/>
            <w:hideMark/>
          </w:tcPr>
          <w:p w14:paraId="39481149" w14:textId="43C5A319" w:rsidR="004147D6" w:rsidRPr="004147D6" w:rsidRDefault="004147D6" w:rsidP="004147D6">
            <w:pPr>
              <w:rPr>
                <w:rFonts w:ascii="Arial" w:hAnsi="Arial" w:cs="Arial"/>
                <w:color w:val="4E3B22"/>
              </w:rPr>
            </w:pPr>
            <w:r w:rsidRPr="004147D6">
              <w:rPr>
                <w:rFonts w:ascii="Arial" w:hAnsi="Arial" w:cs="Arial"/>
                <w:color w:val="4E3B22"/>
              </w:rPr>
              <w:t>Micro-targeting</w:t>
            </w:r>
            <w:r w:rsidRPr="00486094">
              <w:rPr>
                <w:rFonts w:ascii="Arial" w:hAnsi="Arial" w:cs="Arial"/>
                <w:color w:val="4E3B22"/>
              </w:rPr>
              <w:t>:</w:t>
            </w:r>
            <w:r w:rsidRPr="004147D6">
              <w:rPr>
                <w:rFonts w:ascii="Arial" w:hAnsi="Arial" w:cs="Arial"/>
                <w:color w:val="4E3B22"/>
              </w:rPr>
              <w:t xml:space="preserve"> “segment-of-one” through Starbucks Rewards personalisation, frequent users, students, professionals.</w:t>
            </w:r>
          </w:p>
        </w:tc>
        <w:tc>
          <w:tcPr>
            <w:tcW w:w="0" w:type="auto"/>
            <w:shd w:val="clear" w:color="auto" w:fill="EAFAEC"/>
            <w:vAlign w:val="center"/>
            <w:hideMark/>
          </w:tcPr>
          <w:p w14:paraId="1CCC01ED" w14:textId="77777777" w:rsidR="004147D6" w:rsidRPr="004147D6" w:rsidRDefault="004147D6" w:rsidP="004147D6">
            <w:pPr>
              <w:rPr>
                <w:rFonts w:ascii="Arial" w:hAnsi="Arial" w:cs="Arial"/>
                <w:color w:val="4E3B22"/>
              </w:rPr>
            </w:pPr>
            <w:r w:rsidRPr="004147D6">
              <w:rPr>
                <w:rFonts w:ascii="Arial" w:hAnsi="Arial" w:cs="Arial"/>
                <w:color w:val="4E3B22"/>
              </w:rPr>
              <w:t>Aspirational targeting of urban elites and youth; mall-based consumers; emerging middle class.</w:t>
            </w:r>
          </w:p>
        </w:tc>
      </w:tr>
      <w:tr w:rsidR="004147D6" w:rsidRPr="004147D6" w14:paraId="2CB25EFC" w14:textId="77777777" w:rsidTr="00466BFF">
        <w:trPr>
          <w:tblCellSpacing w:w="15" w:type="dxa"/>
        </w:trPr>
        <w:tc>
          <w:tcPr>
            <w:tcW w:w="0" w:type="auto"/>
            <w:shd w:val="clear" w:color="auto" w:fill="EAFAEC"/>
            <w:vAlign w:val="center"/>
            <w:hideMark/>
          </w:tcPr>
          <w:p w14:paraId="1E0502B2" w14:textId="77777777" w:rsidR="004147D6" w:rsidRPr="004147D6" w:rsidRDefault="004147D6" w:rsidP="004147D6">
            <w:pPr>
              <w:rPr>
                <w:rFonts w:ascii="Arial" w:hAnsi="Arial" w:cs="Arial"/>
                <w:color w:val="4E3B22"/>
              </w:rPr>
            </w:pPr>
            <w:r w:rsidRPr="004147D6">
              <w:rPr>
                <w:rFonts w:ascii="Arial" w:hAnsi="Arial" w:cs="Arial"/>
                <w:b/>
                <w:bCs/>
                <w:color w:val="4E3B22"/>
              </w:rPr>
              <w:t>Positioning</w:t>
            </w:r>
          </w:p>
        </w:tc>
        <w:tc>
          <w:tcPr>
            <w:tcW w:w="0" w:type="auto"/>
            <w:shd w:val="clear" w:color="auto" w:fill="EAFAEC"/>
            <w:vAlign w:val="center"/>
            <w:hideMark/>
          </w:tcPr>
          <w:p w14:paraId="41451CFD" w14:textId="77777777" w:rsidR="004147D6" w:rsidRPr="004147D6" w:rsidRDefault="004147D6" w:rsidP="004147D6">
            <w:pPr>
              <w:rPr>
                <w:rFonts w:ascii="Arial" w:hAnsi="Arial" w:cs="Arial"/>
                <w:color w:val="4E3B22"/>
              </w:rPr>
            </w:pPr>
            <w:r w:rsidRPr="004147D6">
              <w:rPr>
                <w:rFonts w:ascii="Arial" w:hAnsi="Arial" w:cs="Arial"/>
                <w:color w:val="4E3B22"/>
              </w:rPr>
              <w:t>Convenience, personalisation, premium quality, ethical sourcing; the “Third Place” enhanced by digital integration.</w:t>
            </w:r>
          </w:p>
        </w:tc>
        <w:tc>
          <w:tcPr>
            <w:tcW w:w="0" w:type="auto"/>
            <w:shd w:val="clear" w:color="auto" w:fill="EAFAEC"/>
            <w:vAlign w:val="center"/>
            <w:hideMark/>
          </w:tcPr>
          <w:p w14:paraId="1375E3D7" w14:textId="25D91DEC" w:rsidR="004147D6" w:rsidRPr="004147D6" w:rsidRDefault="004147D6" w:rsidP="004147D6">
            <w:pPr>
              <w:rPr>
                <w:rFonts w:ascii="Arial" w:hAnsi="Arial" w:cs="Arial"/>
                <w:color w:val="4E3B22"/>
              </w:rPr>
            </w:pPr>
            <w:r w:rsidRPr="004147D6">
              <w:rPr>
                <w:rFonts w:ascii="Arial" w:hAnsi="Arial" w:cs="Arial"/>
                <w:color w:val="4E3B22"/>
              </w:rPr>
              <w:t>Symbolic, culturally hybrid, status-oriented; blend of global modernity with local tastes and traditions.</w:t>
            </w:r>
          </w:p>
        </w:tc>
      </w:tr>
    </w:tbl>
    <w:p w14:paraId="461DB599" w14:textId="3BC21070" w:rsidR="00486094" w:rsidRPr="00486094" w:rsidRDefault="004147D6" w:rsidP="00091AF5">
      <w:pPr>
        <w:rPr>
          <w:rFonts w:ascii="Arial" w:hAnsi="Arial" w:cs="Arial"/>
          <w:color w:val="4E3B22"/>
        </w:rPr>
      </w:pPr>
      <w:r w:rsidRPr="00486094">
        <w:rPr>
          <w:rFonts w:ascii="Arial" w:hAnsi="Arial" w:cs="Arial"/>
          <w:color w:val="4E3B22"/>
        </w:rPr>
        <w:t>Source: Compiled by the author using information from Starbucks Annual Report (2024), Kotler and Keller (2022), Hooley et al. (2020), and Czinkota et al. (2022).</w:t>
      </w:r>
    </w:p>
    <w:p w14:paraId="52917288" w14:textId="0D6F17D3" w:rsidR="00EC06D9" w:rsidRPr="00486094" w:rsidRDefault="00486094" w:rsidP="00091AF5">
      <w:pPr>
        <w:rPr>
          <w:rFonts w:ascii="Arial" w:hAnsi="Arial" w:cs="Arial"/>
          <w:color w:val="4E3B22"/>
        </w:rPr>
      </w:pPr>
      <w:r w:rsidRPr="00486094">
        <w:rPr>
          <w:rFonts w:ascii="Arial" w:hAnsi="Arial" w:cs="Arial"/>
          <w:b/>
          <w:bCs/>
          <w:color w:val="4E3B22"/>
        </w:rPr>
        <w:lastRenderedPageBreak/>
        <w:t>Appendix 3.</w:t>
      </w:r>
      <w:r w:rsidRPr="00486094">
        <w:rPr>
          <w:rFonts w:ascii="Arial" w:hAnsi="Arial" w:cs="Arial"/>
          <w:color w:val="4E3B22"/>
        </w:rPr>
        <w:t xml:space="preserve"> Key Performance Indicators Aligned with the 7Ps Marketing Mix (USA vs India)</w:t>
      </w:r>
    </w:p>
    <w:tbl>
      <w:tblPr>
        <w:tblW w:w="0" w:type="auto"/>
        <w:tblCellSpacing w:w="15" w:type="dxa"/>
        <w:tblBorders>
          <w:top w:val="single" w:sz="4" w:space="0" w:color="295541"/>
          <w:left w:val="single" w:sz="4" w:space="0" w:color="295541"/>
          <w:bottom w:val="single" w:sz="4" w:space="0" w:color="295541"/>
          <w:right w:val="single" w:sz="4" w:space="0" w:color="295541"/>
          <w:insideH w:val="single" w:sz="4" w:space="0" w:color="295541"/>
          <w:insideV w:val="single" w:sz="4" w:space="0" w:color="295541"/>
        </w:tblBorders>
        <w:shd w:val="clear" w:color="auto" w:fill="EAFAEC"/>
        <w:tblCellMar>
          <w:top w:w="15" w:type="dxa"/>
          <w:left w:w="15" w:type="dxa"/>
          <w:bottom w:w="15" w:type="dxa"/>
          <w:right w:w="15" w:type="dxa"/>
        </w:tblCellMar>
        <w:tblLook w:val="04A0" w:firstRow="1" w:lastRow="0" w:firstColumn="1" w:lastColumn="0" w:noHBand="0" w:noVBand="1"/>
      </w:tblPr>
      <w:tblGrid>
        <w:gridCol w:w="1235"/>
        <w:gridCol w:w="1529"/>
        <w:gridCol w:w="1729"/>
        <w:gridCol w:w="1639"/>
        <w:gridCol w:w="1776"/>
        <w:gridCol w:w="1442"/>
      </w:tblGrid>
      <w:tr w:rsidR="00486094" w:rsidRPr="00486094" w14:paraId="571FD25F" w14:textId="77777777" w:rsidTr="00486094">
        <w:trPr>
          <w:tblHeader/>
          <w:tblCellSpacing w:w="15" w:type="dxa"/>
        </w:trPr>
        <w:tc>
          <w:tcPr>
            <w:tcW w:w="0" w:type="auto"/>
            <w:shd w:val="clear" w:color="auto" w:fill="EAFAEC"/>
            <w:vAlign w:val="center"/>
            <w:hideMark/>
          </w:tcPr>
          <w:p w14:paraId="2520C3CF" w14:textId="77777777" w:rsidR="00486094" w:rsidRPr="00486094" w:rsidRDefault="00486094" w:rsidP="00486094">
            <w:pPr>
              <w:rPr>
                <w:rFonts w:ascii="Arial" w:hAnsi="Arial" w:cs="Arial"/>
                <w:b/>
                <w:bCs/>
                <w:color w:val="4E3B22"/>
              </w:rPr>
            </w:pPr>
            <w:r w:rsidRPr="00486094">
              <w:rPr>
                <w:rFonts w:ascii="Arial" w:hAnsi="Arial" w:cs="Arial"/>
                <w:b/>
                <w:bCs/>
                <w:color w:val="4E3B22"/>
              </w:rPr>
              <w:t>7P Element</w:t>
            </w:r>
          </w:p>
        </w:tc>
        <w:tc>
          <w:tcPr>
            <w:tcW w:w="0" w:type="auto"/>
            <w:shd w:val="clear" w:color="auto" w:fill="EAFAEC"/>
            <w:vAlign w:val="center"/>
            <w:hideMark/>
          </w:tcPr>
          <w:p w14:paraId="7504A4A7" w14:textId="77777777" w:rsidR="00486094" w:rsidRPr="00486094" w:rsidRDefault="00486094" w:rsidP="00486094">
            <w:pPr>
              <w:rPr>
                <w:rFonts w:ascii="Arial" w:hAnsi="Arial" w:cs="Arial"/>
                <w:b/>
                <w:bCs/>
                <w:color w:val="4E3B22"/>
              </w:rPr>
            </w:pPr>
            <w:r w:rsidRPr="00486094">
              <w:rPr>
                <w:rFonts w:ascii="Arial" w:hAnsi="Arial" w:cs="Arial"/>
                <w:b/>
                <w:bCs/>
                <w:color w:val="4E3B22"/>
              </w:rPr>
              <w:t>Linked KPI</w:t>
            </w:r>
          </w:p>
        </w:tc>
        <w:tc>
          <w:tcPr>
            <w:tcW w:w="0" w:type="auto"/>
            <w:shd w:val="clear" w:color="auto" w:fill="EAFAEC"/>
            <w:vAlign w:val="center"/>
            <w:hideMark/>
          </w:tcPr>
          <w:p w14:paraId="4E2D8D4F" w14:textId="77777777" w:rsidR="00486094" w:rsidRPr="00486094" w:rsidRDefault="00486094" w:rsidP="00486094">
            <w:pPr>
              <w:rPr>
                <w:rFonts w:ascii="Arial" w:hAnsi="Arial" w:cs="Arial"/>
                <w:b/>
                <w:bCs/>
                <w:color w:val="4E3B22"/>
              </w:rPr>
            </w:pPr>
            <w:r w:rsidRPr="00486094">
              <w:rPr>
                <w:rFonts w:ascii="Arial" w:hAnsi="Arial" w:cs="Arial"/>
                <w:b/>
                <w:bCs/>
                <w:color w:val="4E3B22"/>
              </w:rPr>
              <w:t>Why It Matters</w:t>
            </w:r>
          </w:p>
        </w:tc>
        <w:tc>
          <w:tcPr>
            <w:tcW w:w="0" w:type="auto"/>
            <w:shd w:val="clear" w:color="auto" w:fill="EAFAEC"/>
            <w:vAlign w:val="center"/>
            <w:hideMark/>
          </w:tcPr>
          <w:p w14:paraId="4492E63E" w14:textId="7B9E6358" w:rsidR="00486094" w:rsidRPr="00486094" w:rsidRDefault="00486094" w:rsidP="00486094">
            <w:pPr>
              <w:rPr>
                <w:rFonts w:ascii="Arial" w:hAnsi="Arial" w:cs="Arial"/>
                <w:b/>
                <w:bCs/>
                <w:color w:val="4E3B22"/>
              </w:rPr>
            </w:pPr>
            <w:r w:rsidRPr="00486094">
              <w:rPr>
                <w:rFonts w:ascii="Arial" w:hAnsi="Arial" w:cs="Arial"/>
                <w:b/>
                <w:bCs/>
                <w:color w:val="4E3B22"/>
              </w:rPr>
              <w:t xml:space="preserve">USA </w:t>
            </w:r>
            <w:r w:rsidR="00FE75E4">
              <w:rPr>
                <w:rFonts w:ascii="Arial" w:hAnsi="Arial" w:cs="Arial"/>
                <w:b/>
                <w:bCs/>
                <w:color w:val="4E3B22"/>
              </w:rPr>
              <w:t>-</w:t>
            </w:r>
            <w:r w:rsidRPr="00486094">
              <w:rPr>
                <w:rFonts w:ascii="Arial" w:hAnsi="Arial" w:cs="Arial"/>
                <w:b/>
                <w:bCs/>
                <w:color w:val="4E3B22"/>
              </w:rPr>
              <w:t xml:space="preserve"> Performance Indicator</w:t>
            </w:r>
          </w:p>
        </w:tc>
        <w:tc>
          <w:tcPr>
            <w:tcW w:w="0" w:type="auto"/>
            <w:shd w:val="clear" w:color="auto" w:fill="EAFAEC"/>
            <w:vAlign w:val="center"/>
            <w:hideMark/>
          </w:tcPr>
          <w:p w14:paraId="5297AA7F" w14:textId="321B3574" w:rsidR="00486094" w:rsidRPr="00486094" w:rsidRDefault="00486094" w:rsidP="00486094">
            <w:pPr>
              <w:rPr>
                <w:rFonts w:ascii="Arial" w:hAnsi="Arial" w:cs="Arial"/>
                <w:b/>
                <w:bCs/>
                <w:color w:val="4E3B22"/>
              </w:rPr>
            </w:pPr>
            <w:r w:rsidRPr="00486094">
              <w:rPr>
                <w:rFonts w:ascii="Arial" w:hAnsi="Arial" w:cs="Arial"/>
                <w:b/>
                <w:bCs/>
                <w:color w:val="4E3B22"/>
              </w:rPr>
              <w:t xml:space="preserve">India </w:t>
            </w:r>
            <w:r w:rsidR="00FE75E4">
              <w:rPr>
                <w:rFonts w:ascii="Arial" w:hAnsi="Arial" w:cs="Arial"/>
                <w:b/>
                <w:bCs/>
                <w:color w:val="4E3B22"/>
              </w:rPr>
              <w:t>-</w:t>
            </w:r>
            <w:r w:rsidRPr="00486094">
              <w:rPr>
                <w:rFonts w:ascii="Arial" w:hAnsi="Arial" w:cs="Arial"/>
                <w:b/>
                <w:bCs/>
                <w:color w:val="4E3B22"/>
              </w:rPr>
              <w:t xml:space="preserve"> Performance Indicator</w:t>
            </w:r>
          </w:p>
        </w:tc>
        <w:tc>
          <w:tcPr>
            <w:tcW w:w="0" w:type="auto"/>
            <w:shd w:val="clear" w:color="auto" w:fill="EAFAEC"/>
            <w:vAlign w:val="center"/>
            <w:hideMark/>
          </w:tcPr>
          <w:p w14:paraId="1F74990A" w14:textId="77777777" w:rsidR="00486094" w:rsidRPr="00486094" w:rsidRDefault="00486094" w:rsidP="00486094">
            <w:pPr>
              <w:rPr>
                <w:rFonts w:ascii="Arial" w:hAnsi="Arial" w:cs="Arial"/>
                <w:b/>
                <w:bCs/>
                <w:color w:val="4E3B22"/>
              </w:rPr>
            </w:pPr>
            <w:r w:rsidRPr="00486094">
              <w:rPr>
                <w:rFonts w:ascii="Arial" w:hAnsi="Arial" w:cs="Arial"/>
                <w:b/>
                <w:bCs/>
                <w:color w:val="4E3B22"/>
              </w:rPr>
              <w:t>Sources</w:t>
            </w:r>
          </w:p>
        </w:tc>
      </w:tr>
      <w:tr w:rsidR="00486094" w:rsidRPr="00486094" w14:paraId="10F174E9" w14:textId="77777777" w:rsidTr="00486094">
        <w:trPr>
          <w:tblCellSpacing w:w="15" w:type="dxa"/>
        </w:trPr>
        <w:tc>
          <w:tcPr>
            <w:tcW w:w="0" w:type="auto"/>
            <w:shd w:val="clear" w:color="auto" w:fill="EAFAEC"/>
            <w:vAlign w:val="center"/>
            <w:hideMark/>
          </w:tcPr>
          <w:p w14:paraId="7AD67A1F" w14:textId="77777777" w:rsidR="00486094" w:rsidRPr="00486094" w:rsidRDefault="00486094" w:rsidP="00486094">
            <w:pPr>
              <w:rPr>
                <w:rFonts w:ascii="Arial" w:hAnsi="Arial" w:cs="Arial"/>
                <w:color w:val="4E3B22"/>
              </w:rPr>
            </w:pPr>
            <w:r w:rsidRPr="00486094">
              <w:rPr>
                <w:rFonts w:ascii="Arial" w:hAnsi="Arial" w:cs="Arial"/>
                <w:b/>
                <w:bCs/>
                <w:color w:val="4E3B22"/>
              </w:rPr>
              <w:t>Product</w:t>
            </w:r>
          </w:p>
        </w:tc>
        <w:tc>
          <w:tcPr>
            <w:tcW w:w="0" w:type="auto"/>
            <w:shd w:val="clear" w:color="auto" w:fill="EAFAEC"/>
            <w:vAlign w:val="center"/>
            <w:hideMark/>
          </w:tcPr>
          <w:p w14:paraId="111801E2" w14:textId="2CF676F2" w:rsidR="00486094" w:rsidRPr="00486094" w:rsidRDefault="00486094" w:rsidP="00486094">
            <w:pPr>
              <w:rPr>
                <w:rFonts w:ascii="Arial" w:hAnsi="Arial" w:cs="Arial"/>
                <w:color w:val="4E3B22"/>
              </w:rPr>
            </w:pPr>
            <w:r w:rsidRPr="00486094">
              <w:rPr>
                <w:rFonts w:ascii="Arial" w:hAnsi="Arial" w:cs="Arial"/>
                <w:color w:val="4E3B22"/>
              </w:rPr>
              <w:t>Local SKUs; Menu Innovation Cycle</w:t>
            </w:r>
          </w:p>
        </w:tc>
        <w:tc>
          <w:tcPr>
            <w:tcW w:w="0" w:type="auto"/>
            <w:shd w:val="clear" w:color="auto" w:fill="EAFAEC"/>
            <w:vAlign w:val="center"/>
            <w:hideMark/>
          </w:tcPr>
          <w:p w14:paraId="610CF013" w14:textId="4F59C077" w:rsidR="00486094" w:rsidRPr="00486094" w:rsidRDefault="00486094" w:rsidP="00486094">
            <w:pPr>
              <w:rPr>
                <w:rFonts w:ascii="Arial" w:hAnsi="Arial" w:cs="Arial"/>
                <w:color w:val="4E3B22"/>
              </w:rPr>
            </w:pPr>
            <w:r w:rsidRPr="00486094">
              <w:rPr>
                <w:rFonts w:ascii="Arial" w:hAnsi="Arial" w:cs="Arial"/>
                <w:color w:val="4E3B22"/>
              </w:rPr>
              <w:t xml:space="preserve">Measures localisation depth </w:t>
            </w:r>
            <w:r w:rsidR="00C62C17">
              <w:rPr>
                <w:rFonts w:ascii="Arial" w:hAnsi="Arial" w:cs="Arial"/>
                <w:color w:val="4E3B22"/>
              </w:rPr>
              <w:t>and</w:t>
            </w:r>
            <w:r w:rsidRPr="00486094">
              <w:rPr>
                <w:rFonts w:ascii="Arial" w:hAnsi="Arial" w:cs="Arial"/>
                <w:color w:val="4E3B22"/>
              </w:rPr>
              <w:t xml:space="preserve"> product</w:t>
            </w:r>
            <w:r w:rsidR="001551EB">
              <w:rPr>
                <w:rFonts w:ascii="Arial" w:hAnsi="Arial" w:cs="Arial"/>
                <w:color w:val="4E3B22"/>
              </w:rPr>
              <w:t>-</w:t>
            </w:r>
            <w:r w:rsidRPr="00486094">
              <w:rPr>
                <w:rFonts w:ascii="Arial" w:hAnsi="Arial" w:cs="Arial"/>
                <w:color w:val="4E3B22"/>
              </w:rPr>
              <w:t>market fit</w:t>
            </w:r>
          </w:p>
        </w:tc>
        <w:tc>
          <w:tcPr>
            <w:tcW w:w="0" w:type="auto"/>
            <w:shd w:val="clear" w:color="auto" w:fill="EAFAEC"/>
            <w:vAlign w:val="center"/>
            <w:hideMark/>
          </w:tcPr>
          <w:p w14:paraId="4862F2DA" w14:textId="77777777" w:rsidR="00486094" w:rsidRPr="00486094" w:rsidRDefault="00486094" w:rsidP="00486094">
            <w:pPr>
              <w:rPr>
                <w:rFonts w:ascii="Arial" w:hAnsi="Arial" w:cs="Arial"/>
                <w:color w:val="4E3B22"/>
              </w:rPr>
            </w:pPr>
            <w:r w:rsidRPr="00486094">
              <w:rPr>
                <w:rFonts w:ascii="Arial" w:hAnsi="Arial" w:cs="Arial"/>
                <w:color w:val="4E3B22"/>
              </w:rPr>
              <w:t>Seasonal items = 25+ per year; innovation cycle ~6 weeks</w:t>
            </w:r>
          </w:p>
        </w:tc>
        <w:tc>
          <w:tcPr>
            <w:tcW w:w="0" w:type="auto"/>
            <w:shd w:val="clear" w:color="auto" w:fill="EAFAEC"/>
            <w:vAlign w:val="center"/>
            <w:hideMark/>
          </w:tcPr>
          <w:p w14:paraId="170B68E5" w14:textId="77777777" w:rsidR="00486094" w:rsidRPr="00486094" w:rsidRDefault="00486094" w:rsidP="00486094">
            <w:pPr>
              <w:rPr>
                <w:rFonts w:ascii="Arial" w:hAnsi="Arial" w:cs="Arial"/>
                <w:color w:val="4E3B22"/>
              </w:rPr>
            </w:pPr>
            <w:r w:rsidRPr="00486094">
              <w:rPr>
                <w:rFonts w:ascii="Arial" w:hAnsi="Arial" w:cs="Arial"/>
                <w:color w:val="4E3B22"/>
              </w:rPr>
              <w:t>40+ localised items; innovation cycle adapted to festivals</w:t>
            </w:r>
          </w:p>
        </w:tc>
        <w:tc>
          <w:tcPr>
            <w:tcW w:w="0" w:type="auto"/>
            <w:shd w:val="clear" w:color="auto" w:fill="EAFAEC"/>
            <w:vAlign w:val="center"/>
            <w:hideMark/>
          </w:tcPr>
          <w:p w14:paraId="2BC3C88C" w14:textId="77777777" w:rsidR="00486094" w:rsidRPr="00486094" w:rsidRDefault="00486094" w:rsidP="00486094">
            <w:pPr>
              <w:rPr>
                <w:rFonts w:ascii="Arial" w:hAnsi="Arial" w:cs="Arial"/>
                <w:color w:val="4E3B22"/>
              </w:rPr>
            </w:pPr>
            <w:r w:rsidRPr="00486094">
              <w:rPr>
                <w:rFonts w:ascii="Arial" w:hAnsi="Arial" w:cs="Arial"/>
                <w:color w:val="4E3B22"/>
              </w:rPr>
              <w:t>Starbucks Menu 2024; Mintel</w:t>
            </w:r>
          </w:p>
        </w:tc>
      </w:tr>
      <w:tr w:rsidR="00486094" w:rsidRPr="00486094" w14:paraId="495C6516" w14:textId="77777777" w:rsidTr="00486094">
        <w:trPr>
          <w:tblCellSpacing w:w="15" w:type="dxa"/>
        </w:trPr>
        <w:tc>
          <w:tcPr>
            <w:tcW w:w="0" w:type="auto"/>
            <w:shd w:val="clear" w:color="auto" w:fill="EAFAEC"/>
            <w:vAlign w:val="center"/>
            <w:hideMark/>
          </w:tcPr>
          <w:p w14:paraId="1A1EBE27" w14:textId="77777777" w:rsidR="00486094" w:rsidRPr="00486094" w:rsidRDefault="00486094" w:rsidP="00486094">
            <w:pPr>
              <w:rPr>
                <w:rFonts w:ascii="Arial" w:hAnsi="Arial" w:cs="Arial"/>
                <w:color w:val="4E3B22"/>
              </w:rPr>
            </w:pPr>
            <w:r w:rsidRPr="00486094">
              <w:rPr>
                <w:rFonts w:ascii="Arial" w:hAnsi="Arial" w:cs="Arial"/>
                <w:b/>
                <w:bCs/>
                <w:color w:val="4E3B22"/>
              </w:rPr>
              <w:t>Price</w:t>
            </w:r>
          </w:p>
        </w:tc>
        <w:tc>
          <w:tcPr>
            <w:tcW w:w="0" w:type="auto"/>
            <w:shd w:val="clear" w:color="auto" w:fill="EAFAEC"/>
            <w:vAlign w:val="center"/>
            <w:hideMark/>
          </w:tcPr>
          <w:p w14:paraId="287197CA" w14:textId="77777777" w:rsidR="00486094" w:rsidRPr="00486094" w:rsidRDefault="00486094" w:rsidP="00486094">
            <w:pPr>
              <w:rPr>
                <w:rFonts w:ascii="Arial" w:hAnsi="Arial" w:cs="Arial"/>
                <w:color w:val="4E3B22"/>
              </w:rPr>
            </w:pPr>
            <w:r w:rsidRPr="00486094">
              <w:rPr>
                <w:rFonts w:ascii="Arial" w:hAnsi="Arial" w:cs="Arial"/>
                <w:color w:val="4E3B22"/>
              </w:rPr>
              <w:t>Average beverage price; Price elasticity</w:t>
            </w:r>
          </w:p>
        </w:tc>
        <w:tc>
          <w:tcPr>
            <w:tcW w:w="0" w:type="auto"/>
            <w:shd w:val="clear" w:color="auto" w:fill="EAFAEC"/>
            <w:vAlign w:val="center"/>
            <w:hideMark/>
          </w:tcPr>
          <w:p w14:paraId="28D8EE03" w14:textId="77777777" w:rsidR="00486094" w:rsidRPr="00486094" w:rsidRDefault="00486094" w:rsidP="00486094">
            <w:pPr>
              <w:rPr>
                <w:rFonts w:ascii="Arial" w:hAnsi="Arial" w:cs="Arial"/>
                <w:color w:val="4E3B22"/>
              </w:rPr>
            </w:pPr>
            <w:r w:rsidRPr="00486094">
              <w:rPr>
                <w:rFonts w:ascii="Arial" w:hAnsi="Arial" w:cs="Arial"/>
                <w:color w:val="4E3B22"/>
              </w:rPr>
              <w:t>Shows premium vs value perception</w:t>
            </w:r>
          </w:p>
        </w:tc>
        <w:tc>
          <w:tcPr>
            <w:tcW w:w="0" w:type="auto"/>
            <w:shd w:val="clear" w:color="auto" w:fill="EAFAEC"/>
            <w:vAlign w:val="center"/>
            <w:hideMark/>
          </w:tcPr>
          <w:p w14:paraId="252FA376" w14:textId="77777777" w:rsidR="00486094" w:rsidRPr="00486094" w:rsidRDefault="00486094" w:rsidP="00486094">
            <w:pPr>
              <w:rPr>
                <w:rFonts w:ascii="Arial" w:hAnsi="Arial" w:cs="Arial"/>
                <w:color w:val="4E3B22"/>
              </w:rPr>
            </w:pPr>
            <w:r w:rsidRPr="00486094">
              <w:rPr>
                <w:rFonts w:ascii="Arial" w:hAnsi="Arial" w:cs="Arial"/>
                <w:color w:val="4E3B22"/>
              </w:rPr>
              <w:t>$5.25 average latte; low elasticity due to loyalty stickiness</w:t>
            </w:r>
          </w:p>
        </w:tc>
        <w:tc>
          <w:tcPr>
            <w:tcW w:w="0" w:type="auto"/>
            <w:shd w:val="clear" w:color="auto" w:fill="EAFAEC"/>
            <w:vAlign w:val="center"/>
            <w:hideMark/>
          </w:tcPr>
          <w:p w14:paraId="2F9EAC73" w14:textId="77777777" w:rsidR="00486094" w:rsidRPr="00486094" w:rsidRDefault="00486094" w:rsidP="00486094">
            <w:pPr>
              <w:rPr>
                <w:rFonts w:ascii="Arial" w:hAnsi="Arial" w:cs="Arial"/>
                <w:color w:val="4E3B22"/>
              </w:rPr>
            </w:pPr>
            <w:r w:rsidRPr="00486094">
              <w:rPr>
                <w:rFonts w:ascii="Arial" w:hAnsi="Arial" w:cs="Arial"/>
                <w:color w:val="4E3B22"/>
              </w:rPr>
              <w:t>₹280 average beverage; high sensitivity in tier-2 markets</w:t>
            </w:r>
          </w:p>
        </w:tc>
        <w:tc>
          <w:tcPr>
            <w:tcW w:w="0" w:type="auto"/>
            <w:shd w:val="clear" w:color="auto" w:fill="EAFAEC"/>
            <w:vAlign w:val="center"/>
            <w:hideMark/>
          </w:tcPr>
          <w:p w14:paraId="754A95A9" w14:textId="77777777" w:rsidR="00486094" w:rsidRPr="00486094" w:rsidRDefault="00486094" w:rsidP="00486094">
            <w:pPr>
              <w:rPr>
                <w:rFonts w:ascii="Arial" w:hAnsi="Arial" w:cs="Arial"/>
                <w:color w:val="4E3B22"/>
              </w:rPr>
            </w:pPr>
            <w:r w:rsidRPr="00486094">
              <w:rPr>
                <w:rFonts w:ascii="Arial" w:hAnsi="Arial" w:cs="Arial"/>
                <w:color w:val="4E3B22"/>
              </w:rPr>
              <w:t>Statista; MarketLine</w:t>
            </w:r>
          </w:p>
        </w:tc>
      </w:tr>
      <w:tr w:rsidR="00486094" w:rsidRPr="00486094" w14:paraId="4E06CD0C" w14:textId="77777777" w:rsidTr="00486094">
        <w:trPr>
          <w:tblCellSpacing w:w="15" w:type="dxa"/>
        </w:trPr>
        <w:tc>
          <w:tcPr>
            <w:tcW w:w="0" w:type="auto"/>
            <w:shd w:val="clear" w:color="auto" w:fill="EAFAEC"/>
            <w:vAlign w:val="center"/>
            <w:hideMark/>
          </w:tcPr>
          <w:p w14:paraId="789EDE05" w14:textId="77777777" w:rsidR="00486094" w:rsidRPr="00486094" w:rsidRDefault="00486094" w:rsidP="00486094">
            <w:pPr>
              <w:rPr>
                <w:rFonts w:ascii="Arial" w:hAnsi="Arial" w:cs="Arial"/>
                <w:color w:val="4E3B22"/>
              </w:rPr>
            </w:pPr>
            <w:r w:rsidRPr="00486094">
              <w:rPr>
                <w:rFonts w:ascii="Arial" w:hAnsi="Arial" w:cs="Arial"/>
                <w:b/>
                <w:bCs/>
                <w:color w:val="4E3B22"/>
              </w:rPr>
              <w:t>Place</w:t>
            </w:r>
          </w:p>
        </w:tc>
        <w:tc>
          <w:tcPr>
            <w:tcW w:w="0" w:type="auto"/>
            <w:shd w:val="clear" w:color="auto" w:fill="EAFAEC"/>
            <w:vAlign w:val="center"/>
            <w:hideMark/>
          </w:tcPr>
          <w:p w14:paraId="01B86EA4" w14:textId="77777777" w:rsidR="00486094" w:rsidRPr="00486094" w:rsidRDefault="00486094" w:rsidP="00486094">
            <w:pPr>
              <w:rPr>
                <w:rFonts w:ascii="Arial" w:hAnsi="Arial" w:cs="Arial"/>
                <w:color w:val="4E3B22"/>
              </w:rPr>
            </w:pPr>
            <w:r w:rsidRPr="00486094">
              <w:rPr>
                <w:rFonts w:ascii="Arial" w:hAnsi="Arial" w:cs="Arial"/>
                <w:color w:val="4E3B22"/>
              </w:rPr>
              <w:t>Store count growth; channel mix</w:t>
            </w:r>
          </w:p>
        </w:tc>
        <w:tc>
          <w:tcPr>
            <w:tcW w:w="0" w:type="auto"/>
            <w:shd w:val="clear" w:color="auto" w:fill="EAFAEC"/>
            <w:vAlign w:val="center"/>
            <w:hideMark/>
          </w:tcPr>
          <w:p w14:paraId="1B7930C5" w14:textId="51AEF4F3" w:rsidR="00486094" w:rsidRPr="00486094" w:rsidRDefault="00486094" w:rsidP="00486094">
            <w:pPr>
              <w:rPr>
                <w:rFonts w:ascii="Arial" w:hAnsi="Arial" w:cs="Arial"/>
                <w:color w:val="4E3B22"/>
              </w:rPr>
            </w:pPr>
            <w:r w:rsidRPr="00486094">
              <w:rPr>
                <w:rFonts w:ascii="Arial" w:hAnsi="Arial" w:cs="Arial"/>
                <w:color w:val="4E3B22"/>
              </w:rPr>
              <w:t xml:space="preserve">Indicates scalability </w:t>
            </w:r>
            <w:r w:rsidR="00C62C17">
              <w:rPr>
                <w:rFonts w:ascii="Arial" w:hAnsi="Arial" w:cs="Arial"/>
                <w:color w:val="4E3B22"/>
              </w:rPr>
              <w:t>and</w:t>
            </w:r>
            <w:r w:rsidRPr="00486094">
              <w:rPr>
                <w:rFonts w:ascii="Arial" w:hAnsi="Arial" w:cs="Arial"/>
                <w:color w:val="4E3B22"/>
              </w:rPr>
              <w:t xml:space="preserve"> accessibility</w:t>
            </w:r>
          </w:p>
        </w:tc>
        <w:tc>
          <w:tcPr>
            <w:tcW w:w="0" w:type="auto"/>
            <w:shd w:val="clear" w:color="auto" w:fill="EAFAEC"/>
            <w:vAlign w:val="center"/>
            <w:hideMark/>
          </w:tcPr>
          <w:p w14:paraId="1350A8F9" w14:textId="77777777" w:rsidR="00486094" w:rsidRPr="00486094" w:rsidRDefault="00486094" w:rsidP="00486094">
            <w:pPr>
              <w:rPr>
                <w:rFonts w:ascii="Arial" w:hAnsi="Arial" w:cs="Arial"/>
                <w:color w:val="4E3B22"/>
              </w:rPr>
            </w:pPr>
            <w:r w:rsidRPr="00486094">
              <w:rPr>
                <w:rFonts w:ascii="Arial" w:hAnsi="Arial" w:cs="Arial"/>
                <w:color w:val="4E3B22"/>
              </w:rPr>
              <w:t>~38,000 stores globally; 75% US stores with drive-thru</w:t>
            </w:r>
          </w:p>
        </w:tc>
        <w:tc>
          <w:tcPr>
            <w:tcW w:w="0" w:type="auto"/>
            <w:shd w:val="clear" w:color="auto" w:fill="EAFAEC"/>
            <w:vAlign w:val="center"/>
            <w:hideMark/>
          </w:tcPr>
          <w:p w14:paraId="186F13CE" w14:textId="4530BB01" w:rsidR="00486094" w:rsidRPr="00486094" w:rsidRDefault="00486094" w:rsidP="00486094">
            <w:pPr>
              <w:rPr>
                <w:rFonts w:ascii="Arial" w:hAnsi="Arial" w:cs="Arial"/>
                <w:color w:val="4E3B22"/>
              </w:rPr>
            </w:pPr>
            <w:r w:rsidRPr="00486094">
              <w:rPr>
                <w:rFonts w:ascii="Arial" w:hAnsi="Arial" w:cs="Arial"/>
                <w:color w:val="4E3B22"/>
              </w:rPr>
              <w:t xml:space="preserve">421 stores (2024), expanding to </w:t>
            </w:r>
            <w:r w:rsidR="00710642" w:rsidRPr="00486094">
              <w:rPr>
                <w:rFonts w:ascii="Arial" w:hAnsi="Arial" w:cs="Arial"/>
                <w:color w:val="4E3B22"/>
              </w:rPr>
              <w:t>one thousand</w:t>
            </w:r>
            <w:r w:rsidRPr="00486094">
              <w:rPr>
                <w:rFonts w:ascii="Arial" w:hAnsi="Arial" w:cs="Arial"/>
                <w:color w:val="4E3B22"/>
              </w:rPr>
              <w:t xml:space="preserve"> by 2028; strong mall </w:t>
            </w:r>
            <w:r w:rsidR="00C62C17">
              <w:rPr>
                <w:rFonts w:ascii="Arial" w:hAnsi="Arial" w:cs="Arial"/>
                <w:color w:val="4E3B22"/>
              </w:rPr>
              <w:t>and</w:t>
            </w:r>
            <w:r w:rsidRPr="00486094">
              <w:rPr>
                <w:rFonts w:ascii="Arial" w:hAnsi="Arial" w:cs="Arial"/>
                <w:color w:val="4E3B22"/>
              </w:rPr>
              <w:t xml:space="preserve"> delivery format</w:t>
            </w:r>
          </w:p>
        </w:tc>
        <w:tc>
          <w:tcPr>
            <w:tcW w:w="0" w:type="auto"/>
            <w:shd w:val="clear" w:color="auto" w:fill="EAFAEC"/>
            <w:vAlign w:val="center"/>
            <w:hideMark/>
          </w:tcPr>
          <w:p w14:paraId="785773EA" w14:textId="77777777" w:rsidR="00486094" w:rsidRPr="00486094" w:rsidRDefault="00486094" w:rsidP="00486094">
            <w:pPr>
              <w:rPr>
                <w:rFonts w:ascii="Arial" w:hAnsi="Arial" w:cs="Arial"/>
                <w:color w:val="4E3B22"/>
              </w:rPr>
            </w:pPr>
            <w:r w:rsidRPr="00486094">
              <w:rPr>
                <w:rFonts w:ascii="Arial" w:hAnsi="Arial" w:cs="Arial"/>
                <w:color w:val="4E3B22"/>
              </w:rPr>
              <w:t>Starbucks Annual Report 2024; Tata Starbucks PR</w:t>
            </w:r>
          </w:p>
        </w:tc>
      </w:tr>
      <w:tr w:rsidR="00486094" w:rsidRPr="00486094" w14:paraId="7186FD35" w14:textId="77777777" w:rsidTr="00486094">
        <w:trPr>
          <w:tblCellSpacing w:w="15" w:type="dxa"/>
        </w:trPr>
        <w:tc>
          <w:tcPr>
            <w:tcW w:w="0" w:type="auto"/>
            <w:shd w:val="clear" w:color="auto" w:fill="EAFAEC"/>
            <w:vAlign w:val="center"/>
            <w:hideMark/>
          </w:tcPr>
          <w:p w14:paraId="75F514B5" w14:textId="77777777" w:rsidR="00486094" w:rsidRPr="00486094" w:rsidRDefault="00486094" w:rsidP="00486094">
            <w:pPr>
              <w:rPr>
                <w:rFonts w:ascii="Arial" w:hAnsi="Arial" w:cs="Arial"/>
                <w:color w:val="4E3B22"/>
              </w:rPr>
            </w:pPr>
            <w:r w:rsidRPr="00486094">
              <w:rPr>
                <w:rFonts w:ascii="Arial" w:hAnsi="Arial" w:cs="Arial"/>
                <w:b/>
                <w:bCs/>
                <w:color w:val="4E3B22"/>
              </w:rPr>
              <w:t>Promotion</w:t>
            </w:r>
          </w:p>
        </w:tc>
        <w:tc>
          <w:tcPr>
            <w:tcW w:w="0" w:type="auto"/>
            <w:shd w:val="clear" w:color="auto" w:fill="EAFAEC"/>
            <w:vAlign w:val="center"/>
            <w:hideMark/>
          </w:tcPr>
          <w:p w14:paraId="56284B4E" w14:textId="77777777" w:rsidR="00486094" w:rsidRPr="00486094" w:rsidRDefault="00486094" w:rsidP="00486094">
            <w:pPr>
              <w:rPr>
                <w:rFonts w:ascii="Arial" w:hAnsi="Arial" w:cs="Arial"/>
                <w:color w:val="4E3B22"/>
              </w:rPr>
            </w:pPr>
            <w:r w:rsidRPr="00486094">
              <w:rPr>
                <w:rFonts w:ascii="Arial" w:hAnsi="Arial" w:cs="Arial"/>
                <w:color w:val="4E3B22"/>
              </w:rPr>
              <w:t>Digital engagement; campaign conversion</w:t>
            </w:r>
          </w:p>
        </w:tc>
        <w:tc>
          <w:tcPr>
            <w:tcW w:w="0" w:type="auto"/>
            <w:shd w:val="clear" w:color="auto" w:fill="EAFAEC"/>
            <w:vAlign w:val="center"/>
            <w:hideMark/>
          </w:tcPr>
          <w:p w14:paraId="62DDCA5F" w14:textId="77777777" w:rsidR="00486094" w:rsidRPr="00486094" w:rsidRDefault="00486094" w:rsidP="00486094">
            <w:pPr>
              <w:rPr>
                <w:rFonts w:ascii="Arial" w:hAnsi="Arial" w:cs="Arial"/>
                <w:color w:val="4E3B22"/>
              </w:rPr>
            </w:pPr>
            <w:r w:rsidRPr="00486094">
              <w:rPr>
                <w:rFonts w:ascii="Arial" w:hAnsi="Arial" w:cs="Arial"/>
                <w:color w:val="4E3B22"/>
              </w:rPr>
              <w:t>Measures communication effectiveness</w:t>
            </w:r>
          </w:p>
        </w:tc>
        <w:tc>
          <w:tcPr>
            <w:tcW w:w="0" w:type="auto"/>
            <w:shd w:val="clear" w:color="auto" w:fill="EAFAEC"/>
            <w:vAlign w:val="center"/>
            <w:hideMark/>
          </w:tcPr>
          <w:p w14:paraId="71A992F3" w14:textId="77777777" w:rsidR="00486094" w:rsidRPr="00486094" w:rsidRDefault="00486094" w:rsidP="00486094">
            <w:pPr>
              <w:rPr>
                <w:rFonts w:ascii="Arial" w:hAnsi="Arial" w:cs="Arial"/>
                <w:color w:val="4E3B22"/>
              </w:rPr>
            </w:pPr>
            <w:r w:rsidRPr="00486094">
              <w:rPr>
                <w:rFonts w:ascii="Arial" w:hAnsi="Arial" w:cs="Arial"/>
                <w:color w:val="4E3B22"/>
              </w:rPr>
              <w:t>34M Rewards members; &gt;55% mobile orders</w:t>
            </w:r>
          </w:p>
        </w:tc>
        <w:tc>
          <w:tcPr>
            <w:tcW w:w="0" w:type="auto"/>
            <w:shd w:val="clear" w:color="auto" w:fill="EAFAEC"/>
            <w:vAlign w:val="center"/>
            <w:hideMark/>
          </w:tcPr>
          <w:p w14:paraId="11775876" w14:textId="77777777" w:rsidR="00486094" w:rsidRPr="00486094" w:rsidRDefault="00486094" w:rsidP="00486094">
            <w:pPr>
              <w:rPr>
                <w:rFonts w:ascii="Arial" w:hAnsi="Arial" w:cs="Arial"/>
                <w:color w:val="4E3B22"/>
              </w:rPr>
            </w:pPr>
            <w:r w:rsidRPr="00486094">
              <w:rPr>
                <w:rFonts w:ascii="Arial" w:hAnsi="Arial" w:cs="Arial"/>
                <w:color w:val="4E3B22"/>
              </w:rPr>
              <w:t>Rapid growth in social media; festival campaigns drive spikes</w:t>
            </w:r>
          </w:p>
        </w:tc>
        <w:tc>
          <w:tcPr>
            <w:tcW w:w="0" w:type="auto"/>
            <w:shd w:val="clear" w:color="auto" w:fill="EAFAEC"/>
            <w:vAlign w:val="center"/>
            <w:hideMark/>
          </w:tcPr>
          <w:p w14:paraId="2A8954CD" w14:textId="77777777" w:rsidR="00486094" w:rsidRPr="00486094" w:rsidRDefault="00486094" w:rsidP="00486094">
            <w:pPr>
              <w:rPr>
                <w:rFonts w:ascii="Arial" w:hAnsi="Arial" w:cs="Arial"/>
                <w:color w:val="4E3B22"/>
              </w:rPr>
            </w:pPr>
            <w:r w:rsidRPr="00486094">
              <w:rPr>
                <w:rFonts w:ascii="Arial" w:hAnsi="Arial" w:cs="Arial"/>
                <w:color w:val="4E3B22"/>
              </w:rPr>
              <w:t>Starbucks Investor Day 2023; Mintel Social Analytics</w:t>
            </w:r>
          </w:p>
        </w:tc>
      </w:tr>
      <w:tr w:rsidR="00486094" w:rsidRPr="00486094" w14:paraId="60CAABB5" w14:textId="77777777" w:rsidTr="00486094">
        <w:trPr>
          <w:tblCellSpacing w:w="15" w:type="dxa"/>
        </w:trPr>
        <w:tc>
          <w:tcPr>
            <w:tcW w:w="0" w:type="auto"/>
            <w:shd w:val="clear" w:color="auto" w:fill="EAFAEC"/>
            <w:vAlign w:val="center"/>
            <w:hideMark/>
          </w:tcPr>
          <w:p w14:paraId="62ACD80F" w14:textId="77777777" w:rsidR="00486094" w:rsidRPr="00486094" w:rsidRDefault="00486094" w:rsidP="00486094">
            <w:pPr>
              <w:rPr>
                <w:rFonts w:ascii="Arial" w:hAnsi="Arial" w:cs="Arial"/>
                <w:color w:val="4E3B22"/>
              </w:rPr>
            </w:pPr>
            <w:r w:rsidRPr="00486094">
              <w:rPr>
                <w:rFonts w:ascii="Arial" w:hAnsi="Arial" w:cs="Arial"/>
                <w:b/>
                <w:bCs/>
                <w:color w:val="4E3B22"/>
              </w:rPr>
              <w:t>People</w:t>
            </w:r>
          </w:p>
        </w:tc>
        <w:tc>
          <w:tcPr>
            <w:tcW w:w="0" w:type="auto"/>
            <w:shd w:val="clear" w:color="auto" w:fill="EAFAEC"/>
            <w:vAlign w:val="center"/>
            <w:hideMark/>
          </w:tcPr>
          <w:p w14:paraId="1BE99064" w14:textId="77777777" w:rsidR="00486094" w:rsidRPr="00486094" w:rsidRDefault="00486094" w:rsidP="00486094">
            <w:pPr>
              <w:rPr>
                <w:rFonts w:ascii="Arial" w:hAnsi="Arial" w:cs="Arial"/>
                <w:color w:val="4E3B22"/>
              </w:rPr>
            </w:pPr>
            <w:r w:rsidRPr="00486094">
              <w:rPr>
                <w:rFonts w:ascii="Arial" w:hAnsi="Arial" w:cs="Arial"/>
                <w:color w:val="4E3B22"/>
              </w:rPr>
              <w:t>Employee turnover; training hours</w:t>
            </w:r>
          </w:p>
        </w:tc>
        <w:tc>
          <w:tcPr>
            <w:tcW w:w="0" w:type="auto"/>
            <w:shd w:val="clear" w:color="auto" w:fill="EAFAEC"/>
            <w:vAlign w:val="center"/>
            <w:hideMark/>
          </w:tcPr>
          <w:p w14:paraId="6A55171B" w14:textId="4EA63CC6" w:rsidR="00486094" w:rsidRPr="00486094" w:rsidRDefault="00486094" w:rsidP="00486094">
            <w:pPr>
              <w:rPr>
                <w:rFonts w:ascii="Arial" w:hAnsi="Arial" w:cs="Arial"/>
                <w:color w:val="4E3B22"/>
              </w:rPr>
            </w:pPr>
            <w:r w:rsidRPr="00486094">
              <w:rPr>
                <w:rFonts w:ascii="Arial" w:hAnsi="Arial" w:cs="Arial"/>
                <w:color w:val="4E3B22"/>
              </w:rPr>
              <w:t xml:space="preserve">Indicates service quality </w:t>
            </w:r>
            <w:r w:rsidR="00C62C17">
              <w:rPr>
                <w:rFonts w:ascii="Arial" w:hAnsi="Arial" w:cs="Arial"/>
                <w:color w:val="4E3B22"/>
              </w:rPr>
              <w:t>and</w:t>
            </w:r>
            <w:r w:rsidRPr="00486094">
              <w:rPr>
                <w:rFonts w:ascii="Arial" w:hAnsi="Arial" w:cs="Arial"/>
                <w:color w:val="4E3B22"/>
              </w:rPr>
              <w:t xml:space="preserve"> HR stability</w:t>
            </w:r>
          </w:p>
        </w:tc>
        <w:tc>
          <w:tcPr>
            <w:tcW w:w="0" w:type="auto"/>
            <w:shd w:val="clear" w:color="auto" w:fill="EAFAEC"/>
            <w:vAlign w:val="center"/>
            <w:hideMark/>
          </w:tcPr>
          <w:p w14:paraId="5D644B49" w14:textId="77777777" w:rsidR="00486094" w:rsidRPr="00486094" w:rsidRDefault="00486094" w:rsidP="00486094">
            <w:pPr>
              <w:rPr>
                <w:rFonts w:ascii="Arial" w:hAnsi="Arial" w:cs="Arial"/>
                <w:color w:val="4E3B22"/>
              </w:rPr>
            </w:pPr>
            <w:r w:rsidRPr="00486094">
              <w:rPr>
                <w:rFonts w:ascii="Arial" w:hAnsi="Arial" w:cs="Arial"/>
                <w:color w:val="4E3B22"/>
              </w:rPr>
              <w:t>Declining turnover; high investment in benefits</w:t>
            </w:r>
          </w:p>
        </w:tc>
        <w:tc>
          <w:tcPr>
            <w:tcW w:w="0" w:type="auto"/>
            <w:shd w:val="clear" w:color="auto" w:fill="EAFAEC"/>
            <w:vAlign w:val="center"/>
            <w:hideMark/>
          </w:tcPr>
          <w:p w14:paraId="6BA91F9C" w14:textId="77777777" w:rsidR="00486094" w:rsidRPr="00486094" w:rsidRDefault="00486094" w:rsidP="00486094">
            <w:pPr>
              <w:rPr>
                <w:rFonts w:ascii="Arial" w:hAnsi="Arial" w:cs="Arial"/>
                <w:color w:val="4E3B22"/>
              </w:rPr>
            </w:pPr>
            <w:r w:rsidRPr="00486094">
              <w:rPr>
                <w:rFonts w:ascii="Arial" w:hAnsi="Arial" w:cs="Arial"/>
                <w:color w:val="4E3B22"/>
              </w:rPr>
              <w:t>Women-led stores; 5-day workweek; 100% gender pay equity</w:t>
            </w:r>
          </w:p>
        </w:tc>
        <w:tc>
          <w:tcPr>
            <w:tcW w:w="0" w:type="auto"/>
            <w:shd w:val="clear" w:color="auto" w:fill="EAFAEC"/>
            <w:vAlign w:val="center"/>
            <w:hideMark/>
          </w:tcPr>
          <w:p w14:paraId="522E99AF" w14:textId="77777777" w:rsidR="00486094" w:rsidRPr="00486094" w:rsidRDefault="00486094" w:rsidP="00486094">
            <w:pPr>
              <w:rPr>
                <w:rFonts w:ascii="Arial" w:hAnsi="Arial" w:cs="Arial"/>
                <w:color w:val="4E3B22"/>
              </w:rPr>
            </w:pPr>
            <w:r w:rsidRPr="00486094">
              <w:rPr>
                <w:rFonts w:ascii="Arial" w:hAnsi="Arial" w:cs="Arial"/>
                <w:color w:val="4E3B22"/>
              </w:rPr>
              <w:t>Tata Starbucks HR Report 2024; Starbucks Global Impact Report</w:t>
            </w:r>
          </w:p>
        </w:tc>
      </w:tr>
      <w:tr w:rsidR="00486094" w:rsidRPr="00486094" w14:paraId="6A3A6CB7" w14:textId="77777777" w:rsidTr="00486094">
        <w:trPr>
          <w:tblCellSpacing w:w="15" w:type="dxa"/>
        </w:trPr>
        <w:tc>
          <w:tcPr>
            <w:tcW w:w="0" w:type="auto"/>
            <w:shd w:val="clear" w:color="auto" w:fill="EAFAEC"/>
            <w:vAlign w:val="center"/>
            <w:hideMark/>
          </w:tcPr>
          <w:p w14:paraId="5A2A367D" w14:textId="77777777" w:rsidR="00486094" w:rsidRPr="00486094" w:rsidRDefault="00486094" w:rsidP="00486094">
            <w:pPr>
              <w:rPr>
                <w:rFonts w:ascii="Arial" w:hAnsi="Arial" w:cs="Arial"/>
                <w:color w:val="4E3B22"/>
              </w:rPr>
            </w:pPr>
            <w:r w:rsidRPr="00486094">
              <w:rPr>
                <w:rFonts w:ascii="Arial" w:hAnsi="Arial" w:cs="Arial"/>
                <w:b/>
                <w:bCs/>
                <w:color w:val="4E3B22"/>
              </w:rPr>
              <w:t>Process</w:t>
            </w:r>
          </w:p>
        </w:tc>
        <w:tc>
          <w:tcPr>
            <w:tcW w:w="0" w:type="auto"/>
            <w:shd w:val="clear" w:color="auto" w:fill="EAFAEC"/>
            <w:vAlign w:val="center"/>
            <w:hideMark/>
          </w:tcPr>
          <w:p w14:paraId="20793D4B" w14:textId="77777777" w:rsidR="00486094" w:rsidRPr="00486094" w:rsidRDefault="00486094" w:rsidP="00486094">
            <w:pPr>
              <w:rPr>
                <w:rFonts w:ascii="Arial" w:hAnsi="Arial" w:cs="Arial"/>
                <w:color w:val="4E3B22"/>
              </w:rPr>
            </w:pPr>
            <w:r w:rsidRPr="00486094">
              <w:rPr>
                <w:rFonts w:ascii="Arial" w:hAnsi="Arial" w:cs="Arial"/>
                <w:color w:val="4E3B22"/>
              </w:rPr>
              <w:t>Mobile order adoption; service speed</w:t>
            </w:r>
          </w:p>
        </w:tc>
        <w:tc>
          <w:tcPr>
            <w:tcW w:w="0" w:type="auto"/>
            <w:shd w:val="clear" w:color="auto" w:fill="EAFAEC"/>
            <w:vAlign w:val="center"/>
            <w:hideMark/>
          </w:tcPr>
          <w:p w14:paraId="66311E97" w14:textId="77777777" w:rsidR="00486094" w:rsidRPr="00486094" w:rsidRDefault="00486094" w:rsidP="00486094">
            <w:pPr>
              <w:rPr>
                <w:rFonts w:ascii="Arial" w:hAnsi="Arial" w:cs="Arial"/>
                <w:color w:val="4E3B22"/>
              </w:rPr>
            </w:pPr>
            <w:r w:rsidRPr="00486094">
              <w:rPr>
                <w:rFonts w:ascii="Arial" w:hAnsi="Arial" w:cs="Arial"/>
                <w:color w:val="4E3B22"/>
              </w:rPr>
              <w:t>Shows operational efficiency</w:t>
            </w:r>
          </w:p>
        </w:tc>
        <w:tc>
          <w:tcPr>
            <w:tcW w:w="0" w:type="auto"/>
            <w:shd w:val="clear" w:color="auto" w:fill="EAFAEC"/>
            <w:vAlign w:val="center"/>
            <w:hideMark/>
          </w:tcPr>
          <w:p w14:paraId="056F777A" w14:textId="77777777" w:rsidR="00486094" w:rsidRPr="00486094" w:rsidRDefault="00486094" w:rsidP="00486094">
            <w:pPr>
              <w:rPr>
                <w:rFonts w:ascii="Arial" w:hAnsi="Arial" w:cs="Arial"/>
                <w:color w:val="4E3B22"/>
              </w:rPr>
            </w:pPr>
            <w:r w:rsidRPr="00486094">
              <w:rPr>
                <w:rFonts w:ascii="Arial" w:hAnsi="Arial" w:cs="Arial"/>
                <w:color w:val="4E3B22"/>
              </w:rPr>
              <w:t>&gt;55% app orders; advanced queue optimisation</w:t>
            </w:r>
          </w:p>
        </w:tc>
        <w:tc>
          <w:tcPr>
            <w:tcW w:w="0" w:type="auto"/>
            <w:shd w:val="clear" w:color="auto" w:fill="EAFAEC"/>
            <w:vAlign w:val="center"/>
            <w:hideMark/>
          </w:tcPr>
          <w:p w14:paraId="20473706" w14:textId="1A1240A9" w:rsidR="00486094" w:rsidRPr="00486094" w:rsidRDefault="00486094" w:rsidP="00486094">
            <w:pPr>
              <w:rPr>
                <w:rFonts w:ascii="Arial" w:hAnsi="Arial" w:cs="Arial"/>
                <w:color w:val="4E3B22"/>
              </w:rPr>
            </w:pPr>
            <w:r w:rsidRPr="00486094">
              <w:rPr>
                <w:rFonts w:ascii="Arial" w:hAnsi="Arial" w:cs="Arial"/>
                <w:color w:val="4E3B22"/>
              </w:rPr>
              <w:t>Limited app adoption (~15</w:t>
            </w:r>
            <w:r w:rsidR="001551EB">
              <w:rPr>
                <w:rFonts w:ascii="Arial" w:hAnsi="Arial" w:cs="Arial"/>
                <w:color w:val="4E3B22"/>
              </w:rPr>
              <w:t>-</w:t>
            </w:r>
            <w:r w:rsidRPr="00486094">
              <w:rPr>
                <w:rFonts w:ascii="Arial" w:hAnsi="Arial" w:cs="Arial"/>
                <w:color w:val="4E3B22"/>
              </w:rPr>
              <w:t>20%); dependence on in-store ordering</w:t>
            </w:r>
          </w:p>
        </w:tc>
        <w:tc>
          <w:tcPr>
            <w:tcW w:w="0" w:type="auto"/>
            <w:shd w:val="clear" w:color="auto" w:fill="EAFAEC"/>
            <w:vAlign w:val="center"/>
            <w:hideMark/>
          </w:tcPr>
          <w:p w14:paraId="6716A164" w14:textId="77777777" w:rsidR="00486094" w:rsidRPr="00486094" w:rsidRDefault="00486094" w:rsidP="00486094">
            <w:pPr>
              <w:rPr>
                <w:rFonts w:ascii="Arial" w:hAnsi="Arial" w:cs="Arial"/>
                <w:color w:val="4E3B22"/>
              </w:rPr>
            </w:pPr>
            <w:r w:rsidRPr="00486094">
              <w:rPr>
                <w:rFonts w:ascii="Arial" w:hAnsi="Arial" w:cs="Arial"/>
                <w:color w:val="4E3B22"/>
              </w:rPr>
              <w:t>Statista Mobile Payments 2024</w:t>
            </w:r>
          </w:p>
        </w:tc>
      </w:tr>
      <w:tr w:rsidR="00486094" w:rsidRPr="00486094" w14:paraId="04C49BDD" w14:textId="77777777" w:rsidTr="00486094">
        <w:trPr>
          <w:tblCellSpacing w:w="15" w:type="dxa"/>
        </w:trPr>
        <w:tc>
          <w:tcPr>
            <w:tcW w:w="0" w:type="auto"/>
            <w:shd w:val="clear" w:color="auto" w:fill="EAFAEC"/>
            <w:vAlign w:val="center"/>
            <w:hideMark/>
          </w:tcPr>
          <w:p w14:paraId="5E699E31" w14:textId="77777777" w:rsidR="00486094" w:rsidRPr="00486094" w:rsidRDefault="00486094" w:rsidP="00486094">
            <w:pPr>
              <w:rPr>
                <w:rFonts w:ascii="Arial" w:hAnsi="Arial" w:cs="Arial"/>
                <w:color w:val="4E3B22"/>
              </w:rPr>
            </w:pPr>
            <w:r w:rsidRPr="00486094">
              <w:rPr>
                <w:rFonts w:ascii="Arial" w:hAnsi="Arial" w:cs="Arial"/>
                <w:b/>
                <w:bCs/>
                <w:color w:val="4E3B22"/>
              </w:rPr>
              <w:lastRenderedPageBreak/>
              <w:t>Physical Evidence</w:t>
            </w:r>
          </w:p>
        </w:tc>
        <w:tc>
          <w:tcPr>
            <w:tcW w:w="0" w:type="auto"/>
            <w:shd w:val="clear" w:color="auto" w:fill="EAFAEC"/>
            <w:vAlign w:val="center"/>
            <w:hideMark/>
          </w:tcPr>
          <w:p w14:paraId="14E6A55B" w14:textId="77777777" w:rsidR="00486094" w:rsidRPr="00486094" w:rsidRDefault="00486094" w:rsidP="00486094">
            <w:pPr>
              <w:rPr>
                <w:rFonts w:ascii="Arial" w:hAnsi="Arial" w:cs="Arial"/>
                <w:color w:val="4E3B22"/>
              </w:rPr>
            </w:pPr>
            <w:r w:rsidRPr="00486094">
              <w:rPr>
                <w:rFonts w:ascii="Arial" w:hAnsi="Arial" w:cs="Arial"/>
                <w:color w:val="4E3B22"/>
              </w:rPr>
              <w:t>Store experience rating; cultural décor adoption</w:t>
            </w:r>
          </w:p>
        </w:tc>
        <w:tc>
          <w:tcPr>
            <w:tcW w:w="0" w:type="auto"/>
            <w:shd w:val="clear" w:color="auto" w:fill="EAFAEC"/>
            <w:vAlign w:val="center"/>
            <w:hideMark/>
          </w:tcPr>
          <w:p w14:paraId="6F624895" w14:textId="77777777" w:rsidR="00486094" w:rsidRPr="00486094" w:rsidRDefault="00486094" w:rsidP="00486094">
            <w:pPr>
              <w:rPr>
                <w:rFonts w:ascii="Arial" w:hAnsi="Arial" w:cs="Arial"/>
                <w:color w:val="4E3B22"/>
              </w:rPr>
            </w:pPr>
            <w:r w:rsidRPr="00486094">
              <w:rPr>
                <w:rFonts w:ascii="Arial" w:hAnsi="Arial" w:cs="Arial"/>
                <w:color w:val="4E3B22"/>
              </w:rPr>
              <w:t>Indicates brand atmosphere fit</w:t>
            </w:r>
          </w:p>
        </w:tc>
        <w:tc>
          <w:tcPr>
            <w:tcW w:w="0" w:type="auto"/>
            <w:shd w:val="clear" w:color="auto" w:fill="EAFAEC"/>
            <w:vAlign w:val="center"/>
            <w:hideMark/>
          </w:tcPr>
          <w:p w14:paraId="288762A2" w14:textId="4E32C279" w:rsidR="00486094" w:rsidRPr="00486094" w:rsidRDefault="00486094" w:rsidP="00486094">
            <w:pPr>
              <w:rPr>
                <w:rFonts w:ascii="Arial" w:hAnsi="Arial" w:cs="Arial"/>
                <w:color w:val="4E3B22"/>
              </w:rPr>
            </w:pPr>
            <w:r w:rsidRPr="00486094">
              <w:rPr>
                <w:rFonts w:ascii="Arial" w:hAnsi="Arial" w:cs="Arial"/>
                <w:color w:val="4E3B22"/>
              </w:rPr>
              <w:t>Consistent global store design; strong services cape</w:t>
            </w:r>
          </w:p>
        </w:tc>
        <w:tc>
          <w:tcPr>
            <w:tcW w:w="0" w:type="auto"/>
            <w:shd w:val="clear" w:color="auto" w:fill="EAFAEC"/>
            <w:vAlign w:val="center"/>
            <w:hideMark/>
          </w:tcPr>
          <w:p w14:paraId="6CDFA6E8" w14:textId="77777777" w:rsidR="00486094" w:rsidRPr="00486094" w:rsidRDefault="00486094" w:rsidP="00486094">
            <w:pPr>
              <w:rPr>
                <w:rFonts w:ascii="Arial" w:hAnsi="Arial" w:cs="Arial"/>
                <w:color w:val="4E3B22"/>
              </w:rPr>
            </w:pPr>
            <w:r w:rsidRPr="00486094">
              <w:rPr>
                <w:rFonts w:ascii="Arial" w:hAnsi="Arial" w:cs="Arial"/>
                <w:color w:val="4E3B22"/>
              </w:rPr>
              <w:t>Indian artwork, local materials, festival décor</w:t>
            </w:r>
          </w:p>
        </w:tc>
        <w:tc>
          <w:tcPr>
            <w:tcW w:w="0" w:type="auto"/>
            <w:shd w:val="clear" w:color="auto" w:fill="EAFAEC"/>
            <w:vAlign w:val="center"/>
            <w:hideMark/>
          </w:tcPr>
          <w:p w14:paraId="5B130C1D" w14:textId="77777777" w:rsidR="00486094" w:rsidRPr="00486094" w:rsidRDefault="00486094" w:rsidP="00486094">
            <w:pPr>
              <w:rPr>
                <w:rFonts w:ascii="Arial" w:hAnsi="Arial" w:cs="Arial"/>
                <w:color w:val="4E3B22"/>
              </w:rPr>
            </w:pPr>
            <w:r w:rsidRPr="00486094">
              <w:rPr>
                <w:rFonts w:ascii="Arial" w:hAnsi="Arial" w:cs="Arial"/>
                <w:color w:val="4E3B22"/>
              </w:rPr>
              <w:t>Starbucks India Store Designs; CSR Impact Report</w:t>
            </w:r>
          </w:p>
        </w:tc>
      </w:tr>
    </w:tbl>
    <w:p w14:paraId="5289F5A6" w14:textId="439B0E8D" w:rsidR="00486094" w:rsidRDefault="00486094" w:rsidP="00486094">
      <w:pPr>
        <w:spacing w:line="360" w:lineRule="auto"/>
        <w:rPr>
          <w:rFonts w:ascii="Arial" w:hAnsi="Arial" w:cs="Arial"/>
          <w:color w:val="4E3B22"/>
        </w:rPr>
      </w:pPr>
      <w:r w:rsidRPr="00486094">
        <w:rPr>
          <w:rFonts w:ascii="Arial" w:hAnsi="Arial" w:cs="Arial"/>
          <w:color w:val="4E3B22"/>
        </w:rPr>
        <w:t>Source: Compiled by the author using data from Starbucks Annual Report (2024), Tata Starbucks Press Releases (2024), Statista (2024), Mintel (2023), and MarketLine (2024).</w:t>
      </w:r>
    </w:p>
    <w:p w14:paraId="2430C7BC" w14:textId="77777777" w:rsidR="00185110" w:rsidRDefault="00185110" w:rsidP="00486094">
      <w:pPr>
        <w:spacing w:line="360" w:lineRule="auto"/>
        <w:rPr>
          <w:rFonts w:ascii="Arial" w:hAnsi="Arial" w:cs="Arial"/>
          <w:color w:val="4E3B22"/>
        </w:rPr>
      </w:pPr>
    </w:p>
    <w:p w14:paraId="74FACA0F" w14:textId="77777777" w:rsidR="00185110" w:rsidRDefault="00185110" w:rsidP="00486094">
      <w:pPr>
        <w:spacing w:line="360" w:lineRule="auto"/>
        <w:rPr>
          <w:rFonts w:ascii="Arial" w:hAnsi="Arial" w:cs="Arial"/>
          <w:color w:val="4E3B22"/>
        </w:rPr>
      </w:pPr>
    </w:p>
    <w:p w14:paraId="5D5B990A" w14:textId="15EBEA1E" w:rsidR="00185110" w:rsidRDefault="006163EC" w:rsidP="00486094">
      <w:pPr>
        <w:spacing w:line="360" w:lineRule="auto"/>
        <w:rPr>
          <w:rFonts w:ascii="Arial" w:hAnsi="Arial" w:cs="Arial"/>
          <w:color w:val="4E3B22"/>
        </w:rPr>
      </w:pPr>
      <w:r w:rsidRPr="006163EC">
        <w:rPr>
          <w:rFonts w:ascii="Arial" w:hAnsi="Arial" w:cs="Arial"/>
          <w:b/>
          <w:bCs/>
          <w:color w:val="4E3B22"/>
        </w:rPr>
        <w:t>Appendix 4</w:t>
      </w:r>
      <w:r w:rsidRPr="006163EC">
        <w:rPr>
          <w:rFonts w:ascii="Arial" w:hAnsi="Arial" w:cs="Arial"/>
          <w:color w:val="4E3B22"/>
        </w:rPr>
        <w:t>. Comparative CSR Overview for Starbucks: United States vs India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5FFE5"/>
        <w:tblCellMar>
          <w:top w:w="15" w:type="dxa"/>
          <w:left w:w="15" w:type="dxa"/>
          <w:bottom w:w="15" w:type="dxa"/>
          <w:right w:w="15" w:type="dxa"/>
        </w:tblCellMar>
        <w:tblLook w:val="04A0" w:firstRow="1" w:lastRow="0" w:firstColumn="1" w:lastColumn="0" w:noHBand="0" w:noVBand="1"/>
      </w:tblPr>
      <w:tblGrid>
        <w:gridCol w:w="1970"/>
        <w:gridCol w:w="3551"/>
        <w:gridCol w:w="3829"/>
      </w:tblGrid>
      <w:tr w:rsidR="004C123B" w:rsidRPr="004C123B" w14:paraId="2B546189" w14:textId="77777777" w:rsidTr="004C123B">
        <w:trPr>
          <w:tblHeader/>
          <w:tblCellSpacing w:w="15" w:type="dxa"/>
        </w:trPr>
        <w:tc>
          <w:tcPr>
            <w:tcW w:w="0" w:type="auto"/>
            <w:shd w:val="clear" w:color="auto" w:fill="E5FFE5"/>
            <w:vAlign w:val="center"/>
            <w:hideMark/>
          </w:tcPr>
          <w:p w14:paraId="111D0D44" w14:textId="77777777" w:rsidR="004C123B" w:rsidRPr="004C123B" w:rsidRDefault="004C123B" w:rsidP="004C123B">
            <w:pPr>
              <w:spacing w:line="360" w:lineRule="auto"/>
              <w:rPr>
                <w:rFonts w:ascii="Arial" w:hAnsi="Arial" w:cs="Arial"/>
                <w:b/>
                <w:bCs/>
                <w:color w:val="4E3B22"/>
              </w:rPr>
            </w:pPr>
            <w:r w:rsidRPr="004C123B">
              <w:rPr>
                <w:rFonts w:ascii="Arial" w:hAnsi="Arial" w:cs="Arial"/>
                <w:b/>
                <w:bCs/>
                <w:color w:val="4E3B22"/>
              </w:rPr>
              <w:t>CSR Dimension</w:t>
            </w:r>
          </w:p>
        </w:tc>
        <w:tc>
          <w:tcPr>
            <w:tcW w:w="0" w:type="auto"/>
            <w:shd w:val="clear" w:color="auto" w:fill="E5FFE5"/>
            <w:vAlign w:val="center"/>
            <w:hideMark/>
          </w:tcPr>
          <w:p w14:paraId="22929803" w14:textId="77777777" w:rsidR="004C123B" w:rsidRPr="004C123B" w:rsidRDefault="004C123B" w:rsidP="004C123B">
            <w:pPr>
              <w:spacing w:line="360" w:lineRule="auto"/>
              <w:rPr>
                <w:rFonts w:ascii="Arial" w:hAnsi="Arial" w:cs="Arial"/>
                <w:b/>
                <w:bCs/>
                <w:color w:val="4E3B22"/>
              </w:rPr>
            </w:pPr>
            <w:r w:rsidRPr="004C123B">
              <w:rPr>
                <w:rFonts w:ascii="Arial" w:hAnsi="Arial" w:cs="Arial"/>
                <w:b/>
                <w:bCs/>
                <w:color w:val="4E3B22"/>
              </w:rPr>
              <w:t>United States</w:t>
            </w:r>
          </w:p>
        </w:tc>
        <w:tc>
          <w:tcPr>
            <w:tcW w:w="0" w:type="auto"/>
            <w:shd w:val="clear" w:color="auto" w:fill="E5FFE5"/>
            <w:vAlign w:val="center"/>
            <w:hideMark/>
          </w:tcPr>
          <w:p w14:paraId="6CDE684E" w14:textId="77777777" w:rsidR="004C123B" w:rsidRPr="004C123B" w:rsidRDefault="004C123B" w:rsidP="004C123B">
            <w:pPr>
              <w:spacing w:line="360" w:lineRule="auto"/>
              <w:rPr>
                <w:rFonts w:ascii="Arial" w:hAnsi="Arial" w:cs="Arial"/>
                <w:b/>
                <w:bCs/>
                <w:color w:val="4E3B22"/>
              </w:rPr>
            </w:pPr>
            <w:r w:rsidRPr="004C123B">
              <w:rPr>
                <w:rFonts w:ascii="Arial" w:hAnsi="Arial" w:cs="Arial"/>
                <w:b/>
                <w:bCs/>
                <w:color w:val="4E3B22"/>
              </w:rPr>
              <w:t>India</w:t>
            </w:r>
          </w:p>
        </w:tc>
      </w:tr>
      <w:tr w:rsidR="004C123B" w:rsidRPr="004C123B" w14:paraId="5027F714" w14:textId="77777777" w:rsidTr="004C123B">
        <w:trPr>
          <w:tblCellSpacing w:w="15" w:type="dxa"/>
        </w:trPr>
        <w:tc>
          <w:tcPr>
            <w:tcW w:w="0" w:type="auto"/>
            <w:shd w:val="clear" w:color="auto" w:fill="E5FFE5"/>
            <w:vAlign w:val="center"/>
            <w:hideMark/>
          </w:tcPr>
          <w:p w14:paraId="5F2E9F82" w14:textId="77777777" w:rsidR="004C123B" w:rsidRPr="004C123B" w:rsidRDefault="004C123B" w:rsidP="004C123B">
            <w:pPr>
              <w:spacing w:line="360" w:lineRule="auto"/>
              <w:rPr>
                <w:rFonts w:ascii="Arial" w:hAnsi="Arial" w:cs="Arial"/>
                <w:color w:val="4E3B22"/>
              </w:rPr>
            </w:pPr>
            <w:r w:rsidRPr="004C123B">
              <w:rPr>
                <w:rFonts w:ascii="Arial" w:hAnsi="Arial" w:cs="Arial"/>
                <w:b/>
                <w:bCs/>
                <w:color w:val="4E3B22"/>
              </w:rPr>
              <w:t>Environmental Performance</w:t>
            </w:r>
          </w:p>
        </w:tc>
        <w:tc>
          <w:tcPr>
            <w:tcW w:w="0" w:type="auto"/>
            <w:shd w:val="clear" w:color="auto" w:fill="E5FFE5"/>
            <w:vAlign w:val="center"/>
            <w:hideMark/>
          </w:tcPr>
          <w:p w14:paraId="1AAA16CB" w14:textId="77777777" w:rsidR="004C123B" w:rsidRPr="004C123B" w:rsidRDefault="004C123B" w:rsidP="004C123B">
            <w:pPr>
              <w:spacing w:line="360" w:lineRule="auto"/>
              <w:rPr>
                <w:rFonts w:ascii="Arial" w:hAnsi="Arial" w:cs="Arial"/>
                <w:color w:val="4E3B22"/>
              </w:rPr>
            </w:pPr>
            <w:r w:rsidRPr="004C123B">
              <w:rPr>
                <w:rFonts w:ascii="Arial" w:hAnsi="Arial" w:cs="Arial"/>
                <w:color w:val="4E3B22"/>
              </w:rPr>
              <w:t>Advanced ESG disclosures; measurable waste reduction, reusable cup trials, emissions reporting.</w:t>
            </w:r>
          </w:p>
        </w:tc>
        <w:tc>
          <w:tcPr>
            <w:tcW w:w="0" w:type="auto"/>
            <w:shd w:val="clear" w:color="auto" w:fill="E5FFE5"/>
            <w:vAlign w:val="center"/>
            <w:hideMark/>
          </w:tcPr>
          <w:p w14:paraId="0A39380D" w14:textId="77777777" w:rsidR="004C123B" w:rsidRPr="004C123B" w:rsidRDefault="004C123B" w:rsidP="004C123B">
            <w:pPr>
              <w:spacing w:line="360" w:lineRule="auto"/>
              <w:rPr>
                <w:rFonts w:ascii="Arial" w:hAnsi="Arial" w:cs="Arial"/>
                <w:color w:val="4E3B22"/>
              </w:rPr>
            </w:pPr>
            <w:r w:rsidRPr="004C123B">
              <w:rPr>
                <w:rFonts w:ascii="Arial" w:hAnsi="Arial" w:cs="Arial"/>
                <w:color w:val="4E3B22"/>
              </w:rPr>
              <w:t>Limited environmental KPIs; partial reporting; slower adoption of reusable cup systems.</w:t>
            </w:r>
          </w:p>
        </w:tc>
      </w:tr>
      <w:tr w:rsidR="004C123B" w:rsidRPr="004C123B" w14:paraId="5A716F47" w14:textId="77777777" w:rsidTr="004C123B">
        <w:trPr>
          <w:tblCellSpacing w:w="15" w:type="dxa"/>
        </w:trPr>
        <w:tc>
          <w:tcPr>
            <w:tcW w:w="0" w:type="auto"/>
            <w:shd w:val="clear" w:color="auto" w:fill="E5FFE5"/>
            <w:vAlign w:val="center"/>
            <w:hideMark/>
          </w:tcPr>
          <w:p w14:paraId="283EA87D" w14:textId="77777777" w:rsidR="004C123B" w:rsidRPr="004C123B" w:rsidRDefault="004C123B" w:rsidP="004C123B">
            <w:pPr>
              <w:spacing w:line="360" w:lineRule="auto"/>
              <w:rPr>
                <w:rFonts w:ascii="Arial" w:hAnsi="Arial" w:cs="Arial"/>
                <w:color w:val="4E3B22"/>
              </w:rPr>
            </w:pPr>
            <w:r w:rsidRPr="004C123B">
              <w:rPr>
                <w:rFonts w:ascii="Arial" w:hAnsi="Arial" w:cs="Arial"/>
                <w:b/>
                <w:bCs/>
                <w:color w:val="4E3B22"/>
              </w:rPr>
              <w:t>Labour Practices</w:t>
            </w:r>
          </w:p>
        </w:tc>
        <w:tc>
          <w:tcPr>
            <w:tcW w:w="0" w:type="auto"/>
            <w:shd w:val="clear" w:color="auto" w:fill="E5FFE5"/>
            <w:vAlign w:val="center"/>
            <w:hideMark/>
          </w:tcPr>
          <w:p w14:paraId="06D27E4F" w14:textId="7CED2FF8" w:rsidR="004C123B" w:rsidRPr="004C123B" w:rsidRDefault="004C123B" w:rsidP="004C123B">
            <w:pPr>
              <w:spacing w:line="360" w:lineRule="auto"/>
              <w:rPr>
                <w:rFonts w:ascii="Arial" w:hAnsi="Arial" w:cs="Arial"/>
                <w:color w:val="4E3B22"/>
              </w:rPr>
            </w:pPr>
            <w:r w:rsidRPr="004C123B">
              <w:rPr>
                <w:rFonts w:ascii="Arial" w:hAnsi="Arial" w:cs="Arial"/>
                <w:color w:val="4E3B22"/>
              </w:rPr>
              <w:t>Progressive HR policies (benefits, tuition support) but criticised for anti-unionisation.</w:t>
            </w:r>
          </w:p>
        </w:tc>
        <w:tc>
          <w:tcPr>
            <w:tcW w:w="0" w:type="auto"/>
            <w:shd w:val="clear" w:color="auto" w:fill="E5FFE5"/>
            <w:vAlign w:val="center"/>
            <w:hideMark/>
          </w:tcPr>
          <w:p w14:paraId="54444755" w14:textId="77777777" w:rsidR="004C123B" w:rsidRPr="004C123B" w:rsidRDefault="004C123B" w:rsidP="004C123B">
            <w:pPr>
              <w:spacing w:line="360" w:lineRule="auto"/>
              <w:rPr>
                <w:rFonts w:ascii="Arial" w:hAnsi="Arial" w:cs="Arial"/>
                <w:color w:val="4E3B22"/>
              </w:rPr>
            </w:pPr>
            <w:r w:rsidRPr="004C123B">
              <w:rPr>
                <w:rFonts w:ascii="Arial" w:hAnsi="Arial" w:cs="Arial"/>
                <w:color w:val="4E3B22"/>
              </w:rPr>
              <w:t>Strong inclusivity initiatives (women-operated stores, gender pay equity, skills training for marginalised groups).</w:t>
            </w:r>
          </w:p>
        </w:tc>
      </w:tr>
      <w:tr w:rsidR="004C123B" w:rsidRPr="004C123B" w14:paraId="17EE63B5" w14:textId="77777777" w:rsidTr="004C123B">
        <w:trPr>
          <w:tblCellSpacing w:w="15" w:type="dxa"/>
        </w:trPr>
        <w:tc>
          <w:tcPr>
            <w:tcW w:w="0" w:type="auto"/>
            <w:shd w:val="clear" w:color="auto" w:fill="E5FFE5"/>
            <w:vAlign w:val="center"/>
            <w:hideMark/>
          </w:tcPr>
          <w:p w14:paraId="4CC6EA1B" w14:textId="77777777" w:rsidR="004C123B" w:rsidRPr="004C123B" w:rsidRDefault="004C123B" w:rsidP="004C123B">
            <w:pPr>
              <w:spacing w:line="360" w:lineRule="auto"/>
              <w:rPr>
                <w:rFonts w:ascii="Arial" w:hAnsi="Arial" w:cs="Arial"/>
                <w:color w:val="4E3B22"/>
              </w:rPr>
            </w:pPr>
            <w:r w:rsidRPr="004C123B">
              <w:rPr>
                <w:rFonts w:ascii="Arial" w:hAnsi="Arial" w:cs="Arial"/>
                <w:b/>
                <w:bCs/>
                <w:color w:val="4E3B22"/>
              </w:rPr>
              <w:t>Community Engagement</w:t>
            </w:r>
          </w:p>
        </w:tc>
        <w:tc>
          <w:tcPr>
            <w:tcW w:w="0" w:type="auto"/>
            <w:shd w:val="clear" w:color="auto" w:fill="E5FFE5"/>
            <w:vAlign w:val="center"/>
            <w:hideMark/>
          </w:tcPr>
          <w:p w14:paraId="060FFC8E" w14:textId="77777777" w:rsidR="004C123B" w:rsidRPr="004C123B" w:rsidRDefault="004C123B" w:rsidP="004C123B">
            <w:pPr>
              <w:spacing w:line="360" w:lineRule="auto"/>
              <w:rPr>
                <w:rFonts w:ascii="Arial" w:hAnsi="Arial" w:cs="Arial"/>
                <w:color w:val="4E3B22"/>
              </w:rPr>
            </w:pPr>
            <w:r w:rsidRPr="004C123B">
              <w:rPr>
                <w:rFonts w:ascii="Arial" w:hAnsi="Arial" w:cs="Arial"/>
                <w:color w:val="4E3B22"/>
              </w:rPr>
              <w:t>Community Stores, youth employment programmes, support for coffee farmers.</w:t>
            </w:r>
          </w:p>
        </w:tc>
        <w:tc>
          <w:tcPr>
            <w:tcW w:w="0" w:type="auto"/>
            <w:shd w:val="clear" w:color="auto" w:fill="E5FFE5"/>
            <w:vAlign w:val="center"/>
            <w:hideMark/>
          </w:tcPr>
          <w:p w14:paraId="2E5898E5" w14:textId="77777777" w:rsidR="004C123B" w:rsidRPr="004C123B" w:rsidRDefault="004C123B" w:rsidP="004C123B">
            <w:pPr>
              <w:spacing w:line="360" w:lineRule="auto"/>
              <w:rPr>
                <w:rFonts w:ascii="Arial" w:hAnsi="Arial" w:cs="Arial"/>
                <w:color w:val="4E3B22"/>
              </w:rPr>
            </w:pPr>
            <w:r w:rsidRPr="004C123B">
              <w:rPr>
                <w:rFonts w:ascii="Arial" w:hAnsi="Arial" w:cs="Arial"/>
                <w:color w:val="4E3B22"/>
              </w:rPr>
              <w:t>Tata-led education and employment initiatives; festival-based community campaigns.</w:t>
            </w:r>
          </w:p>
        </w:tc>
      </w:tr>
      <w:tr w:rsidR="004C123B" w:rsidRPr="004C123B" w14:paraId="7472F28C" w14:textId="77777777" w:rsidTr="004C123B">
        <w:trPr>
          <w:tblCellSpacing w:w="15" w:type="dxa"/>
        </w:trPr>
        <w:tc>
          <w:tcPr>
            <w:tcW w:w="0" w:type="auto"/>
            <w:shd w:val="clear" w:color="auto" w:fill="E5FFE5"/>
            <w:vAlign w:val="center"/>
            <w:hideMark/>
          </w:tcPr>
          <w:p w14:paraId="2F73DA6A" w14:textId="77777777" w:rsidR="004C123B" w:rsidRPr="004C123B" w:rsidRDefault="004C123B" w:rsidP="004C123B">
            <w:pPr>
              <w:spacing w:line="360" w:lineRule="auto"/>
              <w:rPr>
                <w:rFonts w:ascii="Arial" w:hAnsi="Arial" w:cs="Arial"/>
                <w:color w:val="4E3B22"/>
              </w:rPr>
            </w:pPr>
            <w:r w:rsidRPr="004C123B">
              <w:rPr>
                <w:rFonts w:ascii="Arial" w:hAnsi="Arial" w:cs="Arial"/>
                <w:b/>
                <w:bCs/>
                <w:color w:val="4E3B22"/>
              </w:rPr>
              <w:t>Ethical Tensions / Risks</w:t>
            </w:r>
          </w:p>
        </w:tc>
        <w:tc>
          <w:tcPr>
            <w:tcW w:w="0" w:type="auto"/>
            <w:shd w:val="clear" w:color="auto" w:fill="E5FFE5"/>
            <w:vAlign w:val="center"/>
            <w:hideMark/>
          </w:tcPr>
          <w:p w14:paraId="0A8EEF2D" w14:textId="2835A79C" w:rsidR="004C123B" w:rsidRPr="004C123B" w:rsidRDefault="004C123B" w:rsidP="004C123B">
            <w:pPr>
              <w:spacing w:line="360" w:lineRule="auto"/>
              <w:rPr>
                <w:rFonts w:ascii="Arial" w:hAnsi="Arial" w:cs="Arial"/>
                <w:color w:val="4E3B22"/>
              </w:rPr>
            </w:pPr>
            <w:r w:rsidRPr="004C123B">
              <w:rPr>
                <w:rFonts w:ascii="Arial" w:hAnsi="Arial" w:cs="Arial"/>
                <w:color w:val="4E3B22"/>
              </w:rPr>
              <w:t>Value</w:t>
            </w:r>
            <w:r w:rsidR="001551EB">
              <w:rPr>
                <w:rFonts w:ascii="Arial" w:hAnsi="Arial" w:cs="Arial"/>
                <w:color w:val="4E3B22"/>
              </w:rPr>
              <w:t>-</w:t>
            </w:r>
            <w:r w:rsidRPr="004C123B">
              <w:rPr>
                <w:rFonts w:ascii="Arial" w:hAnsi="Arial" w:cs="Arial"/>
                <w:color w:val="4E3B22"/>
              </w:rPr>
              <w:t>practice inconsistencies (e.g., unions, selective transparency).</w:t>
            </w:r>
          </w:p>
        </w:tc>
        <w:tc>
          <w:tcPr>
            <w:tcW w:w="0" w:type="auto"/>
            <w:shd w:val="clear" w:color="auto" w:fill="E5FFE5"/>
            <w:vAlign w:val="center"/>
            <w:hideMark/>
          </w:tcPr>
          <w:p w14:paraId="287A3C95" w14:textId="77777777" w:rsidR="004C123B" w:rsidRPr="004C123B" w:rsidRDefault="004C123B" w:rsidP="004C123B">
            <w:pPr>
              <w:spacing w:line="360" w:lineRule="auto"/>
              <w:rPr>
                <w:rFonts w:ascii="Arial" w:hAnsi="Arial" w:cs="Arial"/>
                <w:color w:val="4E3B22"/>
              </w:rPr>
            </w:pPr>
            <w:r w:rsidRPr="004C123B">
              <w:rPr>
                <w:rFonts w:ascii="Arial" w:hAnsi="Arial" w:cs="Arial"/>
                <w:color w:val="4E3B22"/>
              </w:rPr>
              <w:t>Risk of symbolic localisation; CSR reporting less standardised; potential greenwashing.</w:t>
            </w:r>
          </w:p>
        </w:tc>
      </w:tr>
    </w:tbl>
    <w:p w14:paraId="2455B373" w14:textId="70971E1B" w:rsidR="00932EDA" w:rsidRPr="00CA3165" w:rsidRDefault="00695ED3" w:rsidP="00486094">
      <w:pPr>
        <w:spacing w:line="360" w:lineRule="auto"/>
        <w:rPr>
          <w:rFonts w:ascii="Arial" w:hAnsi="Arial" w:cs="Arial"/>
          <w:color w:val="4E3B22"/>
        </w:rPr>
      </w:pPr>
      <w:r w:rsidRPr="00695ED3">
        <w:rPr>
          <w:rFonts w:ascii="Arial" w:hAnsi="Arial" w:cs="Arial"/>
          <w:color w:val="4E3B22"/>
        </w:rPr>
        <w:t>Source: Compiled by the author based on Starbucks Global Impact Report (2024), Starbucks India CSR communications, Tata Starbucks press releases, and secondary academic analysis.</w:t>
      </w:r>
    </w:p>
    <w:p w14:paraId="628CCC04" w14:textId="38FB8623" w:rsidR="003372AA" w:rsidRDefault="00932EDA" w:rsidP="00486094">
      <w:pPr>
        <w:spacing w:line="360" w:lineRule="auto"/>
        <w:rPr>
          <w:rFonts w:ascii="Arial" w:hAnsi="Arial" w:cs="Arial"/>
          <w:color w:val="4E3B22"/>
        </w:rPr>
      </w:pPr>
      <w:r w:rsidRPr="00932EDA">
        <w:rPr>
          <w:rFonts w:ascii="Arial" w:hAnsi="Arial" w:cs="Arial"/>
          <w:b/>
          <w:bCs/>
          <w:color w:val="4E3B22"/>
        </w:rPr>
        <w:lastRenderedPageBreak/>
        <w:t>Appendix 5.</w:t>
      </w:r>
      <w:r w:rsidRPr="00932EDA">
        <w:rPr>
          <w:rFonts w:ascii="Arial" w:hAnsi="Arial" w:cs="Arial"/>
          <w:color w:val="4E3B22"/>
        </w:rPr>
        <w:t xml:space="preserve"> Summary of Key Strategic Issues and Recommendations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5FFE5"/>
        <w:tblCellMar>
          <w:top w:w="15" w:type="dxa"/>
          <w:left w:w="15" w:type="dxa"/>
          <w:bottom w:w="15" w:type="dxa"/>
          <w:right w:w="15" w:type="dxa"/>
        </w:tblCellMar>
        <w:tblLook w:val="04A0" w:firstRow="1" w:lastRow="0" w:firstColumn="1" w:lastColumn="0" w:noHBand="0" w:noVBand="1"/>
      </w:tblPr>
      <w:tblGrid>
        <w:gridCol w:w="1975"/>
        <w:gridCol w:w="2942"/>
        <w:gridCol w:w="1651"/>
        <w:gridCol w:w="2782"/>
      </w:tblGrid>
      <w:tr w:rsidR="003372AA" w:rsidRPr="003372AA" w14:paraId="499A842E" w14:textId="77777777" w:rsidTr="003372AA">
        <w:trPr>
          <w:tblHeader/>
          <w:tblCellSpacing w:w="15" w:type="dxa"/>
        </w:trPr>
        <w:tc>
          <w:tcPr>
            <w:tcW w:w="0" w:type="auto"/>
            <w:shd w:val="clear" w:color="auto" w:fill="E5FFE5"/>
            <w:vAlign w:val="center"/>
            <w:hideMark/>
          </w:tcPr>
          <w:p w14:paraId="5F31938F" w14:textId="77777777" w:rsidR="003372AA" w:rsidRPr="003372AA" w:rsidRDefault="003372AA" w:rsidP="003372AA">
            <w:pPr>
              <w:spacing w:line="360" w:lineRule="auto"/>
              <w:rPr>
                <w:rFonts w:ascii="Arial" w:hAnsi="Arial" w:cs="Arial"/>
                <w:b/>
                <w:bCs/>
                <w:color w:val="4E3B22"/>
              </w:rPr>
            </w:pPr>
            <w:r w:rsidRPr="003372AA">
              <w:rPr>
                <w:rFonts w:ascii="Arial" w:hAnsi="Arial" w:cs="Arial"/>
                <w:b/>
                <w:bCs/>
                <w:color w:val="4E3B22"/>
              </w:rPr>
              <w:t>Strategic Issue</w:t>
            </w:r>
          </w:p>
        </w:tc>
        <w:tc>
          <w:tcPr>
            <w:tcW w:w="0" w:type="auto"/>
            <w:shd w:val="clear" w:color="auto" w:fill="E5FFE5"/>
            <w:vAlign w:val="center"/>
            <w:hideMark/>
          </w:tcPr>
          <w:p w14:paraId="0BF6C006" w14:textId="77777777" w:rsidR="003372AA" w:rsidRPr="003372AA" w:rsidRDefault="003372AA" w:rsidP="003372AA">
            <w:pPr>
              <w:spacing w:line="360" w:lineRule="auto"/>
              <w:rPr>
                <w:rFonts w:ascii="Arial" w:hAnsi="Arial" w:cs="Arial"/>
                <w:b/>
                <w:bCs/>
                <w:color w:val="4E3B22"/>
              </w:rPr>
            </w:pPr>
            <w:r w:rsidRPr="003372AA">
              <w:rPr>
                <w:rFonts w:ascii="Arial" w:hAnsi="Arial" w:cs="Arial"/>
                <w:b/>
                <w:bCs/>
                <w:color w:val="4E3B22"/>
              </w:rPr>
              <w:t>Evidence (USA vs India)</w:t>
            </w:r>
          </w:p>
        </w:tc>
        <w:tc>
          <w:tcPr>
            <w:tcW w:w="0" w:type="auto"/>
            <w:shd w:val="clear" w:color="auto" w:fill="E5FFE5"/>
            <w:vAlign w:val="center"/>
            <w:hideMark/>
          </w:tcPr>
          <w:p w14:paraId="14316F50" w14:textId="77777777" w:rsidR="003372AA" w:rsidRPr="003372AA" w:rsidRDefault="003372AA" w:rsidP="003372AA">
            <w:pPr>
              <w:spacing w:line="360" w:lineRule="auto"/>
              <w:rPr>
                <w:rFonts w:ascii="Arial" w:hAnsi="Arial" w:cs="Arial"/>
                <w:b/>
                <w:bCs/>
                <w:color w:val="4E3B22"/>
              </w:rPr>
            </w:pPr>
            <w:r w:rsidRPr="003372AA">
              <w:rPr>
                <w:rFonts w:ascii="Arial" w:hAnsi="Arial" w:cs="Arial"/>
                <w:b/>
                <w:bCs/>
                <w:color w:val="4E3B22"/>
              </w:rPr>
              <w:t>Relevant Theory</w:t>
            </w:r>
          </w:p>
        </w:tc>
        <w:tc>
          <w:tcPr>
            <w:tcW w:w="0" w:type="auto"/>
            <w:shd w:val="clear" w:color="auto" w:fill="E5FFE5"/>
            <w:vAlign w:val="center"/>
            <w:hideMark/>
          </w:tcPr>
          <w:p w14:paraId="47880E54" w14:textId="77777777" w:rsidR="003372AA" w:rsidRPr="003372AA" w:rsidRDefault="003372AA" w:rsidP="003372AA">
            <w:pPr>
              <w:spacing w:line="360" w:lineRule="auto"/>
              <w:rPr>
                <w:rFonts w:ascii="Arial" w:hAnsi="Arial" w:cs="Arial"/>
                <w:b/>
                <w:bCs/>
                <w:color w:val="4E3B22"/>
              </w:rPr>
            </w:pPr>
            <w:r w:rsidRPr="003372AA">
              <w:rPr>
                <w:rFonts w:ascii="Arial" w:hAnsi="Arial" w:cs="Arial"/>
                <w:b/>
                <w:bCs/>
                <w:color w:val="4E3B22"/>
              </w:rPr>
              <w:t>Strategic Recommendation</w:t>
            </w:r>
          </w:p>
        </w:tc>
      </w:tr>
      <w:tr w:rsidR="003372AA" w:rsidRPr="003372AA" w14:paraId="355996F7" w14:textId="77777777" w:rsidTr="003372AA">
        <w:trPr>
          <w:tblCellSpacing w:w="15" w:type="dxa"/>
        </w:trPr>
        <w:tc>
          <w:tcPr>
            <w:tcW w:w="0" w:type="auto"/>
            <w:shd w:val="clear" w:color="auto" w:fill="E5FFE5"/>
            <w:vAlign w:val="center"/>
            <w:hideMark/>
          </w:tcPr>
          <w:p w14:paraId="47CDC67B" w14:textId="77777777" w:rsidR="003372AA" w:rsidRPr="003372AA" w:rsidRDefault="003372AA" w:rsidP="003372AA">
            <w:pPr>
              <w:spacing w:line="360" w:lineRule="auto"/>
              <w:rPr>
                <w:rFonts w:ascii="Arial" w:hAnsi="Arial" w:cs="Arial"/>
                <w:color w:val="4E3B22"/>
              </w:rPr>
            </w:pPr>
            <w:r w:rsidRPr="003372AA">
              <w:rPr>
                <w:rFonts w:ascii="Arial" w:hAnsi="Arial" w:cs="Arial"/>
                <w:b/>
                <w:bCs/>
                <w:color w:val="4E3B22"/>
              </w:rPr>
              <w:t>Segmentation Misalignment</w:t>
            </w:r>
          </w:p>
        </w:tc>
        <w:tc>
          <w:tcPr>
            <w:tcW w:w="0" w:type="auto"/>
            <w:shd w:val="clear" w:color="auto" w:fill="E5FFE5"/>
            <w:vAlign w:val="center"/>
            <w:hideMark/>
          </w:tcPr>
          <w:p w14:paraId="3C443A7F" w14:textId="73FF126A" w:rsidR="003372AA" w:rsidRPr="003372AA" w:rsidRDefault="003372AA" w:rsidP="003372AA">
            <w:pPr>
              <w:spacing w:line="360" w:lineRule="auto"/>
              <w:rPr>
                <w:rFonts w:ascii="Arial" w:hAnsi="Arial" w:cs="Arial"/>
                <w:color w:val="4E3B22"/>
              </w:rPr>
            </w:pPr>
            <w:r w:rsidRPr="003372AA">
              <w:rPr>
                <w:rFonts w:ascii="Arial" w:hAnsi="Arial" w:cs="Arial"/>
                <w:color w:val="4E3B22"/>
              </w:rPr>
              <w:t xml:space="preserve">US: behavioural </w:t>
            </w:r>
            <w:r>
              <w:rPr>
                <w:rFonts w:ascii="Arial" w:hAnsi="Arial" w:cs="Arial"/>
                <w:color w:val="4E3B22"/>
              </w:rPr>
              <w:t>and</w:t>
            </w:r>
            <w:r w:rsidRPr="003372AA">
              <w:rPr>
                <w:rFonts w:ascii="Arial" w:hAnsi="Arial" w:cs="Arial"/>
                <w:color w:val="4E3B22"/>
              </w:rPr>
              <w:t xml:space="preserve"> digital; India: socio-economic, aspirational</w:t>
            </w:r>
          </w:p>
        </w:tc>
        <w:tc>
          <w:tcPr>
            <w:tcW w:w="0" w:type="auto"/>
            <w:shd w:val="clear" w:color="auto" w:fill="E5FFE5"/>
            <w:vAlign w:val="center"/>
            <w:hideMark/>
          </w:tcPr>
          <w:p w14:paraId="2084DD80" w14:textId="37915B21" w:rsidR="003372AA" w:rsidRPr="003372AA" w:rsidRDefault="003372AA" w:rsidP="003372AA">
            <w:pPr>
              <w:spacing w:line="360" w:lineRule="auto"/>
              <w:rPr>
                <w:rFonts w:ascii="Arial" w:hAnsi="Arial" w:cs="Arial"/>
                <w:color w:val="4E3B22"/>
              </w:rPr>
            </w:pPr>
            <w:r w:rsidRPr="003372AA">
              <w:rPr>
                <w:rFonts w:ascii="Arial" w:hAnsi="Arial" w:cs="Arial"/>
                <w:color w:val="4E3B22"/>
              </w:rPr>
              <w:t xml:space="preserve">Wedel </w:t>
            </w:r>
            <w:r>
              <w:rPr>
                <w:rFonts w:ascii="Arial" w:hAnsi="Arial" w:cs="Arial"/>
                <w:color w:val="4E3B22"/>
              </w:rPr>
              <w:t>and</w:t>
            </w:r>
            <w:r w:rsidRPr="003372AA">
              <w:rPr>
                <w:rFonts w:ascii="Arial" w:hAnsi="Arial" w:cs="Arial"/>
                <w:color w:val="4E3B22"/>
              </w:rPr>
              <w:t xml:space="preserve"> Kamakura (2012); Kotler </w:t>
            </w:r>
            <w:r>
              <w:rPr>
                <w:rFonts w:ascii="Arial" w:hAnsi="Arial" w:cs="Arial"/>
                <w:color w:val="4E3B22"/>
              </w:rPr>
              <w:t>and</w:t>
            </w:r>
            <w:r w:rsidRPr="003372AA">
              <w:rPr>
                <w:rFonts w:ascii="Arial" w:hAnsi="Arial" w:cs="Arial"/>
                <w:color w:val="4E3B22"/>
              </w:rPr>
              <w:t xml:space="preserve"> Keller (2022)</w:t>
            </w:r>
          </w:p>
        </w:tc>
        <w:tc>
          <w:tcPr>
            <w:tcW w:w="0" w:type="auto"/>
            <w:shd w:val="clear" w:color="auto" w:fill="E5FFE5"/>
            <w:vAlign w:val="center"/>
            <w:hideMark/>
          </w:tcPr>
          <w:p w14:paraId="2432364B"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Introduce behavioural, occasion-based, and app-supported segmentation in India</w:t>
            </w:r>
          </w:p>
        </w:tc>
      </w:tr>
      <w:tr w:rsidR="003372AA" w:rsidRPr="003372AA" w14:paraId="1CC3B1FC" w14:textId="77777777" w:rsidTr="003372AA">
        <w:trPr>
          <w:tblCellSpacing w:w="15" w:type="dxa"/>
        </w:trPr>
        <w:tc>
          <w:tcPr>
            <w:tcW w:w="0" w:type="auto"/>
            <w:shd w:val="clear" w:color="auto" w:fill="E5FFE5"/>
            <w:vAlign w:val="center"/>
            <w:hideMark/>
          </w:tcPr>
          <w:p w14:paraId="490152A7" w14:textId="77777777" w:rsidR="003372AA" w:rsidRPr="003372AA" w:rsidRDefault="003372AA" w:rsidP="003372AA">
            <w:pPr>
              <w:spacing w:line="360" w:lineRule="auto"/>
              <w:rPr>
                <w:rFonts w:ascii="Arial" w:hAnsi="Arial" w:cs="Arial"/>
                <w:color w:val="4E3B22"/>
              </w:rPr>
            </w:pPr>
            <w:r w:rsidRPr="003372AA">
              <w:rPr>
                <w:rFonts w:ascii="Arial" w:hAnsi="Arial" w:cs="Arial"/>
                <w:b/>
                <w:bCs/>
                <w:color w:val="4E3B22"/>
              </w:rPr>
              <w:t>Local Product Fit vs Operational Complexity</w:t>
            </w:r>
          </w:p>
        </w:tc>
        <w:tc>
          <w:tcPr>
            <w:tcW w:w="0" w:type="auto"/>
            <w:shd w:val="clear" w:color="auto" w:fill="E5FFE5"/>
            <w:vAlign w:val="center"/>
            <w:hideMark/>
          </w:tcPr>
          <w:p w14:paraId="52CCB11A"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India: strong localisation (Masala Chai, regional snacks) but higher SKU complexity</w:t>
            </w:r>
          </w:p>
        </w:tc>
        <w:tc>
          <w:tcPr>
            <w:tcW w:w="0" w:type="auto"/>
            <w:shd w:val="clear" w:color="auto" w:fill="E5FFE5"/>
            <w:vAlign w:val="center"/>
            <w:hideMark/>
          </w:tcPr>
          <w:p w14:paraId="11B30385"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Visconti et al. (2020); Aaker (2009)</w:t>
            </w:r>
          </w:p>
        </w:tc>
        <w:tc>
          <w:tcPr>
            <w:tcW w:w="0" w:type="auto"/>
            <w:shd w:val="clear" w:color="auto" w:fill="E5FFE5"/>
            <w:vAlign w:val="center"/>
            <w:hideMark/>
          </w:tcPr>
          <w:p w14:paraId="1B9ACD53"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Develop regional seasonal menus + integrate supply chain with Tata for cost control</w:t>
            </w:r>
          </w:p>
        </w:tc>
      </w:tr>
      <w:tr w:rsidR="003372AA" w:rsidRPr="003372AA" w14:paraId="15C0AE65" w14:textId="77777777" w:rsidTr="003372AA">
        <w:trPr>
          <w:tblCellSpacing w:w="15" w:type="dxa"/>
        </w:trPr>
        <w:tc>
          <w:tcPr>
            <w:tcW w:w="0" w:type="auto"/>
            <w:shd w:val="clear" w:color="auto" w:fill="E5FFE5"/>
            <w:vAlign w:val="center"/>
            <w:hideMark/>
          </w:tcPr>
          <w:p w14:paraId="1A8FD94E" w14:textId="77777777" w:rsidR="003372AA" w:rsidRPr="003372AA" w:rsidRDefault="003372AA" w:rsidP="003372AA">
            <w:pPr>
              <w:spacing w:line="360" w:lineRule="auto"/>
              <w:rPr>
                <w:rFonts w:ascii="Arial" w:hAnsi="Arial" w:cs="Arial"/>
                <w:color w:val="4E3B22"/>
              </w:rPr>
            </w:pPr>
            <w:r w:rsidRPr="003372AA">
              <w:rPr>
                <w:rFonts w:ascii="Arial" w:hAnsi="Arial" w:cs="Arial"/>
                <w:b/>
                <w:bCs/>
                <w:color w:val="4E3B22"/>
              </w:rPr>
              <w:t>Digital Capability Gap</w:t>
            </w:r>
          </w:p>
        </w:tc>
        <w:tc>
          <w:tcPr>
            <w:tcW w:w="0" w:type="auto"/>
            <w:shd w:val="clear" w:color="auto" w:fill="E5FFE5"/>
            <w:vAlign w:val="center"/>
            <w:hideMark/>
          </w:tcPr>
          <w:p w14:paraId="1B904720" w14:textId="164E8AC3" w:rsidR="003372AA" w:rsidRPr="003372AA" w:rsidRDefault="003372AA" w:rsidP="003372AA">
            <w:pPr>
              <w:spacing w:line="360" w:lineRule="auto"/>
              <w:rPr>
                <w:rFonts w:ascii="Arial" w:hAnsi="Arial" w:cs="Arial"/>
                <w:color w:val="4E3B22"/>
              </w:rPr>
            </w:pPr>
            <w:r w:rsidRPr="003372AA">
              <w:rPr>
                <w:rFonts w:ascii="Arial" w:hAnsi="Arial" w:cs="Arial"/>
                <w:color w:val="4E3B22"/>
              </w:rPr>
              <w:t>US: 34.3M Rewards members; India: 15</w:t>
            </w:r>
            <w:r w:rsidR="001551EB">
              <w:rPr>
                <w:rFonts w:ascii="Arial" w:hAnsi="Arial" w:cs="Arial"/>
                <w:color w:val="4E3B22"/>
              </w:rPr>
              <w:t>-</w:t>
            </w:r>
            <w:r w:rsidRPr="003372AA">
              <w:rPr>
                <w:rFonts w:ascii="Arial" w:hAnsi="Arial" w:cs="Arial"/>
                <w:color w:val="4E3B22"/>
              </w:rPr>
              <w:t>20% app adoption</w:t>
            </w:r>
          </w:p>
        </w:tc>
        <w:tc>
          <w:tcPr>
            <w:tcW w:w="0" w:type="auto"/>
            <w:shd w:val="clear" w:color="auto" w:fill="E5FFE5"/>
            <w:vAlign w:val="center"/>
            <w:hideMark/>
          </w:tcPr>
          <w:p w14:paraId="09055C89" w14:textId="4CD11CD8" w:rsidR="003372AA" w:rsidRPr="003372AA" w:rsidRDefault="003372AA" w:rsidP="003372AA">
            <w:pPr>
              <w:spacing w:line="360" w:lineRule="auto"/>
              <w:rPr>
                <w:rFonts w:ascii="Arial" w:hAnsi="Arial" w:cs="Arial"/>
                <w:color w:val="4E3B22"/>
              </w:rPr>
            </w:pPr>
            <w:r w:rsidRPr="003372AA">
              <w:rPr>
                <w:rFonts w:ascii="Arial" w:hAnsi="Arial" w:cs="Arial"/>
                <w:color w:val="4E3B22"/>
              </w:rPr>
              <w:t xml:space="preserve">Teece (2007); Peppers </w:t>
            </w:r>
            <w:r w:rsidR="00E309FB">
              <w:rPr>
                <w:rFonts w:ascii="Arial" w:hAnsi="Arial" w:cs="Arial"/>
                <w:color w:val="4E3B22"/>
              </w:rPr>
              <w:t>and</w:t>
            </w:r>
            <w:r w:rsidRPr="003372AA">
              <w:rPr>
                <w:rFonts w:ascii="Arial" w:hAnsi="Arial" w:cs="Arial"/>
                <w:color w:val="4E3B22"/>
              </w:rPr>
              <w:t xml:space="preserve"> Rogers (2016)</w:t>
            </w:r>
          </w:p>
        </w:tc>
        <w:tc>
          <w:tcPr>
            <w:tcW w:w="0" w:type="auto"/>
            <w:shd w:val="clear" w:color="auto" w:fill="E5FFE5"/>
            <w:vAlign w:val="center"/>
            <w:hideMark/>
          </w:tcPr>
          <w:p w14:paraId="2DBBB94E"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Introduce regional-language app, micro-rewards, mobile-only offers</w:t>
            </w:r>
          </w:p>
        </w:tc>
      </w:tr>
      <w:tr w:rsidR="003372AA" w:rsidRPr="003372AA" w14:paraId="114D72A0" w14:textId="77777777" w:rsidTr="003372AA">
        <w:trPr>
          <w:tblCellSpacing w:w="15" w:type="dxa"/>
        </w:trPr>
        <w:tc>
          <w:tcPr>
            <w:tcW w:w="0" w:type="auto"/>
            <w:shd w:val="clear" w:color="auto" w:fill="E5FFE5"/>
            <w:vAlign w:val="center"/>
            <w:hideMark/>
          </w:tcPr>
          <w:p w14:paraId="1BEF0FFE" w14:textId="77777777" w:rsidR="003372AA" w:rsidRPr="003372AA" w:rsidRDefault="003372AA" w:rsidP="003372AA">
            <w:pPr>
              <w:spacing w:line="360" w:lineRule="auto"/>
              <w:rPr>
                <w:rFonts w:ascii="Arial" w:hAnsi="Arial" w:cs="Arial"/>
                <w:color w:val="4E3B22"/>
              </w:rPr>
            </w:pPr>
            <w:r w:rsidRPr="003372AA">
              <w:rPr>
                <w:rFonts w:ascii="Arial" w:hAnsi="Arial" w:cs="Arial"/>
                <w:b/>
                <w:bCs/>
                <w:color w:val="4E3B22"/>
              </w:rPr>
              <w:t>Price Accessibility vs Premium Positioning</w:t>
            </w:r>
          </w:p>
        </w:tc>
        <w:tc>
          <w:tcPr>
            <w:tcW w:w="0" w:type="auto"/>
            <w:shd w:val="clear" w:color="auto" w:fill="E5FFE5"/>
            <w:vAlign w:val="center"/>
            <w:hideMark/>
          </w:tcPr>
          <w:p w14:paraId="3D4538B3"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India: high price sensitivity; US: loyalty buffers elasticity</w:t>
            </w:r>
          </w:p>
        </w:tc>
        <w:tc>
          <w:tcPr>
            <w:tcW w:w="0" w:type="auto"/>
            <w:shd w:val="clear" w:color="auto" w:fill="E5FFE5"/>
            <w:vAlign w:val="center"/>
            <w:hideMark/>
          </w:tcPr>
          <w:p w14:paraId="239CF210"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Monroe (2012); Hooley et al. (2020)</w:t>
            </w:r>
          </w:p>
        </w:tc>
        <w:tc>
          <w:tcPr>
            <w:tcW w:w="0" w:type="auto"/>
            <w:shd w:val="clear" w:color="auto" w:fill="E5FFE5"/>
            <w:vAlign w:val="center"/>
            <w:hideMark/>
          </w:tcPr>
          <w:p w14:paraId="56FF0AC8" w14:textId="49443A13" w:rsidR="003372AA" w:rsidRPr="003372AA" w:rsidRDefault="003372AA" w:rsidP="003372AA">
            <w:pPr>
              <w:spacing w:line="360" w:lineRule="auto"/>
              <w:rPr>
                <w:rFonts w:ascii="Arial" w:hAnsi="Arial" w:cs="Arial"/>
                <w:color w:val="4E3B22"/>
              </w:rPr>
            </w:pPr>
            <w:r w:rsidRPr="003372AA">
              <w:rPr>
                <w:rFonts w:ascii="Arial" w:hAnsi="Arial" w:cs="Arial"/>
                <w:color w:val="4E3B22"/>
              </w:rPr>
              <w:t xml:space="preserve">Introduce smaller sizes, value bundles, </w:t>
            </w:r>
            <w:r w:rsidR="00917838">
              <w:rPr>
                <w:rFonts w:ascii="Arial" w:hAnsi="Arial" w:cs="Arial"/>
                <w:color w:val="4E3B22"/>
              </w:rPr>
              <w:t xml:space="preserve">and </w:t>
            </w:r>
            <w:r w:rsidRPr="003372AA">
              <w:rPr>
                <w:rFonts w:ascii="Arial" w:hAnsi="Arial" w:cs="Arial"/>
                <w:color w:val="4E3B22"/>
              </w:rPr>
              <w:t>off-peak pricing</w:t>
            </w:r>
          </w:p>
        </w:tc>
      </w:tr>
      <w:tr w:rsidR="003372AA" w:rsidRPr="003372AA" w14:paraId="1EF389EC" w14:textId="77777777" w:rsidTr="003372AA">
        <w:trPr>
          <w:tblCellSpacing w:w="15" w:type="dxa"/>
        </w:trPr>
        <w:tc>
          <w:tcPr>
            <w:tcW w:w="0" w:type="auto"/>
            <w:shd w:val="clear" w:color="auto" w:fill="E5FFE5"/>
            <w:vAlign w:val="center"/>
            <w:hideMark/>
          </w:tcPr>
          <w:p w14:paraId="6333210A" w14:textId="5E00238A" w:rsidR="003372AA" w:rsidRPr="003372AA" w:rsidRDefault="003372AA" w:rsidP="003372AA">
            <w:pPr>
              <w:spacing w:line="360" w:lineRule="auto"/>
              <w:rPr>
                <w:rFonts w:ascii="Arial" w:hAnsi="Arial" w:cs="Arial"/>
                <w:color w:val="4E3B22"/>
              </w:rPr>
            </w:pPr>
            <w:r w:rsidRPr="003372AA">
              <w:rPr>
                <w:rFonts w:ascii="Arial" w:hAnsi="Arial" w:cs="Arial"/>
                <w:b/>
                <w:bCs/>
                <w:color w:val="4E3B22"/>
              </w:rPr>
              <w:t xml:space="preserve">CSR Asymmetry </w:t>
            </w:r>
            <w:r w:rsidR="00E309FB">
              <w:rPr>
                <w:rFonts w:ascii="Arial" w:hAnsi="Arial" w:cs="Arial"/>
                <w:b/>
                <w:bCs/>
                <w:color w:val="4E3B22"/>
              </w:rPr>
              <w:t>and</w:t>
            </w:r>
            <w:r w:rsidRPr="003372AA">
              <w:rPr>
                <w:rFonts w:ascii="Arial" w:hAnsi="Arial" w:cs="Arial"/>
                <w:b/>
                <w:bCs/>
                <w:color w:val="4E3B22"/>
              </w:rPr>
              <w:t xml:space="preserve"> Reporting Gaps</w:t>
            </w:r>
          </w:p>
        </w:tc>
        <w:tc>
          <w:tcPr>
            <w:tcW w:w="0" w:type="auto"/>
            <w:shd w:val="clear" w:color="auto" w:fill="E5FFE5"/>
            <w:vAlign w:val="center"/>
            <w:hideMark/>
          </w:tcPr>
          <w:p w14:paraId="3B877053"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US: KPI-driven ESG reports; India: limited environmental/labour KPIs</w:t>
            </w:r>
          </w:p>
        </w:tc>
        <w:tc>
          <w:tcPr>
            <w:tcW w:w="0" w:type="auto"/>
            <w:shd w:val="clear" w:color="auto" w:fill="E5FFE5"/>
            <w:vAlign w:val="center"/>
            <w:hideMark/>
          </w:tcPr>
          <w:p w14:paraId="55ECE503"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Carroll (1999); Elkington (1997); Visconti (2020)</w:t>
            </w:r>
          </w:p>
        </w:tc>
        <w:tc>
          <w:tcPr>
            <w:tcW w:w="0" w:type="auto"/>
            <w:shd w:val="clear" w:color="auto" w:fill="E5FFE5"/>
            <w:vAlign w:val="center"/>
            <w:hideMark/>
          </w:tcPr>
          <w:p w14:paraId="7C1A7B27" w14:textId="77777777" w:rsidR="003372AA" w:rsidRPr="003372AA" w:rsidRDefault="003372AA" w:rsidP="003372AA">
            <w:pPr>
              <w:spacing w:line="360" w:lineRule="auto"/>
              <w:rPr>
                <w:rFonts w:ascii="Arial" w:hAnsi="Arial" w:cs="Arial"/>
                <w:color w:val="4E3B22"/>
              </w:rPr>
            </w:pPr>
            <w:r w:rsidRPr="003372AA">
              <w:rPr>
                <w:rFonts w:ascii="Arial" w:hAnsi="Arial" w:cs="Arial"/>
                <w:color w:val="4E3B22"/>
              </w:rPr>
              <w:t>Publish local ESG indicators; expand community-based CSR</w:t>
            </w:r>
          </w:p>
        </w:tc>
      </w:tr>
    </w:tbl>
    <w:p w14:paraId="78A1BA78" w14:textId="24192DC7" w:rsidR="003372AA" w:rsidRPr="002066C3" w:rsidRDefault="002066C3" w:rsidP="00486094">
      <w:pPr>
        <w:spacing w:line="360" w:lineRule="auto"/>
        <w:rPr>
          <w:rFonts w:ascii="Arial" w:hAnsi="Arial" w:cs="Arial"/>
          <w:color w:val="4E3B22"/>
        </w:rPr>
      </w:pPr>
      <w:r w:rsidRPr="002066C3">
        <w:rPr>
          <w:rFonts w:ascii="Arial" w:hAnsi="Arial" w:cs="Arial"/>
          <w:color w:val="4E3B22"/>
        </w:rPr>
        <w:t>Source: Adapted from analysis based on Starbucks Annual Report (2024), Tata Starbucks (2024), Kotler and Keller (2022), Czinkota et al. (2022), Visconti et al. (2020), Carroll (1999), Elkington (1997).</w:t>
      </w:r>
    </w:p>
    <w:sectPr w:rsidR="003372AA" w:rsidRPr="002066C3" w:rsidSect="00A75775">
      <w:footerReference w:type="default" r:id="rId20"/>
      <w:pgSz w:w="12240" w:h="15840"/>
      <w:pgMar w:top="1440" w:right="1440" w:bottom="1440" w:left="1440" w:header="720" w:footer="720" w:gutter="0"/>
      <w:pgBorders w:display="firstPage" w:offsetFrom="page">
        <w:top w:val="single" w:sz="4" w:space="24" w:color="295541"/>
        <w:left w:val="single" w:sz="4" w:space="24" w:color="295541"/>
        <w:bottom w:val="single" w:sz="4" w:space="24" w:color="295541"/>
        <w:right w:val="single" w:sz="4" w:space="24" w:color="29554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5AFDB" w14:textId="77777777" w:rsidR="00B714D2" w:rsidRPr="00486094" w:rsidRDefault="00B714D2" w:rsidP="00091AF5">
      <w:pPr>
        <w:spacing w:after="0" w:line="240" w:lineRule="auto"/>
      </w:pPr>
      <w:r w:rsidRPr="00486094">
        <w:separator/>
      </w:r>
    </w:p>
  </w:endnote>
  <w:endnote w:type="continuationSeparator" w:id="0">
    <w:p w14:paraId="4659A3D5" w14:textId="77777777" w:rsidR="00B714D2" w:rsidRPr="00486094" w:rsidRDefault="00B714D2" w:rsidP="00091AF5">
      <w:pPr>
        <w:spacing w:after="0" w:line="240" w:lineRule="auto"/>
      </w:pPr>
      <w:r w:rsidRPr="0048609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7765358"/>
      <w:docPartObj>
        <w:docPartGallery w:val="Page Numbers (Bottom of Page)"/>
        <w:docPartUnique/>
      </w:docPartObj>
    </w:sdtPr>
    <w:sdtEndPr>
      <w:rPr>
        <w:noProof/>
      </w:rPr>
    </w:sdtEndPr>
    <w:sdtContent>
      <w:p w14:paraId="19FFAE3D" w14:textId="38B354B0" w:rsidR="00D761C9" w:rsidRDefault="00D761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1EF108" w14:textId="5A117CDA" w:rsidR="00091AF5" w:rsidRPr="00486094" w:rsidRDefault="00091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9C85E" w14:textId="77777777" w:rsidR="00B714D2" w:rsidRPr="00486094" w:rsidRDefault="00B714D2" w:rsidP="00091AF5">
      <w:pPr>
        <w:spacing w:after="0" w:line="240" w:lineRule="auto"/>
      </w:pPr>
      <w:r w:rsidRPr="00486094">
        <w:separator/>
      </w:r>
    </w:p>
  </w:footnote>
  <w:footnote w:type="continuationSeparator" w:id="0">
    <w:p w14:paraId="39013537" w14:textId="77777777" w:rsidR="00B714D2" w:rsidRPr="00486094" w:rsidRDefault="00B714D2" w:rsidP="00091AF5">
      <w:pPr>
        <w:spacing w:after="0" w:line="240" w:lineRule="auto"/>
      </w:pPr>
      <w:r w:rsidRPr="0048609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B3C30"/>
    <w:multiLevelType w:val="multilevel"/>
    <w:tmpl w:val="96F4B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3725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isplayBackgroundShape/>
  <w:defaultTabStop w:val="720"/>
  <w:hyphenationZone w:val="425"/>
  <w:characterSpacingControl w:val="doNotCompress"/>
  <w:hdrShapeDefaults>
    <o:shapedefaults v:ext="edit" spidmax="2050">
      <o:colormru v:ext="edit" colors="#f4eae4,#f2fcf3,#eafaec,#fcfefc,#f6fcf6,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818"/>
    <w:rsid w:val="00023FAF"/>
    <w:rsid w:val="00040217"/>
    <w:rsid w:val="0004092E"/>
    <w:rsid w:val="000432EE"/>
    <w:rsid w:val="000800EA"/>
    <w:rsid w:val="00085019"/>
    <w:rsid w:val="00091AF5"/>
    <w:rsid w:val="000A02FB"/>
    <w:rsid w:val="000B3B8E"/>
    <w:rsid w:val="000E0D3E"/>
    <w:rsid w:val="000E6648"/>
    <w:rsid w:val="00121C74"/>
    <w:rsid w:val="00126ADE"/>
    <w:rsid w:val="00152824"/>
    <w:rsid w:val="001551EB"/>
    <w:rsid w:val="001765F3"/>
    <w:rsid w:val="00185110"/>
    <w:rsid w:val="001A2E2D"/>
    <w:rsid w:val="001A4936"/>
    <w:rsid w:val="001C11A8"/>
    <w:rsid w:val="001D53E4"/>
    <w:rsid w:val="001D7777"/>
    <w:rsid w:val="00201FE3"/>
    <w:rsid w:val="002066C3"/>
    <w:rsid w:val="0022335B"/>
    <w:rsid w:val="00226357"/>
    <w:rsid w:val="00247CF3"/>
    <w:rsid w:val="002552EC"/>
    <w:rsid w:val="00256BDA"/>
    <w:rsid w:val="002B22C6"/>
    <w:rsid w:val="002B359B"/>
    <w:rsid w:val="002B5BBF"/>
    <w:rsid w:val="00333509"/>
    <w:rsid w:val="003372AA"/>
    <w:rsid w:val="00346DED"/>
    <w:rsid w:val="00387DE9"/>
    <w:rsid w:val="003979BE"/>
    <w:rsid w:val="003D5B5B"/>
    <w:rsid w:val="003F7B21"/>
    <w:rsid w:val="004147D6"/>
    <w:rsid w:val="00427FD9"/>
    <w:rsid w:val="004406B1"/>
    <w:rsid w:val="004414F9"/>
    <w:rsid w:val="00466BFF"/>
    <w:rsid w:val="00472F42"/>
    <w:rsid w:val="00474FC7"/>
    <w:rsid w:val="004853D1"/>
    <w:rsid w:val="00486094"/>
    <w:rsid w:val="00492A58"/>
    <w:rsid w:val="00494AC5"/>
    <w:rsid w:val="004A7240"/>
    <w:rsid w:val="004C123B"/>
    <w:rsid w:val="0056480E"/>
    <w:rsid w:val="0057268C"/>
    <w:rsid w:val="005A1B37"/>
    <w:rsid w:val="005C2FD4"/>
    <w:rsid w:val="005D3175"/>
    <w:rsid w:val="00603AA6"/>
    <w:rsid w:val="006163EC"/>
    <w:rsid w:val="00621722"/>
    <w:rsid w:val="00624377"/>
    <w:rsid w:val="006474E3"/>
    <w:rsid w:val="0066043C"/>
    <w:rsid w:val="00660DAA"/>
    <w:rsid w:val="00663380"/>
    <w:rsid w:val="00677050"/>
    <w:rsid w:val="00680113"/>
    <w:rsid w:val="00695ED3"/>
    <w:rsid w:val="006A039A"/>
    <w:rsid w:val="006A14C0"/>
    <w:rsid w:val="006A418C"/>
    <w:rsid w:val="006B02D0"/>
    <w:rsid w:val="006E28B9"/>
    <w:rsid w:val="00700602"/>
    <w:rsid w:val="00710642"/>
    <w:rsid w:val="007268B0"/>
    <w:rsid w:val="00730478"/>
    <w:rsid w:val="00755074"/>
    <w:rsid w:val="00756053"/>
    <w:rsid w:val="00787981"/>
    <w:rsid w:val="007A1D18"/>
    <w:rsid w:val="007A6A1B"/>
    <w:rsid w:val="007C424D"/>
    <w:rsid w:val="007C79DC"/>
    <w:rsid w:val="007D0424"/>
    <w:rsid w:val="007F360E"/>
    <w:rsid w:val="007F55B4"/>
    <w:rsid w:val="007F55D7"/>
    <w:rsid w:val="00862A40"/>
    <w:rsid w:val="008710E8"/>
    <w:rsid w:val="00874D12"/>
    <w:rsid w:val="008A7F0D"/>
    <w:rsid w:val="008B5E30"/>
    <w:rsid w:val="008D12EE"/>
    <w:rsid w:val="008D72FD"/>
    <w:rsid w:val="008E51A1"/>
    <w:rsid w:val="008E642F"/>
    <w:rsid w:val="008F23BC"/>
    <w:rsid w:val="008F7159"/>
    <w:rsid w:val="00906758"/>
    <w:rsid w:val="00912EED"/>
    <w:rsid w:val="00916C38"/>
    <w:rsid w:val="00917838"/>
    <w:rsid w:val="00932EDA"/>
    <w:rsid w:val="00933509"/>
    <w:rsid w:val="00943187"/>
    <w:rsid w:val="009646E3"/>
    <w:rsid w:val="00965A74"/>
    <w:rsid w:val="009757E9"/>
    <w:rsid w:val="009A34E3"/>
    <w:rsid w:val="009A618C"/>
    <w:rsid w:val="009D024A"/>
    <w:rsid w:val="009F2ABF"/>
    <w:rsid w:val="00A14835"/>
    <w:rsid w:val="00A204D6"/>
    <w:rsid w:val="00A24E4B"/>
    <w:rsid w:val="00A25C19"/>
    <w:rsid w:val="00A36BD0"/>
    <w:rsid w:val="00A36CED"/>
    <w:rsid w:val="00A37C6C"/>
    <w:rsid w:val="00A51C30"/>
    <w:rsid w:val="00A63277"/>
    <w:rsid w:val="00A64A4D"/>
    <w:rsid w:val="00A66CE9"/>
    <w:rsid w:val="00A75775"/>
    <w:rsid w:val="00A96B95"/>
    <w:rsid w:val="00AE31EA"/>
    <w:rsid w:val="00B14999"/>
    <w:rsid w:val="00B15688"/>
    <w:rsid w:val="00B31297"/>
    <w:rsid w:val="00B32E5E"/>
    <w:rsid w:val="00B714D2"/>
    <w:rsid w:val="00B73C63"/>
    <w:rsid w:val="00B9143E"/>
    <w:rsid w:val="00BA6000"/>
    <w:rsid w:val="00BB5340"/>
    <w:rsid w:val="00BD3D93"/>
    <w:rsid w:val="00BE6E97"/>
    <w:rsid w:val="00C463AD"/>
    <w:rsid w:val="00C60EB4"/>
    <w:rsid w:val="00C62C17"/>
    <w:rsid w:val="00C83DA2"/>
    <w:rsid w:val="00CA3165"/>
    <w:rsid w:val="00CA6403"/>
    <w:rsid w:val="00CB13AF"/>
    <w:rsid w:val="00CC07D7"/>
    <w:rsid w:val="00CD00A7"/>
    <w:rsid w:val="00CD1529"/>
    <w:rsid w:val="00CD6BD9"/>
    <w:rsid w:val="00D04837"/>
    <w:rsid w:val="00D10647"/>
    <w:rsid w:val="00D3312D"/>
    <w:rsid w:val="00D34A7B"/>
    <w:rsid w:val="00D54C5D"/>
    <w:rsid w:val="00D761C9"/>
    <w:rsid w:val="00D762D9"/>
    <w:rsid w:val="00D811E1"/>
    <w:rsid w:val="00DA2109"/>
    <w:rsid w:val="00DB63BC"/>
    <w:rsid w:val="00DD387C"/>
    <w:rsid w:val="00E0136C"/>
    <w:rsid w:val="00E06B8C"/>
    <w:rsid w:val="00E11052"/>
    <w:rsid w:val="00E15774"/>
    <w:rsid w:val="00E309FB"/>
    <w:rsid w:val="00E467BC"/>
    <w:rsid w:val="00E64818"/>
    <w:rsid w:val="00E707A3"/>
    <w:rsid w:val="00E74516"/>
    <w:rsid w:val="00E76DEB"/>
    <w:rsid w:val="00E91E44"/>
    <w:rsid w:val="00EC06D9"/>
    <w:rsid w:val="00EE1E55"/>
    <w:rsid w:val="00F244F4"/>
    <w:rsid w:val="00F63417"/>
    <w:rsid w:val="00F80F0A"/>
    <w:rsid w:val="00F9436A"/>
    <w:rsid w:val="00FA6545"/>
    <w:rsid w:val="00FB6220"/>
    <w:rsid w:val="00FC78E6"/>
    <w:rsid w:val="00FD33E6"/>
    <w:rsid w:val="00FE75E4"/>
    <w:rsid w:val="00FF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4eae4,#f2fcf3,#eafaec,#fcfefc,#f6fcf6,white"/>
    </o:shapedefaults>
    <o:shapelayout v:ext="edit">
      <o:idmap v:ext="edit" data="2"/>
    </o:shapelayout>
  </w:shapeDefaults>
  <w:decimalSymbol w:val="."/>
  <w:listSeparator w:val=","/>
  <w14:docId w14:val="69FF69F3"/>
  <w15:chartTrackingRefBased/>
  <w15:docId w15:val="{CB259048-BCB3-4B4D-A8A3-603438C2B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64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81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E6481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6481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6481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6481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6481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6481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6481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6481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64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81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64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81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64818"/>
    <w:pPr>
      <w:spacing w:before="160"/>
      <w:jc w:val="center"/>
    </w:pPr>
    <w:rPr>
      <w:i/>
      <w:iCs/>
      <w:color w:val="404040" w:themeColor="text1" w:themeTint="BF"/>
    </w:rPr>
  </w:style>
  <w:style w:type="character" w:customStyle="1" w:styleId="QuoteChar">
    <w:name w:val="Quote Char"/>
    <w:basedOn w:val="DefaultParagraphFont"/>
    <w:link w:val="Quote"/>
    <w:uiPriority w:val="29"/>
    <w:rsid w:val="00E64818"/>
    <w:rPr>
      <w:i/>
      <w:iCs/>
      <w:color w:val="404040" w:themeColor="text1" w:themeTint="BF"/>
      <w:lang w:val="en-GB"/>
    </w:rPr>
  </w:style>
  <w:style w:type="paragraph" w:styleId="ListParagraph">
    <w:name w:val="List Paragraph"/>
    <w:basedOn w:val="Normal"/>
    <w:uiPriority w:val="34"/>
    <w:qFormat/>
    <w:rsid w:val="00E64818"/>
    <w:pPr>
      <w:ind w:left="720"/>
      <w:contextualSpacing/>
    </w:pPr>
  </w:style>
  <w:style w:type="character" w:styleId="IntenseEmphasis">
    <w:name w:val="Intense Emphasis"/>
    <w:basedOn w:val="DefaultParagraphFont"/>
    <w:uiPriority w:val="21"/>
    <w:qFormat/>
    <w:rsid w:val="00E64818"/>
    <w:rPr>
      <w:i/>
      <w:iCs/>
      <w:color w:val="0F4761" w:themeColor="accent1" w:themeShade="BF"/>
    </w:rPr>
  </w:style>
  <w:style w:type="paragraph" w:styleId="IntenseQuote">
    <w:name w:val="Intense Quote"/>
    <w:basedOn w:val="Normal"/>
    <w:next w:val="Normal"/>
    <w:link w:val="IntenseQuoteChar"/>
    <w:uiPriority w:val="30"/>
    <w:qFormat/>
    <w:rsid w:val="00E64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818"/>
    <w:rPr>
      <w:i/>
      <w:iCs/>
      <w:color w:val="0F4761" w:themeColor="accent1" w:themeShade="BF"/>
      <w:lang w:val="en-GB"/>
    </w:rPr>
  </w:style>
  <w:style w:type="character" w:styleId="IntenseReference">
    <w:name w:val="Intense Reference"/>
    <w:basedOn w:val="DefaultParagraphFont"/>
    <w:uiPriority w:val="32"/>
    <w:qFormat/>
    <w:rsid w:val="00E64818"/>
    <w:rPr>
      <w:b/>
      <w:bCs/>
      <w:smallCaps/>
      <w:color w:val="0F4761" w:themeColor="accent1" w:themeShade="BF"/>
      <w:spacing w:val="5"/>
    </w:rPr>
  </w:style>
  <w:style w:type="paragraph" w:styleId="TOCHeading">
    <w:name w:val="TOC Heading"/>
    <w:basedOn w:val="Heading1"/>
    <w:next w:val="Normal"/>
    <w:uiPriority w:val="39"/>
    <w:unhideWhenUsed/>
    <w:qFormat/>
    <w:rsid w:val="00091AF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91AF5"/>
    <w:pPr>
      <w:spacing w:after="100"/>
    </w:pPr>
  </w:style>
  <w:style w:type="character" w:styleId="Hyperlink">
    <w:name w:val="Hyperlink"/>
    <w:basedOn w:val="DefaultParagraphFont"/>
    <w:uiPriority w:val="99"/>
    <w:unhideWhenUsed/>
    <w:rsid w:val="00091AF5"/>
    <w:rPr>
      <w:color w:val="467886" w:themeColor="hyperlink"/>
      <w:u w:val="single"/>
    </w:rPr>
  </w:style>
  <w:style w:type="paragraph" w:styleId="Header">
    <w:name w:val="header"/>
    <w:basedOn w:val="Normal"/>
    <w:link w:val="HeaderChar"/>
    <w:uiPriority w:val="99"/>
    <w:unhideWhenUsed/>
    <w:rsid w:val="00091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AF5"/>
    <w:rPr>
      <w:lang w:val="en-GB"/>
    </w:rPr>
  </w:style>
  <w:style w:type="paragraph" w:styleId="Footer">
    <w:name w:val="footer"/>
    <w:basedOn w:val="Normal"/>
    <w:link w:val="FooterChar"/>
    <w:uiPriority w:val="99"/>
    <w:unhideWhenUsed/>
    <w:rsid w:val="00091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AF5"/>
    <w:rPr>
      <w:lang w:val="en-GB"/>
    </w:rPr>
  </w:style>
  <w:style w:type="character" w:styleId="UnresolvedMention">
    <w:name w:val="Unresolved Mention"/>
    <w:basedOn w:val="DefaultParagraphFont"/>
    <w:uiPriority w:val="99"/>
    <w:semiHidden/>
    <w:unhideWhenUsed/>
    <w:rsid w:val="00247CF3"/>
    <w:rPr>
      <w:color w:val="605E5C"/>
      <w:shd w:val="clear" w:color="auto" w:fill="E1DFDD"/>
    </w:rPr>
  </w:style>
  <w:style w:type="paragraph" w:styleId="TOC2">
    <w:name w:val="toc 2"/>
    <w:basedOn w:val="Normal"/>
    <w:next w:val="Normal"/>
    <w:autoRedefine/>
    <w:uiPriority w:val="39"/>
    <w:unhideWhenUsed/>
    <w:rsid w:val="00B149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starbucks.in/about-us%2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tatacoffee.com/sustainability" TargetMode="External"/><Relationship Id="rId2" Type="http://schemas.openxmlformats.org/officeDocument/2006/relationships/numbering" Target="numbering.xml"/><Relationship Id="rId16" Type="http://schemas.openxmlformats.org/officeDocument/2006/relationships/hyperlink" Target="https://investor.starbucks.com/financial-data/annual-reports/default.asp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hindustantimes.com" TargetMode="External"/><Relationship Id="rId10" Type="http://schemas.openxmlformats.org/officeDocument/2006/relationships/image" Target="media/image2.png"/><Relationship Id="rId19" Type="http://schemas.openxmlformats.org/officeDocument/2006/relationships/hyperlink" Target="https://databank.worldbank.org/source/world-development-indicator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STP_Comparison__USA_vs_India.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radarChart>
        <c:radarStyle val="marker"/>
        <c:varyColors val="0"/>
        <c:ser>
          <c:idx val="0"/>
          <c:order val="0"/>
          <c:tx>
            <c:strRef>
              <c:f>STP_Comparison__USA_vs_India!$B$1</c:f>
              <c:strCache>
                <c:ptCount val="1"/>
                <c:pt idx="0">
                  <c:v>USA</c:v>
                </c:pt>
              </c:strCache>
            </c:strRef>
          </c:tx>
          <c:spPr>
            <a:ln w="28575" cap="rnd">
              <a:solidFill>
                <a:schemeClr val="accent3">
                  <a:lumMod val="75000"/>
                </a:schemeClr>
              </a:solidFill>
              <a:round/>
            </a:ln>
            <a:effectLst/>
          </c:spPr>
          <c:marker>
            <c:symbol val="circle"/>
            <c:size val="5"/>
            <c:spPr>
              <a:solidFill>
                <a:schemeClr val="accent1"/>
              </a:solidFill>
              <a:ln w="9525">
                <a:solidFill>
                  <a:schemeClr val="accent1"/>
                </a:solidFill>
              </a:ln>
              <a:effectLst/>
            </c:spPr>
          </c:marker>
          <c:cat>
            <c:strRef>
              <c:f>STP_Comparison__USA_vs_India!$A$2:$A$8</c:f>
              <c:strCache>
                <c:ptCount val="7"/>
                <c:pt idx="0">
                  <c:v>Product</c:v>
                </c:pt>
                <c:pt idx="1">
                  <c:v>Price</c:v>
                </c:pt>
                <c:pt idx="2">
                  <c:v>Place</c:v>
                </c:pt>
                <c:pt idx="3">
                  <c:v>Promotion</c:v>
                </c:pt>
                <c:pt idx="4">
                  <c:v>People</c:v>
                </c:pt>
                <c:pt idx="5">
                  <c:v>Process</c:v>
                </c:pt>
                <c:pt idx="6">
                  <c:v>Physical Evidence</c:v>
                </c:pt>
              </c:strCache>
            </c:strRef>
          </c:cat>
          <c:val>
            <c:numRef>
              <c:f>STP_Comparison__USA_vs_India!$B$2:$B$8</c:f>
              <c:numCache>
                <c:formatCode>General</c:formatCode>
                <c:ptCount val="7"/>
                <c:pt idx="0">
                  <c:v>2</c:v>
                </c:pt>
                <c:pt idx="1">
                  <c:v>2</c:v>
                </c:pt>
                <c:pt idx="2">
                  <c:v>2</c:v>
                </c:pt>
                <c:pt idx="3">
                  <c:v>2</c:v>
                </c:pt>
                <c:pt idx="4">
                  <c:v>3</c:v>
                </c:pt>
                <c:pt idx="5">
                  <c:v>2</c:v>
                </c:pt>
                <c:pt idx="6">
                  <c:v>2</c:v>
                </c:pt>
              </c:numCache>
            </c:numRef>
          </c:val>
          <c:extLst>
            <c:ext xmlns:c16="http://schemas.microsoft.com/office/drawing/2014/chart" uri="{C3380CC4-5D6E-409C-BE32-E72D297353CC}">
              <c16:uniqueId val="{00000000-7030-4A83-B77A-81BC35C80E8F}"/>
            </c:ext>
          </c:extLst>
        </c:ser>
        <c:ser>
          <c:idx val="1"/>
          <c:order val="1"/>
          <c:tx>
            <c:strRef>
              <c:f>STP_Comparison__USA_vs_India!$C$1</c:f>
              <c:strCache>
                <c:ptCount val="1"/>
                <c:pt idx="0">
                  <c:v>India</c:v>
                </c:pt>
              </c:strCache>
            </c:strRef>
          </c:tx>
          <c:spPr>
            <a:ln w="28575" cap="rnd">
              <a:solidFill>
                <a:srgbClr val="49D356"/>
              </a:solidFill>
              <a:round/>
            </a:ln>
            <a:effectLst/>
          </c:spPr>
          <c:marker>
            <c:symbol val="circle"/>
            <c:size val="5"/>
            <c:spPr>
              <a:solidFill>
                <a:srgbClr val="49D356">
                  <a:alpha val="95000"/>
                </a:srgbClr>
              </a:solidFill>
              <a:ln w="9525">
                <a:solidFill>
                  <a:schemeClr val="accent2"/>
                </a:solidFill>
              </a:ln>
              <a:effectLst/>
            </c:spPr>
          </c:marker>
          <c:cat>
            <c:strRef>
              <c:f>STP_Comparison__USA_vs_India!$A$2:$A$8</c:f>
              <c:strCache>
                <c:ptCount val="7"/>
                <c:pt idx="0">
                  <c:v>Product</c:v>
                </c:pt>
                <c:pt idx="1">
                  <c:v>Price</c:v>
                </c:pt>
                <c:pt idx="2">
                  <c:v>Place</c:v>
                </c:pt>
                <c:pt idx="3">
                  <c:v>Promotion</c:v>
                </c:pt>
                <c:pt idx="4">
                  <c:v>People</c:v>
                </c:pt>
                <c:pt idx="5">
                  <c:v>Process</c:v>
                </c:pt>
                <c:pt idx="6">
                  <c:v>Physical Evidence</c:v>
                </c:pt>
              </c:strCache>
            </c:strRef>
          </c:cat>
          <c:val>
            <c:numRef>
              <c:f>STP_Comparison__USA_vs_India!$C$2:$C$8</c:f>
              <c:numCache>
                <c:formatCode>General</c:formatCode>
                <c:ptCount val="7"/>
                <c:pt idx="0">
                  <c:v>4</c:v>
                </c:pt>
                <c:pt idx="1">
                  <c:v>3</c:v>
                </c:pt>
                <c:pt idx="2">
                  <c:v>3</c:v>
                </c:pt>
                <c:pt idx="3">
                  <c:v>4</c:v>
                </c:pt>
                <c:pt idx="4">
                  <c:v>4</c:v>
                </c:pt>
                <c:pt idx="5">
                  <c:v>3</c:v>
                </c:pt>
                <c:pt idx="6">
                  <c:v>4</c:v>
                </c:pt>
              </c:numCache>
            </c:numRef>
          </c:val>
          <c:extLst>
            <c:ext xmlns:c16="http://schemas.microsoft.com/office/drawing/2014/chart" uri="{C3380CC4-5D6E-409C-BE32-E72D297353CC}">
              <c16:uniqueId val="{00000001-7030-4A83-B77A-81BC35C80E8F}"/>
            </c:ext>
          </c:extLst>
        </c:ser>
        <c:dLbls>
          <c:showLegendKey val="0"/>
          <c:showVal val="0"/>
          <c:showCatName val="0"/>
          <c:showSerName val="0"/>
          <c:showPercent val="0"/>
          <c:showBubbleSize val="0"/>
        </c:dLbls>
        <c:axId val="901066671"/>
        <c:axId val="901064271"/>
      </c:radarChart>
      <c:catAx>
        <c:axId val="901066671"/>
        <c:scaling>
          <c:orientation val="minMax"/>
        </c:scaling>
        <c:delete val="0"/>
        <c:axPos val="b"/>
        <c:numFmt formatCode="General" sourceLinked="1"/>
        <c:majorTickMark val="none"/>
        <c:minorTickMark val="none"/>
        <c:tickLblPos val="nextTo"/>
        <c:spPr>
          <a:solidFill>
            <a:srgbClr val="DAF6DD"/>
          </a:solid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rgbClr val="07230C"/>
                </a:solidFill>
                <a:latin typeface="+mn-lt"/>
                <a:ea typeface="+mn-ea"/>
                <a:cs typeface="+mn-cs"/>
              </a:defRPr>
            </a:pPr>
            <a:endParaRPr lang="bg-BG"/>
          </a:p>
        </c:txPr>
        <c:crossAx val="901064271"/>
        <c:crosses val="autoZero"/>
        <c:auto val="1"/>
        <c:lblAlgn val="ctr"/>
        <c:lblOffset val="100"/>
        <c:noMultiLvlLbl val="0"/>
      </c:catAx>
      <c:valAx>
        <c:axId val="901064271"/>
        <c:scaling>
          <c:orientation val="minMax"/>
          <c:max val="5"/>
          <c:min val="1"/>
        </c:scaling>
        <c:delete val="0"/>
        <c:axPos val="l"/>
        <c:majorGridlines>
          <c:spPr>
            <a:ln w="9525" cap="flat" cmpd="sng" algn="ctr">
              <a:solidFill>
                <a:srgbClr val="156923"/>
              </a:solidFill>
              <a:round/>
            </a:ln>
            <a:effectLst/>
          </c:spPr>
        </c:majorGridlines>
        <c:numFmt formatCode="General" sourceLinked="1"/>
        <c:majorTickMark val="none"/>
        <c:minorTickMark val="none"/>
        <c:tickLblPos val="nextTo"/>
        <c:spPr>
          <a:noFill/>
          <a:ln>
            <a:solidFill>
              <a:schemeClr val="accent3">
                <a:lumMod val="75000"/>
                <a:alpha val="83000"/>
              </a:schemeClr>
            </a:solidFill>
          </a:ln>
          <a:effectLst/>
        </c:spPr>
        <c:txPr>
          <a:bodyPr rot="-60000000" spcFirstLastPara="1" vertOverflow="ellipsis" vert="horz" wrap="square" anchor="ctr" anchorCtr="1"/>
          <a:lstStyle/>
          <a:p>
            <a:pPr>
              <a:defRPr sz="900" b="0" i="0" u="none" strike="noStrike" kern="1200" baseline="0">
                <a:solidFill>
                  <a:srgbClr val="07230C"/>
                </a:solidFill>
                <a:latin typeface="+mn-lt"/>
                <a:ea typeface="+mn-ea"/>
                <a:cs typeface="+mn-cs"/>
              </a:defRPr>
            </a:pPr>
            <a:endParaRPr lang="bg-BG"/>
          </a:p>
        </c:txPr>
        <c:crossAx val="901066671"/>
        <c:crosses val="autoZero"/>
        <c:crossBetween val="between"/>
        <c:majorUnit val="1"/>
      </c:valAx>
      <c:spPr>
        <a:noFill/>
        <a:ln>
          <a:noFill/>
        </a:ln>
        <a:effectLst/>
      </c:spPr>
    </c:plotArea>
    <c:legend>
      <c:legendPos val="t"/>
      <c:overlay val="0"/>
      <c:spPr>
        <a:solidFill>
          <a:srgbClr val="DAF6DD"/>
        </a:solidFill>
        <a:ln>
          <a:solidFill>
            <a:srgbClr val="49D356"/>
          </a:solidFill>
        </a:ln>
        <a:effectLst/>
      </c:spPr>
      <c:txPr>
        <a:bodyPr rot="0" spcFirstLastPara="1" vertOverflow="ellipsis" vert="horz" wrap="square" anchor="ctr" anchorCtr="1"/>
        <a:lstStyle/>
        <a:p>
          <a:pPr>
            <a:defRPr sz="900" b="0" i="0" u="none" strike="noStrike" kern="1200" baseline="0">
              <a:solidFill>
                <a:srgbClr val="07230C"/>
              </a:solidFill>
              <a:latin typeface="+mn-lt"/>
              <a:ea typeface="+mn-ea"/>
              <a:cs typeface="+mn-cs"/>
            </a:defRPr>
          </a:pPr>
          <a:endParaRPr lang="bg-BG"/>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rgbClr val="EAFAEC"/>
    </a:solidFill>
    <a:ln w="9525" cap="flat" cmpd="sng" algn="ctr">
      <a:solidFill>
        <a:srgbClr val="07230C"/>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4BEAF-124D-4603-BD9F-0A63BB19B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7251</Words>
  <Characters>51723</Characters>
  <Application>Microsoft Office Word</Application>
  <DocSecurity>0</DocSecurity>
  <Lines>1293</Lines>
  <Paragraphs>446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6</cp:revision>
  <dcterms:created xsi:type="dcterms:W3CDTF">2025-11-15T03:05:00Z</dcterms:created>
  <dcterms:modified xsi:type="dcterms:W3CDTF">2025-11-15T03:07:00Z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5e4abb42-e72f-4fb7-9511-a651f86b2a03</vt:lpwstr>
  </property>
</Properties>
</file>