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025E67" w:rsidRPr="00025E67" w:rsidTr="00025E67">
        <w:tc>
          <w:tcPr>
            <w:tcW w:w="1838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bookmarkStart w:id="0" w:name="_GoBack"/>
            <w:r w:rsidRPr="00025E67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ACNA6004</w:t>
            </w:r>
          </w:p>
        </w:tc>
      </w:tr>
      <w:tr w:rsidR="00025E67" w:rsidRPr="00025E67" w:rsidTr="00025E67">
        <w:tc>
          <w:tcPr>
            <w:tcW w:w="1838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Habitat Management and Building Resilience</w:t>
            </w:r>
          </w:p>
        </w:tc>
      </w:tr>
      <w:tr w:rsidR="00025E67" w:rsidRPr="00025E67" w:rsidTr="00025E67">
        <w:tc>
          <w:tcPr>
            <w:tcW w:w="1838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-326818526"/>
            <w:placeholder>
              <w:docPart w:val="07EA3B85E63D44BEA19B49F5AF57F060"/>
            </w:placeholder>
            <w:date w:fullDate="2021-05-0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025E67" w:rsidRPr="00025E67" w:rsidRDefault="00025E67" w:rsidP="00A94291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025E67">
                  <w:rPr>
                    <w:rFonts w:cs="Arial"/>
                    <w:szCs w:val="22"/>
                  </w:rPr>
                  <w:t>05/05/2021</w:t>
                </w:r>
              </w:p>
            </w:tc>
          </w:sdtContent>
        </w:sdt>
      </w:tr>
      <w:tr w:rsidR="00025E67" w:rsidRPr="00025E67" w:rsidTr="00025E67">
        <w:tc>
          <w:tcPr>
            <w:tcW w:w="1838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-659702827"/>
            <w:placeholder>
              <w:docPart w:val="E823337C67184CD3AF404B3228A8D1C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025E67" w:rsidRPr="00025E67" w:rsidRDefault="00025E67" w:rsidP="00A94291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025E67">
                  <w:rPr>
                    <w:rFonts w:cs="Arial"/>
                    <w:szCs w:val="22"/>
                  </w:rPr>
                  <w:t>6</w:t>
                </w:r>
              </w:p>
            </w:tc>
          </w:sdtContent>
        </w:sdt>
      </w:tr>
      <w:tr w:rsidR="00025E67" w:rsidRPr="00025E67" w:rsidTr="00025E67">
        <w:tc>
          <w:tcPr>
            <w:tcW w:w="1838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20</w:t>
            </w:r>
          </w:p>
        </w:tc>
      </w:tr>
      <w:tr w:rsidR="00025E67" w:rsidRPr="00025E67" w:rsidTr="00025E67">
        <w:tc>
          <w:tcPr>
            <w:tcW w:w="1838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025E67" w:rsidRPr="00025E67" w:rsidRDefault="00025E67" w:rsidP="00A94291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None</w:t>
            </w:r>
          </w:p>
        </w:tc>
      </w:tr>
    </w:tbl>
    <w:p w:rsidR="00025E67" w:rsidRPr="00025E67" w:rsidRDefault="00025E67" w:rsidP="00025E67">
      <w:pPr>
        <w:pBdr>
          <w:bottom w:val="single" w:sz="6" w:space="1" w:color="auto"/>
        </w:pBdr>
        <w:rPr>
          <w:rFonts w:cs="Arial"/>
          <w:szCs w:val="22"/>
        </w:rPr>
      </w:pPr>
    </w:p>
    <w:p w:rsidR="00025E67" w:rsidRPr="00025E67" w:rsidRDefault="00025E67" w:rsidP="00025E6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bCs/>
          <w:szCs w:val="22"/>
        </w:rPr>
      </w:pPr>
    </w:p>
    <w:p w:rsidR="00025E67" w:rsidRPr="00025E67" w:rsidRDefault="00025E67" w:rsidP="00025E6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bCs/>
          <w:szCs w:val="22"/>
        </w:rPr>
      </w:pPr>
      <w:r w:rsidRPr="00025E67">
        <w:rPr>
          <w:rFonts w:cs="Arial"/>
          <w:b/>
          <w:bCs/>
          <w:szCs w:val="22"/>
        </w:rPr>
        <w:t>AIM(S)</w:t>
      </w:r>
    </w:p>
    <w:p w:rsidR="00025E67" w:rsidRPr="00025E67" w:rsidRDefault="00025E67" w:rsidP="00025E67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025E67">
        <w:rPr>
          <w:rFonts w:cs="Arial"/>
          <w:szCs w:val="22"/>
        </w:rPr>
        <w:t>To critically appraise the management of habitats and evaluate climate change impacts and mitigation strategies.</w:t>
      </w:r>
    </w:p>
    <w:p w:rsidR="00025E67" w:rsidRPr="00025E67" w:rsidRDefault="00025E67" w:rsidP="00025E6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bCs/>
          <w:szCs w:val="22"/>
        </w:rPr>
      </w:pPr>
    </w:p>
    <w:p w:rsidR="00025E67" w:rsidRPr="00025E67" w:rsidRDefault="00025E67" w:rsidP="00025E6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bCs/>
          <w:szCs w:val="22"/>
        </w:rPr>
      </w:pPr>
      <w:r w:rsidRPr="00025E67">
        <w:rPr>
          <w:rFonts w:cs="Arial"/>
          <w:b/>
          <w:bCs/>
          <w:szCs w:val="22"/>
        </w:rPr>
        <w:t>LEARNING OUTCOMES</w:t>
      </w:r>
    </w:p>
    <w:p w:rsidR="00025E67" w:rsidRPr="00025E67" w:rsidRDefault="00025E67" w:rsidP="00025E67">
      <w:pPr>
        <w:rPr>
          <w:rFonts w:cs="Arial"/>
          <w:b/>
          <w:bCs/>
          <w:szCs w:val="22"/>
        </w:rPr>
      </w:pPr>
    </w:p>
    <w:p w:rsidR="00025E67" w:rsidRPr="00025E67" w:rsidRDefault="00025E67" w:rsidP="00025E67">
      <w:pPr>
        <w:rPr>
          <w:rFonts w:cs="Arial"/>
          <w:szCs w:val="22"/>
        </w:rPr>
      </w:pPr>
      <w:r w:rsidRPr="00025E67">
        <w:rPr>
          <w:rFonts w:cs="Arial"/>
          <w:szCs w:val="22"/>
        </w:rPr>
        <w:t>Upon the successful completion of this module, the student should be able to:</w:t>
      </w:r>
    </w:p>
    <w:p w:rsidR="00025E67" w:rsidRPr="00025E67" w:rsidRDefault="00025E67" w:rsidP="00025E67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025E67">
        <w:rPr>
          <w:rFonts w:cs="Arial"/>
          <w:szCs w:val="22"/>
        </w:rPr>
        <w:t>Comprehend the principles underpinning habitat evaluation, monitoring and protective edicts, as well as understanding the complexities of habitat management.</w:t>
      </w:r>
    </w:p>
    <w:p w:rsidR="00025E67" w:rsidRPr="00025E67" w:rsidRDefault="00025E67" w:rsidP="00025E67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025E67">
        <w:rPr>
          <w:rFonts w:cs="Arial"/>
          <w:szCs w:val="22"/>
        </w:rPr>
        <w:t xml:space="preserve">Synthesise strategies for strengthening ecological resilience </w:t>
      </w:r>
    </w:p>
    <w:p w:rsidR="00025E67" w:rsidRPr="00025E67" w:rsidRDefault="00025E67" w:rsidP="00025E67">
      <w:pPr>
        <w:pStyle w:val="bullet"/>
        <w:spacing w:before="0"/>
        <w:ind w:left="851" w:firstLine="0"/>
        <w:rPr>
          <w:rFonts w:cs="Arial"/>
          <w:szCs w:val="22"/>
        </w:rPr>
      </w:pPr>
    </w:p>
    <w:p w:rsidR="00025E67" w:rsidRPr="00025E67" w:rsidRDefault="00025E67" w:rsidP="00025E67">
      <w:pPr>
        <w:pStyle w:val="fixed"/>
        <w:rPr>
          <w:rFonts w:cs="Arial"/>
          <w:szCs w:val="22"/>
        </w:rPr>
      </w:pPr>
      <w:r w:rsidRPr="00025E67">
        <w:rPr>
          <w:rFonts w:cs="Arial"/>
          <w:szCs w:val="22"/>
        </w:rPr>
        <w:t xml:space="preserve">INDICATIVE CONTENT 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Monitoring, maintenance and managements of different habitats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Habitat creation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Surveying and interpreting animal behaviour as a mechanism for consequential habitat protection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 xml:space="preserve">Cultural variations in landscape aesthetics and its influence on environmental management 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Methods for landscape assessment e.g. Leopold Rewilding, Species and Landscape Approach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Land-use planning: Development control and planning tools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Analysis of risk, environmental change and decision making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Mitigation and compensation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Rewilding and interventions: complementary philosophies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Strategies for strengthening climate change resilience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Ecological resilience and ecosystem services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Design for flooding: riparian management</w:t>
      </w:r>
    </w:p>
    <w:p w:rsidR="00025E67" w:rsidRPr="00025E67" w:rsidRDefault="00025E67" w:rsidP="00025E67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25E67">
        <w:rPr>
          <w:rFonts w:ascii="Arial" w:hAnsi="Arial" w:cs="Arial"/>
        </w:rPr>
        <w:t>Climate smart productive landscapes</w:t>
      </w:r>
    </w:p>
    <w:p w:rsidR="00025E67" w:rsidRPr="00025E67" w:rsidRDefault="00025E67" w:rsidP="00025E67">
      <w:pPr>
        <w:pStyle w:val="fixed"/>
        <w:rPr>
          <w:rFonts w:eastAsia="Arial" w:cs="Arial"/>
          <w:b w:val="0"/>
          <w:szCs w:val="22"/>
        </w:rPr>
      </w:pPr>
    </w:p>
    <w:p w:rsidR="00025E67" w:rsidRPr="00025E67" w:rsidRDefault="00025E67" w:rsidP="00025E67">
      <w:pPr>
        <w:rPr>
          <w:rFonts w:cs="Arial"/>
          <w:b/>
          <w:szCs w:val="22"/>
        </w:rPr>
      </w:pPr>
      <w:r w:rsidRPr="00025E67">
        <w:rPr>
          <w:rFonts w:cs="Arial"/>
          <w:szCs w:val="22"/>
        </w:rPr>
        <w:br w:type="page"/>
      </w:r>
    </w:p>
    <w:p w:rsidR="00025E67" w:rsidRPr="00025E67" w:rsidRDefault="00025E67" w:rsidP="00025E67">
      <w:pPr>
        <w:pStyle w:val="fixed"/>
        <w:rPr>
          <w:rFonts w:cs="Arial"/>
          <w:szCs w:val="22"/>
        </w:rPr>
      </w:pPr>
      <w:r w:rsidRPr="00025E67">
        <w:rPr>
          <w:rFonts w:cs="Arial"/>
          <w:szCs w:val="22"/>
        </w:rPr>
        <w:lastRenderedPageBreak/>
        <w:t>Study Time Allocation</w:t>
      </w:r>
    </w:p>
    <w:p w:rsidR="00025E67" w:rsidRPr="00025E67" w:rsidRDefault="00025E67" w:rsidP="00025E67">
      <w:pPr>
        <w:pStyle w:val="fixed"/>
        <w:rPr>
          <w:rFonts w:cs="Arial"/>
          <w:szCs w:val="22"/>
        </w:rPr>
      </w:pPr>
    </w:p>
    <w:p w:rsidR="00025E67" w:rsidRPr="00025E67" w:rsidRDefault="00025E67" w:rsidP="00025E67">
      <w:pPr>
        <w:keepNext/>
        <w:rPr>
          <w:rFonts w:cs="Arial"/>
          <w:szCs w:val="22"/>
        </w:rPr>
      </w:pPr>
      <w:r w:rsidRPr="00025E67">
        <w:rPr>
          <w:rFonts w:cs="Arial"/>
          <w:szCs w:val="22"/>
        </w:rPr>
        <w:t>The study time for the module is divided as follows:</w:t>
      </w:r>
    </w:p>
    <w:p w:rsidR="00025E67" w:rsidRPr="00025E67" w:rsidRDefault="00025E67" w:rsidP="00025E67">
      <w:pPr>
        <w:keepNext/>
        <w:rPr>
          <w:rFonts w:cs="Arial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25E67" w:rsidRPr="00025E67" w:rsidTr="00025E6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025E67" w:rsidRPr="00025E67" w:rsidRDefault="00025E67" w:rsidP="00A94291">
            <w:pPr>
              <w:keepNext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Percentage</w:t>
            </w:r>
          </w:p>
        </w:tc>
      </w:tr>
      <w:tr w:rsidR="00025E67" w:rsidRPr="00025E67" w:rsidTr="00025E67">
        <w:tc>
          <w:tcPr>
            <w:tcW w:w="3969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48</w:t>
            </w:r>
          </w:p>
        </w:tc>
        <w:tc>
          <w:tcPr>
            <w:tcW w:w="1843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24%</w:t>
            </w:r>
          </w:p>
        </w:tc>
      </w:tr>
      <w:tr w:rsidR="00025E67" w:rsidRPr="00025E67" w:rsidTr="00025E67">
        <w:tc>
          <w:tcPr>
            <w:tcW w:w="3969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152</w:t>
            </w:r>
          </w:p>
        </w:tc>
        <w:tc>
          <w:tcPr>
            <w:tcW w:w="1843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76%</w:t>
            </w:r>
          </w:p>
        </w:tc>
      </w:tr>
      <w:tr w:rsidR="00025E67" w:rsidRPr="00025E67" w:rsidTr="00025E67">
        <w:tc>
          <w:tcPr>
            <w:tcW w:w="3969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025E67" w:rsidRPr="00025E67" w:rsidTr="00025E67">
        <w:tc>
          <w:tcPr>
            <w:tcW w:w="3969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100%</w:t>
            </w:r>
          </w:p>
        </w:tc>
      </w:tr>
    </w:tbl>
    <w:p w:rsidR="00025E67" w:rsidRPr="00025E67" w:rsidRDefault="00025E67" w:rsidP="00025E67">
      <w:pPr>
        <w:pStyle w:val="fixed"/>
        <w:ind w:left="0" w:firstLine="0"/>
        <w:rPr>
          <w:rFonts w:cs="Arial"/>
          <w:szCs w:val="22"/>
        </w:rPr>
      </w:pPr>
    </w:p>
    <w:p w:rsidR="00025E67" w:rsidRPr="00025E67" w:rsidRDefault="00025E67" w:rsidP="00025E67">
      <w:pPr>
        <w:pStyle w:val="fixed"/>
        <w:ind w:left="0" w:firstLine="0"/>
        <w:jc w:val="both"/>
        <w:rPr>
          <w:rFonts w:cs="Arial"/>
          <w:szCs w:val="22"/>
        </w:rPr>
      </w:pPr>
      <w:r w:rsidRPr="00025E67">
        <w:rPr>
          <w:rFonts w:cs="Arial"/>
          <w:szCs w:val="22"/>
        </w:rPr>
        <w:t>ASSESSMENT</w:t>
      </w:r>
    </w:p>
    <w:p w:rsidR="00025E67" w:rsidRPr="00025E67" w:rsidRDefault="00025E67" w:rsidP="00025E67">
      <w:pPr>
        <w:pStyle w:val="fixed"/>
        <w:ind w:left="0" w:firstLine="0"/>
        <w:jc w:val="both"/>
        <w:rPr>
          <w:rFonts w:cs="Arial"/>
          <w:szCs w:val="22"/>
        </w:rPr>
      </w:pPr>
    </w:p>
    <w:p w:rsidR="00025E67" w:rsidRPr="00025E67" w:rsidRDefault="00025E67" w:rsidP="00025E67">
      <w:pPr>
        <w:rPr>
          <w:rFonts w:cs="Arial"/>
          <w:b/>
          <w:szCs w:val="22"/>
        </w:rPr>
      </w:pPr>
      <w:r w:rsidRPr="00025E67">
        <w:rPr>
          <w:rFonts w:cs="Arial"/>
          <w:b/>
          <w:szCs w:val="22"/>
        </w:rPr>
        <w:t>Assessment Component 1</w:t>
      </w:r>
    </w:p>
    <w:p w:rsidR="00025E67" w:rsidRPr="00025E67" w:rsidRDefault="00025E67" w:rsidP="00025E67">
      <w:pPr>
        <w:rPr>
          <w:rFonts w:cs="Arial"/>
          <w:b/>
          <w:i/>
          <w:szCs w:val="22"/>
        </w:rPr>
      </w:pPr>
      <w:r w:rsidRPr="00025E67">
        <w:rPr>
          <w:rFonts w:cs="Arial"/>
          <w:b/>
          <w:i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025E67" w:rsidRPr="00025E67" w:rsidTr="00025E67">
        <w:sdt>
          <w:sdtPr>
            <w:rPr>
              <w:rFonts w:cs="Arial"/>
              <w:szCs w:val="22"/>
            </w:rPr>
            <w:id w:val="91652129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025E67" w:rsidRPr="00025E67" w:rsidRDefault="00025E67" w:rsidP="00A94291">
                <w:pPr>
                  <w:rPr>
                    <w:rFonts w:cs="Arial"/>
                    <w:b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025E67" w:rsidRPr="00025E67" w:rsidRDefault="00025E67" w:rsidP="00A94291">
            <w:pPr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42947904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025E67" w:rsidRPr="00025E67" w:rsidRDefault="00025E67" w:rsidP="00A94291">
                <w:pPr>
                  <w:rPr>
                    <w:rFonts w:cs="Arial"/>
                    <w:b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025E67" w:rsidRPr="00025E67" w:rsidRDefault="00025E67" w:rsidP="00A94291">
            <w:pPr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9673526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025E67" w:rsidRPr="00025E67" w:rsidRDefault="00025E67" w:rsidP="00A94291">
                <w:pPr>
                  <w:rPr>
                    <w:rFonts w:cs="Arial"/>
                    <w:b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025E67" w:rsidRPr="00025E67" w:rsidRDefault="00025E67" w:rsidP="00A94291">
            <w:pPr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025E67" w:rsidRPr="00025E67" w:rsidRDefault="00025E67" w:rsidP="00025E67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25E67" w:rsidRPr="00025E67" w:rsidTr="00025E67">
        <w:tc>
          <w:tcPr>
            <w:tcW w:w="3256" w:type="dxa"/>
          </w:tcPr>
          <w:p w:rsidR="00025E67" w:rsidRPr="00025E67" w:rsidRDefault="00025E67" w:rsidP="00A94291">
            <w:pPr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Weighting</w:t>
            </w:r>
          </w:p>
        </w:tc>
      </w:tr>
      <w:tr w:rsidR="00025E67" w:rsidRPr="00025E67" w:rsidTr="00025E67">
        <w:tc>
          <w:tcPr>
            <w:tcW w:w="3256" w:type="dxa"/>
          </w:tcPr>
          <w:p w:rsidR="00025E67" w:rsidRPr="00025E67" w:rsidRDefault="00025E67" w:rsidP="00A94291">
            <w:pPr>
              <w:jc w:val="center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Scientific Report</w:t>
            </w:r>
          </w:p>
        </w:tc>
        <w:tc>
          <w:tcPr>
            <w:tcW w:w="396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Construction of a management plan and academic poster/critique (3500 words and 15 min defence of ideas)</w:t>
            </w:r>
          </w:p>
        </w:tc>
        <w:tc>
          <w:tcPr>
            <w:tcW w:w="155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70%</w:t>
            </w:r>
          </w:p>
        </w:tc>
      </w:tr>
    </w:tbl>
    <w:p w:rsidR="00025E67" w:rsidRPr="00025E67" w:rsidRDefault="00025E67" w:rsidP="00025E67">
      <w:pPr>
        <w:rPr>
          <w:rFonts w:cs="Arial"/>
          <w:b/>
          <w:szCs w:val="22"/>
          <w:highlight w:val="cyan"/>
        </w:rPr>
      </w:pPr>
    </w:p>
    <w:p w:rsidR="00025E67" w:rsidRPr="00025E67" w:rsidRDefault="00025E67" w:rsidP="00025E67">
      <w:pPr>
        <w:rPr>
          <w:rFonts w:cs="Arial"/>
          <w:b/>
          <w:szCs w:val="22"/>
        </w:rPr>
      </w:pPr>
      <w:r w:rsidRPr="00025E67">
        <w:rPr>
          <w:rFonts w:cs="Arial"/>
          <w:b/>
          <w:szCs w:val="22"/>
        </w:rPr>
        <w:t>Assessment Component 2</w:t>
      </w:r>
    </w:p>
    <w:p w:rsidR="00025E67" w:rsidRPr="00025E67" w:rsidRDefault="00025E67" w:rsidP="00025E67">
      <w:pPr>
        <w:rPr>
          <w:rFonts w:cs="Arial"/>
          <w:b/>
          <w:i/>
          <w:szCs w:val="22"/>
        </w:rPr>
      </w:pPr>
      <w:r w:rsidRPr="00025E67">
        <w:rPr>
          <w:rFonts w:cs="Arial"/>
          <w:b/>
          <w:i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025E67" w:rsidRPr="00025E67" w:rsidTr="00025E67">
        <w:sdt>
          <w:sdtPr>
            <w:rPr>
              <w:rFonts w:cs="Arial"/>
              <w:szCs w:val="22"/>
            </w:rPr>
            <w:id w:val="-13589677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025E67" w:rsidRPr="00025E67" w:rsidRDefault="00025E67" w:rsidP="00A94291">
                <w:pPr>
                  <w:rPr>
                    <w:rFonts w:cs="Arial"/>
                    <w:b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025E67" w:rsidRPr="00025E67" w:rsidRDefault="00025E67" w:rsidP="00A94291">
            <w:pPr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111270860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025E67" w:rsidRPr="00025E67" w:rsidRDefault="00025E67" w:rsidP="00A94291">
                <w:pPr>
                  <w:rPr>
                    <w:rFonts w:cs="Arial"/>
                    <w:b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025E67" w:rsidRPr="00025E67" w:rsidRDefault="00025E67" w:rsidP="00A94291">
            <w:pPr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112103452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025E67" w:rsidRPr="00025E67" w:rsidRDefault="00025E67" w:rsidP="00A94291">
                <w:pPr>
                  <w:rPr>
                    <w:rFonts w:cs="Arial"/>
                    <w:b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025E67" w:rsidRPr="00025E67" w:rsidRDefault="00025E67" w:rsidP="00A94291">
            <w:pPr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025E67" w:rsidRPr="00025E67" w:rsidRDefault="00025E67" w:rsidP="00025E67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25E67" w:rsidRPr="00025E67" w:rsidTr="00025E67">
        <w:tc>
          <w:tcPr>
            <w:tcW w:w="3256" w:type="dxa"/>
          </w:tcPr>
          <w:p w:rsidR="00025E67" w:rsidRPr="00025E67" w:rsidRDefault="00025E67" w:rsidP="00A94291">
            <w:pPr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Weighting</w:t>
            </w:r>
          </w:p>
        </w:tc>
      </w:tr>
      <w:tr w:rsidR="00025E67" w:rsidRPr="00025E67" w:rsidTr="00025E67">
        <w:tc>
          <w:tcPr>
            <w:tcW w:w="3256" w:type="dxa"/>
          </w:tcPr>
          <w:p w:rsidR="00025E67" w:rsidRPr="00025E67" w:rsidRDefault="00025E67" w:rsidP="00A94291">
            <w:pPr>
              <w:jc w:val="center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Academic Poster</w:t>
            </w:r>
          </w:p>
        </w:tc>
        <w:tc>
          <w:tcPr>
            <w:tcW w:w="396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Academic poster/critique (1500 word equivalent)</w:t>
            </w:r>
          </w:p>
        </w:tc>
        <w:tc>
          <w:tcPr>
            <w:tcW w:w="1559" w:type="dxa"/>
          </w:tcPr>
          <w:p w:rsidR="00025E67" w:rsidRPr="00025E67" w:rsidRDefault="00025E67" w:rsidP="00A94291">
            <w:pPr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30%</w:t>
            </w:r>
          </w:p>
        </w:tc>
      </w:tr>
    </w:tbl>
    <w:p w:rsidR="00025E67" w:rsidRPr="00025E67" w:rsidRDefault="00025E67" w:rsidP="00025E67">
      <w:pPr>
        <w:rPr>
          <w:rFonts w:cs="Arial"/>
          <w:b/>
          <w:szCs w:val="22"/>
          <w:highlight w:val="cyan"/>
        </w:rPr>
      </w:pPr>
    </w:p>
    <w:p w:rsidR="00025E67" w:rsidRPr="00025E67" w:rsidRDefault="00025E67" w:rsidP="00025E67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025E67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25E67" w:rsidRPr="00025E67" w:rsidTr="00025E6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025E67" w:rsidRPr="00025E67" w:rsidRDefault="00025E67" w:rsidP="00A94291">
            <w:pPr>
              <w:keepNext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Percentage</w:t>
            </w:r>
          </w:p>
        </w:tc>
      </w:tr>
      <w:tr w:rsidR="00025E67" w:rsidRPr="00025E67" w:rsidTr="00025E67">
        <w:tc>
          <w:tcPr>
            <w:tcW w:w="3261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025E67" w:rsidRPr="00025E67" w:rsidTr="00025E67">
        <w:tc>
          <w:tcPr>
            <w:tcW w:w="3261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100%</w:t>
            </w:r>
          </w:p>
        </w:tc>
      </w:tr>
      <w:tr w:rsidR="00025E67" w:rsidRPr="00025E67" w:rsidTr="00025E67">
        <w:tc>
          <w:tcPr>
            <w:tcW w:w="3261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025E67" w:rsidRPr="00025E67" w:rsidTr="00025E67">
        <w:tc>
          <w:tcPr>
            <w:tcW w:w="3261" w:type="dxa"/>
          </w:tcPr>
          <w:p w:rsidR="00025E67" w:rsidRPr="00025E67" w:rsidRDefault="00025E67" w:rsidP="00A94291">
            <w:pPr>
              <w:keepNext/>
              <w:rPr>
                <w:rFonts w:cs="Arial"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025E67" w:rsidRPr="00025E67" w:rsidRDefault="00025E67" w:rsidP="00A94291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100%</w:t>
            </w:r>
          </w:p>
        </w:tc>
      </w:tr>
    </w:tbl>
    <w:p w:rsidR="00025E67" w:rsidRPr="00025E67" w:rsidRDefault="00025E67" w:rsidP="00025E67">
      <w:pPr>
        <w:rPr>
          <w:rFonts w:cs="Arial"/>
          <w:szCs w:val="22"/>
        </w:rPr>
      </w:pPr>
    </w:p>
    <w:p w:rsidR="00025E67" w:rsidRPr="00025E67" w:rsidRDefault="00025E67" w:rsidP="00025E67">
      <w:pPr>
        <w:rPr>
          <w:rFonts w:cs="Arial"/>
          <w:b/>
          <w:szCs w:val="22"/>
        </w:rPr>
      </w:pPr>
      <w:r w:rsidRPr="00025E67">
        <w:rPr>
          <w:rFonts w:cs="Arial"/>
          <w:b/>
          <w:szCs w:val="22"/>
        </w:rPr>
        <w:t>INDICATIVE READING LIST</w:t>
      </w:r>
    </w:p>
    <w:p w:rsidR="00025E67" w:rsidRPr="00025E67" w:rsidRDefault="00025E67" w:rsidP="00025E67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619"/>
        <w:gridCol w:w="1365"/>
      </w:tblGrid>
      <w:tr w:rsidR="00025E67" w:rsidRPr="00025E67" w:rsidTr="00025E67">
        <w:tc>
          <w:tcPr>
            <w:tcW w:w="1676" w:type="dxa"/>
            <w:shd w:val="clear" w:color="auto" w:fill="BFBFBF" w:themeFill="background1" w:themeFillShade="BF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84" w:type="dxa"/>
            <w:gridSpan w:val="2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ACNA6004</w:t>
            </w:r>
          </w:p>
        </w:tc>
      </w:tr>
      <w:tr w:rsidR="00025E67" w:rsidRPr="00025E67" w:rsidTr="00025E67">
        <w:tc>
          <w:tcPr>
            <w:tcW w:w="1676" w:type="dxa"/>
            <w:shd w:val="clear" w:color="auto" w:fill="BFBFBF" w:themeFill="background1" w:themeFillShade="BF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84" w:type="dxa"/>
            <w:gridSpan w:val="2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b/>
                <w:bCs/>
                <w:szCs w:val="22"/>
              </w:rPr>
            </w:pPr>
            <w:r w:rsidRPr="00025E67">
              <w:rPr>
                <w:rFonts w:cs="Arial"/>
                <w:b/>
                <w:bCs/>
                <w:szCs w:val="22"/>
              </w:rPr>
              <w:t>Habitat Management and Building Resilience</w:t>
            </w:r>
          </w:p>
        </w:tc>
      </w:tr>
      <w:tr w:rsidR="00025E67" w:rsidRPr="00025E67" w:rsidTr="00025E67">
        <w:tc>
          <w:tcPr>
            <w:tcW w:w="1676" w:type="dxa"/>
            <w:shd w:val="clear" w:color="auto" w:fill="BFBFBF" w:themeFill="background1" w:themeFillShade="BF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19" w:type="dxa"/>
            <w:shd w:val="clear" w:color="auto" w:fill="BFBFBF" w:themeFill="background1" w:themeFillShade="BF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5" w:type="dxa"/>
            <w:shd w:val="clear" w:color="auto" w:fill="BFBFBF" w:themeFill="background1" w:themeFillShade="BF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025E67">
              <w:rPr>
                <w:rFonts w:cs="Arial"/>
                <w:b/>
                <w:szCs w:val="22"/>
              </w:rPr>
              <w:t>Electronic*</w:t>
            </w:r>
          </w:p>
        </w:tc>
      </w:tr>
      <w:tr w:rsidR="00025E67" w:rsidRPr="00025E67" w:rsidTr="00025E67">
        <w:tc>
          <w:tcPr>
            <w:tcW w:w="1676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Essential</w:t>
            </w:r>
          </w:p>
        </w:tc>
        <w:tc>
          <w:tcPr>
            <w:tcW w:w="5619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 xml:space="preserve">Ausden, M. (2007) </w:t>
            </w:r>
            <w:r w:rsidRPr="00025E67">
              <w:rPr>
                <w:rFonts w:cs="Arial"/>
                <w:i/>
                <w:szCs w:val="22"/>
              </w:rPr>
              <w:t>Habitat Management for Conservation: A Handbook of Techniques (Techniques in Ecology &amp; Conservation)</w:t>
            </w:r>
            <w:r w:rsidRPr="00025E67">
              <w:rPr>
                <w:rFonts w:cs="Arial"/>
                <w:szCs w:val="22"/>
              </w:rPr>
              <w:t xml:space="preserve">. Oxford: Oxford University Press, </w:t>
            </w:r>
          </w:p>
        </w:tc>
        <w:tc>
          <w:tcPr>
            <w:tcW w:w="1365" w:type="dxa"/>
          </w:tcPr>
          <w:sdt>
            <w:sdtPr>
              <w:rPr>
                <w:rFonts w:cs="Arial"/>
                <w:szCs w:val="22"/>
              </w:rPr>
              <w:id w:val="-2090688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25E67" w:rsidRPr="00025E67" w:rsidRDefault="00025E67" w:rsidP="00A94291">
                <w:pPr>
                  <w:jc w:val="center"/>
                  <w:rPr>
                    <w:rFonts w:cs="Arial"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25E67" w:rsidRPr="00025E67" w:rsidTr="00025E67">
        <w:tc>
          <w:tcPr>
            <w:tcW w:w="1676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Essential</w:t>
            </w:r>
          </w:p>
        </w:tc>
        <w:tc>
          <w:tcPr>
            <w:tcW w:w="5619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 xml:space="preserve">Milner-Gulland, E. J. and Rowcliffe, J. M. (2008) </w:t>
            </w:r>
            <w:r w:rsidRPr="00025E67">
              <w:rPr>
                <w:rFonts w:cs="Arial"/>
                <w:i/>
                <w:szCs w:val="22"/>
              </w:rPr>
              <w:t>Conservation and Sustainable Use: A Handbook of Techniques (Techniques in Ecology &amp; Conservation).</w:t>
            </w:r>
            <w:r w:rsidRPr="00025E67">
              <w:rPr>
                <w:rFonts w:cs="Arial"/>
                <w:szCs w:val="22"/>
              </w:rPr>
              <w:t xml:space="preserve"> Oxford: Oxford University Press</w:t>
            </w:r>
          </w:p>
        </w:tc>
        <w:tc>
          <w:tcPr>
            <w:tcW w:w="1365" w:type="dxa"/>
          </w:tcPr>
          <w:sdt>
            <w:sdtPr>
              <w:rPr>
                <w:rFonts w:cs="Arial"/>
                <w:szCs w:val="22"/>
              </w:rPr>
              <w:id w:val="379050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25E67" w:rsidRPr="00025E67" w:rsidRDefault="00025E67" w:rsidP="00A94291">
                <w:pPr>
                  <w:jc w:val="center"/>
                  <w:rPr>
                    <w:rFonts w:cs="Arial"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25E67" w:rsidRPr="00025E67" w:rsidTr="00025E67">
        <w:tc>
          <w:tcPr>
            <w:tcW w:w="1676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Essential</w:t>
            </w:r>
          </w:p>
        </w:tc>
        <w:tc>
          <w:tcPr>
            <w:tcW w:w="5619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 xml:space="preserve">Hill, A. and Martinez-Diaz, L. (2019) </w:t>
            </w:r>
            <w:r w:rsidRPr="00025E67">
              <w:rPr>
                <w:rFonts w:cs="Arial"/>
                <w:i/>
                <w:szCs w:val="22"/>
              </w:rPr>
              <w:t>Building a  Resilient Tomorrow: How to Prepare for the coming Climate Disruption</w:t>
            </w:r>
            <w:r w:rsidRPr="00025E67">
              <w:rPr>
                <w:rFonts w:cs="Arial"/>
                <w:szCs w:val="22"/>
              </w:rPr>
              <w:t xml:space="preserve">, New York: Oxford University Press </w:t>
            </w:r>
          </w:p>
        </w:tc>
        <w:tc>
          <w:tcPr>
            <w:tcW w:w="1365" w:type="dxa"/>
          </w:tcPr>
          <w:sdt>
            <w:sdtPr>
              <w:rPr>
                <w:rFonts w:cs="Arial"/>
                <w:szCs w:val="22"/>
              </w:rPr>
              <w:id w:val="-13302879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25E67" w:rsidRPr="00025E67" w:rsidRDefault="00025E67" w:rsidP="00A94291">
                <w:pPr>
                  <w:jc w:val="center"/>
                  <w:rPr>
                    <w:rFonts w:cs="Arial"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25E67" w:rsidRPr="00025E67" w:rsidTr="00025E67">
        <w:tc>
          <w:tcPr>
            <w:tcW w:w="1676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lastRenderedPageBreak/>
              <w:t>Essential</w:t>
            </w:r>
          </w:p>
        </w:tc>
        <w:tc>
          <w:tcPr>
            <w:tcW w:w="5619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color w:val="222222"/>
                <w:szCs w:val="22"/>
                <w:shd w:val="clear" w:color="auto" w:fill="FFFFFF"/>
              </w:rPr>
            </w:pPr>
            <w:r w:rsidRPr="00025E67">
              <w:rPr>
                <w:rFonts w:cs="Arial"/>
                <w:color w:val="222222"/>
                <w:szCs w:val="22"/>
                <w:shd w:val="clear" w:color="auto" w:fill="FFFFFF"/>
              </w:rPr>
              <w:t xml:space="preserve">Morrison, M.L. and Mathewson, H.A. (2015) </w:t>
            </w:r>
            <w:r w:rsidRPr="00025E67">
              <w:rPr>
                <w:rFonts w:cs="Arial"/>
                <w:i/>
                <w:color w:val="222222"/>
                <w:szCs w:val="22"/>
                <w:shd w:val="clear" w:color="auto" w:fill="FFFFFF"/>
              </w:rPr>
              <w:t>Wildlife, Habitat Conservation: Concepts, Challenges and Solutions (Wildlife Management and Conservation)</w:t>
            </w:r>
            <w:r w:rsidRPr="00025E67">
              <w:rPr>
                <w:rFonts w:cs="Arial"/>
                <w:color w:val="222222"/>
                <w:szCs w:val="22"/>
                <w:shd w:val="clear" w:color="auto" w:fill="FFFFFF"/>
              </w:rPr>
              <w:t xml:space="preserve"> Baltimore: John Hopkins University Press</w:t>
            </w:r>
          </w:p>
        </w:tc>
        <w:tc>
          <w:tcPr>
            <w:tcW w:w="1365" w:type="dxa"/>
          </w:tcPr>
          <w:sdt>
            <w:sdtPr>
              <w:rPr>
                <w:rFonts w:cs="Arial"/>
                <w:szCs w:val="22"/>
              </w:rPr>
              <w:id w:val="-9172546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25E67" w:rsidRPr="00025E67" w:rsidRDefault="00025E67" w:rsidP="00A94291">
                <w:pPr>
                  <w:jc w:val="center"/>
                  <w:rPr>
                    <w:rFonts w:cs="Arial"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25E67" w:rsidRPr="00025E67" w:rsidTr="00025E67">
        <w:tc>
          <w:tcPr>
            <w:tcW w:w="1676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>Further</w:t>
            </w:r>
          </w:p>
        </w:tc>
        <w:tc>
          <w:tcPr>
            <w:tcW w:w="5619" w:type="dxa"/>
          </w:tcPr>
          <w:p w:rsidR="00025E67" w:rsidRPr="00025E67" w:rsidRDefault="00025E67" w:rsidP="00A94291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025E67">
              <w:rPr>
                <w:rFonts w:cs="Arial"/>
                <w:szCs w:val="22"/>
              </w:rPr>
              <w:t xml:space="preserve">Leopold, A. (1968). </w:t>
            </w:r>
            <w:r w:rsidRPr="00025E67">
              <w:rPr>
                <w:rFonts w:cs="Arial"/>
                <w:i/>
                <w:szCs w:val="22"/>
              </w:rPr>
              <w:t>A Sand County Almanac and Sketches Here and There</w:t>
            </w:r>
            <w:r w:rsidRPr="00025E67">
              <w:rPr>
                <w:rFonts w:cs="Arial"/>
                <w:szCs w:val="22"/>
              </w:rPr>
              <w:t>. New York: Oxford University Press</w:t>
            </w:r>
          </w:p>
        </w:tc>
        <w:tc>
          <w:tcPr>
            <w:tcW w:w="1365" w:type="dxa"/>
          </w:tcPr>
          <w:sdt>
            <w:sdtPr>
              <w:rPr>
                <w:rFonts w:cs="Arial"/>
                <w:szCs w:val="22"/>
              </w:rPr>
              <w:id w:val="-159130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25E67" w:rsidRPr="00025E67" w:rsidRDefault="00025E67" w:rsidP="00A94291">
                <w:pPr>
                  <w:jc w:val="center"/>
                  <w:rPr>
                    <w:rFonts w:cs="Arial"/>
                    <w:szCs w:val="22"/>
                  </w:rPr>
                </w:pPr>
                <w:r w:rsidRPr="00025E67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bookmarkEnd w:id="0"/>
    </w:tbl>
    <w:p w:rsidR="00B3318C" w:rsidRPr="00025E67" w:rsidRDefault="00B3318C" w:rsidP="002E13CA">
      <w:pPr>
        <w:pStyle w:val="HTMLPreformatted"/>
        <w:rPr>
          <w:rFonts w:cs="Arial"/>
        </w:rPr>
      </w:pPr>
    </w:p>
    <w:sectPr w:rsidR="00B3318C" w:rsidRPr="00025E67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5E67"/>
    <w:rsid w:val="000205AE"/>
    <w:rsid w:val="00025E67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30012BA-C0AA-46B0-8588-804A954A30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025E67"/>
    <w:rPr>
      <w:rFonts w:ascii="Arial" w:hAnsi="Arial"/>
      <w:sz w:val="22"/>
    </w:rPr>
  </w:style>
  <w:style w:type="character" w:customStyle="1" w:styleId="fixedChar">
    <w:name w:val="fixed Char"/>
    <w:link w:val="fixed"/>
    <w:rsid w:val="00025E67"/>
    <w:rPr>
      <w:rFonts w:ascii="Arial" w:hAnsi="Arial"/>
      <w:b/>
      <w:sz w:val="22"/>
    </w:rPr>
  </w:style>
  <w:style w:type="paragraph" w:styleId="ListParagraph">
    <w:name w:val="List Paragraph"/>
    <w:aliases w:val="omar footnote,List Paragraph1,Numbered Indented Text,Text bullets 1"/>
    <w:basedOn w:val="Normal"/>
    <w:link w:val="ListParagraphChar"/>
    <w:uiPriority w:val="34"/>
    <w:qFormat/>
    <w:rsid w:val="00025E67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basedOn w:val="DefaultParagraphFont"/>
    <w:link w:val="ListParagraph"/>
    <w:uiPriority w:val="34"/>
    <w:rsid w:val="00025E67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025E67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7EA3B85E63D44BEA19B49F5AF57F0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F10234-C768-4620-A03C-1D2C2F03A2A6}"/>
      </w:docPartPr>
      <w:docPartBody>
        <w:p w:rsidR="00000000" w:rsidRDefault="00EA201B" w:rsidP="00EA201B">
          <w:pPr>
            <w:pStyle w:val="07EA3B85E63D44BEA19B49F5AF57F06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E823337C67184CD3AF404B3228A8D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9A4671-713A-482E-BF42-6BD8BD827B30}"/>
      </w:docPartPr>
      <w:docPartBody>
        <w:p w:rsidR="00000000" w:rsidRDefault="00EA201B" w:rsidP="00EA201B">
          <w:pPr>
            <w:pStyle w:val="E823337C67184CD3AF404B3228A8D1C7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201B"/>
    <w:rsid w:val="00EA2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A201B"/>
    <w:rPr>
      <w:color w:val="808080"/>
    </w:rPr>
  </w:style>
  <w:style w:type="paragraph" w:customStyle="1" w:styleId="07EA3B85E63D44BEA19B49F5AF57F060">
    <w:name w:val="07EA3B85E63D44BEA19B49F5AF57F060"/>
    <w:rsid w:val="00EA201B"/>
  </w:style>
  <w:style w:type="paragraph" w:customStyle="1" w:styleId="E823337C67184CD3AF404B3228A8D1C7">
    <w:name w:val="E823337C67184CD3AF404B3228A8D1C7"/>
    <w:rsid w:val="00EA201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01_qamod.dotx</Template>
  <TotalTime>0</TotalTime>
  <Pages>3</Pages>
  <Words>462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2021-05-24T09:12:00Z</dcterms:created>
  <dcterms:modified xsi:type="dcterms:W3CDTF">2021-05-24T09:12:00Z</dcterms:modified>
</cp:coreProperties>
</file>