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F9E0F" w14:textId="0DC890E3" w:rsidR="00B6508E" w:rsidRPr="00B6508E" w:rsidRDefault="00B6508E" w:rsidP="00B6508E">
      <w:pPr>
        <w:jc w:val="center"/>
        <w:rPr>
          <w:b/>
          <w:bCs/>
          <w:sz w:val="96"/>
          <w:szCs w:val="96"/>
        </w:rPr>
      </w:pPr>
      <w:r w:rsidRPr="00B6508E">
        <w:rPr>
          <w:b/>
          <w:bCs/>
          <w:sz w:val="96"/>
          <w:szCs w:val="96"/>
        </w:rPr>
        <w:t>Nuclear Safety</w:t>
      </w:r>
    </w:p>
    <w:p w14:paraId="012C2B8F" w14:textId="77777777" w:rsidR="00B6508E" w:rsidRDefault="00B6508E" w:rsidP="00B6508E">
      <w:pPr>
        <w:jc w:val="center"/>
        <w:rPr>
          <w:rFonts w:cs="Arial"/>
          <w:b/>
          <w:bCs/>
          <w:sz w:val="44"/>
          <w:szCs w:val="44"/>
        </w:rPr>
      </w:pPr>
      <w:r w:rsidRPr="00B6508E">
        <w:rPr>
          <w:rFonts w:cs="Arial"/>
          <w:b/>
          <w:bCs/>
          <w:sz w:val="44"/>
          <w:szCs w:val="44"/>
        </w:rPr>
        <w:t>NSEDA Assignment G</w:t>
      </w:r>
    </w:p>
    <w:p w14:paraId="468C6BBF" w14:textId="77777777" w:rsidR="00B6508E" w:rsidRDefault="00B6508E" w:rsidP="00B6508E">
      <w:pPr>
        <w:jc w:val="center"/>
        <w:rPr>
          <w:rFonts w:cs="Arial"/>
          <w:b/>
          <w:bCs/>
          <w:sz w:val="44"/>
          <w:szCs w:val="44"/>
        </w:rPr>
      </w:pPr>
    </w:p>
    <w:p w14:paraId="2ADF152C" w14:textId="77777777" w:rsidR="00B6508E" w:rsidRDefault="00B6508E" w:rsidP="00B6508E">
      <w:pPr>
        <w:jc w:val="center"/>
        <w:rPr>
          <w:rFonts w:cs="Arial"/>
          <w:b/>
          <w:bCs/>
          <w:sz w:val="44"/>
          <w:szCs w:val="44"/>
        </w:rPr>
      </w:pPr>
    </w:p>
    <w:p w14:paraId="5B15558A" w14:textId="4A122818" w:rsidR="00B6508E" w:rsidRDefault="00B6508E" w:rsidP="00B6508E">
      <w:pPr>
        <w:jc w:val="center"/>
        <w:rPr>
          <w:rFonts w:cs="Arial"/>
          <w:b/>
          <w:bCs/>
          <w:sz w:val="36"/>
          <w:szCs w:val="36"/>
        </w:rPr>
      </w:pPr>
      <w:r>
        <w:rPr>
          <w:rFonts w:cs="Arial"/>
          <w:b/>
          <w:bCs/>
          <w:sz w:val="36"/>
          <w:szCs w:val="36"/>
        </w:rPr>
        <w:t>Emma Hughes</w:t>
      </w:r>
      <w:r>
        <w:rPr>
          <w:rFonts w:cs="Arial"/>
          <w:b/>
          <w:bCs/>
          <w:sz w:val="36"/>
          <w:szCs w:val="36"/>
        </w:rPr>
        <w:tab/>
      </w:r>
      <w:r>
        <w:rPr>
          <w:rFonts w:cs="Arial"/>
          <w:b/>
          <w:bCs/>
          <w:sz w:val="36"/>
          <w:szCs w:val="36"/>
        </w:rPr>
        <w:tab/>
      </w:r>
      <w:r>
        <w:rPr>
          <w:rFonts w:cs="Arial"/>
          <w:b/>
          <w:bCs/>
          <w:sz w:val="36"/>
          <w:szCs w:val="36"/>
        </w:rPr>
        <w:tab/>
      </w:r>
      <w:r>
        <w:rPr>
          <w:rFonts w:cs="Arial"/>
          <w:b/>
          <w:bCs/>
          <w:sz w:val="36"/>
          <w:szCs w:val="36"/>
        </w:rPr>
        <w:tab/>
      </w:r>
      <w:r>
        <w:rPr>
          <w:rFonts w:cs="Arial"/>
          <w:b/>
          <w:bCs/>
          <w:sz w:val="36"/>
          <w:szCs w:val="36"/>
        </w:rPr>
        <w:tab/>
      </w:r>
      <w:r>
        <w:rPr>
          <w:rFonts w:cs="Arial"/>
          <w:b/>
          <w:bCs/>
          <w:sz w:val="36"/>
          <w:szCs w:val="36"/>
        </w:rPr>
        <w:tab/>
      </w:r>
      <w:r>
        <w:rPr>
          <w:rFonts w:cs="Arial"/>
          <w:b/>
          <w:bCs/>
          <w:sz w:val="36"/>
          <w:szCs w:val="36"/>
        </w:rPr>
        <w:tab/>
        <w:t>2313851</w:t>
      </w:r>
    </w:p>
    <w:p w14:paraId="038F8F70" w14:textId="77777777" w:rsidR="00B6508E" w:rsidRDefault="00B6508E" w:rsidP="00B6508E">
      <w:pPr>
        <w:jc w:val="center"/>
        <w:rPr>
          <w:rFonts w:cs="Arial"/>
          <w:b/>
          <w:bCs/>
          <w:sz w:val="36"/>
          <w:szCs w:val="36"/>
        </w:rPr>
      </w:pPr>
    </w:p>
    <w:p w14:paraId="4F7E244A" w14:textId="77777777" w:rsidR="00B6508E" w:rsidRDefault="00B6508E" w:rsidP="00B6508E">
      <w:pPr>
        <w:jc w:val="center"/>
        <w:rPr>
          <w:rFonts w:cs="Arial"/>
          <w:b/>
          <w:bCs/>
          <w:sz w:val="36"/>
          <w:szCs w:val="36"/>
        </w:rPr>
      </w:pPr>
    </w:p>
    <w:p w14:paraId="68F069AB" w14:textId="421E395B" w:rsidR="00B6508E" w:rsidRPr="00B6508E" w:rsidRDefault="00B6508E" w:rsidP="00B6508E">
      <w:pPr>
        <w:jc w:val="center"/>
        <w:rPr>
          <w:rFonts w:cs="Arial"/>
          <w:sz w:val="36"/>
          <w:szCs w:val="36"/>
        </w:rPr>
      </w:pPr>
      <w:r>
        <w:rPr>
          <w:rFonts w:cs="Arial"/>
          <w:b/>
          <w:bCs/>
          <w:sz w:val="36"/>
          <w:szCs w:val="36"/>
        </w:rPr>
        <w:t xml:space="preserve">Module: </w:t>
      </w:r>
      <w:r>
        <w:rPr>
          <w:rFonts w:cs="Arial"/>
          <w:sz w:val="36"/>
          <w:szCs w:val="36"/>
        </w:rPr>
        <w:t>Nuclear Safety</w:t>
      </w:r>
    </w:p>
    <w:p w14:paraId="7FA52AEC" w14:textId="2FA09867" w:rsidR="00B6508E" w:rsidRDefault="00B6508E" w:rsidP="00B6508E">
      <w:pPr>
        <w:jc w:val="center"/>
        <w:rPr>
          <w:rFonts w:cs="Arial"/>
          <w:sz w:val="36"/>
          <w:szCs w:val="36"/>
        </w:rPr>
      </w:pPr>
      <w:r>
        <w:rPr>
          <w:rFonts w:cs="Arial"/>
          <w:b/>
          <w:bCs/>
          <w:sz w:val="36"/>
          <w:szCs w:val="36"/>
        </w:rPr>
        <w:t xml:space="preserve">Module Code: </w:t>
      </w:r>
      <w:r>
        <w:rPr>
          <w:rFonts w:cs="Arial"/>
          <w:sz w:val="36"/>
          <w:szCs w:val="36"/>
        </w:rPr>
        <w:t>ACDA5023</w:t>
      </w:r>
    </w:p>
    <w:p w14:paraId="0E83D69E" w14:textId="77777777" w:rsidR="0089745B" w:rsidRDefault="0089745B" w:rsidP="00B6508E">
      <w:pPr>
        <w:jc w:val="center"/>
        <w:rPr>
          <w:rFonts w:cs="Arial"/>
          <w:sz w:val="36"/>
          <w:szCs w:val="36"/>
        </w:rPr>
      </w:pPr>
    </w:p>
    <w:p w14:paraId="432BDD47" w14:textId="77777777" w:rsidR="0089745B" w:rsidRDefault="0089745B" w:rsidP="00B6508E">
      <w:pPr>
        <w:jc w:val="center"/>
        <w:rPr>
          <w:rFonts w:cs="Arial"/>
          <w:sz w:val="36"/>
          <w:szCs w:val="36"/>
        </w:rPr>
      </w:pPr>
    </w:p>
    <w:p w14:paraId="7311384B" w14:textId="77777777" w:rsidR="0089745B" w:rsidRDefault="0089745B" w:rsidP="00B6508E">
      <w:pPr>
        <w:jc w:val="center"/>
        <w:rPr>
          <w:rFonts w:cs="Arial"/>
          <w:sz w:val="36"/>
          <w:szCs w:val="36"/>
        </w:rPr>
      </w:pPr>
    </w:p>
    <w:p w14:paraId="63D42324" w14:textId="77777777" w:rsidR="0089745B" w:rsidRDefault="0089745B" w:rsidP="00B6508E">
      <w:pPr>
        <w:jc w:val="center"/>
        <w:rPr>
          <w:rFonts w:cs="Arial"/>
          <w:sz w:val="36"/>
          <w:szCs w:val="36"/>
        </w:rPr>
      </w:pPr>
    </w:p>
    <w:p w14:paraId="468CDA73" w14:textId="77777777" w:rsidR="0089745B" w:rsidRDefault="0089745B" w:rsidP="00B6508E">
      <w:pPr>
        <w:jc w:val="center"/>
        <w:rPr>
          <w:rFonts w:cs="Arial"/>
          <w:sz w:val="36"/>
          <w:szCs w:val="36"/>
        </w:rPr>
      </w:pPr>
    </w:p>
    <w:p w14:paraId="7659EBCE" w14:textId="77777777" w:rsidR="0089745B" w:rsidRDefault="0089745B" w:rsidP="00B6508E">
      <w:pPr>
        <w:jc w:val="center"/>
        <w:rPr>
          <w:rFonts w:cs="Arial"/>
          <w:sz w:val="36"/>
          <w:szCs w:val="36"/>
        </w:rPr>
      </w:pPr>
    </w:p>
    <w:p w14:paraId="20566136" w14:textId="77777777" w:rsidR="0089745B" w:rsidRDefault="0089745B" w:rsidP="00B6508E">
      <w:pPr>
        <w:jc w:val="center"/>
        <w:rPr>
          <w:rFonts w:cs="Arial"/>
          <w:sz w:val="36"/>
          <w:szCs w:val="36"/>
        </w:rPr>
      </w:pPr>
    </w:p>
    <w:p w14:paraId="121DBC26" w14:textId="77777777" w:rsidR="0089745B" w:rsidRDefault="0089745B" w:rsidP="00B6508E">
      <w:pPr>
        <w:jc w:val="center"/>
        <w:rPr>
          <w:rFonts w:cs="Arial"/>
          <w:sz w:val="36"/>
          <w:szCs w:val="36"/>
        </w:rPr>
      </w:pPr>
    </w:p>
    <w:p w14:paraId="1FDA06F2" w14:textId="77777777" w:rsidR="0089745B" w:rsidRDefault="0089745B" w:rsidP="00B6508E">
      <w:pPr>
        <w:jc w:val="center"/>
        <w:rPr>
          <w:rFonts w:cs="Arial"/>
          <w:sz w:val="36"/>
          <w:szCs w:val="36"/>
        </w:rPr>
      </w:pPr>
    </w:p>
    <w:p w14:paraId="38060722" w14:textId="77777777" w:rsidR="0089745B" w:rsidRDefault="0089745B" w:rsidP="00B6508E">
      <w:pPr>
        <w:jc w:val="center"/>
        <w:rPr>
          <w:rFonts w:cs="Arial"/>
          <w:sz w:val="36"/>
          <w:szCs w:val="36"/>
        </w:rPr>
      </w:pPr>
    </w:p>
    <w:p w14:paraId="34CF6940" w14:textId="330490DF" w:rsidR="002D0934" w:rsidRDefault="002D0934" w:rsidP="002D0934">
      <w:pPr>
        <w:pStyle w:val="Heading1"/>
      </w:pPr>
      <w:bookmarkStart w:id="0" w:name="_Toc239411724"/>
      <w:r>
        <w:lastRenderedPageBreak/>
        <w:t>Abstract</w:t>
      </w:r>
      <w:bookmarkEnd w:id="0"/>
    </w:p>
    <w:p w14:paraId="5E275DFE" w14:textId="77777777" w:rsidR="00345412" w:rsidRPr="00D8160B" w:rsidRDefault="00345412" w:rsidP="00345412">
      <w:r w:rsidRPr="00D8160B">
        <w:t>This report examines an incident involving an unexpected radiation exposure inside a cobalt</w:t>
      </w:r>
      <w:r w:rsidRPr="00D8160B">
        <w:noBreakHyphen/>
        <w:t xml:space="preserve">60 irradiator. The scope includes </w:t>
      </w:r>
      <w:r>
        <w:t>reconstructing the technician’s dose, assessing the engineering and procedural failures, and reviewing</w:t>
      </w:r>
      <w:r w:rsidRPr="00D8160B">
        <w:t xml:space="preserve"> compliance with the Ionising Radiations Regulations 2017 and relevant ONR Safety Assessment Principles. The dose reconstruction used simple attenuation methods and </w:t>
      </w:r>
      <w:r>
        <w:t xml:space="preserve">facility operational data </w:t>
      </w:r>
      <w:r w:rsidRPr="00D8160B">
        <w:t>to estimate the radiation field inside the chamber. The calculated dose rate was consistent with the technician’s personal dosimeter and with the symptoms he reported afterwards.</w:t>
      </w:r>
    </w:p>
    <w:p w14:paraId="274DB4D6" w14:textId="77777777" w:rsidR="00345412" w:rsidRPr="00D8160B" w:rsidRDefault="00345412" w:rsidP="00345412">
      <w:r w:rsidRPr="00D8160B">
        <w:t xml:space="preserve">The findings show that several safety barriers failed </w:t>
      </w:r>
      <w:r>
        <w:t>simultaneously</w:t>
      </w:r>
      <w:r w:rsidRPr="00D8160B">
        <w:t xml:space="preserve">. The source was not fully submerged, and the control system incorrectly indicated that it was parked. The entry system allowed access because the maze shielding masked the hazard at the entrance. Human factors, including confirmation bias and automation bias, influenced how the supervisor interpreted the conflicting indicators. The incident did not meet key regulatory requirements for reliable engineering controls, defence in depth, clear safety information, or effective interlocks. The report identifies practical improvements to strengthen source position indication, entry controls, and operator </w:t>
      </w:r>
      <w:r>
        <w:t>decision-making</w:t>
      </w:r>
      <w:r w:rsidRPr="00D8160B">
        <w:t>.</w:t>
      </w:r>
    </w:p>
    <w:p w14:paraId="36805ACA" w14:textId="77777777" w:rsidR="002D0934" w:rsidRPr="002D0934" w:rsidRDefault="002D0934" w:rsidP="002D0934"/>
    <w:p w14:paraId="3111B36E" w14:textId="77777777" w:rsidR="002D0934" w:rsidRDefault="002D0934" w:rsidP="00B6508E">
      <w:pPr>
        <w:jc w:val="center"/>
        <w:rPr>
          <w:rFonts w:cs="Arial"/>
          <w:sz w:val="36"/>
          <w:szCs w:val="36"/>
        </w:rPr>
      </w:pPr>
    </w:p>
    <w:p w14:paraId="74A07497" w14:textId="77777777" w:rsidR="002D0934" w:rsidRDefault="002D0934" w:rsidP="00B6508E">
      <w:pPr>
        <w:jc w:val="center"/>
        <w:rPr>
          <w:rFonts w:cs="Arial"/>
          <w:sz w:val="36"/>
          <w:szCs w:val="36"/>
        </w:rPr>
      </w:pPr>
    </w:p>
    <w:p w14:paraId="52CAF61D" w14:textId="77777777" w:rsidR="002D0934" w:rsidRDefault="002D0934" w:rsidP="00B6508E">
      <w:pPr>
        <w:jc w:val="center"/>
        <w:rPr>
          <w:rFonts w:cs="Arial"/>
          <w:sz w:val="36"/>
          <w:szCs w:val="36"/>
        </w:rPr>
      </w:pPr>
    </w:p>
    <w:p w14:paraId="5F18F78E" w14:textId="77777777" w:rsidR="002D0934" w:rsidRDefault="002D0934" w:rsidP="00B6508E">
      <w:pPr>
        <w:jc w:val="center"/>
        <w:rPr>
          <w:rFonts w:cs="Arial"/>
          <w:sz w:val="36"/>
          <w:szCs w:val="36"/>
        </w:rPr>
      </w:pPr>
    </w:p>
    <w:p w14:paraId="6DD8FFAA" w14:textId="77777777" w:rsidR="002D0934" w:rsidRDefault="002D0934" w:rsidP="00B6508E">
      <w:pPr>
        <w:jc w:val="center"/>
        <w:rPr>
          <w:rFonts w:cs="Arial"/>
          <w:sz w:val="36"/>
          <w:szCs w:val="36"/>
        </w:rPr>
      </w:pPr>
    </w:p>
    <w:p w14:paraId="637FB2A2" w14:textId="77777777" w:rsidR="002D0934" w:rsidRDefault="002D0934" w:rsidP="00B6508E">
      <w:pPr>
        <w:jc w:val="center"/>
        <w:rPr>
          <w:rFonts w:cs="Arial"/>
          <w:sz w:val="36"/>
          <w:szCs w:val="36"/>
        </w:rPr>
      </w:pPr>
    </w:p>
    <w:p w14:paraId="2E195996" w14:textId="77777777" w:rsidR="002D0934" w:rsidRDefault="002D0934" w:rsidP="00B6508E">
      <w:pPr>
        <w:jc w:val="center"/>
        <w:rPr>
          <w:rFonts w:cs="Arial"/>
          <w:sz w:val="36"/>
          <w:szCs w:val="36"/>
        </w:rPr>
      </w:pPr>
    </w:p>
    <w:p w14:paraId="031769AB" w14:textId="77777777" w:rsidR="002D0934" w:rsidRDefault="002D0934" w:rsidP="00B6508E">
      <w:pPr>
        <w:jc w:val="center"/>
        <w:rPr>
          <w:rFonts w:cs="Arial"/>
          <w:sz w:val="36"/>
          <w:szCs w:val="36"/>
        </w:rPr>
      </w:pPr>
    </w:p>
    <w:p w14:paraId="73BC59D7" w14:textId="77777777" w:rsidR="002D0934" w:rsidRDefault="002D0934" w:rsidP="00B6508E">
      <w:pPr>
        <w:jc w:val="center"/>
        <w:rPr>
          <w:rFonts w:cs="Arial"/>
          <w:sz w:val="36"/>
          <w:szCs w:val="36"/>
        </w:rPr>
      </w:pPr>
    </w:p>
    <w:p w14:paraId="01258737" w14:textId="77777777" w:rsidR="002D0934" w:rsidRDefault="002D0934" w:rsidP="00B6508E">
      <w:pPr>
        <w:jc w:val="center"/>
        <w:rPr>
          <w:rFonts w:cs="Arial"/>
          <w:sz w:val="36"/>
          <w:szCs w:val="36"/>
        </w:rPr>
      </w:pPr>
    </w:p>
    <w:sdt>
      <w:sdtPr>
        <w:rPr>
          <w:rFonts w:asciiTheme="minorHAnsi" w:eastAsiaTheme="minorHAnsi" w:hAnsiTheme="minorHAnsi" w:cstheme="minorBidi"/>
          <w:color w:val="auto"/>
          <w:kern w:val="2"/>
          <w:sz w:val="24"/>
          <w:szCs w:val="24"/>
          <w:lang w:val="en-GB"/>
          <w14:ligatures w14:val="standardContextual"/>
        </w:rPr>
        <w:id w:val="1401863924"/>
        <w:docPartObj>
          <w:docPartGallery w:val="Table of Contents"/>
          <w:docPartUnique/>
        </w:docPartObj>
      </w:sdtPr>
      <w:sdtEndPr>
        <w:rPr>
          <w:b/>
          <w:bCs/>
          <w:noProof/>
        </w:rPr>
      </w:sdtEndPr>
      <w:sdtContent>
        <w:p w14:paraId="0E25878F" w14:textId="325B6BE7" w:rsidR="0089745B" w:rsidRDefault="0089745B">
          <w:pPr>
            <w:pStyle w:val="TOCHeading"/>
          </w:pPr>
          <w:r>
            <w:t>Table of Contents</w:t>
          </w:r>
        </w:p>
        <w:p w14:paraId="29E066A9" w14:textId="787DBA31" w:rsidR="001E0C0E" w:rsidRDefault="008974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411724" w:history="1">
            <w:r w:rsidR="001E0C0E" w:rsidRPr="000F6DE5">
              <w:rPr>
                <w:rStyle w:val="Hyperlink"/>
                <w:noProof/>
              </w:rPr>
              <w:t>Abstract</w:t>
            </w:r>
            <w:r w:rsidR="001E0C0E">
              <w:rPr>
                <w:noProof/>
                <w:webHidden/>
              </w:rPr>
              <w:tab/>
            </w:r>
            <w:r w:rsidR="001E0C0E">
              <w:rPr>
                <w:noProof/>
                <w:webHidden/>
              </w:rPr>
              <w:fldChar w:fldCharType="begin"/>
            </w:r>
            <w:r w:rsidR="001E0C0E">
              <w:rPr>
                <w:noProof/>
                <w:webHidden/>
              </w:rPr>
              <w:instrText xml:space="preserve"> PAGEREF _Toc239411724 \h </w:instrText>
            </w:r>
            <w:r w:rsidR="001E0C0E">
              <w:rPr>
                <w:noProof/>
                <w:webHidden/>
              </w:rPr>
            </w:r>
            <w:r w:rsidR="001E0C0E">
              <w:rPr>
                <w:noProof/>
                <w:webHidden/>
              </w:rPr>
              <w:fldChar w:fldCharType="separate"/>
            </w:r>
            <w:r w:rsidR="001E0C0E">
              <w:rPr>
                <w:noProof/>
                <w:webHidden/>
              </w:rPr>
              <w:t>2</w:t>
            </w:r>
            <w:r w:rsidR="001E0C0E">
              <w:rPr>
                <w:noProof/>
                <w:webHidden/>
              </w:rPr>
              <w:fldChar w:fldCharType="end"/>
            </w:r>
          </w:hyperlink>
        </w:p>
        <w:p w14:paraId="20CF35FE" w14:textId="29E8D5C5" w:rsidR="001E0C0E" w:rsidRDefault="001E0C0E">
          <w:pPr>
            <w:pStyle w:val="TOC1"/>
            <w:tabs>
              <w:tab w:val="right" w:leader="dot" w:pos="9016"/>
            </w:tabs>
            <w:rPr>
              <w:rFonts w:eastAsiaTheme="minorEastAsia"/>
              <w:noProof/>
              <w:lang w:eastAsia="en-GB"/>
            </w:rPr>
          </w:pPr>
          <w:hyperlink w:anchor="_Toc239411725" w:history="1">
            <w:r w:rsidRPr="000F6DE5">
              <w:rPr>
                <w:rStyle w:val="Hyperlink"/>
                <w:noProof/>
              </w:rPr>
              <w:t>Introduction</w:t>
            </w:r>
            <w:r>
              <w:rPr>
                <w:noProof/>
                <w:webHidden/>
              </w:rPr>
              <w:tab/>
            </w:r>
            <w:r>
              <w:rPr>
                <w:noProof/>
                <w:webHidden/>
              </w:rPr>
              <w:fldChar w:fldCharType="begin"/>
            </w:r>
            <w:r>
              <w:rPr>
                <w:noProof/>
                <w:webHidden/>
              </w:rPr>
              <w:instrText xml:space="preserve"> PAGEREF _Toc239411725 \h </w:instrText>
            </w:r>
            <w:r>
              <w:rPr>
                <w:noProof/>
                <w:webHidden/>
              </w:rPr>
            </w:r>
            <w:r>
              <w:rPr>
                <w:noProof/>
                <w:webHidden/>
              </w:rPr>
              <w:fldChar w:fldCharType="separate"/>
            </w:r>
            <w:r>
              <w:rPr>
                <w:noProof/>
                <w:webHidden/>
              </w:rPr>
              <w:t>4</w:t>
            </w:r>
            <w:r>
              <w:rPr>
                <w:noProof/>
                <w:webHidden/>
              </w:rPr>
              <w:fldChar w:fldCharType="end"/>
            </w:r>
          </w:hyperlink>
        </w:p>
        <w:p w14:paraId="48570785" w14:textId="7877EC4F" w:rsidR="001E0C0E" w:rsidRDefault="001E0C0E">
          <w:pPr>
            <w:pStyle w:val="TOC1"/>
            <w:tabs>
              <w:tab w:val="right" w:leader="dot" w:pos="9016"/>
            </w:tabs>
            <w:rPr>
              <w:rFonts w:eastAsiaTheme="minorEastAsia"/>
              <w:noProof/>
              <w:lang w:eastAsia="en-GB"/>
            </w:rPr>
          </w:pPr>
          <w:hyperlink w:anchor="_Toc239411726" w:history="1">
            <w:r w:rsidRPr="000F6DE5">
              <w:rPr>
                <w:rStyle w:val="Hyperlink"/>
                <w:noProof/>
              </w:rPr>
              <w:t>Technical Exposition</w:t>
            </w:r>
            <w:r>
              <w:rPr>
                <w:noProof/>
                <w:webHidden/>
              </w:rPr>
              <w:tab/>
            </w:r>
            <w:r>
              <w:rPr>
                <w:noProof/>
                <w:webHidden/>
              </w:rPr>
              <w:fldChar w:fldCharType="begin"/>
            </w:r>
            <w:r>
              <w:rPr>
                <w:noProof/>
                <w:webHidden/>
              </w:rPr>
              <w:instrText xml:space="preserve"> PAGEREF _Toc239411726 \h </w:instrText>
            </w:r>
            <w:r>
              <w:rPr>
                <w:noProof/>
                <w:webHidden/>
              </w:rPr>
            </w:r>
            <w:r>
              <w:rPr>
                <w:noProof/>
                <w:webHidden/>
              </w:rPr>
              <w:fldChar w:fldCharType="separate"/>
            </w:r>
            <w:r>
              <w:rPr>
                <w:noProof/>
                <w:webHidden/>
              </w:rPr>
              <w:t>5</w:t>
            </w:r>
            <w:r>
              <w:rPr>
                <w:noProof/>
                <w:webHidden/>
              </w:rPr>
              <w:fldChar w:fldCharType="end"/>
            </w:r>
          </w:hyperlink>
        </w:p>
        <w:p w14:paraId="4DC866A3" w14:textId="5415F3D8" w:rsidR="001E0C0E" w:rsidRDefault="001E0C0E">
          <w:pPr>
            <w:pStyle w:val="TOC2"/>
            <w:tabs>
              <w:tab w:val="right" w:leader="dot" w:pos="9016"/>
            </w:tabs>
            <w:rPr>
              <w:rFonts w:eastAsiaTheme="minorEastAsia"/>
              <w:noProof/>
              <w:lang w:eastAsia="en-GB"/>
            </w:rPr>
          </w:pPr>
          <w:hyperlink w:anchor="_Toc239411727" w:history="1">
            <w:r w:rsidRPr="000F6DE5">
              <w:rPr>
                <w:rStyle w:val="Hyperlink"/>
                <w:noProof/>
              </w:rPr>
              <w:t>Unshielded dose rate at 2</w:t>
            </w:r>
            <w:r w:rsidRPr="000F6DE5">
              <w:rPr>
                <w:rStyle w:val="Hyperlink"/>
                <w:rFonts w:ascii="Arial" w:hAnsi="Arial" w:cs="Arial"/>
                <w:noProof/>
              </w:rPr>
              <w:t> </w:t>
            </w:r>
            <w:r w:rsidRPr="000F6DE5">
              <w:rPr>
                <w:rStyle w:val="Hyperlink"/>
                <w:noProof/>
              </w:rPr>
              <w:t>m</w:t>
            </w:r>
            <w:r>
              <w:rPr>
                <w:noProof/>
                <w:webHidden/>
              </w:rPr>
              <w:tab/>
            </w:r>
            <w:r>
              <w:rPr>
                <w:noProof/>
                <w:webHidden/>
              </w:rPr>
              <w:fldChar w:fldCharType="begin"/>
            </w:r>
            <w:r>
              <w:rPr>
                <w:noProof/>
                <w:webHidden/>
              </w:rPr>
              <w:instrText xml:space="preserve"> PAGEREF _Toc239411727 \h </w:instrText>
            </w:r>
            <w:r>
              <w:rPr>
                <w:noProof/>
                <w:webHidden/>
              </w:rPr>
            </w:r>
            <w:r>
              <w:rPr>
                <w:noProof/>
                <w:webHidden/>
              </w:rPr>
              <w:fldChar w:fldCharType="separate"/>
            </w:r>
            <w:r>
              <w:rPr>
                <w:noProof/>
                <w:webHidden/>
              </w:rPr>
              <w:t>5</w:t>
            </w:r>
            <w:r>
              <w:rPr>
                <w:noProof/>
                <w:webHidden/>
              </w:rPr>
              <w:fldChar w:fldCharType="end"/>
            </w:r>
          </w:hyperlink>
        </w:p>
        <w:p w14:paraId="1C165595" w14:textId="364AF8F4" w:rsidR="001E0C0E" w:rsidRDefault="001E0C0E">
          <w:pPr>
            <w:pStyle w:val="TOC2"/>
            <w:tabs>
              <w:tab w:val="right" w:leader="dot" w:pos="9016"/>
            </w:tabs>
            <w:rPr>
              <w:rFonts w:eastAsiaTheme="minorEastAsia"/>
              <w:noProof/>
              <w:lang w:eastAsia="en-GB"/>
            </w:rPr>
          </w:pPr>
          <w:hyperlink w:anchor="_Toc239411728" w:history="1">
            <w:r w:rsidRPr="000F6DE5">
              <w:rPr>
                <w:rStyle w:val="Hyperlink"/>
                <w:noProof/>
              </w:rPr>
              <w:t>Suitability of the point</w:t>
            </w:r>
            <w:r w:rsidRPr="000F6DE5">
              <w:rPr>
                <w:rStyle w:val="Hyperlink"/>
                <w:noProof/>
              </w:rPr>
              <w:noBreakHyphen/>
              <w:t>source model</w:t>
            </w:r>
            <w:r>
              <w:rPr>
                <w:noProof/>
                <w:webHidden/>
              </w:rPr>
              <w:tab/>
            </w:r>
            <w:r>
              <w:rPr>
                <w:noProof/>
                <w:webHidden/>
              </w:rPr>
              <w:fldChar w:fldCharType="begin"/>
            </w:r>
            <w:r>
              <w:rPr>
                <w:noProof/>
                <w:webHidden/>
              </w:rPr>
              <w:instrText xml:space="preserve"> PAGEREF _Toc239411728 \h </w:instrText>
            </w:r>
            <w:r>
              <w:rPr>
                <w:noProof/>
                <w:webHidden/>
              </w:rPr>
            </w:r>
            <w:r>
              <w:rPr>
                <w:noProof/>
                <w:webHidden/>
              </w:rPr>
              <w:fldChar w:fldCharType="separate"/>
            </w:r>
            <w:r>
              <w:rPr>
                <w:noProof/>
                <w:webHidden/>
              </w:rPr>
              <w:t>5</w:t>
            </w:r>
            <w:r>
              <w:rPr>
                <w:noProof/>
                <w:webHidden/>
              </w:rPr>
              <w:fldChar w:fldCharType="end"/>
            </w:r>
          </w:hyperlink>
        </w:p>
        <w:p w14:paraId="1FDDEADB" w14:textId="4F8D8ADA" w:rsidR="001E0C0E" w:rsidRDefault="001E0C0E">
          <w:pPr>
            <w:pStyle w:val="TOC2"/>
            <w:tabs>
              <w:tab w:val="right" w:leader="dot" w:pos="9016"/>
            </w:tabs>
            <w:rPr>
              <w:rFonts w:eastAsiaTheme="minorEastAsia"/>
              <w:noProof/>
              <w:lang w:eastAsia="en-GB"/>
            </w:rPr>
          </w:pPr>
          <w:hyperlink w:anchor="_Toc239411729" w:history="1">
            <w:r w:rsidRPr="000F6DE5">
              <w:rPr>
                <w:rStyle w:val="Hyperlink"/>
                <w:noProof/>
              </w:rPr>
              <w:t>Maze entrance shielding</w:t>
            </w:r>
            <w:r>
              <w:rPr>
                <w:noProof/>
                <w:webHidden/>
              </w:rPr>
              <w:tab/>
            </w:r>
            <w:r>
              <w:rPr>
                <w:noProof/>
                <w:webHidden/>
              </w:rPr>
              <w:fldChar w:fldCharType="begin"/>
            </w:r>
            <w:r>
              <w:rPr>
                <w:noProof/>
                <w:webHidden/>
              </w:rPr>
              <w:instrText xml:space="preserve"> PAGEREF _Toc239411729 \h </w:instrText>
            </w:r>
            <w:r>
              <w:rPr>
                <w:noProof/>
                <w:webHidden/>
              </w:rPr>
            </w:r>
            <w:r>
              <w:rPr>
                <w:noProof/>
                <w:webHidden/>
              </w:rPr>
              <w:fldChar w:fldCharType="separate"/>
            </w:r>
            <w:r>
              <w:rPr>
                <w:noProof/>
                <w:webHidden/>
              </w:rPr>
              <w:t>6</w:t>
            </w:r>
            <w:r>
              <w:rPr>
                <w:noProof/>
                <w:webHidden/>
              </w:rPr>
              <w:fldChar w:fldCharType="end"/>
            </w:r>
          </w:hyperlink>
        </w:p>
        <w:p w14:paraId="1F87901A" w14:textId="28EB43D6" w:rsidR="001E0C0E" w:rsidRDefault="001E0C0E">
          <w:pPr>
            <w:pStyle w:val="TOC2"/>
            <w:tabs>
              <w:tab w:val="right" w:leader="dot" w:pos="9016"/>
            </w:tabs>
            <w:rPr>
              <w:rFonts w:eastAsiaTheme="minorEastAsia"/>
              <w:noProof/>
              <w:lang w:eastAsia="en-GB"/>
            </w:rPr>
          </w:pPr>
          <w:hyperlink w:anchor="_Toc239411730" w:history="1">
            <w:r w:rsidRPr="000F6DE5">
              <w:rPr>
                <w:rStyle w:val="Hyperlink"/>
                <w:noProof/>
              </w:rPr>
              <w:t>Water</w:t>
            </w:r>
            <w:r w:rsidRPr="000F6DE5">
              <w:rPr>
                <w:rStyle w:val="Hyperlink"/>
                <w:noProof/>
              </w:rPr>
              <w:noBreakHyphen/>
              <w:t>Shielded Dose Rate</w:t>
            </w:r>
            <w:r>
              <w:rPr>
                <w:noProof/>
                <w:webHidden/>
              </w:rPr>
              <w:tab/>
            </w:r>
            <w:r>
              <w:rPr>
                <w:noProof/>
                <w:webHidden/>
              </w:rPr>
              <w:fldChar w:fldCharType="begin"/>
            </w:r>
            <w:r>
              <w:rPr>
                <w:noProof/>
                <w:webHidden/>
              </w:rPr>
              <w:instrText xml:space="preserve"> PAGEREF _Toc239411730 \h </w:instrText>
            </w:r>
            <w:r>
              <w:rPr>
                <w:noProof/>
                <w:webHidden/>
              </w:rPr>
            </w:r>
            <w:r>
              <w:rPr>
                <w:noProof/>
                <w:webHidden/>
              </w:rPr>
              <w:fldChar w:fldCharType="separate"/>
            </w:r>
            <w:r>
              <w:rPr>
                <w:noProof/>
                <w:webHidden/>
              </w:rPr>
              <w:t>6</w:t>
            </w:r>
            <w:r>
              <w:rPr>
                <w:noProof/>
                <w:webHidden/>
              </w:rPr>
              <w:fldChar w:fldCharType="end"/>
            </w:r>
          </w:hyperlink>
        </w:p>
        <w:p w14:paraId="2EB0064B" w14:textId="733A6329" w:rsidR="001E0C0E" w:rsidRDefault="001E0C0E">
          <w:pPr>
            <w:pStyle w:val="TOC1"/>
            <w:tabs>
              <w:tab w:val="right" w:leader="dot" w:pos="9016"/>
            </w:tabs>
            <w:rPr>
              <w:rFonts w:eastAsiaTheme="minorEastAsia"/>
              <w:noProof/>
              <w:lang w:eastAsia="en-GB"/>
            </w:rPr>
          </w:pPr>
          <w:hyperlink w:anchor="_Toc239411731" w:history="1">
            <w:r w:rsidRPr="000F6DE5">
              <w:rPr>
                <w:rStyle w:val="Hyperlink"/>
                <w:noProof/>
              </w:rPr>
              <w:t>Case analysis</w:t>
            </w:r>
            <w:r>
              <w:rPr>
                <w:noProof/>
                <w:webHidden/>
              </w:rPr>
              <w:tab/>
            </w:r>
            <w:r>
              <w:rPr>
                <w:noProof/>
                <w:webHidden/>
              </w:rPr>
              <w:fldChar w:fldCharType="begin"/>
            </w:r>
            <w:r>
              <w:rPr>
                <w:noProof/>
                <w:webHidden/>
              </w:rPr>
              <w:instrText xml:space="preserve"> PAGEREF _Toc239411731 \h </w:instrText>
            </w:r>
            <w:r>
              <w:rPr>
                <w:noProof/>
                <w:webHidden/>
              </w:rPr>
            </w:r>
            <w:r>
              <w:rPr>
                <w:noProof/>
                <w:webHidden/>
              </w:rPr>
              <w:fldChar w:fldCharType="separate"/>
            </w:r>
            <w:r>
              <w:rPr>
                <w:noProof/>
                <w:webHidden/>
              </w:rPr>
              <w:t>8</w:t>
            </w:r>
            <w:r>
              <w:rPr>
                <w:noProof/>
                <w:webHidden/>
              </w:rPr>
              <w:fldChar w:fldCharType="end"/>
            </w:r>
          </w:hyperlink>
        </w:p>
        <w:p w14:paraId="31EE44B6" w14:textId="382FCB50" w:rsidR="001E0C0E" w:rsidRDefault="001E0C0E">
          <w:pPr>
            <w:pStyle w:val="TOC1"/>
            <w:tabs>
              <w:tab w:val="right" w:leader="dot" w:pos="9016"/>
            </w:tabs>
            <w:rPr>
              <w:rFonts w:eastAsiaTheme="minorEastAsia"/>
              <w:noProof/>
              <w:lang w:eastAsia="en-GB"/>
            </w:rPr>
          </w:pPr>
          <w:hyperlink w:anchor="_Toc239411732" w:history="1">
            <w:r w:rsidRPr="000F6DE5">
              <w:rPr>
                <w:rStyle w:val="Hyperlink"/>
                <w:noProof/>
              </w:rPr>
              <w:t>Discussion</w:t>
            </w:r>
            <w:r>
              <w:rPr>
                <w:noProof/>
                <w:webHidden/>
              </w:rPr>
              <w:tab/>
            </w:r>
            <w:r>
              <w:rPr>
                <w:noProof/>
                <w:webHidden/>
              </w:rPr>
              <w:fldChar w:fldCharType="begin"/>
            </w:r>
            <w:r>
              <w:rPr>
                <w:noProof/>
                <w:webHidden/>
              </w:rPr>
              <w:instrText xml:space="preserve"> PAGEREF _Toc239411732 \h </w:instrText>
            </w:r>
            <w:r>
              <w:rPr>
                <w:noProof/>
                <w:webHidden/>
              </w:rPr>
            </w:r>
            <w:r>
              <w:rPr>
                <w:noProof/>
                <w:webHidden/>
              </w:rPr>
              <w:fldChar w:fldCharType="separate"/>
            </w:r>
            <w:r>
              <w:rPr>
                <w:noProof/>
                <w:webHidden/>
              </w:rPr>
              <w:t>9</w:t>
            </w:r>
            <w:r>
              <w:rPr>
                <w:noProof/>
                <w:webHidden/>
              </w:rPr>
              <w:fldChar w:fldCharType="end"/>
            </w:r>
          </w:hyperlink>
        </w:p>
        <w:p w14:paraId="1CCECF50" w14:textId="7F86A344" w:rsidR="001E0C0E" w:rsidRDefault="001E0C0E">
          <w:pPr>
            <w:pStyle w:val="TOC1"/>
            <w:tabs>
              <w:tab w:val="right" w:leader="dot" w:pos="9016"/>
            </w:tabs>
            <w:rPr>
              <w:rFonts w:eastAsiaTheme="minorEastAsia"/>
              <w:noProof/>
              <w:lang w:eastAsia="en-GB"/>
            </w:rPr>
          </w:pPr>
          <w:hyperlink w:anchor="_Toc239411733" w:history="1">
            <w:r w:rsidRPr="000F6DE5">
              <w:rPr>
                <w:rStyle w:val="Hyperlink"/>
                <w:noProof/>
              </w:rPr>
              <w:t>Recommendations</w:t>
            </w:r>
            <w:r>
              <w:rPr>
                <w:noProof/>
                <w:webHidden/>
              </w:rPr>
              <w:tab/>
            </w:r>
            <w:r>
              <w:rPr>
                <w:noProof/>
                <w:webHidden/>
              </w:rPr>
              <w:fldChar w:fldCharType="begin"/>
            </w:r>
            <w:r>
              <w:rPr>
                <w:noProof/>
                <w:webHidden/>
              </w:rPr>
              <w:instrText xml:space="preserve"> PAGEREF _Toc239411733 \h </w:instrText>
            </w:r>
            <w:r>
              <w:rPr>
                <w:noProof/>
                <w:webHidden/>
              </w:rPr>
            </w:r>
            <w:r>
              <w:rPr>
                <w:noProof/>
                <w:webHidden/>
              </w:rPr>
              <w:fldChar w:fldCharType="separate"/>
            </w:r>
            <w:r>
              <w:rPr>
                <w:noProof/>
                <w:webHidden/>
              </w:rPr>
              <w:t>12</w:t>
            </w:r>
            <w:r>
              <w:rPr>
                <w:noProof/>
                <w:webHidden/>
              </w:rPr>
              <w:fldChar w:fldCharType="end"/>
            </w:r>
          </w:hyperlink>
        </w:p>
        <w:p w14:paraId="44F3F7B2" w14:textId="0758E600" w:rsidR="001E0C0E" w:rsidRDefault="001E0C0E">
          <w:pPr>
            <w:pStyle w:val="TOC1"/>
            <w:tabs>
              <w:tab w:val="right" w:leader="dot" w:pos="9016"/>
            </w:tabs>
            <w:rPr>
              <w:rFonts w:eastAsiaTheme="minorEastAsia"/>
              <w:noProof/>
              <w:lang w:eastAsia="en-GB"/>
            </w:rPr>
          </w:pPr>
          <w:hyperlink w:anchor="_Toc239411734" w:history="1">
            <w:r w:rsidRPr="000F6DE5">
              <w:rPr>
                <w:rStyle w:val="Hyperlink"/>
                <w:noProof/>
              </w:rPr>
              <w:t>Conclusion</w:t>
            </w:r>
            <w:r>
              <w:rPr>
                <w:noProof/>
                <w:webHidden/>
              </w:rPr>
              <w:tab/>
            </w:r>
            <w:r>
              <w:rPr>
                <w:noProof/>
                <w:webHidden/>
              </w:rPr>
              <w:fldChar w:fldCharType="begin"/>
            </w:r>
            <w:r>
              <w:rPr>
                <w:noProof/>
                <w:webHidden/>
              </w:rPr>
              <w:instrText xml:space="preserve"> PAGEREF _Toc239411734 \h </w:instrText>
            </w:r>
            <w:r>
              <w:rPr>
                <w:noProof/>
                <w:webHidden/>
              </w:rPr>
            </w:r>
            <w:r>
              <w:rPr>
                <w:noProof/>
                <w:webHidden/>
              </w:rPr>
              <w:fldChar w:fldCharType="separate"/>
            </w:r>
            <w:r>
              <w:rPr>
                <w:noProof/>
                <w:webHidden/>
              </w:rPr>
              <w:t>14</w:t>
            </w:r>
            <w:r>
              <w:rPr>
                <w:noProof/>
                <w:webHidden/>
              </w:rPr>
              <w:fldChar w:fldCharType="end"/>
            </w:r>
          </w:hyperlink>
        </w:p>
        <w:p w14:paraId="5E723404" w14:textId="52F12B18" w:rsidR="001E0C0E" w:rsidRDefault="001E0C0E">
          <w:pPr>
            <w:pStyle w:val="TOC1"/>
            <w:tabs>
              <w:tab w:val="right" w:leader="dot" w:pos="9016"/>
            </w:tabs>
            <w:rPr>
              <w:rFonts w:eastAsiaTheme="minorEastAsia"/>
              <w:noProof/>
              <w:lang w:eastAsia="en-GB"/>
            </w:rPr>
          </w:pPr>
          <w:hyperlink w:anchor="_Toc239411735" w:history="1">
            <w:r w:rsidRPr="000F6DE5">
              <w:rPr>
                <w:rStyle w:val="Hyperlink"/>
                <w:noProof/>
              </w:rPr>
              <w:t>References</w:t>
            </w:r>
            <w:r>
              <w:rPr>
                <w:noProof/>
                <w:webHidden/>
              </w:rPr>
              <w:tab/>
            </w:r>
            <w:r>
              <w:rPr>
                <w:noProof/>
                <w:webHidden/>
              </w:rPr>
              <w:fldChar w:fldCharType="begin"/>
            </w:r>
            <w:r>
              <w:rPr>
                <w:noProof/>
                <w:webHidden/>
              </w:rPr>
              <w:instrText xml:space="preserve"> PAGEREF _Toc239411735 \h </w:instrText>
            </w:r>
            <w:r>
              <w:rPr>
                <w:noProof/>
                <w:webHidden/>
              </w:rPr>
            </w:r>
            <w:r>
              <w:rPr>
                <w:noProof/>
                <w:webHidden/>
              </w:rPr>
              <w:fldChar w:fldCharType="separate"/>
            </w:r>
            <w:r>
              <w:rPr>
                <w:noProof/>
                <w:webHidden/>
              </w:rPr>
              <w:t>15</w:t>
            </w:r>
            <w:r>
              <w:rPr>
                <w:noProof/>
                <w:webHidden/>
              </w:rPr>
              <w:fldChar w:fldCharType="end"/>
            </w:r>
          </w:hyperlink>
        </w:p>
        <w:p w14:paraId="5E425AD0" w14:textId="22C26562" w:rsidR="001E0C0E" w:rsidRDefault="001E0C0E">
          <w:pPr>
            <w:pStyle w:val="TOC1"/>
            <w:tabs>
              <w:tab w:val="right" w:leader="dot" w:pos="9016"/>
            </w:tabs>
            <w:rPr>
              <w:rFonts w:eastAsiaTheme="minorEastAsia"/>
              <w:noProof/>
              <w:lang w:eastAsia="en-GB"/>
            </w:rPr>
          </w:pPr>
          <w:hyperlink w:anchor="_Toc239411736" w:history="1">
            <w:r w:rsidRPr="000F6DE5">
              <w:rPr>
                <w:rStyle w:val="Hyperlink"/>
                <w:noProof/>
              </w:rPr>
              <w:t>Annex A</w:t>
            </w:r>
            <w:r>
              <w:rPr>
                <w:noProof/>
                <w:webHidden/>
              </w:rPr>
              <w:tab/>
            </w:r>
            <w:r>
              <w:rPr>
                <w:noProof/>
                <w:webHidden/>
              </w:rPr>
              <w:fldChar w:fldCharType="begin"/>
            </w:r>
            <w:r>
              <w:rPr>
                <w:noProof/>
                <w:webHidden/>
              </w:rPr>
              <w:instrText xml:space="preserve"> PAGEREF _Toc239411736 \h </w:instrText>
            </w:r>
            <w:r>
              <w:rPr>
                <w:noProof/>
                <w:webHidden/>
              </w:rPr>
            </w:r>
            <w:r>
              <w:rPr>
                <w:noProof/>
                <w:webHidden/>
              </w:rPr>
              <w:fldChar w:fldCharType="separate"/>
            </w:r>
            <w:r>
              <w:rPr>
                <w:noProof/>
                <w:webHidden/>
              </w:rPr>
              <w:t>16</w:t>
            </w:r>
            <w:r>
              <w:rPr>
                <w:noProof/>
                <w:webHidden/>
              </w:rPr>
              <w:fldChar w:fldCharType="end"/>
            </w:r>
          </w:hyperlink>
        </w:p>
        <w:p w14:paraId="32A2C3D7" w14:textId="2EBED6C0" w:rsidR="001E0C0E" w:rsidRDefault="001E0C0E">
          <w:pPr>
            <w:pStyle w:val="TOC2"/>
            <w:tabs>
              <w:tab w:val="right" w:leader="dot" w:pos="9016"/>
            </w:tabs>
            <w:rPr>
              <w:rFonts w:eastAsiaTheme="minorEastAsia"/>
              <w:noProof/>
              <w:lang w:eastAsia="en-GB"/>
            </w:rPr>
          </w:pPr>
          <w:hyperlink w:anchor="_Toc239411737" w:history="1">
            <w:r w:rsidRPr="000F6DE5">
              <w:rPr>
                <w:rStyle w:val="Hyperlink"/>
                <w:noProof/>
              </w:rPr>
              <w:t>Activity Decay Calculation</w:t>
            </w:r>
            <w:r>
              <w:rPr>
                <w:noProof/>
                <w:webHidden/>
              </w:rPr>
              <w:tab/>
            </w:r>
            <w:r>
              <w:rPr>
                <w:noProof/>
                <w:webHidden/>
              </w:rPr>
              <w:fldChar w:fldCharType="begin"/>
            </w:r>
            <w:r>
              <w:rPr>
                <w:noProof/>
                <w:webHidden/>
              </w:rPr>
              <w:instrText xml:space="preserve"> PAGEREF _Toc239411737 \h </w:instrText>
            </w:r>
            <w:r>
              <w:rPr>
                <w:noProof/>
                <w:webHidden/>
              </w:rPr>
            </w:r>
            <w:r>
              <w:rPr>
                <w:noProof/>
                <w:webHidden/>
              </w:rPr>
              <w:fldChar w:fldCharType="separate"/>
            </w:r>
            <w:r>
              <w:rPr>
                <w:noProof/>
                <w:webHidden/>
              </w:rPr>
              <w:t>16</w:t>
            </w:r>
            <w:r>
              <w:rPr>
                <w:noProof/>
                <w:webHidden/>
              </w:rPr>
              <w:fldChar w:fldCharType="end"/>
            </w:r>
          </w:hyperlink>
        </w:p>
        <w:p w14:paraId="293FE6A0" w14:textId="65C4DD26" w:rsidR="001E0C0E" w:rsidRDefault="001E0C0E">
          <w:pPr>
            <w:pStyle w:val="TOC2"/>
            <w:tabs>
              <w:tab w:val="right" w:leader="dot" w:pos="9016"/>
            </w:tabs>
            <w:rPr>
              <w:rFonts w:eastAsiaTheme="minorEastAsia"/>
              <w:noProof/>
              <w:lang w:eastAsia="en-GB"/>
            </w:rPr>
          </w:pPr>
          <w:hyperlink w:anchor="_Toc239411738" w:history="1">
            <w:r w:rsidRPr="000F6DE5">
              <w:rPr>
                <w:rStyle w:val="Hyperlink"/>
                <w:noProof/>
              </w:rPr>
              <w:t>Unshielded Dose Rate</w:t>
            </w:r>
            <w:r>
              <w:rPr>
                <w:noProof/>
                <w:webHidden/>
              </w:rPr>
              <w:tab/>
            </w:r>
            <w:r>
              <w:rPr>
                <w:noProof/>
                <w:webHidden/>
              </w:rPr>
              <w:fldChar w:fldCharType="begin"/>
            </w:r>
            <w:r>
              <w:rPr>
                <w:noProof/>
                <w:webHidden/>
              </w:rPr>
              <w:instrText xml:space="preserve"> PAGEREF _Toc239411738 \h </w:instrText>
            </w:r>
            <w:r>
              <w:rPr>
                <w:noProof/>
                <w:webHidden/>
              </w:rPr>
            </w:r>
            <w:r>
              <w:rPr>
                <w:noProof/>
                <w:webHidden/>
              </w:rPr>
              <w:fldChar w:fldCharType="separate"/>
            </w:r>
            <w:r>
              <w:rPr>
                <w:noProof/>
                <w:webHidden/>
              </w:rPr>
              <w:t>16</w:t>
            </w:r>
            <w:r>
              <w:rPr>
                <w:noProof/>
                <w:webHidden/>
              </w:rPr>
              <w:fldChar w:fldCharType="end"/>
            </w:r>
          </w:hyperlink>
        </w:p>
        <w:p w14:paraId="137F4199" w14:textId="588592D4" w:rsidR="001E0C0E" w:rsidRDefault="001E0C0E">
          <w:pPr>
            <w:pStyle w:val="TOC2"/>
            <w:tabs>
              <w:tab w:val="right" w:leader="dot" w:pos="9016"/>
            </w:tabs>
            <w:rPr>
              <w:rFonts w:eastAsiaTheme="minorEastAsia"/>
              <w:noProof/>
              <w:lang w:eastAsia="en-GB"/>
            </w:rPr>
          </w:pPr>
          <w:hyperlink w:anchor="_Toc239411739" w:history="1">
            <w:r w:rsidRPr="000F6DE5">
              <w:rPr>
                <w:rStyle w:val="Hyperlink"/>
                <w:noProof/>
              </w:rPr>
              <w:t>Water</w:t>
            </w:r>
            <w:r w:rsidRPr="000F6DE5">
              <w:rPr>
                <w:rStyle w:val="Hyperlink"/>
                <w:noProof/>
              </w:rPr>
              <w:noBreakHyphen/>
              <w:t>shielded dose rate at 2</w:t>
            </w:r>
            <w:r w:rsidRPr="000F6DE5">
              <w:rPr>
                <w:rStyle w:val="Hyperlink"/>
                <w:rFonts w:ascii="Arial" w:hAnsi="Arial" w:cs="Arial"/>
                <w:noProof/>
              </w:rPr>
              <w:t> </w:t>
            </w:r>
            <w:r w:rsidRPr="000F6DE5">
              <w:rPr>
                <w:rStyle w:val="Hyperlink"/>
                <w:noProof/>
              </w:rPr>
              <w:t>m</w:t>
            </w:r>
            <w:r>
              <w:rPr>
                <w:noProof/>
                <w:webHidden/>
              </w:rPr>
              <w:tab/>
            </w:r>
            <w:r>
              <w:rPr>
                <w:noProof/>
                <w:webHidden/>
              </w:rPr>
              <w:fldChar w:fldCharType="begin"/>
            </w:r>
            <w:r>
              <w:rPr>
                <w:noProof/>
                <w:webHidden/>
              </w:rPr>
              <w:instrText xml:space="preserve"> PAGEREF _Toc239411739 \h </w:instrText>
            </w:r>
            <w:r>
              <w:rPr>
                <w:noProof/>
                <w:webHidden/>
              </w:rPr>
            </w:r>
            <w:r>
              <w:rPr>
                <w:noProof/>
                <w:webHidden/>
              </w:rPr>
              <w:fldChar w:fldCharType="separate"/>
            </w:r>
            <w:r>
              <w:rPr>
                <w:noProof/>
                <w:webHidden/>
              </w:rPr>
              <w:t>17</w:t>
            </w:r>
            <w:r>
              <w:rPr>
                <w:noProof/>
                <w:webHidden/>
              </w:rPr>
              <w:fldChar w:fldCharType="end"/>
            </w:r>
          </w:hyperlink>
        </w:p>
        <w:p w14:paraId="14044A46" w14:textId="28608A20" w:rsidR="001E0C0E" w:rsidRDefault="001E0C0E">
          <w:pPr>
            <w:pStyle w:val="TOC1"/>
            <w:tabs>
              <w:tab w:val="right" w:leader="dot" w:pos="9016"/>
            </w:tabs>
            <w:rPr>
              <w:rFonts w:eastAsiaTheme="minorEastAsia"/>
              <w:noProof/>
              <w:lang w:eastAsia="en-GB"/>
            </w:rPr>
          </w:pPr>
          <w:hyperlink w:anchor="_Toc239411740" w:history="1">
            <w:r w:rsidRPr="000F6DE5">
              <w:rPr>
                <w:rStyle w:val="Hyperlink"/>
                <w:noProof/>
              </w:rPr>
              <w:t>Annex B</w:t>
            </w:r>
            <w:r>
              <w:rPr>
                <w:noProof/>
                <w:webHidden/>
              </w:rPr>
              <w:tab/>
            </w:r>
            <w:r>
              <w:rPr>
                <w:noProof/>
                <w:webHidden/>
              </w:rPr>
              <w:fldChar w:fldCharType="begin"/>
            </w:r>
            <w:r>
              <w:rPr>
                <w:noProof/>
                <w:webHidden/>
              </w:rPr>
              <w:instrText xml:space="preserve"> PAGEREF _Toc239411740 \h </w:instrText>
            </w:r>
            <w:r>
              <w:rPr>
                <w:noProof/>
                <w:webHidden/>
              </w:rPr>
            </w:r>
            <w:r>
              <w:rPr>
                <w:noProof/>
                <w:webHidden/>
              </w:rPr>
              <w:fldChar w:fldCharType="separate"/>
            </w:r>
            <w:r>
              <w:rPr>
                <w:noProof/>
                <w:webHidden/>
              </w:rPr>
              <w:t>18</w:t>
            </w:r>
            <w:r>
              <w:rPr>
                <w:noProof/>
                <w:webHidden/>
              </w:rPr>
              <w:fldChar w:fldCharType="end"/>
            </w:r>
          </w:hyperlink>
        </w:p>
        <w:p w14:paraId="50CE3557" w14:textId="03A2220C" w:rsidR="0089745B" w:rsidRDefault="0089745B">
          <w:r>
            <w:rPr>
              <w:b/>
              <w:bCs/>
              <w:noProof/>
            </w:rPr>
            <w:fldChar w:fldCharType="end"/>
          </w:r>
        </w:p>
      </w:sdtContent>
    </w:sdt>
    <w:p w14:paraId="41046E26" w14:textId="77777777" w:rsidR="0089745B" w:rsidRDefault="0089745B" w:rsidP="0089745B">
      <w:pPr>
        <w:rPr>
          <w:rFonts w:cs="Arial"/>
          <w:sz w:val="36"/>
          <w:szCs w:val="36"/>
        </w:rPr>
      </w:pPr>
    </w:p>
    <w:p w14:paraId="063D3CE0" w14:textId="77777777" w:rsidR="0089745B" w:rsidRDefault="0089745B" w:rsidP="0089745B">
      <w:pPr>
        <w:rPr>
          <w:rFonts w:cs="Arial"/>
          <w:sz w:val="36"/>
          <w:szCs w:val="36"/>
        </w:rPr>
      </w:pPr>
    </w:p>
    <w:p w14:paraId="3726DBDF" w14:textId="77777777" w:rsidR="0089745B" w:rsidRDefault="0089745B" w:rsidP="0089745B">
      <w:pPr>
        <w:rPr>
          <w:rFonts w:cs="Arial"/>
          <w:sz w:val="36"/>
          <w:szCs w:val="36"/>
        </w:rPr>
      </w:pPr>
    </w:p>
    <w:p w14:paraId="38204814" w14:textId="77777777" w:rsidR="0089745B" w:rsidRDefault="0089745B" w:rsidP="0089745B">
      <w:pPr>
        <w:rPr>
          <w:rFonts w:cs="Arial"/>
          <w:sz w:val="36"/>
          <w:szCs w:val="36"/>
        </w:rPr>
      </w:pPr>
    </w:p>
    <w:p w14:paraId="68EAF615" w14:textId="77777777" w:rsidR="0089745B" w:rsidRDefault="0089745B" w:rsidP="0089745B">
      <w:pPr>
        <w:rPr>
          <w:rFonts w:cs="Arial"/>
          <w:sz w:val="36"/>
          <w:szCs w:val="36"/>
        </w:rPr>
      </w:pPr>
    </w:p>
    <w:p w14:paraId="33D00006" w14:textId="77777777" w:rsidR="0089745B" w:rsidRDefault="0089745B" w:rsidP="0089745B">
      <w:pPr>
        <w:rPr>
          <w:rFonts w:cs="Arial"/>
          <w:sz w:val="36"/>
          <w:szCs w:val="36"/>
        </w:rPr>
      </w:pPr>
    </w:p>
    <w:p w14:paraId="350DB1D2" w14:textId="77777777" w:rsidR="0089745B" w:rsidRDefault="0089745B" w:rsidP="0089745B">
      <w:pPr>
        <w:rPr>
          <w:rFonts w:cs="Arial"/>
          <w:sz w:val="36"/>
          <w:szCs w:val="36"/>
        </w:rPr>
      </w:pPr>
    </w:p>
    <w:p w14:paraId="2228EFA4" w14:textId="77777777" w:rsidR="0089745B" w:rsidRDefault="0089745B" w:rsidP="0089745B">
      <w:pPr>
        <w:rPr>
          <w:rFonts w:cs="Arial"/>
          <w:sz w:val="36"/>
          <w:szCs w:val="36"/>
        </w:rPr>
      </w:pPr>
    </w:p>
    <w:p w14:paraId="7A01F600" w14:textId="515F9468" w:rsidR="0089745B" w:rsidRDefault="0089745B" w:rsidP="0089745B">
      <w:pPr>
        <w:pStyle w:val="Heading1"/>
      </w:pPr>
      <w:bookmarkStart w:id="1" w:name="_Toc239411725"/>
      <w:r>
        <w:lastRenderedPageBreak/>
        <w:t>Introduction</w:t>
      </w:r>
      <w:bookmarkEnd w:id="1"/>
    </w:p>
    <w:p w14:paraId="399BAE7B" w14:textId="0D9BF0E7" w:rsidR="00BD0DF3" w:rsidRPr="006C28CD" w:rsidRDefault="00BD0DF3" w:rsidP="00BD0DF3">
      <w:r w:rsidRPr="006C28CD">
        <w:t>Pool</w:t>
      </w:r>
      <w:r w:rsidRPr="006C28CD">
        <w:noBreakHyphen/>
        <w:t>type industrial gamma irradiators sterilise large volumes of medical products. They rely on high</w:t>
      </w:r>
      <w:r w:rsidRPr="006C28CD">
        <w:noBreakHyphen/>
        <w:t>intensity cobalt</w:t>
      </w:r>
      <w:r w:rsidRPr="006C28CD">
        <w:noBreakHyphen/>
        <w:t xml:space="preserve">60 gamma radiation inside a heavily shielded chamber. </w:t>
      </w:r>
      <w:r w:rsidR="00FB07E7">
        <w:t>T</w:t>
      </w:r>
      <w:r w:rsidRPr="006C28CD">
        <w:t>he panoramic source rack</w:t>
      </w:r>
      <w:r>
        <w:t xml:space="preserve">, </w:t>
      </w:r>
      <w:r w:rsidR="00FB07E7">
        <w:t>composed of</w:t>
      </w:r>
      <w:r>
        <w:t xml:space="preserve"> many doubly encapsulated Co-60 pencils, sits at the bottom of a deep-water pool</w:t>
      </w:r>
      <w:r w:rsidR="000F3BCF">
        <w:t>;</w:t>
      </w:r>
      <w:r>
        <w:t xml:space="preserve"> the water provides</w:t>
      </w:r>
      <w:r w:rsidRPr="006C28CD">
        <w:t xml:space="preserve"> biological shielding. Access to the irradiation chamber is through a concrete maze, </w:t>
      </w:r>
      <w:r w:rsidR="000F3BCF">
        <w:t>with</w:t>
      </w:r>
      <w:r w:rsidRPr="006C28CD">
        <w:t xml:space="preserve"> automated interlocks</w:t>
      </w:r>
      <w:r w:rsidR="000F3BCF">
        <w:t xml:space="preserve"> to</w:t>
      </w:r>
      <w:r w:rsidRPr="006C28CD">
        <w:t xml:space="preserve"> ensure no one can enter unless the source is fully submerged</w:t>
      </w:r>
      <w:r w:rsidR="00FA1996">
        <w:t>. The</w:t>
      </w:r>
      <w:r w:rsidR="00FA1996" w:rsidRPr="00B43449">
        <w:t xml:space="preserve"> overall layout of the irradiator, including the chamber, maze and monitoring positions, is shown in Figure 1 (Annex B).</w:t>
      </w:r>
    </w:p>
    <w:p w14:paraId="2481668C" w14:textId="286B3FF7" w:rsidR="00BD0DF3" w:rsidRPr="006C28CD" w:rsidRDefault="00BD0DF3" w:rsidP="00BD0DF3">
      <w:r w:rsidRPr="006C28CD">
        <w:t>The irradiator involved in this incident originally held a 12.0</w:t>
      </w:r>
      <w:r w:rsidRPr="006C28CD">
        <w:rPr>
          <w:rFonts w:ascii="Arial" w:hAnsi="Arial" w:cs="Arial"/>
        </w:rPr>
        <w:t> </w:t>
      </w:r>
      <w:proofErr w:type="spellStart"/>
      <w:r w:rsidRPr="006C28CD">
        <w:t>PBq</w:t>
      </w:r>
      <w:proofErr w:type="spellEnd"/>
      <w:r w:rsidRPr="006C28CD">
        <w:t xml:space="preserve"> cobalt</w:t>
      </w:r>
      <w:r w:rsidRPr="006C28CD">
        <w:noBreakHyphen/>
        <w:t>60 source, certified on 15 February 2018. With a half</w:t>
      </w:r>
      <w:r w:rsidRPr="006C28CD">
        <w:noBreakHyphen/>
        <w:t xml:space="preserve">life of 5.27 years, the activity had fallen to </w:t>
      </w:r>
      <w:r>
        <w:t>approximately</w:t>
      </w:r>
      <w:r w:rsidRPr="006C28CD">
        <w:t xml:space="preserve"> 4.9</w:t>
      </w:r>
      <w:r w:rsidRPr="006C28CD">
        <w:rPr>
          <w:rFonts w:ascii="Arial" w:hAnsi="Arial" w:cs="Arial"/>
        </w:rPr>
        <w:t> </w:t>
      </w:r>
      <w:proofErr w:type="spellStart"/>
      <w:r w:rsidRPr="006C28CD">
        <w:t>PBq</w:t>
      </w:r>
      <w:proofErr w:type="spellEnd"/>
      <w:r w:rsidRPr="006C28CD">
        <w:t xml:space="preserve"> </w:t>
      </w:r>
      <w:r w:rsidR="00DC39CC">
        <w:t xml:space="preserve">(see Annex A for calculation) </w:t>
      </w:r>
      <w:r w:rsidRPr="006C28CD">
        <w:t>by 9 December 2024. Sources of this size are standard in industrial sterilisation, where very high photon flux is needed to deliver 25</w:t>
      </w:r>
      <w:r w:rsidRPr="006C28CD">
        <w:rPr>
          <w:rFonts w:ascii="Aptos" w:hAnsi="Aptos" w:cs="Aptos"/>
        </w:rPr>
        <w:t>–</w:t>
      </w:r>
      <w:r w:rsidRPr="006C28CD">
        <w:t>40</w:t>
      </w:r>
      <w:r w:rsidRPr="006C28CD">
        <w:rPr>
          <w:rFonts w:ascii="Arial" w:hAnsi="Arial" w:cs="Arial"/>
        </w:rPr>
        <w:t> </w:t>
      </w:r>
      <w:proofErr w:type="spellStart"/>
      <w:r w:rsidRPr="006C28CD">
        <w:t>kGy</w:t>
      </w:r>
      <w:proofErr w:type="spellEnd"/>
      <w:r w:rsidRPr="006C28CD">
        <w:t xml:space="preserve"> doses within practical processing times. The 1.17 and 1.33</w:t>
      </w:r>
      <w:r w:rsidRPr="006C28CD">
        <w:rPr>
          <w:rFonts w:ascii="Arial" w:hAnsi="Arial" w:cs="Arial"/>
        </w:rPr>
        <w:t> </w:t>
      </w:r>
      <w:r w:rsidRPr="006C28CD">
        <w:t>MeV gamma emissions from Co</w:t>
      </w:r>
      <w:r w:rsidRPr="006C28CD">
        <w:noBreakHyphen/>
        <w:t>60 provide the penetration required for dense products and stacked totes.</w:t>
      </w:r>
    </w:p>
    <w:p w14:paraId="1347D5BD" w14:textId="77777777" w:rsidR="00BD0DF3" w:rsidRPr="006C28CD" w:rsidRDefault="00BD0DF3" w:rsidP="00BD0DF3">
      <w:r w:rsidRPr="006C28CD">
        <w:t xml:space="preserve">The incident began when a fault in the hoist mechanism stopped the source rack </w:t>
      </w:r>
      <w:r>
        <w:t>from returning to</w:t>
      </w:r>
      <w:r w:rsidRPr="006C28CD">
        <w:t xml:space="preserve"> its fully shielded position. </w:t>
      </w:r>
      <w:r>
        <w:t xml:space="preserve">The </w:t>
      </w:r>
      <w:r w:rsidRPr="006C28CD">
        <w:t xml:space="preserve">upper section of the rack was still </w:t>
      </w:r>
      <w:r>
        <w:t>about a metre below the water surface, but the control system showed the source as safely parked</w:t>
      </w:r>
      <w:r w:rsidRPr="006C28CD">
        <w:t xml:space="preserve">. With the water shielding incomplete, dose rates in the irradiation chamber were far higher than they should have been. </w:t>
      </w:r>
      <w:r>
        <w:t>U</w:t>
      </w:r>
      <w:r w:rsidRPr="006C28CD">
        <w:t>naware of the problem</w:t>
      </w:r>
      <w:r>
        <w:t>, a maintenance technician</w:t>
      </w:r>
      <w:r w:rsidRPr="006C28CD">
        <w:t xml:space="preserve"> entered to clear a conveyor jam and received a significant radiation dose before realising the source was not fully submerged.</w:t>
      </w:r>
    </w:p>
    <w:p w14:paraId="45DF7513" w14:textId="77777777" w:rsidR="00BD0DF3" w:rsidRPr="006C28CD" w:rsidRDefault="00BD0DF3" w:rsidP="00BD0DF3">
      <w:r w:rsidRPr="006C28CD">
        <w:t xml:space="preserve">This report </w:t>
      </w:r>
      <w:r>
        <w:t xml:space="preserve">will </w:t>
      </w:r>
      <w:r w:rsidRPr="006C28CD">
        <w:t xml:space="preserve">use the Incident Dossier to examine </w:t>
      </w:r>
      <w:r>
        <w:t>the incident, estimate dose rates, assess how the shielding should have performed, reconstruct the technician’s exposure, review regulatory compliance, and outline</w:t>
      </w:r>
      <w:r w:rsidRPr="006C28CD">
        <w:t xml:space="preserve"> practical ALARP</w:t>
      </w:r>
      <w:r w:rsidRPr="006C28CD">
        <w:noBreakHyphen/>
        <w:t>based improvements grounded in established radiation protection and nuclear safety practice.</w:t>
      </w:r>
    </w:p>
    <w:p w14:paraId="3BBF8A8B" w14:textId="77777777" w:rsidR="00894649" w:rsidRDefault="00894649" w:rsidP="0089745B"/>
    <w:p w14:paraId="6C153754" w14:textId="77777777" w:rsidR="00BD0DF3" w:rsidRDefault="00BD0DF3" w:rsidP="0089745B"/>
    <w:p w14:paraId="4BC216A2" w14:textId="77777777" w:rsidR="00BD0DF3" w:rsidRDefault="00BD0DF3" w:rsidP="0089745B"/>
    <w:p w14:paraId="03ED688C" w14:textId="77777777" w:rsidR="00672895" w:rsidRDefault="00672895" w:rsidP="0089745B"/>
    <w:p w14:paraId="669E1257" w14:textId="77777777" w:rsidR="00672895" w:rsidRDefault="00672895" w:rsidP="0089745B"/>
    <w:p w14:paraId="7F249A01" w14:textId="77777777" w:rsidR="00672895" w:rsidRDefault="00672895" w:rsidP="0089745B"/>
    <w:p w14:paraId="21A3285C" w14:textId="77777777" w:rsidR="00672895" w:rsidRDefault="00672895" w:rsidP="0089745B"/>
    <w:p w14:paraId="19AD4826" w14:textId="5761112D" w:rsidR="00672895" w:rsidRDefault="00672895" w:rsidP="00672895">
      <w:pPr>
        <w:pStyle w:val="Heading1"/>
      </w:pPr>
      <w:bookmarkStart w:id="2" w:name="_Toc239411726"/>
      <w:r>
        <w:lastRenderedPageBreak/>
        <w:t>Technical Exposition</w:t>
      </w:r>
      <w:bookmarkEnd w:id="2"/>
    </w:p>
    <w:p w14:paraId="5CC5CC86" w14:textId="77777777" w:rsidR="00D32097" w:rsidRPr="00D32097" w:rsidRDefault="00D32097" w:rsidP="00D32097">
      <w:pPr>
        <w:pStyle w:val="Heading2"/>
        <w:rPr>
          <w:sz w:val="28"/>
          <w:szCs w:val="28"/>
        </w:rPr>
      </w:pPr>
      <w:bookmarkStart w:id="3" w:name="_Toc239411727"/>
      <w:r w:rsidRPr="00D32097">
        <w:rPr>
          <w:sz w:val="28"/>
          <w:szCs w:val="28"/>
        </w:rPr>
        <w:t>Unshielded dose rate at 2</w:t>
      </w:r>
      <w:r w:rsidRPr="00D32097">
        <w:rPr>
          <w:rFonts w:ascii="Arial" w:hAnsi="Arial" w:cs="Arial"/>
          <w:sz w:val="28"/>
          <w:szCs w:val="28"/>
        </w:rPr>
        <w:t> </w:t>
      </w:r>
      <w:r w:rsidRPr="00D32097">
        <w:rPr>
          <w:sz w:val="28"/>
          <w:szCs w:val="28"/>
        </w:rPr>
        <w:t>m</w:t>
      </w:r>
      <w:bookmarkEnd w:id="3"/>
    </w:p>
    <w:p w14:paraId="2B441D41" w14:textId="77777777" w:rsidR="00D32097" w:rsidRPr="00FD4EBC" w:rsidRDefault="00D32097" w:rsidP="00D32097">
      <w:r>
        <w:t>T</w:t>
      </w:r>
      <w:r w:rsidRPr="00FD4EBC">
        <w:t xml:space="preserve">o estimate the unshielded dose rate from the source, </w:t>
      </w:r>
      <w:r>
        <w:t>you can use a straightforward point-source model</w:t>
      </w:r>
      <w:r w:rsidRPr="00FD4EBC">
        <w:t>. This relies on the gamma constant, which gives the dose rate at 1</w:t>
      </w:r>
      <w:r w:rsidRPr="00FD4EBC">
        <w:rPr>
          <w:rFonts w:ascii="Arial" w:hAnsi="Arial" w:cs="Arial"/>
        </w:rPr>
        <w:t> </w:t>
      </w:r>
      <w:r w:rsidRPr="00FD4EBC">
        <w:t>m from a 1</w:t>
      </w:r>
      <w:r w:rsidRPr="00FD4EBC">
        <w:rPr>
          <w:rFonts w:ascii="Arial" w:hAnsi="Arial" w:cs="Arial"/>
        </w:rPr>
        <w:t> </w:t>
      </w:r>
      <w:proofErr w:type="spellStart"/>
      <w:r w:rsidRPr="00FD4EBC">
        <w:t>GBq</w:t>
      </w:r>
      <w:proofErr w:type="spellEnd"/>
      <w:r w:rsidRPr="00FD4EBC">
        <w:t xml:space="preserve"> cobalt</w:t>
      </w:r>
      <w:r w:rsidRPr="00FD4EBC">
        <w:noBreakHyphen/>
        <w:t>60 source. For cobalt</w:t>
      </w:r>
      <w:r w:rsidRPr="00FD4EBC">
        <w:noBreakHyphen/>
        <w:t>60, the gamma constant is around 0.35</w:t>
      </w:r>
      <w:r w:rsidRPr="00FD4EBC">
        <w:rPr>
          <w:rFonts w:ascii="Arial" w:hAnsi="Arial" w:cs="Arial"/>
        </w:rPr>
        <w:t> </w:t>
      </w:r>
      <w:r w:rsidRPr="00FD4EBC">
        <w:t>mSv</w:t>
      </w:r>
      <w:r w:rsidRPr="00FD4EBC">
        <w:rPr>
          <w:rFonts w:ascii="Aptos" w:hAnsi="Aptos" w:cs="Aptos"/>
        </w:rPr>
        <w:t>·</w:t>
      </w:r>
      <w:r w:rsidRPr="00FD4EBC">
        <w:t>m</w:t>
      </w:r>
      <w:r w:rsidRPr="00FD4EBC">
        <w:rPr>
          <w:rFonts w:ascii="Aptos" w:hAnsi="Aptos" w:cs="Aptos"/>
        </w:rPr>
        <w:t>²·</w:t>
      </w:r>
      <w:r w:rsidRPr="00FD4EBC">
        <w:t>h</w:t>
      </w:r>
      <w:r w:rsidRPr="00FD4EBC">
        <w:rPr>
          <w:rFonts w:ascii="Cambria Math" w:hAnsi="Cambria Math" w:cs="Cambria Math"/>
        </w:rPr>
        <w:t>⁻</w:t>
      </w:r>
      <w:r w:rsidRPr="00FD4EBC">
        <w:rPr>
          <w:rFonts w:ascii="Aptos" w:hAnsi="Aptos" w:cs="Aptos"/>
        </w:rPr>
        <w:t>¹·</w:t>
      </w:r>
      <w:r w:rsidRPr="00FD4EBC">
        <w:t>GBq</w:t>
      </w:r>
      <w:r w:rsidRPr="00FD4EBC">
        <w:rPr>
          <w:rFonts w:ascii="Cambria Math" w:hAnsi="Cambria Math" w:cs="Cambria Math"/>
        </w:rPr>
        <w:t>⁻</w:t>
      </w:r>
      <w:r w:rsidRPr="00FD4EBC">
        <w:rPr>
          <w:rFonts w:ascii="Aptos" w:hAnsi="Aptos" w:cs="Aptos"/>
        </w:rPr>
        <w:t>¹</w:t>
      </w:r>
      <w:r w:rsidRPr="00FD4EBC">
        <w:t>, reflecting the combined contribution of its two main gamma emissions at 1.17</w:t>
      </w:r>
      <w:r w:rsidRPr="00FD4EBC">
        <w:rPr>
          <w:rFonts w:ascii="Arial" w:hAnsi="Arial" w:cs="Arial"/>
        </w:rPr>
        <w:t> </w:t>
      </w:r>
      <w:r w:rsidRPr="00FD4EBC">
        <w:t>MeV and 1.33</w:t>
      </w:r>
      <w:r w:rsidRPr="00FD4EBC">
        <w:rPr>
          <w:rFonts w:ascii="Arial" w:hAnsi="Arial" w:cs="Arial"/>
        </w:rPr>
        <w:t> </w:t>
      </w:r>
      <w:r w:rsidRPr="00FD4EBC">
        <w:t>MeV.</w:t>
      </w:r>
    </w:p>
    <w:p w14:paraId="6F2301A7" w14:textId="77777777" w:rsidR="00D32097" w:rsidRPr="00FD4EBC" w:rsidRDefault="00D32097" w:rsidP="00D32097">
      <w:r w:rsidRPr="00FD4EBC">
        <w:t xml:space="preserve">The dose rate at a distance </w:t>
      </w:r>
      <m:oMath>
        <m:r>
          <w:rPr>
            <w:rFonts w:ascii="Cambria Math" w:hAnsi="Cambria Math"/>
          </w:rPr>
          <m:t>r</m:t>
        </m:r>
      </m:oMath>
      <w:r>
        <w:rPr>
          <w:rFonts w:eastAsiaTheme="minorEastAsia"/>
        </w:rPr>
        <w:t xml:space="preserve"> </w:t>
      </w:r>
      <w:r w:rsidRPr="00FD4EBC">
        <w:t xml:space="preserve">from a source of activity </w:t>
      </w:r>
      <m:oMath>
        <m:r>
          <w:rPr>
            <w:rFonts w:ascii="Cambria Math" w:hAnsi="Cambria Math"/>
          </w:rPr>
          <m:t xml:space="preserve">A </m:t>
        </m:r>
      </m:oMath>
      <w:r w:rsidRPr="00FD4EBC">
        <w:t>follows the inverse</w:t>
      </w:r>
      <w:r w:rsidRPr="00FD4EBC">
        <w:noBreakHyphen/>
        <w:t>square relationship:</w:t>
      </w:r>
    </w:p>
    <w:p w14:paraId="2D0368F8" w14:textId="77777777" w:rsidR="00D32097" w:rsidRPr="00FD4EBC" w:rsidRDefault="00AB08E7" w:rsidP="00D32097">
      <m:oMathPara>
        <m:oMath>
          <m:acc>
            <m:accPr>
              <m:chr m:val="̇"/>
              <m:ctrlPr>
                <w:rPr>
                  <w:rFonts w:ascii="Cambria Math" w:hAnsi="Cambria Math"/>
                </w:rPr>
              </m:ctrlPr>
            </m:accPr>
            <m:e>
              <m:r>
                <w:rPr>
                  <w:rFonts w:ascii="Cambria Math" w:hAnsi="Cambria Math"/>
                </w:rPr>
                <m:t>D</m:t>
              </m:r>
            </m:e>
          </m:acc>
          <m:r>
            <w:rPr>
              <w:rFonts w:ascii="Cambria Math" w:hAnsi="Cambria Math"/>
            </w:rPr>
            <m:t>=</m:t>
          </m:r>
          <m:f>
            <m:fPr>
              <m:ctrlPr>
                <w:rPr>
                  <w:rFonts w:ascii="Cambria Math" w:hAnsi="Cambria Math"/>
                </w:rPr>
              </m:ctrlPr>
            </m:fPr>
            <m:num>
              <m:r>
                <m:rPr>
                  <m:sty m:val="p"/>
                </m:rPr>
                <w:rPr>
                  <w:rFonts w:ascii="Cambria Math" w:hAnsi="Cambria Math"/>
                </w:rPr>
                <m:t>Γ</m:t>
              </m:r>
              <m:r>
                <w:rPr>
                  <w:rFonts w:ascii="Cambria Math" w:hAnsi="Cambria Math"/>
                </w:rPr>
                <m:t>A</m:t>
              </m:r>
            </m:num>
            <m:den>
              <m:sSup>
                <m:sSupPr>
                  <m:ctrlPr>
                    <w:rPr>
                      <w:rFonts w:ascii="Cambria Math" w:hAnsi="Cambria Math"/>
                    </w:rPr>
                  </m:ctrlPr>
                </m:sSupPr>
                <m:e>
                  <m:r>
                    <w:rPr>
                      <w:rFonts w:ascii="Cambria Math" w:hAnsi="Cambria Math"/>
                    </w:rPr>
                    <m:t>r</m:t>
                  </m:r>
                </m:e>
                <m:sup>
                  <m:r>
                    <w:rPr>
                      <w:rFonts w:ascii="Cambria Math" w:hAnsi="Cambria Math"/>
                    </w:rPr>
                    <m:t>2</m:t>
                  </m:r>
                </m:sup>
              </m:sSup>
            </m:den>
          </m:f>
        </m:oMath>
      </m:oMathPara>
    </w:p>
    <w:p w14:paraId="76DEAAF6" w14:textId="3DC4CC17" w:rsidR="00D32097" w:rsidRPr="00FD4EBC" w:rsidRDefault="00D32097" w:rsidP="00D32097">
      <w:r w:rsidRPr="00FD4EBC">
        <w:t>Using the decayed activity of 4.9</w:t>
      </w:r>
      <w:r w:rsidRPr="00FD4EBC">
        <w:rPr>
          <w:rFonts w:ascii="Arial" w:hAnsi="Arial" w:cs="Arial"/>
        </w:rPr>
        <w:t> </w:t>
      </w:r>
      <w:proofErr w:type="spellStart"/>
      <w:r w:rsidRPr="00FD4EBC">
        <w:t>PBq</w:t>
      </w:r>
      <w:proofErr w:type="spellEnd"/>
      <w:r w:rsidRPr="00FD4EBC">
        <w:t xml:space="preserve"> on the day of the incident (see Annex</w:t>
      </w:r>
      <w:r w:rsidRPr="00FD4EBC">
        <w:rPr>
          <w:rFonts w:ascii="Arial" w:hAnsi="Arial" w:cs="Arial"/>
        </w:rPr>
        <w:t> </w:t>
      </w:r>
      <w:r w:rsidRPr="00FD4EBC">
        <w:t xml:space="preserve">A), and substituting </w:t>
      </w:r>
      <m:oMath>
        <m:r>
          <w:rPr>
            <w:rFonts w:ascii="Cambria Math" w:hAnsi="Cambria Math"/>
          </w:rPr>
          <m:t>A=4.9×</m:t>
        </m:r>
        <m:sSup>
          <m:sSupPr>
            <m:ctrlPr>
              <w:rPr>
                <w:rFonts w:ascii="Cambria Math" w:hAnsi="Cambria Math"/>
              </w:rPr>
            </m:ctrlPr>
          </m:sSupPr>
          <m:e>
            <m:r>
              <w:rPr>
                <w:rFonts w:ascii="Cambria Math" w:hAnsi="Cambria Math"/>
              </w:rPr>
              <m:t>10</m:t>
            </m:r>
          </m:e>
          <m:sup>
            <m:r>
              <w:rPr>
                <w:rFonts w:ascii="Cambria Math" w:hAnsi="Cambria Math"/>
              </w:rPr>
              <m:t>6</m:t>
            </m:r>
          </m:sup>
        </m:sSup>
        <m:r>
          <m:rPr>
            <m:nor/>
          </m:rPr>
          <m:t> GBq</m:t>
        </m:r>
      </m:oMath>
      <w:r w:rsidRPr="00FD4EBC">
        <w:t xml:space="preserve">, </w:t>
      </w:r>
      <m:oMath>
        <m:r>
          <m:rPr>
            <m:sty m:val="p"/>
          </m:rPr>
          <w:rPr>
            <w:rFonts w:ascii="Cambria Math" w:hAnsi="Cambria Math"/>
          </w:rPr>
          <m:t>Γ</m:t>
        </m:r>
        <m:r>
          <w:rPr>
            <w:rFonts w:ascii="Cambria Math" w:hAnsi="Cambria Math"/>
          </w:rPr>
          <m:t>=0.35</m:t>
        </m:r>
        <m:r>
          <m:rPr>
            <m:sty m:val="p"/>
          </m:rPr>
          <w:rPr>
            <w:rFonts w:ascii="Cambria Math" w:hAnsi="Cambria Math"/>
          </w:rPr>
          <m:t> mSv.m².h</m:t>
        </m:r>
        <m:r>
          <m:rPr>
            <m:sty m:val="p"/>
          </m:rPr>
          <w:rPr>
            <w:rFonts w:ascii="Cambria Math" w:hAnsi="Cambria Math" w:cs="Cambria Math"/>
          </w:rPr>
          <m:t>⁻</m:t>
        </m:r>
        <m:r>
          <m:rPr>
            <m:sty m:val="p"/>
          </m:rPr>
          <w:rPr>
            <w:rFonts w:ascii="Cambria Math" w:hAnsi="Cambria Math" w:cs="Aptos"/>
          </w:rPr>
          <m:t>¹</m:t>
        </m:r>
        <m:r>
          <m:rPr>
            <m:sty m:val="p"/>
          </m:rPr>
          <w:rPr>
            <w:rFonts w:ascii="Cambria Math" w:hAnsi="Cambria Math"/>
          </w:rPr>
          <m:t>.GBq</m:t>
        </m:r>
        <m:r>
          <m:rPr>
            <m:sty m:val="p"/>
          </m:rPr>
          <w:rPr>
            <w:rFonts w:ascii="Cambria Math" w:hAnsi="Cambria Math" w:cs="Cambria Math"/>
          </w:rPr>
          <m:t>⁻</m:t>
        </m:r>
        <m:r>
          <m:rPr>
            <m:sty m:val="p"/>
          </m:rPr>
          <w:rPr>
            <w:rFonts w:ascii="Cambria Math" w:hAnsi="Cambria Math" w:cs="Aptos"/>
          </w:rPr>
          <m:t>¹</m:t>
        </m:r>
        <m:r>
          <m:rPr>
            <m:sty m:val="p"/>
          </m:rPr>
          <w:rPr>
            <w:rFonts w:ascii="Cambria Math" w:hAnsi="Cambria Math"/>
          </w:rPr>
          <m:t>,</m:t>
        </m:r>
        <m:r>
          <w:rPr>
            <w:rFonts w:ascii="Cambria Math" w:hAnsi="Cambria Math"/>
          </w:rPr>
          <m:t>r=2</m:t>
        </m:r>
        <m:r>
          <m:rPr>
            <m:nor/>
          </m:rPr>
          <m:t> m</m:t>
        </m:r>
      </m:oMath>
      <w:r w:rsidRPr="00FD4EBC">
        <w:t xml:space="preserve">, the resulting unshielded dose rate is roughly </w:t>
      </w:r>
      <m:oMath>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m:t>
        </m:r>
        <m:sSup>
          <m:sSupPr>
            <m:ctrlPr>
              <w:rPr>
                <w:rFonts w:ascii="Cambria Math" w:hAnsi="Cambria Math"/>
              </w:rPr>
            </m:ctrlPr>
          </m:sSupPr>
          <m:e>
            <m:r>
              <m:rPr>
                <m:nor/>
              </m:rPr>
              <m:t>Svh</m:t>
            </m:r>
          </m:e>
          <m:sup>
            <m:r>
              <w:rPr>
                <w:rFonts w:ascii="Cambria Math" w:hAnsi="Cambria Math"/>
              </w:rPr>
              <m:t>-1</m:t>
            </m:r>
          </m:sup>
        </m:sSup>
      </m:oMath>
      <w:r w:rsidRPr="00FD4EBC">
        <w:t>.</w:t>
      </w:r>
    </w:p>
    <w:p w14:paraId="709D1EC8" w14:textId="1F5734A3" w:rsidR="00D32097" w:rsidRPr="009801E6" w:rsidRDefault="00D32097" w:rsidP="00D32097">
      <w:r w:rsidRPr="00FD4EBC">
        <w:t>Although this value is extremely high, it is entirely in line with what would be expected from a multi</w:t>
      </w:r>
      <w:r w:rsidRPr="00FD4EBC">
        <w:noBreakHyphen/>
        <w:t>petabecquerel</w:t>
      </w:r>
      <w:r>
        <w:t xml:space="preserve"> (</w:t>
      </w:r>
      <w:proofErr w:type="spellStart"/>
      <w:r>
        <w:t>PBq</w:t>
      </w:r>
      <w:proofErr w:type="spellEnd"/>
      <w:r>
        <w:t>)</w:t>
      </w:r>
      <w:r w:rsidRPr="00FD4EBC">
        <w:t xml:space="preserve"> cobalt</w:t>
      </w:r>
      <w:r w:rsidRPr="00FD4EBC">
        <w:noBreakHyphen/>
        <w:t xml:space="preserve">60 source. Industrial irradiators rely on very intense photon fields to deliver sterilisation doses of tens of </w:t>
      </w:r>
      <w:proofErr w:type="spellStart"/>
      <w:r w:rsidRPr="00FD4EBC">
        <w:t>kilograys</w:t>
      </w:r>
      <w:proofErr w:type="spellEnd"/>
      <w:r w:rsidRPr="00FD4EBC">
        <w:t xml:space="preserve"> within practical processing times, so dose rates of this magnitude close to an unshielded source are not unusual.</w:t>
      </w:r>
    </w:p>
    <w:p w14:paraId="56B2D5CB" w14:textId="77777777" w:rsidR="00D32097" w:rsidRPr="00D32097" w:rsidRDefault="00D32097" w:rsidP="00D32097">
      <w:pPr>
        <w:pStyle w:val="Heading2"/>
        <w:rPr>
          <w:sz w:val="28"/>
          <w:szCs w:val="28"/>
        </w:rPr>
      </w:pPr>
      <w:bookmarkStart w:id="4" w:name="_Toc239411728"/>
      <w:r w:rsidRPr="00D32097">
        <w:rPr>
          <w:sz w:val="28"/>
          <w:szCs w:val="28"/>
        </w:rPr>
        <w:t>Suitability of the point</w:t>
      </w:r>
      <w:r w:rsidRPr="00D32097">
        <w:rPr>
          <w:sz w:val="28"/>
          <w:szCs w:val="28"/>
        </w:rPr>
        <w:noBreakHyphen/>
        <w:t>source model</w:t>
      </w:r>
      <w:bookmarkEnd w:id="4"/>
    </w:p>
    <w:p w14:paraId="25C09F65" w14:textId="60172604" w:rsidR="00D32097" w:rsidRPr="009801E6" w:rsidRDefault="00D32097" w:rsidP="00D32097">
      <w:r w:rsidRPr="009801E6">
        <w:t>Although the point</w:t>
      </w:r>
      <w:r w:rsidRPr="009801E6">
        <w:noBreakHyphen/>
        <w:t xml:space="preserve">source approach is useful for quick hand calculations, it </w:t>
      </w:r>
      <w:r w:rsidR="004A3F2C">
        <w:t>does</w:t>
      </w:r>
      <w:r w:rsidRPr="009801E6">
        <w:t xml:space="preserve"> not </w:t>
      </w:r>
      <w:r w:rsidR="004A3F2C">
        <w:t xml:space="preserve">tend to </w:t>
      </w:r>
      <w:r w:rsidRPr="009801E6">
        <w:t xml:space="preserve">reflect the actual geometry of a panoramic industrial irradiator. The source rack contains </w:t>
      </w:r>
      <w:r>
        <w:t>multiple</w:t>
      </w:r>
      <w:r w:rsidRPr="009801E6">
        <w:t xml:space="preserve"> cobalt</w:t>
      </w:r>
      <w:r w:rsidRPr="009801E6">
        <w:noBreakHyphen/>
        <w:t xml:space="preserve">60 pencils arranged over a considerable vertical height, so the distance from each pencil to a point in the chamber </w:t>
      </w:r>
      <w:r>
        <w:t>varies</w:t>
      </w:r>
      <w:r w:rsidRPr="009801E6">
        <w:t xml:space="preserve">. The pencils </w:t>
      </w:r>
      <w:r w:rsidR="004A3F2C">
        <w:t>are encapsulated and arranged to provide some internal self-shielding</w:t>
      </w:r>
      <w:r w:rsidRPr="009801E6">
        <w:t xml:space="preserve">. </w:t>
      </w:r>
      <w:r>
        <w:t xml:space="preserve">These factors mean </w:t>
      </w:r>
      <w:r w:rsidRPr="009801E6">
        <w:t>point</w:t>
      </w:r>
      <w:r w:rsidRPr="009801E6">
        <w:noBreakHyphen/>
        <w:t>source estimates usually overestimate the true dose rate, particularly at short distances where geometric effects are more pronounced.</w:t>
      </w:r>
    </w:p>
    <w:p w14:paraId="69AFA694" w14:textId="77777777" w:rsidR="00D32097" w:rsidRPr="009801E6" w:rsidRDefault="00D32097" w:rsidP="00D32097">
      <w:r w:rsidRPr="009801E6">
        <w:t>More realistic dose</w:t>
      </w:r>
      <w:r w:rsidRPr="009801E6">
        <w:noBreakHyphen/>
        <w:t>rate estimates can be obtained using distributed</w:t>
      </w:r>
      <w:r w:rsidRPr="009801E6">
        <w:noBreakHyphen/>
        <w:t>source models, such as line</w:t>
      </w:r>
      <w:r w:rsidRPr="009801E6">
        <w:noBreakHyphen/>
        <w:t>source or volume</w:t>
      </w:r>
      <w:r w:rsidRPr="009801E6">
        <w:noBreakHyphen/>
        <w:t>source approximations, or by using manufacturer</w:t>
      </w:r>
      <w:r w:rsidRPr="009801E6">
        <w:noBreakHyphen/>
        <w:t>supplied dose</w:t>
      </w:r>
      <w:r w:rsidRPr="009801E6">
        <w:noBreakHyphen/>
        <w:t>rate maps. Full radiation</w:t>
      </w:r>
      <w:r w:rsidRPr="009801E6">
        <w:noBreakHyphen/>
        <w:t>transport simulations offer the most accurate representation. Codes such as MCNP (Monte Carlo N</w:t>
      </w:r>
      <w:r w:rsidRPr="009801E6">
        <w:noBreakHyphen/>
        <w:t>Particle) or FLUKA (</w:t>
      </w:r>
      <w:proofErr w:type="spellStart"/>
      <w:r w:rsidRPr="009801E6">
        <w:rPr>
          <w:b/>
          <w:bCs/>
        </w:rPr>
        <w:t>FLU</w:t>
      </w:r>
      <w:r w:rsidRPr="009801E6">
        <w:t>ktuierende</w:t>
      </w:r>
      <w:proofErr w:type="spellEnd"/>
      <w:r w:rsidRPr="009801E6">
        <w:t xml:space="preserve"> </w:t>
      </w:r>
      <w:proofErr w:type="spellStart"/>
      <w:r w:rsidRPr="009801E6">
        <w:rPr>
          <w:b/>
          <w:bCs/>
        </w:rPr>
        <w:t>KA</w:t>
      </w:r>
      <w:r w:rsidRPr="009801E6">
        <w:t>skade</w:t>
      </w:r>
      <w:proofErr w:type="spellEnd"/>
      <w:r w:rsidRPr="009801E6">
        <w:t>) model photon transport through complex geometries, including scattering, self</w:t>
      </w:r>
      <w:r w:rsidRPr="009801E6">
        <w:noBreakHyphen/>
        <w:t>shielding and attenuation in surrounding structures. These methods provide a more detailed and realistic picture of the radiation field inside the irradiation chamber than a simple point</w:t>
      </w:r>
      <w:r w:rsidRPr="009801E6">
        <w:noBreakHyphen/>
        <w:t>source model.</w:t>
      </w:r>
    </w:p>
    <w:p w14:paraId="12966126" w14:textId="77777777" w:rsidR="00D32097" w:rsidRPr="00D32097" w:rsidRDefault="00D32097" w:rsidP="00D32097">
      <w:pPr>
        <w:pStyle w:val="Heading2"/>
        <w:rPr>
          <w:sz w:val="28"/>
          <w:szCs w:val="28"/>
        </w:rPr>
      </w:pPr>
      <w:bookmarkStart w:id="5" w:name="_Toc239411729"/>
      <w:r w:rsidRPr="00D32097">
        <w:rPr>
          <w:sz w:val="28"/>
          <w:szCs w:val="28"/>
        </w:rPr>
        <w:lastRenderedPageBreak/>
        <w:t>Maze entrance shielding</w:t>
      </w:r>
      <w:bookmarkEnd w:id="5"/>
    </w:p>
    <w:p w14:paraId="2E199911" w14:textId="77777777" w:rsidR="00D32097" w:rsidRPr="00FD4EBC" w:rsidRDefault="00D32097" w:rsidP="00D32097">
      <w:r w:rsidRPr="00FD4EBC">
        <w:t xml:space="preserve">Industrial irradiators use maze entrances to </w:t>
      </w:r>
      <w:r>
        <w:t>prevent</w:t>
      </w:r>
      <w:r w:rsidRPr="00FD4EBC">
        <w:t xml:space="preserve"> high</w:t>
      </w:r>
      <w:r w:rsidRPr="00FD4EBC">
        <w:noBreakHyphen/>
        <w:t>energy gamma radiation from travelling directly into areas where people might be present. Gamma photons from cobalt</w:t>
      </w:r>
      <w:r w:rsidRPr="00FD4EBC">
        <w:noBreakHyphen/>
        <w:t xml:space="preserve">60 are </w:t>
      </w:r>
      <w:r>
        <w:t xml:space="preserve">highly penetrating and can travel large distances through the air, so relying on a single shielded door is not </w:t>
      </w:r>
      <w:r w:rsidRPr="00FD4EBC">
        <w:t>enough. Instead, facilities use thick barytes</w:t>
      </w:r>
      <w:r w:rsidRPr="00FD4EBC">
        <w:noBreakHyphen/>
        <w:t>concrete walls and a dog</w:t>
      </w:r>
      <w:r w:rsidRPr="00FD4EBC">
        <w:noBreakHyphen/>
        <w:t>legged maze layout to remove any straight</w:t>
      </w:r>
      <w:r w:rsidRPr="00FD4EBC">
        <w:noBreakHyphen/>
        <w:t>line paths from the source to the outside.</w:t>
      </w:r>
    </w:p>
    <w:p w14:paraId="2711E5BD" w14:textId="2918F6E7" w:rsidR="00D32097" w:rsidRPr="00FD4EBC" w:rsidRDefault="00D32097" w:rsidP="00D32097">
      <w:r w:rsidRPr="00FD4EBC">
        <w:t>In the irradiator described in the Incident Dossier, the maze walls are 1.5</w:t>
      </w:r>
      <w:r w:rsidRPr="00FD4EBC">
        <w:rPr>
          <w:rFonts w:ascii="Arial" w:hAnsi="Arial" w:cs="Arial"/>
        </w:rPr>
        <w:t> </w:t>
      </w:r>
      <w:r w:rsidRPr="00FD4EBC">
        <w:t xml:space="preserve">m thick, and a lead/steel baffle is positioned to catch scattered radiation. When the source is fully submerged in the pool, the water provides most of the shielding, </w:t>
      </w:r>
      <w:r>
        <w:t>while</w:t>
      </w:r>
      <w:r w:rsidRPr="00FD4EBC">
        <w:t xml:space="preserve"> the maze reduces whatever remains to background levels. This is why the shift supervisor saw only around 0.5</w:t>
      </w:r>
      <w:r w:rsidRPr="00FD4EBC">
        <w:rPr>
          <w:rFonts w:ascii="Arial" w:hAnsi="Arial" w:cs="Arial"/>
        </w:rPr>
        <w:t> </w:t>
      </w:r>
      <w:r w:rsidRPr="00FD4EBC">
        <w:rPr>
          <w:rFonts w:ascii="Aptos" w:hAnsi="Aptos" w:cs="Aptos"/>
        </w:rPr>
        <w:t>µ</w:t>
      </w:r>
      <w:r w:rsidRPr="00FD4EBC">
        <w:t>Svh</w:t>
      </w:r>
      <w:r w:rsidRPr="00FD4EBC">
        <w:rPr>
          <w:rFonts w:ascii="Cambria Math" w:hAnsi="Cambria Math" w:cs="Cambria Math"/>
        </w:rPr>
        <w:t>⁻</w:t>
      </w:r>
      <w:r w:rsidRPr="00FD4EBC">
        <w:rPr>
          <w:rFonts w:ascii="Aptos" w:hAnsi="Aptos" w:cs="Aptos"/>
        </w:rPr>
        <w:t>¹</w:t>
      </w:r>
      <w:r w:rsidRPr="00FD4EBC">
        <w:t xml:space="preserve"> at the entrance, even though the source </w:t>
      </w:r>
      <w:r>
        <w:t>sat much higher in the pool than it should have</w:t>
      </w:r>
      <w:r w:rsidRPr="00FD4EBC">
        <w:t>.</w:t>
      </w:r>
    </w:p>
    <w:p w14:paraId="670DFF3D" w14:textId="77777777" w:rsidR="00D84D93" w:rsidRDefault="00D32097" w:rsidP="00D32097">
      <w:r w:rsidRPr="00FD4EBC">
        <w:t xml:space="preserve">The maze works by forcing photons to scatter several times before they can reach the entrance. Each scatter </w:t>
      </w:r>
      <w:r>
        <w:t>brings</w:t>
      </w:r>
      <w:r w:rsidRPr="00FD4EBC">
        <w:t xml:space="preserve"> down energy and intensity, so only a very small fraction of the original radiation field makes it out. It</w:t>
      </w:r>
      <w:r>
        <w:t xml:space="preserve"> is</w:t>
      </w:r>
      <w:r w:rsidRPr="00FD4EBC">
        <w:t xml:space="preserve"> a passive safety feature</w:t>
      </w:r>
      <w:r>
        <w:t>; it does not rely on electronics or operator action, and it continues to work even if other parts of the system fail</w:t>
      </w:r>
      <w:r w:rsidRPr="00FD4EBC">
        <w:t>.</w:t>
      </w:r>
    </w:p>
    <w:p w14:paraId="4F231E11" w14:textId="0DD0731A" w:rsidR="00D32097" w:rsidRPr="00FD4EBC" w:rsidRDefault="00D32097" w:rsidP="00D32097">
      <w:r w:rsidRPr="00FD4EBC">
        <w:t xml:space="preserve">Once someone steps through </w:t>
      </w:r>
      <w:r w:rsidR="00D84D93">
        <w:t>the maze</w:t>
      </w:r>
      <w:r w:rsidRPr="00FD4EBC">
        <w:t>, they ar</w:t>
      </w:r>
      <w:r w:rsidR="008F2ADC">
        <w:t>e</w:t>
      </w:r>
      <w:r w:rsidRPr="00FD4EBC">
        <w:t xml:space="preserve"> exposed to </w:t>
      </w:r>
      <w:r>
        <w:t>the</w:t>
      </w:r>
      <w:r w:rsidRPr="00FD4EBC">
        <w:t xml:space="preserve"> radiation field </w:t>
      </w:r>
      <w:r w:rsidR="00265D40">
        <w:t>inside the chamber</w:t>
      </w:r>
      <w:r w:rsidRPr="00FD4EBC">
        <w:t>. In this incident, the maze did its job at the entrance</w:t>
      </w:r>
      <w:r w:rsidR="00955B22">
        <w:t xml:space="preserve">, but </w:t>
      </w:r>
      <w:r w:rsidR="00492673">
        <w:t>the low reading</w:t>
      </w:r>
      <w:r w:rsidR="007E08D8">
        <w:t xml:space="preserve"> </w:t>
      </w:r>
      <w:r w:rsidR="00D84D93">
        <w:t>shows that maze shielding alone cannot compensate</w:t>
      </w:r>
      <w:r w:rsidRPr="00FD4EBC">
        <w:t xml:space="preserve"> for faults in source positioning, interlocks, or </w:t>
      </w:r>
      <w:r>
        <w:t>pre-entry checks</w:t>
      </w:r>
      <w:r w:rsidRPr="00FD4EBC">
        <w:t>.</w:t>
      </w:r>
    </w:p>
    <w:p w14:paraId="04116F42" w14:textId="77777777" w:rsidR="00F9341C" w:rsidRPr="00CC19BE" w:rsidRDefault="00F9341C" w:rsidP="00F9341C">
      <w:pPr>
        <w:pStyle w:val="Heading2"/>
      </w:pPr>
      <w:bookmarkStart w:id="6" w:name="_Toc239411730"/>
      <w:r w:rsidRPr="00CC19BE">
        <w:t>Water</w:t>
      </w:r>
      <w:r w:rsidRPr="00CC19BE">
        <w:noBreakHyphen/>
        <w:t>Shielded Dose Rate</w:t>
      </w:r>
      <w:bookmarkEnd w:id="6"/>
      <w:r w:rsidRPr="00CC19BE">
        <w:t xml:space="preserve"> </w:t>
      </w:r>
    </w:p>
    <w:p w14:paraId="2BE5E4FC" w14:textId="4D2686E3" w:rsidR="00F9341C" w:rsidRPr="00786320" w:rsidRDefault="00F9341C" w:rsidP="00F9341C">
      <w:r w:rsidRPr="00786320">
        <w:t xml:space="preserve">To estimate the dose rate with the source </w:t>
      </w:r>
      <w:r>
        <w:t>about 1</w:t>
      </w:r>
      <w:r>
        <w:rPr>
          <w:rFonts w:ascii="Arial" w:hAnsi="Arial" w:cs="Arial"/>
        </w:rPr>
        <w:t> </w:t>
      </w:r>
      <w:r>
        <w:t xml:space="preserve">m below the water surface, </w:t>
      </w:r>
      <w:r w:rsidR="00CA2527">
        <w:t>use</w:t>
      </w:r>
      <w:r>
        <w:t xml:space="preserve"> the unshielded point-source dose rate and </w:t>
      </w:r>
      <w:r w:rsidRPr="00786320">
        <w:t xml:space="preserve">apply </w:t>
      </w:r>
      <w:r w:rsidR="00D93795">
        <w:t>water attenuation</w:t>
      </w:r>
      <w:r w:rsidRPr="00786320">
        <w:t>. The Incident Dossier gives a half</w:t>
      </w:r>
      <w:r w:rsidRPr="00786320">
        <w:noBreakHyphen/>
        <w:t>value layer (HVL) of 0.23</w:t>
      </w:r>
      <w:r w:rsidRPr="00786320">
        <w:rPr>
          <w:rFonts w:ascii="Arial" w:hAnsi="Arial" w:cs="Arial"/>
        </w:rPr>
        <w:t> </w:t>
      </w:r>
      <w:r w:rsidRPr="00786320">
        <w:t>m for cobalt</w:t>
      </w:r>
      <w:r w:rsidRPr="00786320">
        <w:noBreakHyphen/>
        <w:t xml:space="preserve">60 in water, </w:t>
      </w:r>
      <w:r w:rsidR="00CA2527">
        <w:t xml:space="preserve">which means </w:t>
      </w:r>
      <w:r w:rsidRPr="00786320">
        <w:t>every 0.23</w:t>
      </w:r>
      <w:r w:rsidRPr="00786320">
        <w:rPr>
          <w:rFonts w:ascii="Arial" w:hAnsi="Arial" w:cs="Arial"/>
        </w:rPr>
        <w:t> </w:t>
      </w:r>
      <w:r w:rsidRPr="00786320">
        <w:t xml:space="preserve">m of water </w:t>
      </w:r>
      <w:r>
        <w:t>halves the gamma intensity</w:t>
      </w:r>
      <w:r w:rsidRPr="00786320">
        <w:t>.</w:t>
      </w:r>
    </w:p>
    <w:p w14:paraId="2D8E5F41" w14:textId="77777777" w:rsidR="00F9341C" w:rsidRPr="00786320" w:rsidRDefault="00F9341C" w:rsidP="00F9341C">
      <w:r w:rsidRPr="00786320">
        <w:t>One metre of water works out to:</w:t>
      </w:r>
    </w:p>
    <w:p w14:paraId="49E913EF" w14:textId="77777777" w:rsidR="00F9341C" w:rsidRPr="00786320" w:rsidRDefault="00AB08E7" w:rsidP="00F9341C">
      <m:oMathPara>
        <m:oMath>
          <m:f>
            <m:fPr>
              <m:ctrlPr>
                <w:rPr>
                  <w:rFonts w:ascii="Cambria Math" w:hAnsi="Cambria Math"/>
                </w:rPr>
              </m:ctrlPr>
            </m:fPr>
            <m:num>
              <m:r>
                <w:rPr>
                  <w:rFonts w:ascii="Cambria Math" w:hAnsi="Cambria Math"/>
                </w:rPr>
                <m:t>1.0</m:t>
              </m:r>
              <m:r>
                <m:rPr>
                  <m:nor/>
                </m:rPr>
                <m:t> m</m:t>
              </m:r>
            </m:num>
            <m:den>
              <m:r>
                <w:rPr>
                  <w:rFonts w:ascii="Cambria Math" w:hAnsi="Cambria Math"/>
                </w:rPr>
                <m:t>0.23</m:t>
              </m:r>
              <m:r>
                <m:rPr>
                  <m:nor/>
                </m:rPr>
                <m:t> m</m:t>
              </m:r>
            </m:den>
          </m:f>
          <m:r>
            <w:rPr>
              <w:rFonts w:ascii="Cambria Math" w:hAnsi="Cambria Math"/>
            </w:rPr>
            <m:t>≈4.35</m:t>
          </m:r>
          <m:r>
            <m:rPr>
              <m:nor/>
            </m:rPr>
            <m:t> HVLs</m:t>
          </m:r>
        </m:oMath>
      </m:oMathPara>
    </w:p>
    <w:p w14:paraId="0DAE9111" w14:textId="77777777" w:rsidR="00F9341C" w:rsidRPr="00786320" w:rsidRDefault="00F9341C" w:rsidP="00F9341C">
      <w:r w:rsidRPr="00786320">
        <w:t>Each HVL halves the dose rate, so the total attenuation factor is:</w:t>
      </w:r>
    </w:p>
    <w:p w14:paraId="7CFFF976" w14:textId="77777777" w:rsidR="00F9341C" w:rsidRPr="00786320" w:rsidRDefault="00AB08E7" w:rsidP="00F9341C">
      <m:oMathPara>
        <m:oMath>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1</m:t>
                      </m:r>
                    </m:num>
                    <m:den>
                      <m:r>
                        <w:rPr>
                          <w:rFonts w:ascii="Cambria Math" w:hAnsi="Cambria Math"/>
                        </w:rPr>
                        <m:t>2</m:t>
                      </m:r>
                    </m:den>
                  </m:f>
                </m:e>
              </m:d>
            </m:e>
            <m:sup>
              <m:r>
                <w:rPr>
                  <w:rFonts w:ascii="Cambria Math" w:hAnsi="Cambria Math"/>
                </w:rPr>
                <m:t>4.35</m:t>
              </m:r>
            </m:sup>
          </m:sSup>
          <m:r>
            <w:rPr>
              <w:rFonts w:ascii="Cambria Math" w:hAnsi="Cambria Math"/>
            </w:rPr>
            <m:t>≈0.05</m:t>
          </m:r>
        </m:oMath>
      </m:oMathPara>
    </w:p>
    <w:p w14:paraId="03121E3B" w14:textId="77777777" w:rsidR="00F9341C" w:rsidRPr="00786320" w:rsidRDefault="00F9341C" w:rsidP="00F9341C">
      <w:r w:rsidRPr="00786320">
        <w:t>So only about 5% of the original dose rate gets through 1</w:t>
      </w:r>
      <w:r w:rsidRPr="00786320">
        <w:rPr>
          <w:rFonts w:ascii="Arial" w:hAnsi="Arial" w:cs="Arial"/>
        </w:rPr>
        <w:t> </w:t>
      </w:r>
      <w:r w:rsidRPr="00786320">
        <w:t>m of water.</w:t>
      </w:r>
    </w:p>
    <w:p w14:paraId="691E625F" w14:textId="703FC5B2" w:rsidR="00F9341C" w:rsidRPr="00786320" w:rsidRDefault="00F9341C" w:rsidP="00F9341C">
      <w:r w:rsidRPr="00786320">
        <w:lastRenderedPageBreak/>
        <w:t>Using the unshielded dose rate o</w:t>
      </w:r>
      <w:r w:rsidR="00E878B3">
        <w:t>f</w:t>
      </w:r>
      <w:r w:rsidRPr="00786320">
        <w:t xml:space="preserve"> </w:t>
      </w:r>
      <m:oMath>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m:t>
        </m:r>
        <m:sSup>
          <m:sSupPr>
            <m:ctrlPr>
              <w:rPr>
                <w:rFonts w:ascii="Cambria Math" w:hAnsi="Cambria Math"/>
              </w:rPr>
            </m:ctrlPr>
          </m:sSupPr>
          <m:e>
            <m:r>
              <m:rPr>
                <m:nor/>
              </m:rPr>
              <m:t>Svh</m:t>
            </m:r>
          </m:e>
          <m:sup>
            <m:r>
              <w:rPr>
                <w:rFonts w:ascii="Cambria Math" w:hAnsi="Cambria Math"/>
              </w:rPr>
              <m:t>-1</m:t>
            </m:r>
          </m:sup>
        </m:sSup>
      </m:oMath>
      <w:r w:rsidRPr="00786320">
        <w:t>, the water</w:t>
      </w:r>
      <w:r w:rsidRPr="00786320">
        <w:noBreakHyphen/>
        <w:t>shielded dose rate at 2</w:t>
      </w:r>
      <w:r w:rsidRPr="00786320">
        <w:rPr>
          <w:rFonts w:ascii="Arial" w:hAnsi="Arial" w:cs="Arial"/>
        </w:rPr>
        <w:t> </w:t>
      </w:r>
      <w:r w:rsidRPr="00786320">
        <w:t>m becomes:</w:t>
      </w:r>
    </w:p>
    <w:p w14:paraId="4DB0C568" w14:textId="77777777" w:rsidR="00F9341C" w:rsidRPr="00786320" w:rsidRDefault="00F9341C" w:rsidP="00F9341C">
      <m:oMathPara>
        <m:oMath>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m:t>
          </m:r>
          <m:sSup>
            <m:sSupPr>
              <m:ctrlPr>
                <w:rPr>
                  <w:rFonts w:ascii="Cambria Math" w:hAnsi="Cambria Math"/>
                </w:rPr>
              </m:ctrlPr>
            </m:sSupPr>
            <m:e>
              <m:r>
                <m:rPr>
                  <m:nor/>
                </m:rPr>
                <m:t>Svh</m:t>
              </m:r>
            </m:e>
            <m:sup>
              <m:r>
                <w:rPr>
                  <w:rFonts w:ascii="Cambria Math" w:hAnsi="Cambria Math"/>
                </w:rPr>
                <m:t>-1</m:t>
              </m:r>
            </m:sup>
          </m:sSup>
          <m:r>
            <w:rPr>
              <w:rFonts w:ascii="Cambria Math" w:hAnsi="Cambria Math"/>
            </w:rPr>
            <m:t>×0.05≈20</m:t>
          </m:r>
          <m:r>
            <m:rPr>
              <m:nor/>
            </m:rPr>
            <m:t> </m:t>
          </m:r>
          <m:sSup>
            <m:sSupPr>
              <m:ctrlPr>
                <w:rPr>
                  <w:rFonts w:ascii="Cambria Math" w:hAnsi="Cambria Math"/>
                </w:rPr>
              </m:ctrlPr>
            </m:sSupPr>
            <m:e>
              <m:r>
                <m:rPr>
                  <m:nor/>
                </m:rPr>
                <m:t>Svh</m:t>
              </m:r>
            </m:e>
            <m:sup>
              <m:r>
                <w:rPr>
                  <w:rFonts w:ascii="Cambria Math" w:hAnsi="Cambria Math"/>
                </w:rPr>
                <m:t>-1</m:t>
              </m:r>
            </m:sup>
          </m:sSup>
        </m:oMath>
      </m:oMathPara>
    </w:p>
    <w:p w14:paraId="7DF577DB" w14:textId="4CD7DA30" w:rsidR="00FD27B3" w:rsidRPr="00B43449" w:rsidRDefault="00F9341C" w:rsidP="00FD27B3">
      <w:r w:rsidRPr="00786320">
        <w:t xml:space="preserve">Even after a metre of water, this is still extremely high. It also </w:t>
      </w:r>
      <w:r>
        <w:t>aligns with the peak dose rate recorded by the technician’s electronic personal dosimeter (24</w:t>
      </w:r>
      <w:r>
        <w:rPr>
          <w:rFonts w:ascii="Arial" w:hAnsi="Arial" w:cs="Arial"/>
        </w:rPr>
        <w:t> </w:t>
      </w:r>
      <w:r w:rsidR="00F90BA8">
        <w:t>Sv h ¹), which suggests</w:t>
      </w:r>
      <w:r w:rsidRPr="00786320">
        <w:t xml:space="preserve"> this HVL</w:t>
      </w:r>
      <w:r w:rsidRPr="00786320">
        <w:noBreakHyphen/>
        <w:t xml:space="preserve">based estimate is </w:t>
      </w:r>
      <w:r w:rsidR="004D3F7B">
        <w:t>quite</w:t>
      </w:r>
      <w:r w:rsidRPr="00786320">
        <w:t xml:space="preserve"> accurate for the conditions during the incident.</w:t>
      </w:r>
      <w:r w:rsidR="00FD27B3">
        <w:t xml:space="preserve"> Figure 2 (Annex B) shows the exponential reduction in dose rate with increasing water thickness</w:t>
      </w:r>
      <w:r w:rsidR="00FD27B3" w:rsidRPr="00B43449">
        <w:t>.</w:t>
      </w:r>
    </w:p>
    <w:p w14:paraId="11921108" w14:textId="4D040172" w:rsidR="00F9341C" w:rsidRPr="00786320" w:rsidRDefault="00F9341C" w:rsidP="00F9341C"/>
    <w:p w14:paraId="4ED8C4D9" w14:textId="77777777" w:rsidR="00672895" w:rsidRDefault="00672895" w:rsidP="00672895"/>
    <w:p w14:paraId="112BE307" w14:textId="77777777" w:rsidR="00672895" w:rsidRDefault="00672895" w:rsidP="00672895"/>
    <w:p w14:paraId="1C2B47BA" w14:textId="77777777" w:rsidR="000033A8" w:rsidRDefault="000033A8" w:rsidP="00672895"/>
    <w:p w14:paraId="096E1F40" w14:textId="77777777" w:rsidR="000033A8" w:rsidRDefault="000033A8" w:rsidP="00672895"/>
    <w:p w14:paraId="16AB0957" w14:textId="77777777" w:rsidR="000033A8" w:rsidRDefault="000033A8" w:rsidP="00672895"/>
    <w:p w14:paraId="0FC281A8" w14:textId="77777777" w:rsidR="000033A8" w:rsidRDefault="000033A8" w:rsidP="00672895"/>
    <w:p w14:paraId="4F08968B" w14:textId="77777777" w:rsidR="000033A8" w:rsidRDefault="000033A8" w:rsidP="00672895"/>
    <w:p w14:paraId="47AAEE20" w14:textId="77777777" w:rsidR="000033A8" w:rsidRDefault="000033A8" w:rsidP="00672895"/>
    <w:p w14:paraId="18778FD4" w14:textId="77777777" w:rsidR="000033A8" w:rsidRDefault="000033A8" w:rsidP="00672895"/>
    <w:p w14:paraId="3F307674" w14:textId="77777777" w:rsidR="000033A8" w:rsidRDefault="000033A8" w:rsidP="00672895"/>
    <w:p w14:paraId="61EF0EC6" w14:textId="77777777" w:rsidR="000033A8" w:rsidRDefault="000033A8" w:rsidP="00672895"/>
    <w:p w14:paraId="2022E68E" w14:textId="77777777" w:rsidR="000033A8" w:rsidRDefault="000033A8" w:rsidP="00672895"/>
    <w:p w14:paraId="1EB7F021" w14:textId="77777777" w:rsidR="000033A8" w:rsidRDefault="000033A8" w:rsidP="00672895"/>
    <w:p w14:paraId="0A75BE56" w14:textId="77777777" w:rsidR="000033A8" w:rsidRDefault="000033A8" w:rsidP="00672895"/>
    <w:p w14:paraId="25A98DEE" w14:textId="77777777" w:rsidR="000033A8" w:rsidRDefault="000033A8" w:rsidP="00672895"/>
    <w:p w14:paraId="209D4F40" w14:textId="77777777" w:rsidR="000033A8" w:rsidRDefault="000033A8" w:rsidP="00672895"/>
    <w:p w14:paraId="75A86579" w14:textId="77777777" w:rsidR="000033A8" w:rsidRDefault="000033A8" w:rsidP="00672895"/>
    <w:p w14:paraId="2422530A" w14:textId="77777777" w:rsidR="000033A8" w:rsidRDefault="000033A8" w:rsidP="00672895"/>
    <w:p w14:paraId="30197DEB" w14:textId="77777777" w:rsidR="000033A8" w:rsidRDefault="000033A8" w:rsidP="00672895"/>
    <w:p w14:paraId="46D22C7A" w14:textId="77777777" w:rsidR="000033A8" w:rsidRDefault="000033A8" w:rsidP="00672895"/>
    <w:p w14:paraId="12643118" w14:textId="225F1889" w:rsidR="000033A8" w:rsidRDefault="000033A8" w:rsidP="000033A8">
      <w:pPr>
        <w:pStyle w:val="Heading1"/>
      </w:pPr>
      <w:bookmarkStart w:id="7" w:name="_Toc239411731"/>
      <w:r>
        <w:lastRenderedPageBreak/>
        <w:t>Case analysis</w:t>
      </w:r>
      <w:bookmarkEnd w:id="7"/>
    </w:p>
    <w:p w14:paraId="32DD0CAF" w14:textId="77777777" w:rsidR="00170C88" w:rsidRPr="002A49F8" w:rsidRDefault="00170C88" w:rsidP="00170C88">
      <w:r w:rsidRPr="002A49F8">
        <w:t xml:space="preserve">The incident </w:t>
      </w:r>
      <w:r>
        <w:t>happened</w:t>
      </w:r>
      <w:r w:rsidRPr="002A49F8">
        <w:t xml:space="preserve"> at the end of a production cycle when the source rack was supposed to return to its fully shielded position at the bottom of the pool</w:t>
      </w:r>
      <w:r>
        <w:t xml:space="preserve"> at a depth of approximately 5m; i</w:t>
      </w:r>
      <w:r w:rsidRPr="002A49F8">
        <w:t>nstead, a fault in the hoist mechanism left it sitting roughly 1</w:t>
      </w:r>
      <w:r w:rsidRPr="002A49F8">
        <w:rPr>
          <w:rFonts w:ascii="Arial" w:hAnsi="Arial" w:cs="Arial"/>
        </w:rPr>
        <w:t> </w:t>
      </w:r>
      <w:r w:rsidRPr="002A49F8">
        <w:t xml:space="preserve">m below the water surface. </w:t>
      </w:r>
      <w:r>
        <w:t>Despite this,</w:t>
      </w:r>
      <w:r w:rsidRPr="002A49F8">
        <w:t xml:space="preserve"> the control system showed the source as parked</w:t>
      </w:r>
      <w:r>
        <w:t xml:space="preserve"> and everything as</w:t>
      </w:r>
      <w:r w:rsidRPr="002A49F8">
        <w:t xml:space="preserve"> normal.</w:t>
      </w:r>
    </w:p>
    <w:p w14:paraId="653C59E8" w14:textId="77777777" w:rsidR="00170C88" w:rsidRPr="002A49F8" w:rsidRDefault="00170C88" w:rsidP="00170C88">
      <w:r w:rsidRPr="002A49F8">
        <w:t>Before allowing entry, the shift supervisor checked the radiation level at the maze entrance with a portable gamma meter. The reading was about 0.5</w:t>
      </w:r>
      <w:r w:rsidRPr="002A49F8">
        <w:rPr>
          <w:rFonts w:ascii="Arial" w:hAnsi="Arial" w:cs="Arial"/>
        </w:rPr>
        <w:t> </w:t>
      </w:r>
      <w:r w:rsidRPr="002A49F8">
        <w:rPr>
          <w:rFonts w:ascii="Aptos" w:hAnsi="Aptos" w:cs="Aptos"/>
        </w:rPr>
        <w:t>µ</w:t>
      </w:r>
      <w:r w:rsidRPr="002A49F8">
        <w:t>Sv</w:t>
      </w:r>
      <w:r w:rsidRPr="002A49F8">
        <w:rPr>
          <w:rFonts w:ascii="Arial" w:hAnsi="Arial" w:cs="Arial"/>
        </w:rPr>
        <w:t> </w:t>
      </w:r>
      <w:r w:rsidRPr="002A49F8">
        <w:t>h</w:t>
      </w:r>
      <w:r w:rsidRPr="002A49F8">
        <w:rPr>
          <w:rFonts w:ascii="Cambria Math" w:hAnsi="Cambria Math" w:cs="Cambria Math"/>
        </w:rPr>
        <w:t>⁻</w:t>
      </w:r>
      <w:r w:rsidRPr="002A49F8">
        <w:rPr>
          <w:rFonts w:ascii="Aptos" w:hAnsi="Aptos" w:cs="Aptos"/>
        </w:rPr>
        <w:t>¹</w:t>
      </w:r>
      <w:r>
        <w:t>, which is a normal level</w:t>
      </w:r>
      <w:r w:rsidRPr="002A49F8">
        <w:t xml:space="preserve"> </w:t>
      </w:r>
      <w:r>
        <w:t>for a fully submerged</w:t>
      </w:r>
      <w:r w:rsidRPr="002A49F8">
        <w:t xml:space="preserve"> source. The </w:t>
      </w:r>
      <w:r>
        <w:t>‘D</w:t>
      </w:r>
      <w:r w:rsidRPr="002A49F8">
        <w:t xml:space="preserve">anger of </w:t>
      </w:r>
      <w:r>
        <w:t>D</w:t>
      </w:r>
      <w:r w:rsidRPr="002A49F8">
        <w:t>eath signs were lit, but these were assumed to be a fault. With the maze shielding doing its job, the high radiation field inside the chamber was</w:t>
      </w:r>
      <w:r>
        <w:t xml:space="preserve"> </w:t>
      </w:r>
      <w:r w:rsidRPr="002A49F8">
        <w:t>n</w:t>
      </w:r>
      <w:r>
        <w:rPr>
          <w:rFonts w:ascii="Aptos" w:hAnsi="Aptos" w:cs="Aptos"/>
        </w:rPr>
        <w:t>o</w:t>
      </w:r>
      <w:r w:rsidRPr="002A49F8">
        <w:t xml:space="preserve">t </w:t>
      </w:r>
      <w:r>
        <w:t>detectable</w:t>
      </w:r>
      <w:r w:rsidRPr="002A49F8">
        <w:t xml:space="preserve"> from the entrance.</w:t>
      </w:r>
    </w:p>
    <w:p w14:paraId="57520C4C" w14:textId="77777777" w:rsidR="00170C88" w:rsidRPr="002A49F8" w:rsidRDefault="00170C88" w:rsidP="00170C88">
      <w:r w:rsidRPr="002A49F8">
        <w:t xml:space="preserve">The maintenance technician </w:t>
      </w:r>
      <w:r>
        <w:t>was allowed</w:t>
      </w:r>
      <w:r w:rsidRPr="002A49F8">
        <w:t xml:space="preserve"> into the chamber to clear a conveyor jam. Based on the Radiation Protection Adviser’s reconstruction, he was inside for between 45 and 75</w:t>
      </w:r>
      <w:r w:rsidRPr="002A49F8">
        <w:rPr>
          <w:rFonts w:ascii="Arial" w:hAnsi="Arial" w:cs="Arial"/>
        </w:rPr>
        <w:t> </w:t>
      </w:r>
      <w:r w:rsidRPr="002A49F8">
        <w:t>seconds and was working at about 2</w:t>
      </w:r>
      <w:r w:rsidRPr="002A49F8">
        <w:rPr>
          <w:rFonts w:ascii="Arial" w:hAnsi="Arial" w:cs="Arial"/>
        </w:rPr>
        <w:t> </w:t>
      </w:r>
      <w:r w:rsidRPr="002A49F8">
        <w:t xml:space="preserve">m from the effective source position. </w:t>
      </w:r>
      <w:r>
        <w:t>T</w:t>
      </w:r>
      <w:r w:rsidRPr="002A49F8">
        <w:t>here was around 1</w:t>
      </w:r>
      <w:r w:rsidRPr="002A49F8">
        <w:rPr>
          <w:rFonts w:ascii="Arial" w:hAnsi="Arial" w:cs="Arial"/>
        </w:rPr>
        <w:t> </w:t>
      </w:r>
      <w:r w:rsidRPr="002A49F8">
        <w:t>m of water between him and the top of the rack. Using the water</w:t>
      </w:r>
      <w:r w:rsidRPr="002A49F8">
        <w:noBreakHyphen/>
        <w:t>attenuated dose rate of roughly 20</w:t>
      </w:r>
      <w:r w:rsidRPr="002A49F8">
        <w:rPr>
          <w:rFonts w:ascii="Arial" w:hAnsi="Arial" w:cs="Arial"/>
        </w:rPr>
        <w:t> </w:t>
      </w:r>
      <w:r w:rsidRPr="002A49F8">
        <w:t>Sv</w:t>
      </w:r>
      <w:r w:rsidRPr="002A49F8">
        <w:rPr>
          <w:rFonts w:ascii="Arial" w:hAnsi="Arial" w:cs="Arial"/>
        </w:rPr>
        <w:t> </w:t>
      </w:r>
      <w:r w:rsidRPr="002A49F8">
        <w:t>h</w:t>
      </w:r>
      <w:r w:rsidRPr="002A49F8">
        <w:rPr>
          <w:rFonts w:ascii="Cambria Math" w:hAnsi="Cambria Math" w:cs="Cambria Math"/>
        </w:rPr>
        <w:t>⁻</w:t>
      </w:r>
      <w:r w:rsidRPr="002A49F8">
        <w:rPr>
          <w:rFonts w:ascii="Aptos" w:hAnsi="Aptos" w:cs="Aptos"/>
        </w:rPr>
        <w:t>¹</w:t>
      </w:r>
      <w:r w:rsidRPr="002A49F8">
        <w:t>, that duration corresponds to a significant whole</w:t>
      </w:r>
      <w:r w:rsidRPr="002A49F8">
        <w:noBreakHyphen/>
        <w:t>body dose.</w:t>
      </w:r>
    </w:p>
    <w:p w14:paraId="01AE927C" w14:textId="77777777" w:rsidR="00170C88" w:rsidRPr="002A49F8" w:rsidRDefault="00170C88" w:rsidP="00170C88">
      <w:r w:rsidRPr="002A49F8">
        <w:t>He left the chamber after noticing that the rack was</w:t>
      </w:r>
      <w:r>
        <w:t xml:space="preserve"> </w:t>
      </w:r>
      <w:r w:rsidRPr="002A49F8">
        <w:t>n</w:t>
      </w:r>
      <w:r>
        <w:t>o</w:t>
      </w:r>
      <w:r w:rsidRPr="002A49F8">
        <w:t>t fully submerged and that the warning signs were still illuminated. Shortly afterwards</w:t>
      </w:r>
      <w:r>
        <w:t>,</w:t>
      </w:r>
      <w:r w:rsidRPr="002A49F8">
        <w:t xml:space="preserve"> he reported feeling faint and nauseous, which fits with a short, high</w:t>
      </w:r>
      <w:r w:rsidRPr="002A49F8">
        <w:noBreakHyphen/>
        <w:t>dose exposure. His electronic personal dosimeter (EPD) recorded a peak dose rate of 24</w:t>
      </w:r>
      <w:r w:rsidRPr="002A49F8">
        <w:rPr>
          <w:rFonts w:ascii="Arial" w:hAnsi="Arial" w:cs="Arial"/>
        </w:rPr>
        <w:t> </w:t>
      </w:r>
      <w:r w:rsidRPr="002A49F8">
        <w:t>Sv</w:t>
      </w:r>
      <w:r w:rsidRPr="002A49F8">
        <w:rPr>
          <w:rFonts w:ascii="Arial" w:hAnsi="Arial" w:cs="Arial"/>
        </w:rPr>
        <w:t> </w:t>
      </w:r>
      <w:r w:rsidRPr="002A49F8">
        <w:t>h</w:t>
      </w:r>
      <w:r w:rsidRPr="002A49F8">
        <w:rPr>
          <w:rFonts w:ascii="Cambria Math" w:hAnsi="Cambria Math" w:cs="Cambria Math"/>
        </w:rPr>
        <w:t>⁻</w:t>
      </w:r>
      <w:r w:rsidRPr="002A49F8">
        <w:rPr>
          <w:rFonts w:ascii="Aptos" w:hAnsi="Aptos" w:cs="Aptos"/>
        </w:rPr>
        <w:t>¹</w:t>
      </w:r>
      <w:r w:rsidRPr="002A49F8">
        <w:t xml:space="preserve"> and a total dose of 310</w:t>
      </w:r>
      <w:r w:rsidRPr="002A49F8">
        <w:rPr>
          <w:rFonts w:ascii="Arial" w:hAnsi="Arial" w:cs="Arial"/>
        </w:rPr>
        <w:t> </w:t>
      </w:r>
      <w:r w:rsidRPr="002A49F8">
        <w:t xml:space="preserve">mSv. The </w:t>
      </w:r>
      <w:proofErr w:type="spellStart"/>
      <w:r w:rsidRPr="002A49F8">
        <w:t>thermoluminescent</w:t>
      </w:r>
      <w:proofErr w:type="spellEnd"/>
      <w:r w:rsidRPr="002A49F8">
        <w:t xml:space="preserve"> dosimeter (TLD) later gave a whole</w:t>
      </w:r>
      <w:r w:rsidRPr="002A49F8">
        <w:noBreakHyphen/>
        <w:t>body dose of 380</w:t>
      </w:r>
      <w:r w:rsidRPr="002A49F8">
        <w:rPr>
          <w:rFonts w:ascii="Arial" w:hAnsi="Arial" w:cs="Arial"/>
        </w:rPr>
        <w:t> </w:t>
      </w:r>
      <w:r w:rsidRPr="002A49F8">
        <w:t>mSv.</w:t>
      </w:r>
    </w:p>
    <w:p w14:paraId="21364E7B" w14:textId="71B5B15E" w:rsidR="00170C88" w:rsidRPr="002A49F8" w:rsidRDefault="00170C88" w:rsidP="00170C88">
      <w:r w:rsidRPr="002A49F8">
        <w:t xml:space="preserve">The EPD and TLD results make sense when you compare them with the reconstructed dose rate and the </w:t>
      </w:r>
      <w:proofErr w:type="gramStart"/>
      <w:r w:rsidRPr="002A49F8">
        <w:t>time</w:t>
      </w:r>
      <w:proofErr w:type="gramEnd"/>
      <w:r w:rsidRPr="002A49F8">
        <w:t xml:space="preserve"> he was inside the chamber. The two dosimeters don’t behave the same way, and the technician wasn’t standing still, so </w:t>
      </w:r>
      <w:r>
        <w:t xml:space="preserve">the </w:t>
      </w:r>
      <w:r w:rsidRPr="002A49F8">
        <w:t>difference between them is expected. The EPD shows dose</w:t>
      </w:r>
      <w:r w:rsidRPr="002A49F8">
        <w:noBreakHyphen/>
        <w:t xml:space="preserve">rate peaks and can miss some dose if the wearer moves through areas where the field changes quickly. The TLD, </w:t>
      </w:r>
      <w:r>
        <w:t xml:space="preserve">by contrast, sums </w:t>
      </w:r>
      <w:r w:rsidR="00E12161">
        <w:t xml:space="preserve">up the dose it </w:t>
      </w:r>
      <w:r w:rsidRPr="002A49F8">
        <w:t xml:space="preserve">receives over the whole period, </w:t>
      </w:r>
      <w:r w:rsidR="00E12161">
        <w:t>and</w:t>
      </w:r>
      <w:r w:rsidRPr="002A49F8">
        <w:t xml:space="preserve"> often ends up slightly higher.</w:t>
      </w:r>
    </w:p>
    <w:p w14:paraId="3B6D7757" w14:textId="77777777" w:rsidR="00170C88" w:rsidRPr="002A49F8" w:rsidRDefault="00170C88" w:rsidP="00170C88">
      <w:r w:rsidRPr="002A49F8">
        <w:t>Taken together, the reconstruction shows that the technician received a large, but survivable, dose. The main reasons were the hoist fault, the control system giving a false parked indication, and too much trust being placed in the low reading at the maze entrance.</w:t>
      </w:r>
    </w:p>
    <w:p w14:paraId="7E32AAB8" w14:textId="77777777" w:rsidR="000033A8" w:rsidRPr="000033A8" w:rsidRDefault="000033A8" w:rsidP="000033A8"/>
    <w:p w14:paraId="3A533893" w14:textId="77777777" w:rsidR="00672895" w:rsidRDefault="00672895" w:rsidP="00672895"/>
    <w:p w14:paraId="24A675ED" w14:textId="77777777" w:rsidR="00672895" w:rsidRDefault="00672895" w:rsidP="00672895"/>
    <w:p w14:paraId="1CBDD03A" w14:textId="77777777" w:rsidR="00672895" w:rsidRDefault="00672895" w:rsidP="00672895"/>
    <w:p w14:paraId="066241FA" w14:textId="39796492" w:rsidR="00672895" w:rsidRDefault="00D64453" w:rsidP="00D64453">
      <w:pPr>
        <w:pStyle w:val="Heading1"/>
      </w:pPr>
      <w:bookmarkStart w:id="8" w:name="_Toc239411732"/>
      <w:r>
        <w:lastRenderedPageBreak/>
        <w:t>Discussion</w:t>
      </w:r>
      <w:bookmarkEnd w:id="8"/>
    </w:p>
    <w:p w14:paraId="24FD77B8" w14:textId="77777777" w:rsidR="002A686C" w:rsidRPr="00E11920" w:rsidRDefault="002A686C" w:rsidP="002A686C">
      <w:r w:rsidRPr="00E11920">
        <w:t>The dose rate estimates used in the reconstruction are high, but not unusual for a cobalt</w:t>
      </w:r>
      <w:r w:rsidRPr="00E11920">
        <w:noBreakHyphen/>
        <w:t>60 irradiator of this size. These facilities deliver large</w:t>
      </w:r>
      <w:r>
        <w:t>r</w:t>
      </w:r>
      <w:r w:rsidRPr="00E11920">
        <w:t xml:space="preserve"> doses in short cycles, so a </w:t>
      </w:r>
      <w:r>
        <w:t xml:space="preserve">partially submerged source </w:t>
      </w:r>
      <w:r w:rsidRPr="00E11920">
        <w:t>can still create a strong radiation field. The water</w:t>
      </w:r>
      <w:r w:rsidRPr="00E11920">
        <w:noBreakHyphen/>
        <w:t>attenuated dose rate of about 20 Sv h</w:t>
      </w:r>
      <w:r w:rsidRPr="00E11920">
        <w:rPr>
          <w:rFonts w:ascii="Cambria Math" w:hAnsi="Cambria Math" w:cs="Cambria Math"/>
        </w:rPr>
        <w:t>⁻</w:t>
      </w:r>
      <w:r w:rsidRPr="00E11920">
        <w:rPr>
          <w:rFonts w:ascii="Aptos" w:hAnsi="Aptos" w:cs="Aptos"/>
        </w:rPr>
        <w:t>¹</w:t>
      </w:r>
      <w:r w:rsidRPr="00E11920">
        <w:t xml:space="preserve"> is close to what the technician</w:t>
      </w:r>
      <w:r w:rsidRPr="00E11920">
        <w:rPr>
          <w:rFonts w:ascii="Aptos" w:hAnsi="Aptos" w:cs="Aptos"/>
        </w:rPr>
        <w:t>’</w:t>
      </w:r>
      <w:r w:rsidRPr="00E11920">
        <w:t>s dosimeter recorded, suggesting the HVL method was acceptable in this situation.</w:t>
      </w:r>
    </w:p>
    <w:p w14:paraId="6120A167" w14:textId="77777777" w:rsidR="00773832" w:rsidRDefault="00773832" w:rsidP="002A686C">
      <w:r w:rsidRPr="00773832">
        <w:t>The technician’s whole</w:t>
      </w:r>
      <w:r w:rsidRPr="00773832">
        <w:noBreakHyphen/>
        <w:t>body dose, around 0.3–0.4 Sv, is a serious exposure. A dose of this size can cause short</w:t>
      </w:r>
      <w:r w:rsidRPr="00773832">
        <w:noBreakHyphen/>
        <w:t>term symptoms such as nausea and light</w:t>
      </w:r>
      <w:r w:rsidRPr="00773832">
        <w:noBreakHyphen/>
        <w:t>headedness, symptoms he reported shortly afterwards. Although this dose is below the threshold for more severe deterministic effects, it is still above normal occupational limits and carries a small but measurable increase in lifetime stochastic risk. Exposures in this range do not cause acute tissue injury, but they do slightly raise the probability of long</w:t>
      </w:r>
      <w:r w:rsidRPr="00773832">
        <w:noBreakHyphen/>
        <w:t>term health impacts such as radiation</w:t>
      </w:r>
      <w:r w:rsidRPr="00773832">
        <w:noBreakHyphen/>
        <w:t>induced cancer. Epidemiological studies show that doses of a few hundred millisieverts produce a modest elevation in lifetime cancer risk, which persists long after the immediate symptoms have resolved (ICRP 2007). The technician’s exposure is therefore significant from a radiological protection perspective, even though it remains below the level associated with acute medical harm.</w:t>
      </w:r>
    </w:p>
    <w:p w14:paraId="6D8518B3" w14:textId="4846D9DC" w:rsidR="002A686C" w:rsidRPr="00E11920" w:rsidRDefault="002A686C" w:rsidP="002A686C">
      <w:r w:rsidRPr="00E11920">
        <w:t>From a regulatory point of view, several parts of the Ionising Radiations Regulations 2017 (IRR17) were not met in practice (UK Government 2017). Regulation 8(1) requires exposures to be kept as low as reasonably practicable (UK Government 2017, Reg. 8). ALARP should be applied whenever something looks unusual. In this incident, the</w:t>
      </w:r>
      <w:r>
        <w:t xml:space="preserve"> reading matched the levels the</w:t>
      </w:r>
      <w:r w:rsidRPr="00E11920">
        <w:t xml:space="preserve"> supervisor</w:t>
      </w:r>
      <w:r>
        <w:t xml:space="preserve"> was expecting, so he</w:t>
      </w:r>
      <w:r w:rsidRPr="00E11920">
        <w:t xml:space="preserve"> accepted the low maze entrance reading and did not question why the warning lights were illuminated. </w:t>
      </w:r>
    </w:p>
    <w:p w14:paraId="26118C5B" w14:textId="77777777" w:rsidR="002A686C" w:rsidRPr="00E11920" w:rsidRDefault="002A686C" w:rsidP="002A686C">
      <w:r w:rsidRPr="00E11920">
        <w:t xml:space="preserve">Regulation 9(1) requires suitable engineering controls and design features (UK Government 2017, Reg. 9). In this incident, the engineering controls were the first part of the system to fail. The hoist stopped with the source in the wrong position, and the control system </w:t>
      </w:r>
      <w:r>
        <w:t>still showed</w:t>
      </w:r>
      <w:r w:rsidRPr="00E11920">
        <w:t xml:space="preserve"> it as parked. IRR17 Schedule 3, paragraph 1(a), expects adequate engineering controls, including reliable source</w:t>
      </w:r>
      <w:r w:rsidRPr="00E11920">
        <w:noBreakHyphen/>
        <w:t>position indication (UK Government 2017, Schedule 3). The system showed a safe condition when the source was still exposed. A reliable control should either show the correct status or fail in a way that alerts operators to a problem; neither happened. The indicator failed silently, and the operators acted on the incorrect information</w:t>
      </w:r>
      <w:r>
        <w:t>; t</w:t>
      </w:r>
      <w:r w:rsidRPr="00E11920">
        <w:t>his removed one of the main barriers that should have prevented entry into the chamber.</w:t>
      </w:r>
    </w:p>
    <w:p w14:paraId="0A424652" w14:textId="61E1E405" w:rsidR="002A686C" w:rsidRPr="00E11920" w:rsidRDefault="002A686C" w:rsidP="002A686C">
      <w:r w:rsidRPr="00E11920">
        <w:t xml:space="preserve">IRR17 Schedule 3, paragraph 2(a), requires entry systems that prevent access when a significant radiation field is present (UK Government 2017, Schedule 3). The maze shielding reduced the radiation level at the entrance to a normal value, so the area monitors did not indicate the hazard inside the chamber. The system </w:t>
      </w:r>
      <w:r>
        <w:t xml:space="preserve">relied on a single </w:t>
      </w:r>
      <w:r>
        <w:lastRenderedPageBreak/>
        <w:t>measurement location, which did not reflect</w:t>
      </w:r>
      <w:r w:rsidRPr="00E11920">
        <w:t xml:space="preserve"> conditions beyond the maze. The operators saw the low reading and assumed that the source was safe. The entry system did not independently confirm the source position </w:t>
      </w:r>
      <w:r>
        <w:t>or</w:t>
      </w:r>
      <w:r w:rsidRPr="00E11920">
        <w:t xml:space="preserve"> restrict access when the warning lights were illuminated. As a result, the technician </w:t>
      </w:r>
      <w:r w:rsidR="00214948">
        <w:t>entered</w:t>
      </w:r>
      <w:r w:rsidRPr="00E11920">
        <w:t xml:space="preserve"> the chamber while the source was still exposed.</w:t>
      </w:r>
    </w:p>
    <w:p w14:paraId="2B90614D" w14:textId="77777777" w:rsidR="002A686C" w:rsidRPr="00E11920" w:rsidRDefault="002A686C" w:rsidP="002A686C">
      <w:r w:rsidRPr="00E11920">
        <w:t>Human factors strongly influenced how the situation developed. The supervisor’s judgement was affected by confirmation bias</w:t>
      </w:r>
      <w:r>
        <w:t>; h</w:t>
      </w:r>
      <w:r w:rsidRPr="00E11920">
        <w:t>e focused on information that supported what he already believed. The warning lights were illuminated, but he assumed they were showing a fault because the maze entrance reading matched his expectation of a fully submerged source, so he gave it more weight than it should have.</w:t>
      </w:r>
    </w:p>
    <w:p w14:paraId="5CF19293" w14:textId="77777777" w:rsidR="002A686C" w:rsidRPr="00E11920" w:rsidRDefault="002A686C" w:rsidP="002A686C">
      <w:r w:rsidRPr="00E11920">
        <w:t>There was also automation bias. The</w:t>
      </w:r>
      <w:r>
        <w:t xml:space="preserve"> operator</w:t>
      </w:r>
      <w:r w:rsidRPr="00E11920">
        <w:t xml:space="preserve"> relied on the control panel because it normally reflects the source’s true position</w:t>
      </w:r>
      <w:r>
        <w:t>;</w:t>
      </w:r>
      <w:r w:rsidRPr="00E11920">
        <w:t xml:space="preserve"> he did not consider that the hoist might have stopped partway through its movement. The warning lights were illuminated, but he assumed they were showing a fault rather than a genuine hazard because they did not match the control panel display. </w:t>
      </w:r>
      <w:r>
        <w:t>T</w:t>
      </w:r>
      <w:r w:rsidRPr="00E11920">
        <w:t>he control system was treated as more trustworthy than the physical indicators in the room</w:t>
      </w:r>
      <w:r>
        <w:t>, a</w:t>
      </w:r>
      <w:r w:rsidRPr="00E11920">
        <w:t xml:space="preserve"> </w:t>
      </w:r>
      <w:r>
        <w:t xml:space="preserve">pattern that is common </w:t>
      </w:r>
      <w:r w:rsidRPr="00E11920">
        <w:t>in safety</w:t>
      </w:r>
      <w:r w:rsidRPr="00E11920">
        <w:noBreakHyphen/>
        <w:t>critical work.</w:t>
      </w:r>
    </w:p>
    <w:p w14:paraId="3A90F5CF" w14:textId="77777777" w:rsidR="002A686C" w:rsidRPr="00E11920" w:rsidRDefault="002A686C" w:rsidP="002A686C">
      <w:r w:rsidRPr="00E11920">
        <w:t>The Office for Nuclear Regulation’s Safety Assessment Principles (SAPs) highlight the underlying weaknesses in the system design and operation (ONR 2014).</w:t>
      </w:r>
    </w:p>
    <w:p w14:paraId="6632C8F5" w14:textId="77777777" w:rsidR="002A686C" w:rsidRPr="00E11920" w:rsidRDefault="002A686C" w:rsidP="002A686C">
      <w:r w:rsidRPr="00E11920">
        <w:t>SAP EKP.5 requires equipment to fail to a safe state (ONR 2014, EKP.5). The hoist fault did not trigger any safe</w:t>
      </w:r>
      <w:r w:rsidRPr="00E11920">
        <w:noBreakHyphen/>
        <w:t xml:space="preserve">state response, and the control system continued to display a parked condition. This shows </w:t>
      </w:r>
      <w:r>
        <w:t>the equipment did not fail safely and did not warn</w:t>
      </w:r>
      <w:r w:rsidRPr="00E11920">
        <w:t xml:space="preserve"> that the source remained exposed.</w:t>
      </w:r>
    </w:p>
    <w:p w14:paraId="45545923" w14:textId="77777777" w:rsidR="002A686C" w:rsidRPr="00E11920" w:rsidRDefault="002A686C" w:rsidP="002A686C">
      <w:r w:rsidRPr="00E11920">
        <w:t>SAP DID.1 requires defence in depth, with several independent layers of protection (ONR 2014, DID.1). In this incident, the engineering controls, the safety indicators, and the entry system all depended on single points of information. When those points failed or were misinterpreted, no independent barrier remained to prevent access.</w:t>
      </w:r>
    </w:p>
    <w:p w14:paraId="4FEC7067" w14:textId="77777777" w:rsidR="002A686C" w:rsidRPr="00E11920" w:rsidRDefault="002A686C" w:rsidP="002A686C">
      <w:r w:rsidRPr="00E11920">
        <w:t>SAP HF.1 requires safety information to be clear and unambiguous (ONR 2014, HF.1). The system presented conflicting signals: illuminated warning lights, a normal maze reading, and a control panel showing a safe condition. This lack of clarity made it easy for operators to draw the wrong conclusion.</w:t>
      </w:r>
    </w:p>
    <w:p w14:paraId="3CA0ED58" w14:textId="77777777" w:rsidR="002A686C" w:rsidRPr="00E11920" w:rsidRDefault="002A686C" w:rsidP="002A686C">
      <w:r w:rsidRPr="00E11920">
        <w:t xml:space="preserve">SAP HF.3 requires systems to minimise human error (ONR 2014, HF.3). The design allowed operators to rely heavily on the control panel display, even when other indicators suggested a hazard. A system that minimises human error should not allow one misleading signal to dominate </w:t>
      </w:r>
      <w:r>
        <w:t>decision-making</w:t>
      </w:r>
      <w:r w:rsidRPr="00E11920">
        <w:t>.</w:t>
      </w:r>
    </w:p>
    <w:p w14:paraId="04BE1F37" w14:textId="77777777" w:rsidR="002A686C" w:rsidRPr="00E11920" w:rsidRDefault="002A686C" w:rsidP="002A686C">
      <w:r w:rsidRPr="00E11920">
        <w:t>SAP SC.4 requires interlocks and safety mechanisms to be reliable and fail</w:t>
      </w:r>
      <w:r w:rsidRPr="00E11920">
        <w:noBreakHyphen/>
        <w:t xml:space="preserve">safe (ONR 2014, SC.4). The entry system did not restrict access when the source was exposed, </w:t>
      </w:r>
      <w:r w:rsidRPr="00E11920">
        <w:lastRenderedPageBreak/>
        <w:t>and it relied on a single measurement point that did not represent the conditions inside the chamber. This shows that the interlock arrangement was not fail</w:t>
      </w:r>
      <w:r w:rsidRPr="00E11920">
        <w:noBreakHyphen/>
        <w:t>safe.</w:t>
      </w:r>
    </w:p>
    <w:p w14:paraId="1607A991" w14:textId="4A4E51DE" w:rsidR="005264A0" w:rsidRDefault="002A686C" w:rsidP="005264A0">
      <w:r w:rsidRPr="00E11920">
        <w:t xml:space="preserve">These points show how several small problems </w:t>
      </w:r>
      <w:r>
        <w:t xml:space="preserve">contributed to </w:t>
      </w:r>
      <w:r w:rsidRPr="00E11920">
        <w:t>a serious exposure. The maze shielding worked as intended, but it only protects the outside of the chamber. Once the technician stepped inside, no effective barriers remained. The incident highlights the need for more reliable source</w:t>
      </w:r>
      <w:r w:rsidRPr="00E11920">
        <w:noBreakHyphen/>
        <w:t xml:space="preserve">position indication and entry checks that do not rely on a single reading. </w:t>
      </w:r>
    </w:p>
    <w:p w14:paraId="05A1DCCF" w14:textId="77777777" w:rsidR="001314AD" w:rsidRDefault="001314AD" w:rsidP="005264A0"/>
    <w:p w14:paraId="065BD837" w14:textId="77777777" w:rsidR="001314AD" w:rsidRDefault="001314AD" w:rsidP="005264A0"/>
    <w:p w14:paraId="12A8843B" w14:textId="77777777" w:rsidR="001314AD" w:rsidRDefault="001314AD" w:rsidP="005264A0"/>
    <w:p w14:paraId="5D5945AC" w14:textId="77777777" w:rsidR="001314AD" w:rsidRDefault="001314AD" w:rsidP="005264A0"/>
    <w:p w14:paraId="7555AECA" w14:textId="77777777" w:rsidR="001314AD" w:rsidRDefault="001314AD" w:rsidP="005264A0"/>
    <w:p w14:paraId="1E50C5A1" w14:textId="77777777" w:rsidR="001314AD" w:rsidRDefault="001314AD" w:rsidP="005264A0"/>
    <w:p w14:paraId="152CFA24" w14:textId="77777777" w:rsidR="001314AD" w:rsidRDefault="001314AD" w:rsidP="005264A0"/>
    <w:p w14:paraId="2F74DC53" w14:textId="77777777" w:rsidR="001314AD" w:rsidRDefault="001314AD" w:rsidP="005264A0"/>
    <w:p w14:paraId="4728D66F" w14:textId="77777777" w:rsidR="001314AD" w:rsidRDefault="001314AD" w:rsidP="005264A0"/>
    <w:p w14:paraId="67D6E1D0" w14:textId="77777777" w:rsidR="001314AD" w:rsidRDefault="001314AD" w:rsidP="005264A0"/>
    <w:p w14:paraId="26914F16" w14:textId="77777777" w:rsidR="001314AD" w:rsidRDefault="001314AD" w:rsidP="005264A0"/>
    <w:p w14:paraId="358077C1" w14:textId="77777777" w:rsidR="001314AD" w:rsidRDefault="001314AD" w:rsidP="005264A0"/>
    <w:p w14:paraId="339D4090" w14:textId="77777777" w:rsidR="001314AD" w:rsidRDefault="001314AD" w:rsidP="005264A0"/>
    <w:p w14:paraId="6F5F1C29" w14:textId="77777777" w:rsidR="001314AD" w:rsidRDefault="001314AD" w:rsidP="005264A0"/>
    <w:p w14:paraId="2A651F35" w14:textId="77777777" w:rsidR="001314AD" w:rsidRDefault="001314AD" w:rsidP="005264A0"/>
    <w:p w14:paraId="64CFC39D" w14:textId="77777777" w:rsidR="001314AD" w:rsidRDefault="001314AD" w:rsidP="005264A0"/>
    <w:p w14:paraId="10CAFDD4" w14:textId="77777777" w:rsidR="001314AD" w:rsidRDefault="001314AD" w:rsidP="005264A0"/>
    <w:p w14:paraId="30204488" w14:textId="77777777" w:rsidR="001314AD" w:rsidRDefault="001314AD" w:rsidP="001C55D7">
      <w:pPr>
        <w:pStyle w:val="Heading1"/>
      </w:pPr>
    </w:p>
    <w:p w14:paraId="73DAE8C0" w14:textId="77777777" w:rsidR="001314AD" w:rsidRPr="001314AD" w:rsidRDefault="001314AD" w:rsidP="001314AD"/>
    <w:p w14:paraId="202F7422" w14:textId="7827F649" w:rsidR="005264A0" w:rsidRDefault="001C55D7" w:rsidP="001C55D7">
      <w:pPr>
        <w:pStyle w:val="Heading1"/>
      </w:pPr>
      <w:bookmarkStart w:id="9" w:name="_Toc239411733"/>
      <w:r>
        <w:lastRenderedPageBreak/>
        <w:t>Recommendations</w:t>
      </w:r>
      <w:bookmarkEnd w:id="9"/>
    </w:p>
    <w:p w14:paraId="1F947344" w14:textId="77777777" w:rsidR="00BF151D" w:rsidRPr="00E87471" w:rsidRDefault="00BF151D" w:rsidP="00BF151D">
      <w:r w:rsidRPr="00E87471">
        <w:t>Several improvements are required to bring the facility back in line with the Ionising Radiations Regulations 2017 and the expectations set out in the ONR Safety Assessment Principles. Each recommendation includes a practical solution that addresses the specific regulatory gap.</w:t>
      </w:r>
    </w:p>
    <w:p w14:paraId="1D16C28F" w14:textId="77777777" w:rsidR="00BF151D" w:rsidRPr="00E87471" w:rsidRDefault="00BF151D" w:rsidP="00BF151D">
      <w:r w:rsidRPr="00E87471">
        <w:t xml:space="preserve">Engineering controls (Regulation 9(1) and Schedule 3, paragraph 1(a)): The control system should be upgraded </w:t>
      </w:r>
      <w:r>
        <w:t>to use</w:t>
      </w:r>
      <w:r w:rsidRPr="00E87471">
        <w:t xml:space="preserve"> two independent position sensors rather than a single signal from the hoist. A dual</w:t>
      </w:r>
      <w:r w:rsidRPr="00E87471">
        <w:noBreakHyphen/>
        <w:t xml:space="preserve">channel system would </w:t>
      </w:r>
      <w:r>
        <w:t xml:space="preserve">confirm the true source position and </w:t>
      </w:r>
      <w:r w:rsidRPr="00E87471">
        <w:t xml:space="preserve">fail to a safe state if the sensors disagree. A mechanical limit switch </w:t>
      </w:r>
      <w:r>
        <w:t xml:space="preserve">could be installed </w:t>
      </w:r>
      <w:r w:rsidRPr="00E87471">
        <w:t>at the bottom of the source rack t</w:t>
      </w:r>
      <w:r>
        <w:t>o</w:t>
      </w:r>
      <w:r w:rsidRPr="00E87471">
        <w:t xml:space="preserve"> confirm full submersion. If the switch is not activated, the system should lock </w:t>
      </w:r>
      <w:r>
        <w:t>the</w:t>
      </w:r>
      <w:r w:rsidRPr="00E87471">
        <w:t xml:space="preserve"> entr</w:t>
      </w:r>
      <w:r>
        <w:t>ance</w:t>
      </w:r>
      <w:r w:rsidRPr="00E87471">
        <w:t xml:space="preserve"> and raise an alarm. This approach would meet the requirement for adequate engineering controls and support SAP EKP.5.</w:t>
      </w:r>
    </w:p>
    <w:p w14:paraId="0D32AD09" w14:textId="739E0D5D" w:rsidR="00BF151D" w:rsidRPr="00E87471" w:rsidRDefault="00BF151D" w:rsidP="00BF151D">
      <w:r w:rsidRPr="00E87471">
        <w:t xml:space="preserve">Entry system improvements (Schedule 3, paragraph 2(a) and SAP SC.4): The entry system should not rely on a single radiation monitor at the maze entrance. </w:t>
      </w:r>
      <w:r w:rsidR="00214948">
        <w:t>Placing a second monitor inside the chamber, away from the maze's shielding effect, could provide a more accurate indication of the radiation field</w:t>
      </w:r>
      <w:r w:rsidRPr="00E87471">
        <w:t xml:space="preserve">. The entry door should </w:t>
      </w:r>
      <w:r>
        <w:t xml:space="preserve">interlock with both monitors and </w:t>
      </w:r>
      <w:r w:rsidRPr="00E87471">
        <w:t xml:space="preserve">the source position indication. If any of these signals indicate a hazard, the door should remain locked until the system </w:t>
      </w:r>
      <w:r>
        <w:t>confirms</w:t>
      </w:r>
      <w:r w:rsidRPr="00E87471">
        <w:t xml:space="preserve"> the source is fully submerged. This would strengthen defence in depth in line with SAP DID.1.</w:t>
      </w:r>
    </w:p>
    <w:p w14:paraId="6C24F7E0" w14:textId="77777777" w:rsidR="00BF151D" w:rsidRPr="00E87471" w:rsidRDefault="00BF151D" w:rsidP="00BF151D">
      <w:r w:rsidRPr="00E87471">
        <w:t xml:space="preserve">Clearer safety information (SAP HF.1): </w:t>
      </w:r>
      <w:r>
        <w:t xml:space="preserve">Treat the warning lights </w:t>
      </w:r>
      <w:r w:rsidRPr="00E87471">
        <w:t xml:space="preserve">as a primary safety indicator. To support this, the facility could introduce a rule that illuminated warning lights automatically trigger a stop and investigation, regardless of other readings. The lights </w:t>
      </w:r>
      <w:r>
        <w:t>could be upgraded to include a short text display stating</w:t>
      </w:r>
      <w:r w:rsidRPr="00E87471">
        <w:t xml:space="preserve"> the reason for activation, such as “Source exposed” or “System fault.” This would reduce ambiguity and help operators interpret the information correctly.</w:t>
      </w:r>
    </w:p>
    <w:p w14:paraId="614642C3" w14:textId="77777777" w:rsidR="00BF151D" w:rsidRPr="00E87471" w:rsidRDefault="00BF151D" w:rsidP="00BF151D">
      <w:r w:rsidRPr="00E87471">
        <w:t>Human factors and operator training (SAP HF.3): Operators should be taught how confirmation</w:t>
      </w:r>
      <w:r>
        <w:t xml:space="preserve"> </w:t>
      </w:r>
      <w:r w:rsidRPr="00E87471">
        <w:t>and automation biases influence judgement, especially when information is inconsistent. A simple solution would be to introduce scenario</w:t>
      </w:r>
      <w:r w:rsidRPr="00E87471">
        <w:noBreakHyphen/>
        <w:t>based exercises where operators must respond to conflicting indicators. Procedures should also require operators to challenge any mismatch between safety signals and to escalate the situation immediately. This would help minimise human error and support SAP HF.3.</w:t>
      </w:r>
    </w:p>
    <w:p w14:paraId="5F7C0C61" w14:textId="77777777" w:rsidR="00BF151D" w:rsidRDefault="00BF151D" w:rsidP="00BF151D">
      <w:r w:rsidRPr="00E87471">
        <w:t>Strengthening defence in depth (SAP HF. 3): The overall safety system should be reviewed to ensure</w:t>
      </w:r>
      <w:r>
        <w:rPr>
          <w:b/>
          <w:bCs/>
        </w:rPr>
        <w:t xml:space="preserve"> </w:t>
      </w:r>
      <w:r w:rsidRPr="00E87471">
        <w:t>no single failure can lead directly to harm. One practical solution is to introduce a pre</w:t>
      </w:r>
      <w:r w:rsidRPr="00E87471">
        <w:noBreakHyphen/>
        <w:t xml:space="preserve">entry checklist that requires confirmation of source position, warning light status, and radiation monitor readings. </w:t>
      </w:r>
      <w:r>
        <w:t>Two people should sign the checklist</w:t>
      </w:r>
      <w:r w:rsidRPr="00E87471">
        <w:t xml:space="preserve"> to provide an independent verification step. This would add another protective layer and reduce the chance of a single error leading to exposure.</w:t>
      </w:r>
    </w:p>
    <w:p w14:paraId="3F8427CF" w14:textId="0D034EB1" w:rsidR="00A51FB6" w:rsidRDefault="00A51FB6" w:rsidP="00BF151D">
      <w:r w:rsidRPr="00A51FB6">
        <w:lastRenderedPageBreak/>
        <w:t>These improvements address the ALARP principles of engineering controls, procedural controls, organisational factors, and enhanced training, ensuring that both the likelihood and consequences of similar events are reduced as far as reasonably practicable.</w:t>
      </w:r>
    </w:p>
    <w:p w14:paraId="071D0358" w14:textId="77777777" w:rsidR="00FE4B99" w:rsidRDefault="00FE4B99" w:rsidP="00BF151D"/>
    <w:p w14:paraId="069AD718" w14:textId="77777777" w:rsidR="00FE4B99" w:rsidRDefault="00FE4B99" w:rsidP="00BF151D"/>
    <w:p w14:paraId="4687F291" w14:textId="77777777" w:rsidR="00FE4B99" w:rsidRDefault="00FE4B99" w:rsidP="00BF151D"/>
    <w:p w14:paraId="45990735" w14:textId="77777777" w:rsidR="00FE4B99" w:rsidRDefault="00FE4B99" w:rsidP="00BF151D"/>
    <w:p w14:paraId="3E9E0B47" w14:textId="77777777" w:rsidR="00FE4B99" w:rsidRDefault="00FE4B99" w:rsidP="00BF151D"/>
    <w:p w14:paraId="3DE83E6A" w14:textId="77777777" w:rsidR="00FE4B99" w:rsidRDefault="00FE4B99" w:rsidP="00BF151D"/>
    <w:p w14:paraId="5FD22A08" w14:textId="77777777" w:rsidR="00FE4B99" w:rsidRDefault="00FE4B99" w:rsidP="00BF151D"/>
    <w:p w14:paraId="62CC2997" w14:textId="77777777" w:rsidR="00FE4B99" w:rsidRDefault="00FE4B99" w:rsidP="00BF151D"/>
    <w:p w14:paraId="72AE3E4C" w14:textId="77777777" w:rsidR="00FE4B99" w:rsidRDefault="00FE4B99" w:rsidP="00BF151D"/>
    <w:p w14:paraId="76AB4483" w14:textId="77777777" w:rsidR="00FE4B99" w:rsidRDefault="00FE4B99" w:rsidP="00BF151D"/>
    <w:p w14:paraId="15BE24DC" w14:textId="77777777" w:rsidR="00FE4B99" w:rsidRDefault="00FE4B99" w:rsidP="00BF151D"/>
    <w:p w14:paraId="5F58AE7A" w14:textId="77777777" w:rsidR="00FE4B99" w:rsidRDefault="00FE4B99" w:rsidP="00BF151D"/>
    <w:p w14:paraId="717D78A3" w14:textId="77777777" w:rsidR="00FE4B99" w:rsidRDefault="00FE4B99" w:rsidP="00BF151D"/>
    <w:p w14:paraId="0E7D19CA" w14:textId="77777777" w:rsidR="00FE4B99" w:rsidRDefault="00FE4B99" w:rsidP="00BF151D"/>
    <w:p w14:paraId="2490EB65" w14:textId="77777777" w:rsidR="00FE4B99" w:rsidRDefault="00FE4B99" w:rsidP="00BF151D"/>
    <w:p w14:paraId="2A2E66DB" w14:textId="77777777" w:rsidR="00FE4B99" w:rsidRDefault="00FE4B99" w:rsidP="00BF151D"/>
    <w:p w14:paraId="2F053259" w14:textId="77777777" w:rsidR="00FE4B99" w:rsidRDefault="00FE4B99" w:rsidP="00BF151D"/>
    <w:p w14:paraId="0E917234" w14:textId="77777777" w:rsidR="00FE4B99" w:rsidRDefault="00FE4B99" w:rsidP="00BF151D"/>
    <w:p w14:paraId="597AC402" w14:textId="77777777" w:rsidR="00FE4B99" w:rsidRDefault="00FE4B99" w:rsidP="00BF151D"/>
    <w:p w14:paraId="74D2B531" w14:textId="77777777" w:rsidR="00FE4B99" w:rsidRDefault="00FE4B99" w:rsidP="00BF151D"/>
    <w:p w14:paraId="3072A377" w14:textId="77777777" w:rsidR="00FE4B99" w:rsidRDefault="00FE4B99" w:rsidP="00BF151D"/>
    <w:p w14:paraId="5042A610" w14:textId="77777777" w:rsidR="00FE4B99" w:rsidRPr="00E87471" w:rsidRDefault="00FE4B99" w:rsidP="00BF151D"/>
    <w:p w14:paraId="46393800" w14:textId="7CDEC7B3" w:rsidR="001C55D7" w:rsidRDefault="00C63E62" w:rsidP="00C63E62">
      <w:pPr>
        <w:pStyle w:val="Heading1"/>
      </w:pPr>
      <w:bookmarkStart w:id="10" w:name="_Toc239411734"/>
      <w:r>
        <w:lastRenderedPageBreak/>
        <w:t>Conclusion</w:t>
      </w:r>
      <w:bookmarkEnd w:id="10"/>
    </w:p>
    <w:p w14:paraId="26D66281" w14:textId="77777777" w:rsidR="006726AD" w:rsidRPr="00D8160B" w:rsidRDefault="006726AD" w:rsidP="006726AD">
      <w:r w:rsidRPr="00D8160B">
        <w:t xml:space="preserve">The reconstruction shows that the technician received a significant radiation dose because several safety barriers failed </w:t>
      </w:r>
      <w:r>
        <w:t>simultaneously</w:t>
      </w:r>
      <w:r w:rsidRPr="00D8160B">
        <w:t>. The source was not fully submerged</w:t>
      </w:r>
      <w:r>
        <w:t>; the engineering controls did not detect the fault;</w:t>
      </w:r>
      <w:r w:rsidRPr="00D8160B">
        <w:t xml:space="preserve"> and the entry system allowed access even though the warning lights were illuminated. The maze shielding hid the hazard at the entrance, and the supervisor relied on information that appeared normal but did not represent the conditions inside the chamber. Human factors, especially confirmation bias and automation bias, shaped how </w:t>
      </w:r>
      <w:r>
        <w:t>they interpreted the conflicting indicators</w:t>
      </w:r>
      <w:r w:rsidRPr="00D8160B">
        <w:t>.</w:t>
      </w:r>
    </w:p>
    <w:p w14:paraId="098DB6CC" w14:textId="77777777" w:rsidR="006726AD" w:rsidRPr="00D8160B" w:rsidRDefault="006726AD" w:rsidP="006726AD">
      <w:r w:rsidRPr="00D8160B">
        <w:t>The incident makes it clear that key requirements in IRR17 and the ONR Safety Assessment Principles were not met. The engineering controls did not fail to a safe state, the defence in depth was weak, and the safety information was inconsistent. The interlocks did not restrict access when the source was exposed.</w:t>
      </w:r>
    </w:p>
    <w:p w14:paraId="1CAA71F9" w14:textId="77777777" w:rsidR="006726AD" w:rsidRPr="00D8160B" w:rsidRDefault="006726AD" w:rsidP="006726AD">
      <w:r w:rsidRPr="00D8160B">
        <w:t xml:space="preserve">The recommended improvements address these gaps by strengthening the engineering controls, improving the entry system, clarifying safety information, and reducing the influence of human error. With these changes in place, the facility would </w:t>
      </w:r>
      <w:r>
        <w:t xml:space="preserve">better align with regulatory expectations and be </w:t>
      </w:r>
      <w:r w:rsidRPr="00D8160B">
        <w:t>more resilient against similar incidents in the future.</w:t>
      </w:r>
    </w:p>
    <w:p w14:paraId="5C366BE4" w14:textId="77777777" w:rsidR="00C63E62" w:rsidRPr="00C63E62" w:rsidRDefault="00C63E62" w:rsidP="00C63E62"/>
    <w:p w14:paraId="6F7A6060" w14:textId="77777777" w:rsidR="005264A0" w:rsidRDefault="005264A0" w:rsidP="005264A0"/>
    <w:p w14:paraId="0060196B" w14:textId="77777777" w:rsidR="005264A0" w:rsidRDefault="005264A0" w:rsidP="005264A0"/>
    <w:p w14:paraId="1E88E76E" w14:textId="77777777" w:rsidR="005264A0" w:rsidRDefault="005264A0" w:rsidP="005264A0"/>
    <w:p w14:paraId="2F3533D2" w14:textId="77777777" w:rsidR="005264A0" w:rsidRDefault="005264A0" w:rsidP="005264A0"/>
    <w:p w14:paraId="7393FF48" w14:textId="77777777" w:rsidR="005264A0" w:rsidRDefault="005264A0" w:rsidP="005264A0"/>
    <w:p w14:paraId="3C77F7FC" w14:textId="77777777" w:rsidR="005264A0" w:rsidRDefault="005264A0" w:rsidP="005264A0"/>
    <w:p w14:paraId="534EDDA3" w14:textId="77777777" w:rsidR="005264A0" w:rsidRDefault="005264A0" w:rsidP="005264A0"/>
    <w:p w14:paraId="566E3649" w14:textId="77777777" w:rsidR="001314AD" w:rsidRDefault="001314AD" w:rsidP="005264A0"/>
    <w:p w14:paraId="02156116" w14:textId="77777777" w:rsidR="001314AD" w:rsidRDefault="001314AD" w:rsidP="005264A0"/>
    <w:p w14:paraId="7AE18670" w14:textId="77777777" w:rsidR="001314AD" w:rsidRDefault="001314AD" w:rsidP="005264A0"/>
    <w:p w14:paraId="0893B418" w14:textId="5A9C650B" w:rsidR="005264A0" w:rsidRDefault="00675D18" w:rsidP="00675D18">
      <w:pPr>
        <w:pStyle w:val="Heading1"/>
      </w:pPr>
      <w:bookmarkStart w:id="11" w:name="_Toc239411735"/>
      <w:r>
        <w:lastRenderedPageBreak/>
        <w:t>References</w:t>
      </w:r>
      <w:bookmarkEnd w:id="11"/>
    </w:p>
    <w:p w14:paraId="3B1825FF" w14:textId="77777777" w:rsidR="00EB09E3" w:rsidRPr="00EB09E3" w:rsidRDefault="00EB09E3" w:rsidP="00EB09E3">
      <w:r w:rsidRPr="00EB09E3">
        <w:rPr>
          <w:b/>
          <w:bCs/>
        </w:rPr>
        <w:t>UK Government (2017)</w:t>
      </w:r>
      <w:r w:rsidRPr="00EB09E3">
        <w:t xml:space="preserve"> </w:t>
      </w:r>
      <w:r w:rsidRPr="00EB09E3">
        <w:rPr>
          <w:i/>
          <w:iCs/>
        </w:rPr>
        <w:t>Ionising Radiations Regulations 2017</w:t>
      </w:r>
      <w:r w:rsidRPr="00EB09E3">
        <w:t xml:space="preserve">. Available at: </w:t>
      </w:r>
      <w:hyperlink r:id="rId5" w:tgtFrame="_blank" w:tooltip="www.legislation.gov.uk" w:history="1">
        <w:r w:rsidRPr="00EB09E3">
          <w:rPr>
            <w:rStyle w:val="Hyperlink"/>
          </w:rPr>
          <w:t>https://www.legislation.gov.uk/uksi/2017/1075/contents</w:t>
        </w:r>
      </w:hyperlink>
      <w:r w:rsidRPr="00EB09E3">
        <w:t xml:space="preserve"> (Accessed: 4 September 2026).</w:t>
      </w:r>
    </w:p>
    <w:p w14:paraId="28767EB5" w14:textId="77777777" w:rsidR="00EB09E3" w:rsidRPr="00EB09E3" w:rsidRDefault="00EB09E3" w:rsidP="00EB09E3">
      <w:r w:rsidRPr="00EB09E3">
        <w:rPr>
          <w:b/>
          <w:bCs/>
        </w:rPr>
        <w:t>UK Government (2017)</w:t>
      </w:r>
      <w:r w:rsidRPr="00EB09E3">
        <w:t xml:space="preserve"> </w:t>
      </w:r>
      <w:r w:rsidRPr="00EB09E3">
        <w:rPr>
          <w:i/>
          <w:iCs/>
        </w:rPr>
        <w:t>IRR17 Regulation 8 – Restriction of exposure</w:t>
      </w:r>
      <w:r w:rsidRPr="00EB09E3">
        <w:t xml:space="preserve">. Available at: </w:t>
      </w:r>
      <w:hyperlink r:id="rId6" w:tgtFrame="_blank" w:tooltip="www.legislation.gov.uk" w:history="1">
        <w:r w:rsidRPr="00EB09E3">
          <w:rPr>
            <w:rStyle w:val="Hyperlink"/>
          </w:rPr>
          <w:t>https://www.legislation.gov.uk/uksi/2017/1075/regulation/8</w:t>
        </w:r>
      </w:hyperlink>
      <w:r w:rsidRPr="00EB09E3">
        <w:t xml:space="preserve"> (Accessed: 4 September 2026).</w:t>
      </w:r>
    </w:p>
    <w:p w14:paraId="64E79BC6" w14:textId="77777777" w:rsidR="00EB09E3" w:rsidRPr="00EB09E3" w:rsidRDefault="00EB09E3" w:rsidP="00EB09E3">
      <w:r w:rsidRPr="00EB09E3">
        <w:rPr>
          <w:b/>
          <w:bCs/>
        </w:rPr>
        <w:t>UK Government (2017)</w:t>
      </w:r>
      <w:r w:rsidRPr="00EB09E3">
        <w:t xml:space="preserve"> </w:t>
      </w:r>
      <w:r w:rsidRPr="00EB09E3">
        <w:rPr>
          <w:i/>
          <w:iCs/>
        </w:rPr>
        <w:t>IRR17 Regulation 9 – Engineering controls</w:t>
      </w:r>
      <w:r w:rsidRPr="00EB09E3">
        <w:t xml:space="preserve">. Available at: </w:t>
      </w:r>
      <w:hyperlink r:id="rId7" w:tgtFrame="_blank" w:tooltip="www.legislation.gov.uk" w:history="1">
        <w:r w:rsidRPr="00EB09E3">
          <w:rPr>
            <w:rStyle w:val="Hyperlink"/>
          </w:rPr>
          <w:t>https://www.legislation.gov.uk/uksi/2017/1075/regulation/9</w:t>
        </w:r>
      </w:hyperlink>
      <w:r w:rsidRPr="00EB09E3">
        <w:t xml:space="preserve"> (Accessed: 4 September 2026).</w:t>
      </w:r>
    </w:p>
    <w:p w14:paraId="244FF9B6" w14:textId="77777777" w:rsidR="00EB09E3" w:rsidRPr="00EB09E3" w:rsidRDefault="00EB09E3" w:rsidP="00EB09E3">
      <w:r w:rsidRPr="00EB09E3">
        <w:rPr>
          <w:b/>
          <w:bCs/>
        </w:rPr>
        <w:t>UK Government (2017)</w:t>
      </w:r>
      <w:r w:rsidRPr="00EB09E3">
        <w:t xml:space="preserve"> </w:t>
      </w:r>
      <w:r w:rsidRPr="00EB09E3">
        <w:rPr>
          <w:i/>
          <w:iCs/>
        </w:rPr>
        <w:t>IRR17 Schedule 3 – Designated areas and engineering controls</w:t>
      </w:r>
      <w:r w:rsidRPr="00EB09E3">
        <w:t xml:space="preserve">. Available at: </w:t>
      </w:r>
      <w:hyperlink r:id="rId8" w:tgtFrame="_blank" w:tooltip="www.legislation.gov.uk" w:history="1">
        <w:r w:rsidRPr="00EB09E3">
          <w:rPr>
            <w:rStyle w:val="Hyperlink"/>
          </w:rPr>
          <w:t>https://www.legislation.gov.uk/uksi/2017/1075/schedule/3</w:t>
        </w:r>
      </w:hyperlink>
      <w:r w:rsidRPr="00EB09E3">
        <w:t xml:space="preserve"> (Accessed: 4 September 2026).</w:t>
      </w:r>
    </w:p>
    <w:p w14:paraId="2B2B7B7B" w14:textId="77777777" w:rsidR="00EB09E3" w:rsidRPr="00EB09E3" w:rsidRDefault="00EB09E3" w:rsidP="00EB09E3">
      <w:r w:rsidRPr="00EB09E3">
        <w:rPr>
          <w:b/>
          <w:bCs/>
        </w:rPr>
        <w:t>ONR (2014)</w:t>
      </w:r>
      <w:r w:rsidRPr="00EB09E3">
        <w:t xml:space="preserve"> </w:t>
      </w:r>
      <w:r w:rsidRPr="00EB09E3">
        <w:rPr>
          <w:i/>
          <w:iCs/>
        </w:rPr>
        <w:t>Safety Assessment Principles for Nuclear Facilities</w:t>
      </w:r>
      <w:r w:rsidRPr="00EB09E3">
        <w:t xml:space="preserve">. Office for Nuclear Regulation. Available at: </w:t>
      </w:r>
      <w:hyperlink r:id="rId9" w:tgtFrame="_blank" w:tooltip="www.onr.org.uk" w:history="1">
        <w:r w:rsidRPr="00EB09E3">
          <w:rPr>
            <w:rStyle w:val="Hyperlink"/>
          </w:rPr>
          <w:t>https://www.onr.org.uk/saps/saps2014.pdf</w:t>
        </w:r>
      </w:hyperlink>
      <w:r w:rsidRPr="00EB09E3">
        <w:t xml:space="preserve"> (Accessed: 4 September 2026).</w:t>
      </w:r>
    </w:p>
    <w:p w14:paraId="3E2CF8A6" w14:textId="77777777" w:rsidR="00EB09E3" w:rsidRPr="00EB09E3" w:rsidRDefault="00EB09E3" w:rsidP="00EB09E3">
      <w:r w:rsidRPr="00EB09E3">
        <w:rPr>
          <w:b/>
          <w:bCs/>
        </w:rPr>
        <w:t>ICRP (2007)</w:t>
      </w:r>
      <w:r w:rsidRPr="00EB09E3">
        <w:t xml:space="preserve"> </w:t>
      </w:r>
      <w:r w:rsidRPr="00EB09E3">
        <w:rPr>
          <w:i/>
          <w:iCs/>
        </w:rPr>
        <w:t>The 2007 Recommendations of the International Commission on Radiological Protection</w:t>
      </w:r>
      <w:r w:rsidRPr="00EB09E3">
        <w:t>. ICRP Publication 103. Annals of the ICRP, 37(2–4). Oxford: Elsevier.</w:t>
      </w:r>
    </w:p>
    <w:p w14:paraId="0ED7DA33" w14:textId="77777777" w:rsidR="00675D18" w:rsidRDefault="00675D18" w:rsidP="00675D18"/>
    <w:p w14:paraId="6B7EF7D5" w14:textId="77777777" w:rsidR="002F28AF" w:rsidRDefault="002F28AF" w:rsidP="00675D18"/>
    <w:p w14:paraId="0F0B8EC7" w14:textId="77777777" w:rsidR="002F28AF" w:rsidRDefault="002F28AF" w:rsidP="00675D18"/>
    <w:p w14:paraId="16372FBB" w14:textId="77777777" w:rsidR="002F28AF" w:rsidRDefault="002F28AF" w:rsidP="00675D18"/>
    <w:p w14:paraId="451401ED" w14:textId="77777777" w:rsidR="002F28AF" w:rsidRDefault="002F28AF" w:rsidP="00675D18"/>
    <w:p w14:paraId="6C835E04" w14:textId="77777777" w:rsidR="002F28AF" w:rsidRDefault="002F28AF" w:rsidP="00675D18"/>
    <w:p w14:paraId="45883F81" w14:textId="77777777" w:rsidR="002F28AF" w:rsidRDefault="002F28AF" w:rsidP="00675D18"/>
    <w:p w14:paraId="6D178D53" w14:textId="77777777" w:rsidR="002F28AF" w:rsidRDefault="002F28AF" w:rsidP="00675D18"/>
    <w:p w14:paraId="77F934F1" w14:textId="77777777" w:rsidR="002F28AF" w:rsidRDefault="002F28AF" w:rsidP="00675D18"/>
    <w:p w14:paraId="40713A08" w14:textId="77777777" w:rsidR="002F28AF" w:rsidRDefault="002F28AF" w:rsidP="00675D18"/>
    <w:p w14:paraId="5E9043C9" w14:textId="77777777" w:rsidR="00F90BA8" w:rsidRDefault="00F90BA8" w:rsidP="00894649">
      <w:pPr>
        <w:pStyle w:val="Heading1"/>
      </w:pPr>
    </w:p>
    <w:p w14:paraId="7D1E2AD6" w14:textId="77777777" w:rsidR="002F28AF" w:rsidRPr="002F28AF" w:rsidRDefault="002F28AF" w:rsidP="002F28AF"/>
    <w:p w14:paraId="7805A5D7" w14:textId="52493C04" w:rsidR="00894649" w:rsidRDefault="00894649" w:rsidP="00894649">
      <w:pPr>
        <w:pStyle w:val="Heading1"/>
      </w:pPr>
      <w:bookmarkStart w:id="12" w:name="_Toc239411736"/>
      <w:r>
        <w:lastRenderedPageBreak/>
        <w:t>Annex A</w:t>
      </w:r>
      <w:bookmarkEnd w:id="12"/>
    </w:p>
    <w:p w14:paraId="7892D1C6" w14:textId="2EFA66CE" w:rsidR="00894649" w:rsidRPr="00FD377E" w:rsidRDefault="00894649" w:rsidP="00894649">
      <w:pPr>
        <w:pStyle w:val="Heading2"/>
        <w:rPr>
          <w:sz w:val="28"/>
          <w:szCs w:val="28"/>
        </w:rPr>
      </w:pPr>
      <w:bookmarkStart w:id="13" w:name="_Toc239411737"/>
      <w:r w:rsidRPr="00FD377E">
        <w:rPr>
          <w:sz w:val="28"/>
          <w:szCs w:val="28"/>
        </w:rPr>
        <w:t>Activity Decay Calculation</w:t>
      </w:r>
      <w:bookmarkEnd w:id="13"/>
    </w:p>
    <w:p w14:paraId="4276CE1E" w14:textId="6D64E38B" w:rsidR="00894649" w:rsidRPr="00894649" w:rsidRDefault="00894649" w:rsidP="00894649">
      <m:oMathPara>
        <m:oMath>
          <m:r>
            <w:rPr>
              <w:rFonts w:ascii="Cambria Math" w:hAnsi="Cambria Math"/>
            </w:rPr>
            <m:t>A=</m:t>
          </m:r>
          <m:sSub>
            <m:sSubPr>
              <m:ctrlPr>
                <w:rPr>
                  <w:rFonts w:ascii="Cambria Math" w:hAnsi="Cambria Math"/>
                </w:rPr>
              </m:ctrlPr>
            </m:sSubPr>
            <m:e>
              <m:r>
                <w:rPr>
                  <w:rFonts w:ascii="Cambria Math" w:hAnsi="Cambria Math"/>
                </w:rPr>
                <m:t>A</m:t>
              </m:r>
            </m:e>
            <m:sub>
              <m:r>
                <w:rPr>
                  <w:rFonts w:ascii="Cambria Math" w:hAnsi="Cambria Math"/>
                </w:rPr>
                <m:t>0</m:t>
              </m:r>
            </m:sub>
          </m:sSub>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1</m:t>
                      </m:r>
                    </m:num>
                    <m:den>
                      <m:r>
                        <w:rPr>
                          <w:rFonts w:ascii="Cambria Math" w:hAnsi="Cambria Math"/>
                        </w:rPr>
                        <m:t>2</m:t>
                      </m:r>
                    </m:den>
                  </m:f>
                </m:e>
              </m:d>
            </m:e>
            <m:sup>
              <m:r>
                <w:rPr>
                  <w:rFonts w:ascii="Cambria Math" w:hAnsi="Cambria Math"/>
                </w:rPr>
                <m:t>t</m:t>
              </m:r>
              <m:r>
                <m:rPr>
                  <m:sty m:val="p"/>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1</m:t>
                  </m:r>
                  <m:r>
                    <m:rPr>
                      <m:sty m:val="p"/>
                    </m:rPr>
                    <w:rPr>
                      <w:rFonts w:ascii="Cambria Math" w:hAnsi="Cambria Math"/>
                    </w:rPr>
                    <m:t>/</m:t>
                  </m:r>
                  <m:r>
                    <w:rPr>
                      <w:rFonts w:ascii="Cambria Math" w:hAnsi="Cambria Math"/>
                    </w:rPr>
                    <m:t>2</m:t>
                  </m:r>
                </m:sub>
              </m:sSub>
            </m:sup>
          </m:sSup>
        </m:oMath>
      </m:oMathPara>
    </w:p>
    <w:p w14:paraId="777D2FCD" w14:textId="77777777" w:rsidR="00894649" w:rsidRDefault="00894649" w:rsidP="00894649">
      <w:r w:rsidRPr="00894649">
        <w:t>Where:</w:t>
      </w:r>
    </w:p>
    <w:p w14:paraId="4204C96D" w14:textId="0DED2F1A" w:rsidR="00894649" w:rsidRDefault="00894649" w:rsidP="00894649">
      <w:pPr>
        <w:rPr>
          <w:rFonts w:eastAsiaTheme="minorEastAsia"/>
        </w:rPr>
      </w:pPr>
      <w:r w:rsidRPr="00894649">
        <w:t xml:space="preserve"> </w:t>
      </w:r>
      <m:oMath>
        <m:sSub>
          <m:sSubPr>
            <m:ctrlPr>
              <w:rPr>
                <w:rFonts w:ascii="Cambria Math" w:hAnsi="Cambria Math"/>
              </w:rPr>
            </m:ctrlPr>
          </m:sSubPr>
          <m:e>
            <m:r>
              <w:rPr>
                <w:rFonts w:ascii="Cambria Math" w:hAnsi="Cambria Math"/>
              </w:rPr>
              <m:t>A</m:t>
            </m:r>
          </m:e>
          <m:sub>
            <m:r>
              <w:rPr>
                <w:rFonts w:ascii="Cambria Math" w:hAnsi="Cambria Math"/>
              </w:rPr>
              <m:t>0</m:t>
            </m:r>
          </m:sub>
        </m:sSub>
        <m:r>
          <w:rPr>
            <w:rFonts w:ascii="Cambria Math" w:hAnsi="Cambria Math"/>
          </w:rPr>
          <m:t>=12.0</m:t>
        </m:r>
        <m:r>
          <m:rPr>
            <m:nor/>
          </m:rPr>
          <m:t> PBq</m:t>
        </m:r>
      </m:oMath>
      <w:r>
        <w:rPr>
          <w:rFonts w:eastAsiaTheme="minorEastAsia"/>
        </w:rPr>
        <w:t xml:space="preserve"> </w:t>
      </w:r>
    </w:p>
    <w:p w14:paraId="77061B4F" w14:textId="2A1D27AA" w:rsidR="00894649" w:rsidRPr="00894649" w:rsidRDefault="00AB08E7" w:rsidP="00894649">
      <w:pPr>
        <w:rPr>
          <w:rFonts w:eastAsiaTheme="minorEastAsia"/>
        </w:rPr>
      </w:pPr>
      <m:oMath>
        <m:sSub>
          <m:sSubPr>
            <m:ctrlPr>
              <w:rPr>
                <w:rFonts w:ascii="Cambria Math" w:hAnsi="Cambria Math"/>
              </w:rPr>
            </m:ctrlPr>
          </m:sSubPr>
          <m:e>
            <m:r>
              <w:rPr>
                <w:rFonts w:ascii="Cambria Math" w:hAnsi="Cambria Math"/>
              </w:rPr>
              <m:t>T</m:t>
            </m:r>
          </m:e>
          <m:sub>
            <m:r>
              <w:rPr>
                <w:rFonts w:ascii="Cambria Math" w:hAnsi="Cambria Math"/>
              </w:rPr>
              <m:t>1</m:t>
            </m:r>
            <m:r>
              <m:rPr>
                <m:sty m:val="p"/>
              </m:rPr>
              <w:rPr>
                <w:rFonts w:ascii="Cambria Math" w:hAnsi="Cambria Math"/>
              </w:rPr>
              <m:t>/</m:t>
            </m:r>
            <m:r>
              <w:rPr>
                <w:rFonts w:ascii="Cambria Math" w:hAnsi="Cambria Math"/>
              </w:rPr>
              <m:t>2</m:t>
            </m:r>
          </m:sub>
        </m:sSub>
        <m:r>
          <w:rPr>
            <w:rFonts w:ascii="Cambria Math" w:hAnsi="Cambria Math"/>
          </w:rPr>
          <m:t>=5.27</m:t>
        </m:r>
        <m:r>
          <m:rPr>
            <m:nor/>
          </m:rPr>
          <m:t> years</m:t>
        </m:r>
      </m:oMath>
      <w:r w:rsidR="00894649">
        <w:rPr>
          <w:rFonts w:eastAsiaTheme="minorEastAsia"/>
        </w:rPr>
        <w:t xml:space="preserve"> </w:t>
      </w:r>
    </w:p>
    <w:p w14:paraId="2B2FD06A" w14:textId="07E429AB" w:rsidR="00894649" w:rsidRPr="00894649" w:rsidRDefault="00894649" w:rsidP="00894649">
      <w:pPr>
        <w:rPr>
          <w:rFonts w:eastAsiaTheme="minorEastAsia"/>
        </w:rPr>
      </w:pPr>
      <m:oMath>
        <m:r>
          <w:rPr>
            <w:rFonts w:ascii="Cambria Math" w:hAnsi="Cambria Math"/>
          </w:rPr>
          <m:t>t=6.83</m:t>
        </m:r>
        <m:r>
          <m:rPr>
            <m:nor/>
          </m:rPr>
          <m:t> years</m:t>
        </m:r>
      </m:oMath>
      <w:r>
        <w:rPr>
          <w:rFonts w:eastAsiaTheme="minorEastAsia"/>
        </w:rPr>
        <w:t xml:space="preserve"> (15</w:t>
      </w:r>
      <w:r w:rsidRPr="00894649">
        <w:rPr>
          <w:rFonts w:eastAsiaTheme="minorEastAsia"/>
          <w:vertAlign w:val="superscript"/>
        </w:rPr>
        <w:t>th</w:t>
      </w:r>
      <w:r>
        <w:rPr>
          <w:rFonts w:eastAsiaTheme="minorEastAsia"/>
        </w:rPr>
        <w:t xml:space="preserve"> February 2018 – 6</w:t>
      </w:r>
      <w:r w:rsidRPr="00894649">
        <w:rPr>
          <w:rFonts w:eastAsiaTheme="minorEastAsia"/>
          <w:vertAlign w:val="superscript"/>
        </w:rPr>
        <w:t>th</w:t>
      </w:r>
      <w:r>
        <w:rPr>
          <w:rFonts w:eastAsiaTheme="minorEastAsia"/>
        </w:rPr>
        <w:t xml:space="preserve"> December 2024)</w:t>
      </w:r>
    </w:p>
    <w:p w14:paraId="1BB2D106" w14:textId="49DECCD5" w:rsidR="00894649" w:rsidRPr="00AD7D7F" w:rsidRDefault="00894649" w:rsidP="00894649">
      <w:pPr>
        <w:rPr>
          <w:rFonts w:eastAsiaTheme="minorEastAsia"/>
        </w:rPr>
      </w:pPr>
      <m:oMathPara>
        <m:oMath>
          <m:r>
            <w:rPr>
              <w:rFonts w:ascii="Cambria Math" w:hAnsi="Cambria Math"/>
            </w:rPr>
            <m:t>A=12.0</m:t>
          </m:r>
          <m:r>
            <m:rPr>
              <m:nor/>
            </m:rPr>
            <m:t> PBq</m:t>
          </m:r>
          <m:r>
            <w:rPr>
              <w:rFonts w:ascii="Cambria Math" w:hAnsi="Cambria Math"/>
            </w:rPr>
            <m:t>×(0.5</m:t>
          </m:r>
          <m:sSup>
            <m:sSupPr>
              <m:ctrlPr>
                <w:rPr>
                  <w:rFonts w:ascii="Cambria Math" w:hAnsi="Cambria Math"/>
                </w:rPr>
              </m:ctrlPr>
            </m:sSupPr>
            <m:e>
              <m:r>
                <w:rPr>
                  <w:rFonts w:ascii="Cambria Math" w:hAnsi="Cambria Math"/>
                </w:rPr>
                <m:t>)</m:t>
              </m:r>
            </m:e>
            <m:sup>
              <m:r>
                <w:rPr>
                  <w:rFonts w:ascii="Cambria Math" w:hAnsi="Cambria Math"/>
                </w:rPr>
                <m:t>6.83</m:t>
              </m:r>
              <m:r>
                <m:rPr>
                  <m:sty m:val="p"/>
                </m:rPr>
                <w:rPr>
                  <w:rFonts w:ascii="Cambria Math" w:hAnsi="Cambria Math"/>
                </w:rPr>
                <m:t>/</m:t>
              </m:r>
              <m:r>
                <w:rPr>
                  <w:rFonts w:ascii="Cambria Math" w:hAnsi="Cambria Math"/>
                </w:rPr>
                <m:t>5.27</m:t>
              </m:r>
            </m:sup>
          </m:sSup>
          <m:r>
            <w:rPr>
              <w:rFonts w:ascii="Cambria Math" w:hAnsi="Cambria Math"/>
            </w:rPr>
            <m:t>≈4.9</m:t>
          </m:r>
          <m:r>
            <m:rPr>
              <m:nor/>
            </m:rPr>
            <m:t> PBq</m:t>
          </m:r>
        </m:oMath>
      </m:oMathPara>
    </w:p>
    <w:p w14:paraId="7E1EC33B" w14:textId="77777777" w:rsidR="00AD7D7F" w:rsidRPr="00894649" w:rsidRDefault="00AD7D7F" w:rsidP="00894649"/>
    <w:p w14:paraId="4DFC3227" w14:textId="1E268A98" w:rsidR="00894649" w:rsidRPr="00FD377E" w:rsidRDefault="00C32C49" w:rsidP="00C32C49">
      <w:pPr>
        <w:pStyle w:val="Heading2"/>
        <w:rPr>
          <w:sz w:val="28"/>
          <w:szCs w:val="28"/>
        </w:rPr>
      </w:pPr>
      <w:bookmarkStart w:id="14" w:name="_Toc239411738"/>
      <w:r w:rsidRPr="00FD377E">
        <w:rPr>
          <w:sz w:val="28"/>
          <w:szCs w:val="28"/>
        </w:rPr>
        <w:t>Unshielded Dose Rate</w:t>
      </w:r>
      <w:bookmarkEnd w:id="14"/>
    </w:p>
    <w:p w14:paraId="1BF6BF96" w14:textId="21554595" w:rsidR="00C32C49" w:rsidRPr="00C32C49" w:rsidRDefault="00C32C49" w:rsidP="00C32C49">
      <w:r w:rsidRPr="00C32C49">
        <w:t>For Co</w:t>
      </w:r>
      <w:r w:rsidRPr="00C32C49">
        <w:noBreakHyphen/>
        <w:t>60:</w:t>
      </w:r>
      <w:r w:rsidR="00AA1E24">
        <w:t xml:space="preserve"> </w:t>
      </w:r>
    </w:p>
    <w:p w14:paraId="64209B3B" w14:textId="05794C6A" w:rsidR="00C32C49" w:rsidRPr="00C32C49" w:rsidRDefault="00C32C49" w:rsidP="00C32C49">
      <w:pPr>
        <w:numPr>
          <w:ilvl w:val="0"/>
          <w:numId w:val="1"/>
        </w:numPr>
      </w:pPr>
      <w:r w:rsidRPr="00C32C49">
        <w:t xml:space="preserve">Gamma constant </w:t>
      </w:r>
      <m:oMath>
        <m:r>
          <m:rPr>
            <m:sty m:val="p"/>
          </m:rPr>
          <w:rPr>
            <w:rFonts w:ascii="Cambria Math" w:hAnsi="Cambria Math"/>
          </w:rPr>
          <m:t>Γ</m:t>
        </m:r>
        <m:r>
          <w:rPr>
            <w:rFonts w:ascii="Cambria Math" w:hAnsi="Cambria Math"/>
          </w:rPr>
          <m:t>≈0.35</m:t>
        </m:r>
        <m:r>
          <m:rPr>
            <m:sty m:val="p"/>
          </m:rPr>
          <w:rPr>
            <w:rFonts w:ascii="Cambria Math" w:hAnsi="Cambria Math"/>
          </w:rPr>
          <m:t> </m:t>
        </m:r>
        <m:r>
          <m:rPr>
            <m:nor/>
          </m:rPr>
          <m:t>mSv.m². h</m:t>
        </m:r>
        <m:r>
          <m:rPr>
            <m:nor/>
          </m:rPr>
          <w:rPr>
            <w:rFonts w:ascii="Cambria Math" w:hAnsi="Cambria Math" w:cs="Cambria Math"/>
          </w:rPr>
          <m:t>⁻</m:t>
        </m:r>
        <m:r>
          <m:rPr>
            <m:nor/>
          </m:rPr>
          <w:rPr>
            <w:rFonts w:ascii="Aptos" w:hAnsi="Aptos" w:cs="Aptos"/>
          </w:rPr>
          <m:t>¹</m:t>
        </m:r>
        <m:r>
          <m:rPr>
            <m:nor/>
          </m:rPr>
          <m:t>.GBq</m:t>
        </m:r>
        <m:r>
          <m:rPr>
            <m:nor/>
          </m:rPr>
          <w:rPr>
            <w:rFonts w:ascii="Cambria Math" w:hAnsi="Cambria Math" w:cs="Cambria Math"/>
          </w:rPr>
          <m:t>⁻</m:t>
        </m:r>
        <m:r>
          <m:rPr>
            <m:nor/>
          </m:rPr>
          <w:rPr>
            <w:rFonts w:ascii="Aptos" w:hAnsi="Aptos" w:cs="Aptos"/>
          </w:rPr>
          <m:t>¹</m:t>
        </m:r>
      </m:oMath>
      <w:r w:rsidR="00AA1E24">
        <w:rPr>
          <w:rFonts w:eastAsiaTheme="minorEastAsia"/>
        </w:rPr>
        <w:t xml:space="preserve"> </w:t>
      </w:r>
      <w:r w:rsidR="0096666A">
        <w:rPr>
          <w:vertAlign w:val="superscript"/>
        </w:rPr>
        <w:t>Units</w:t>
      </w:r>
      <w:r w:rsidR="00AA1E24" w:rsidRPr="00AA1E24">
        <w:rPr>
          <w:vertAlign w:val="superscript"/>
        </w:rPr>
        <w:t xml:space="preserve"> of the gamma constant indicate dose rate per </w:t>
      </w:r>
      <w:proofErr w:type="spellStart"/>
      <w:r w:rsidR="00AA1E24" w:rsidRPr="00AA1E24">
        <w:rPr>
          <w:vertAlign w:val="superscript"/>
        </w:rPr>
        <w:t>GBq</w:t>
      </w:r>
      <w:proofErr w:type="spellEnd"/>
      <w:r w:rsidR="00AA1E24" w:rsidRPr="00AA1E24">
        <w:rPr>
          <w:vertAlign w:val="superscript"/>
        </w:rPr>
        <w:t xml:space="preserve"> at 1 m, scaled by the inverse square law</w:t>
      </w:r>
    </w:p>
    <w:p w14:paraId="51F01A0C" w14:textId="6ACEFA09" w:rsidR="00C32C49" w:rsidRPr="00C32C49" w:rsidRDefault="00C32C49" w:rsidP="00C32C49">
      <w:pPr>
        <w:numPr>
          <w:ilvl w:val="0"/>
          <w:numId w:val="1"/>
        </w:numPr>
      </w:pPr>
      <w:r w:rsidRPr="00C32C49">
        <w:t xml:space="preserve">Activity on incident date: </w:t>
      </w:r>
      <m:oMath>
        <m:r>
          <w:rPr>
            <w:rFonts w:ascii="Cambria Math" w:hAnsi="Cambria Math"/>
          </w:rPr>
          <m:t>A≈4.9</m:t>
        </m:r>
        <m:r>
          <m:rPr>
            <m:nor/>
          </m:rPr>
          <m:t> PBq</m:t>
        </m:r>
        <m:r>
          <w:rPr>
            <w:rFonts w:ascii="Cambria Math" w:hAnsi="Cambria Math"/>
          </w:rPr>
          <m:t>=</m:t>
        </m:r>
        <m:r>
          <m:rPr>
            <m:sty m:val="p"/>
          </m:rPr>
          <w:rPr>
            <w:rFonts w:ascii="Cambria Math" w:hAnsi="Cambria Math"/>
          </w:rPr>
          <m:t>4,900,000</m:t>
        </m:r>
        <m:r>
          <m:rPr>
            <m:nor/>
          </m:rPr>
          <m:t> GBq</m:t>
        </m:r>
      </m:oMath>
    </w:p>
    <w:p w14:paraId="0324229E" w14:textId="505C84F7" w:rsidR="00C32C49" w:rsidRPr="00C32C49" w:rsidRDefault="00C32C49" w:rsidP="00C32C49">
      <w:pPr>
        <w:numPr>
          <w:ilvl w:val="0"/>
          <w:numId w:val="1"/>
        </w:numPr>
      </w:pPr>
      <w:r w:rsidRPr="00C32C49">
        <w:t xml:space="preserve">Distance: </w:t>
      </w:r>
      <m:oMath>
        <m:r>
          <w:rPr>
            <w:rFonts w:ascii="Cambria Math" w:hAnsi="Cambria Math"/>
          </w:rPr>
          <m:t>r=2</m:t>
        </m:r>
        <m:r>
          <m:rPr>
            <m:nor/>
          </m:rPr>
          <m:t> m</m:t>
        </m:r>
      </m:oMath>
    </w:p>
    <w:p w14:paraId="1C50BC3A" w14:textId="77777777" w:rsidR="00C32C49" w:rsidRPr="00C32C49" w:rsidRDefault="00C32C49" w:rsidP="00C32C49">
      <w:r w:rsidRPr="00C32C49">
        <w:t>Dose rate for a point source:</w:t>
      </w:r>
    </w:p>
    <w:p w14:paraId="6051B2B8" w14:textId="3C6E3D93" w:rsidR="00C32C49" w:rsidRPr="00C32C49" w:rsidRDefault="00AB08E7" w:rsidP="00C32C49">
      <w:pPr>
        <w:rPr>
          <w:rFonts w:eastAsiaTheme="minorEastAsia"/>
        </w:rPr>
      </w:pPr>
      <m:oMathPara>
        <m:oMath>
          <m:acc>
            <m:accPr>
              <m:chr m:val="̇"/>
              <m:ctrlPr>
                <w:rPr>
                  <w:rFonts w:ascii="Cambria Math" w:hAnsi="Cambria Math"/>
                </w:rPr>
              </m:ctrlPr>
            </m:accPr>
            <m:e>
              <m:r>
                <w:rPr>
                  <w:rFonts w:ascii="Cambria Math" w:hAnsi="Cambria Math"/>
                </w:rPr>
                <m:t>D</m:t>
              </m:r>
            </m:e>
          </m:acc>
          <m:r>
            <w:rPr>
              <w:rFonts w:ascii="Cambria Math" w:hAnsi="Cambria Math"/>
            </w:rPr>
            <m:t>=</m:t>
          </m:r>
          <m:f>
            <m:fPr>
              <m:ctrlPr>
                <w:rPr>
                  <w:rFonts w:ascii="Cambria Math" w:hAnsi="Cambria Math"/>
                </w:rPr>
              </m:ctrlPr>
            </m:fPr>
            <m:num>
              <m:r>
                <m:rPr>
                  <m:sty m:val="p"/>
                </m:rPr>
                <w:rPr>
                  <w:rFonts w:ascii="Cambria Math" w:hAnsi="Cambria Math"/>
                </w:rPr>
                <m:t>Γ</m:t>
              </m:r>
              <m:r>
                <w:rPr>
                  <w:rFonts w:ascii="Cambria Math" w:hAnsi="Cambria Math"/>
                </w:rPr>
                <m:t>A</m:t>
              </m:r>
            </m:num>
            <m:den>
              <m:sSup>
                <m:sSupPr>
                  <m:ctrlPr>
                    <w:rPr>
                      <w:rFonts w:ascii="Cambria Math" w:hAnsi="Cambria Math"/>
                    </w:rPr>
                  </m:ctrlPr>
                </m:sSupPr>
                <m:e>
                  <m:r>
                    <w:rPr>
                      <w:rFonts w:ascii="Cambria Math" w:hAnsi="Cambria Math"/>
                    </w:rPr>
                    <m:t>r</m:t>
                  </m:r>
                </m:e>
                <m:sup>
                  <m:r>
                    <w:rPr>
                      <w:rFonts w:ascii="Cambria Math" w:hAnsi="Cambria Math"/>
                    </w:rPr>
                    <m:t>2</m:t>
                  </m:r>
                </m:sup>
              </m:sSup>
            </m:den>
          </m:f>
        </m:oMath>
      </m:oMathPara>
    </w:p>
    <w:p w14:paraId="2DE83649" w14:textId="2BF71C9B" w:rsidR="00C32C49" w:rsidRPr="00C32C49" w:rsidRDefault="00C32C49" w:rsidP="00C32C49">
      <w:r w:rsidRPr="00C32C49">
        <w:t>Convert activity</w:t>
      </w:r>
      <w:r>
        <w:t>:</w:t>
      </w:r>
    </w:p>
    <w:p w14:paraId="40775434" w14:textId="1CC6FC64" w:rsidR="00C32C49" w:rsidRPr="00C32C49" w:rsidRDefault="00C32C49" w:rsidP="00C32C49">
      <w:pPr>
        <w:rPr>
          <w:rFonts w:eastAsiaTheme="minorEastAsia"/>
        </w:rPr>
      </w:pPr>
      <m:oMathPara>
        <m:oMath>
          <m:r>
            <w:rPr>
              <w:rFonts w:ascii="Cambria Math" w:hAnsi="Cambria Math"/>
            </w:rPr>
            <m:t>A=4.9</m:t>
          </m:r>
          <m:r>
            <m:rPr>
              <m:nor/>
            </m:rPr>
            <m:t> PBq</m:t>
          </m:r>
          <m:r>
            <w:rPr>
              <w:rFonts w:ascii="Cambria Math" w:hAnsi="Cambria Math"/>
            </w:rPr>
            <m:t>=</m:t>
          </m:r>
          <m:r>
            <m:rPr>
              <m:sty m:val="p"/>
            </m:rPr>
            <w:rPr>
              <w:rFonts w:ascii="Cambria Math" w:hAnsi="Cambria Math"/>
            </w:rPr>
            <m:t>4,900,000</m:t>
          </m:r>
          <m:r>
            <m:rPr>
              <m:nor/>
            </m:rPr>
            <m:t> GBq</m:t>
          </m:r>
        </m:oMath>
      </m:oMathPara>
    </w:p>
    <w:p w14:paraId="332231E2" w14:textId="795159ED" w:rsidR="00C32C49" w:rsidRPr="00C32C49" w:rsidRDefault="00C32C49" w:rsidP="00C32C49">
      <w:r>
        <w:t>The</w:t>
      </w:r>
      <w:r w:rsidRPr="00C32C49">
        <w:t xml:space="preserve"> calculation:</w:t>
      </w:r>
    </w:p>
    <w:p w14:paraId="41E08AC9" w14:textId="322D92AC" w:rsidR="00C32C49" w:rsidRPr="00C32C49" w:rsidRDefault="00AB08E7" w:rsidP="00C32C49">
      <m:oMathPara>
        <m:oMath>
          <m:acc>
            <m:accPr>
              <m:chr m:val="̇"/>
              <m:ctrlPr>
                <w:rPr>
                  <w:rFonts w:ascii="Cambria Math" w:hAnsi="Cambria Math"/>
                </w:rPr>
              </m:ctrlPr>
            </m:accPr>
            <m:e>
              <m:r>
                <w:rPr>
                  <w:rFonts w:ascii="Cambria Math" w:hAnsi="Cambria Math"/>
                </w:rPr>
                <m:t>D</m:t>
              </m:r>
            </m:e>
          </m:acc>
          <m:r>
            <w:rPr>
              <w:rFonts w:ascii="Cambria Math" w:hAnsi="Cambria Math"/>
            </w:rPr>
            <m:t>=</m:t>
          </m:r>
          <m:f>
            <m:fPr>
              <m:ctrlPr>
                <w:rPr>
                  <w:rFonts w:ascii="Cambria Math" w:hAnsi="Cambria Math"/>
                </w:rPr>
              </m:ctrlPr>
            </m:fPr>
            <m:num>
              <m:r>
                <w:rPr>
                  <w:rFonts w:ascii="Cambria Math" w:hAnsi="Cambria Math"/>
                </w:rPr>
                <m:t>0.35</m:t>
              </m:r>
              <m:r>
                <m:rPr>
                  <m:sty m:val="p"/>
                </m:rPr>
                <w:rPr>
                  <w:rFonts w:ascii="Cambria Math" w:hAnsi="Cambria Math"/>
                </w:rPr>
                <m:t> </m:t>
              </m:r>
              <m:r>
                <m:rPr>
                  <m:nor/>
                </m:rPr>
                <m:t>mSv.m².h</m:t>
              </m:r>
              <m:r>
                <m:rPr>
                  <m:nor/>
                </m:rPr>
                <w:rPr>
                  <w:rFonts w:ascii="Cambria Math" w:hAnsi="Cambria Math" w:cs="Cambria Math"/>
                </w:rPr>
                <m:t>⁻</m:t>
              </m:r>
              <m:r>
                <m:rPr>
                  <m:nor/>
                </m:rPr>
                <w:rPr>
                  <w:rFonts w:ascii="Aptos" w:hAnsi="Aptos" w:cs="Aptos"/>
                </w:rPr>
                <m:t>¹</m:t>
              </m:r>
              <m:r>
                <m:rPr>
                  <m:nor/>
                </m:rPr>
                <m:t>.GBq</m:t>
              </m:r>
              <m:r>
                <m:rPr>
                  <m:nor/>
                </m:rPr>
                <w:rPr>
                  <w:rFonts w:ascii="Cambria Math" w:hAnsi="Cambria Math" w:cs="Cambria Math"/>
                </w:rPr>
                <m:t>⁻</m:t>
              </m:r>
              <m:r>
                <m:rPr>
                  <m:nor/>
                </m:rPr>
                <w:rPr>
                  <w:rFonts w:ascii="Aptos" w:hAnsi="Aptos" w:cs="Aptos"/>
                </w:rPr>
                <m:t>¹</m:t>
              </m:r>
              <m:r>
                <w:rPr>
                  <w:rFonts w:ascii="Cambria Math" w:hAnsi="Cambria Math"/>
                </w:rPr>
                <m:t>×</m:t>
              </m:r>
              <m:r>
                <m:rPr>
                  <m:sty m:val="p"/>
                </m:rPr>
                <w:rPr>
                  <w:rFonts w:ascii="Cambria Math" w:hAnsi="Cambria Math"/>
                </w:rPr>
                <m:t>4,900,000</m:t>
              </m:r>
              <m:r>
                <m:rPr>
                  <m:nor/>
                </m:rPr>
                <m:t> GBq</m:t>
              </m:r>
            </m:num>
            <m:den>
              <m:sSup>
                <m:sSupPr>
                  <m:ctrlPr>
                    <w:rPr>
                      <w:rFonts w:ascii="Cambria Math" w:hAnsi="Cambria Math"/>
                    </w:rPr>
                  </m:ctrlPr>
                </m:sSupPr>
                <m:e>
                  <m:d>
                    <m:dPr>
                      <m:ctrlPr>
                        <w:rPr>
                          <w:rFonts w:ascii="Cambria Math" w:hAnsi="Cambria Math"/>
                        </w:rPr>
                      </m:ctrlPr>
                    </m:dPr>
                    <m:e>
                      <m:r>
                        <w:rPr>
                          <w:rFonts w:ascii="Cambria Math" w:hAnsi="Cambria Math"/>
                        </w:rPr>
                        <m:t>2</m:t>
                      </m:r>
                      <m:r>
                        <m:rPr>
                          <m:nor/>
                        </m:rPr>
                        <m:t> m</m:t>
                      </m:r>
                    </m:e>
                  </m:d>
                </m:e>
                <m:sup>
                  <m:r>
                    <w:rPr>
                      <w:rFonts w:ascii="Cambria Math" w:hAnsi="Cambria Math"/>
                    </w:rPr>
                    <m:t>2</m:t>
                  </m:r>
                </m:sup>
              </m:sSup>
            </m:den>
          </m:f>
        </m:oMath>
      </m:oMathPara>
    </w:p>
    <w:p w14:paraId="5E391922" w14:textId="21ED378F" w:rsidR="00C32C49" w:rsidRPr="00C32C49" w:rsidRDefault="00AB08E7" w:rsidP="00C32C49">
      <m:oMathPara>
        <m:oMath>
          <m:acc>
            <m:accPr>
              <m:chr m:val="̇"/>
              <m:ctrlPr>
                <w:rPr>
                  <w:rFonts w:ascii="Cambria Math" w:hAnsi="Cambria Math"/>
                </w:rPr>
              </m:ctrlPr>
            </m:accPr>
            <m:e>
              <m:r>
                <w:rPr>
                  <w:rFonts w:ascii="Cambria Math" w:hAnsi="Cambria Math"/>
                </w:rPr>
                <m:t>D</m:t>
              </m:r>
            </m:e>
          </m:acc>
          <m:r>
            <w:rPr>
              <w:rFonts w:ascii="Cambria Math" w:hAnsi="Cambria Math"/>
            </w:rPr>
            <m:t>=</m:t>
          </m:r>
          <m:f>
            <m:fPr>
              <m:ctrlPr>
                <w:rPr>
                  <w:rFonts w:ascii="Cambria Math" w:hAnsi="Cambria Math"/>
                </w:rPr>
              </m:ctrlPr>
            </m:fPr>
            <m:num>
              <m:r>
                <w:rPr>
                  <w:rFonts w:ascii="Cambria Math" w:hAnsi="Cambria Math"/>
                </w:rPr>
                <m:t>0.35×</m:t>
              </m:r>
              <m:r>
                <m:rPr>
                  <m:sty m:val="p"/>
                </m:rPr>
                <w:rPr>
                  <w:rFonts w:ascii="Cambria Math" w:hAnsi="Cambria Math"/>
                </w:rPr>
                <m:t>4,900,000</m:t>
              </m:r>
            </m:num>
            <m:den>
              <m:r>
                <w:rPr>
                  <w:rFonts w:ascii="Cambria Math" w:hAnsi="Cambria Math"/>
                </w:rPr>
                <m:t>4</m:t>
              </m:r>
            </m:den>
          </m:f>
          <m:r>
            <m:rPr>
              <m:nor/>
            </m:rPr>
            <m:t> mSv/h</m:t>
          </m:r>
        </m:oMath>
      </m:oMathPara>
    </w:p>
    <w:p w14:paraId="4F861E91" w14:textId="7489DE06" w:rsidR="00C32C49" w:rsidRPr="00C32C49" w:rsidRDefault="00C32C49" w:rsidP="00C32C49">
      <m:oMathPara>
        <m:oMath>
          <m:r>
            <w:rPr>
              <w:rFonts w:ascii="Cambria Math" w:hAnsi="Cambria Math"/>
            </w:rPr>
            <m:t>0.35×</m:t>
          </m:r>
          <m:r>
            <m:rPr>
              <m:sty m:val="p"/>
            </m:rPr>
            <w:rPr>
              <w:rFonts w:ascii="Cambria Math" w:hAnsi="Cambria Math"/>
            </w:rPr>
            <m:t>4,900,000</m:t>
          </m:r>
          <m:r>
            <w:rPr>
              <w:rFonts w:ascii="Cambria Math" w:hAnsi="Cambria Math"/>
            </w:rPr>
            <m:t>=</m:t>
          </m:r>
          <m:r>
            <m:rPr>
              <m:sty m:val="p"/>
            </m:rPr>
            <w:rPr>
              <w:rFonts w:ascii="Cambria Math" w:hAnsi="Cambria Math"/>
            </w:rPr>
            <m:t>1,715,000</m:t>
          </m:r>
        </m:oMath>
      </m:oMathPara>
    </w:p>
    <w:p w14:paraId="674F8C1F" w14:textId="76691CC7" w:rsidR="00C32C49" w:rsidRPr="00C32C49" w:rsidRDefault="00AB08E7" w:rsidP="00C32C49">
      <m:oMathPara>
        <m:oMath>
          <m:acc>
            <m:accPr>
              <m:chr m:val="̇"/>
              <m:ctrlPr>
                <w:rPr>
                  <w:rFonts w:ascii="Cambria Math" w:hAnsi="Cambria Math"/>
                </w:rPr>
              </m:ctrlPr>
            </m:accPr>
            <m:e>
              <m:r>
                <w:rPr>
                  <w:rFonts w:ascii="Cambria Math" w:hAnsi="Cambria Math"/>
                </w:rPr>
                <m:t>D</m:t>
              </m:r>
            </m:e>
          </m:acc>
          <m:r>
            <w:rPr>
              <w:rFonts w:ascii="Cambria Math" w:hAnsi="Cambria Math"/>
            </w:rPr>
            <m:t>=</m:t>
          </m:r>
          <m:f>
            <m:fPr>
              <m:ctrlPr>
                <w:rPr>
                  <w:rFonts w:ascii="Cambria Math" w:hAnsi="Cambria Math"/>
                </w:rPr>
              </m:ctrlPr>
            </m:fPr>
            <m:num>
              <m:r>
                <m:rPr>
                  <m:sty m:val="p"/>
                </m:rPr>
                <w:rPr>
                  <w:rFonts w:ascii="Cambria Math" w:hAnsi="Cambria Math"/>
                </w:rPr>
                <m:t>1,715,000</m:t>
              </m:r>
            </m:num>
            <m:den>
              <m:r>
                <w:rPr>
                  <w:rFonts w:ascii="Cambria Math" w:hAnsi="Cambria Math"/>
                </w:rPr>
                <m:t>4</m:t>
              </m:r>
            </m:den>
          </m:f>
          <m:r>
            <w:rPr>
              <w:rFonts w:ascii="Cambria Math" w:hAnsi="Cambria Math"/>
            </w:rPr>
            <m:t>≈</m:t>
          </m:r>
          <m:r>
            <m:rPr>
              <m:sty m:val="p"/>
            </m:rPr>
            <w:rPr>
              <w:rFonts w:ascii="Cambria Math" w:hAnsi="Cambria Math"/>
            </w:rPr>
            <m:t>428,750</m:t>
          </m:r>
          <m:r>
            <m:rPr>
              <m:nor/>
            </m:rPr>
            <m:t> mSv/h</m:t>
          </m:r>
        </m:oMath>
      </m:oMathPara>
    </w:p>
    <w:p w14:paraId="3FF71B8E" w14:textId="77777777" w:rsidR="00C32C49" w:rsidRDefault="00AB08E7" w:rsidP="00C32C49">
      <m:oMathPara>
        <m:oMath>
          <m:acc>
            <m:accPr>
              <m:chr m:val="̇"/>
              <m:ctrlPr>
                <w:rPr>
                  <w:rFonts w:ascii="Cambria Math" w:hAnsi="Cambria Math"/>
                </w:rPr>
              </m:ctrlPr>
            </m:accPr>
            <m:e>
              <m:r>
                <w:rPr>
                  <w:rFonts w:ascii="Cambria Math" w:hAnsi="Cambria Math"/>
                </w:rPr>
                <m:t>D</m:t>
              </m:r>
            </m:e>
          </m:acc>
          <m:r>
            <w:rPr>
              <w:rFonts w:ascii="Cambria Math" w:hAnsi="Cambria Math"/>
            </w:rPr>
            <m:t>≈429</m:t>
          </m:r>
          <m:r>
            <m:rPr>
              <m:nor/>
            </m:rPr>
            <m:t> Sv/h</m:t>
          </m:r>
        </m:oMath>
      </m:oMathPara>
    </w:p>
    <w:p w14:paraId="244B5FD5" w14:textId="4DACC10F" w:rsidR="00C32C49" w:rsidRDefault="00C32C49" w:rsidP="00C32C49">
      <w:pPr>
        <w:rPr>
          <w:rFonts w:eastAsiaTheme="minorEastAsia"/>
        </w:rPr>
      </w:pPr>
      <w:r>
        <w:lastRenderedPageBreak/>
        <w:t>T</w:t>
      </w:r>
      <w:r w:rsidRPr="00C32C49">
        <w:t xml:space="preserve">he unshielded dose rate at 2 m from the source is </w:t>
      </w:r>
      <w:r>
        <w:t>approximately</w:t>
      </w:r>
      <w:r w:rsidRPr="00C32C49">
        <w:t>:</w:t>
      </w:r>
      <w:r>
        <w:t xml:space="preserve"> </w:t>
      </w:r>
      <m:oMath>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Sv/h</m:t>
        </m:r>
      </m:oMath>
    </w:p>
    <w:p w14:paraId="6A642637" w14:textId="77777777" w:rsidR="00AD7D7F" w:rsidRDefault="00AD7D7F" w:rsidP="00C32C49">
      <w:pPr>
        <w:rPr>
          <w:rFonts w:eastAsiaTheme="minorEastAsia"/>
        </w:rPr>
      </w:pPr>
    </w:p>
    <w:p w14:paraId="5EED1CC3" w14:textId="77777777" w:rsidR="00AD7D7F" w:rsidRPr="00AD7D7F" w:rsidRDefault="00AD7D7F" w:rsidP="00AD7D7F">
      <w:pPr>
        <w:pStyle w:val="Heading2"/>
        <w:rPr>
          <w:sz w:val="28"/>
          <w:szCs w:val="28"/>
        </w:rPr>
      </w:pPr>
      <w:bookmarkStart w:id="15" w:name="_Toc239411739"/>
      <w:r w:rsidRPr="00AD7D7F">
        <w:rPr>
          <w:sz w:val="28"/>
          <w:szCs w:val="28"/>
        </w:rPr>
        <w:t>Water</w:t>
      </w:r>
      <w:r w:rsidRPr="00AD7D7F">
        <w:rPr>
          <w:sz w:val="28"/>
          <w:szCs w:val="28"/>
        </w:rPr>
        <w:noBreakHyphen/>
        <w:t>shielded dose rate at 2</w:t>
      </w:r>
      <w:r w:rsidRPr="00AD7D7F">
        <w:rPr>
          <w:rFonts w:ascii="Arial" w:hAnsi="Arial" w:cs="Arial"/>
          <w:sz w:val="28"/>
          <w:szCs w:val="28"/>
        </w:rPr>
        <w:t> </w:t>
      </w:r>
      <w:r w:rsidRPr="00AD7D7F">
        <w:rPr>
          <w:sz w:val="28"/>
          <w:szCs w:val="28"/>
        </w:rPr>
        <w:t>m</w:t>
      </w:r>
      <w:bookmarkEnd w:id="15"/>
    </w:p>
    <w:p w14:paraId="497543C4" w14:textId="77777777" w:rsidR="00AD7D7F" w:rsidRPr="00786320" w:rsidRDefault="00AD7D7F" w:rsidP="00AD7D7F">
      <w:r w:rsidRPr="00786320">
        <w:t>Given:</w:t>
      </w:r>
    </w:p>
    <w:p w14:paraId="32B58614" w14:textId="77777777" w:rsidR="00AD7D7F" w:rsidRPr="00786320" w:rsidRDefault="00AD7D7F" w:rsidP="00AD7D7F">
      <w:pPr>
        <w:numPr>
          <w:ilvl w:val="0"/>
          <w:numId w:val="2"/>
        </w:numPr>
      </w:pPr>
      <w:r w:rsidRPr="00786320">
        <w:t>Unshielded dose rate at 2</w:t>
      </w:r>
      <w:r w:rsidRPr="00786320">
        <w:rPr>
          <w:rFonts w:ascii="Arial" w:hAnsi="Arial" w:cs="Arial"/>
        </w:rPr>
        <w:t> </w:t>
      </w:r>
      <w:r w:rsidRPr="00786320">
        <w:t xml:space="preserve">m: </w:t>
      </w:r>
      <m:oMath>
        <m:sSub>
          <m:sSubPr>
            <m:ctrlPr>
              <w:rPr>
                <w:rFonts w:ascii="Cambria Math" w:hAnsi="Cambria Math"/>
              </w:rPr>
            </m:ctrlPr>
          </m:sSubPr>
          <m:e>
            <m:acc>
              <m:accPr>
                <m:chr m:val="̇"/>
                <m:ctrlPr>
                  <w:rPr>
                    <w:rFonts w:ascii="Cambria Math" w:hAnsi="Cambria Math"/>
                  </w:rPr>
                </m:ctrlPr>
              </m:accPr>
              <m:e>
                <m:r>
                  <w:rPr>
                    <w:rFonts w:ascii="Cambria Math" w:hAnsi="Cambria Math"/>
                  </w:rPr>
                  <m:t>D</m:t>
                </m:r>
              </m:e>
            </m:acc>
          </m:e>
          <m:sub>
            <m:r>
              <m:rPr>
                <m:nor/>
              </m:rPr>
              <m:t>unshielded</m:t>
            </m:r>
          </m:sub>
        </m:sSub>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m:t>
        </m:r>
        <m:sSup>
          <m:sSupPr>
            <m:ctrlPr>
              <w:rPr>
                <w:rFonts w:ascii="Cambria Math" w:hAnsi="Cambria Math"/>
              </w:rPr>
            </m:ctrlPr>
          </m:sSupPr>
          <m:e>
            <m:r>
              <m:rPr>
                <m:nor/>
              </m:rPr>
              <m:t>Svh</m:t>
            </m:r>
          </m:e>
          <m:sup>
            <m:r>
              <w:rPr>
                <w:rFonts w:ascii="Cambria Math" w:hAnsi="Cambria Math"/>
              </w:rPr>
              <m:t>-1</m:t>
            </m:r>
          </m:sup>
        </m:sSup>
      </m:oMath>
    </w:p>
    <w:p w14:paraId="78E578DD" w14:textId="77777777" w:rsidR="00AD7D7F" w:rsidRPr="00786320" w:rsidRDefault="00AD7D7F" w:rsidP="00AD7D7F">
      <w:pPr>
        <w:numPr>
          <w:ilvl w:val="0"/>
          <w:numId w:val="2"/>
        </w:numPr>
      </w:pPr>
      <w:r w:rsidRPr="00786320">
        <w:t>Half</w:t>
      </w:r>
      <w:r w:rsidRPr="00786320">
        <w:noBreakHyphen/>
        <w:t>value layer (HVL) of water for Co</w:t>
      </w:r>
      <w:r w:rsidRPr="00786320">
        <w:noBreakHyphen/>
        <w:t xml:space="preserve">60: </w:t>
      </w:r>
      <m:oMath>
        <m:r>
          <m:rPr>
            <m:nor/>
          </m:rPr>
          <m:t>HVL</m:t>
        </m:r>
        <m:r>
          <w:rPr>
            <w:rFonts w:ascii="Cambria Math" w:hAnsi="Cambria Math"/>
          </w:rPr>
          <m:t>=0.23</m:t>
        </m:r>
        <m:r>
          <m:rPr>
            <m:nor/>
          </m:rPr>
          <m:t> m</m:t>
        </m:r>
      </m:oMath>
    </w:p>
    <w:p w14:paraId="165AC10E" w14:textId="77777777" w:rsidR="00AD7D7F" w:rsidRPr="00786320" w:rsidRDefault="00AD7D7F" w:rsidP="00AD7D7F">
      <w:pPr>
        <w:numPr>
          <w:ilvl w:val="0"/>
          <w:numId w:val="2"/>
        </w:numPr>
      </w:pPr>
      <w:r w:rsidRPr="00786320">
        <w:t xml:space="preserve">Water thickness between source and technician: </w:t>
      </w:r>
      <m:oMath>
        <m:r>
          <w:rPr>
            <w:rFonts w:ascii="Cambria Math" w:hAnsi="Cambria Math"/>
          </w:rPr>
          <m:t>x=1.0</m:t>
        </m:r>
        <m:r>
          <m:rPr>
            <m:nor/>
          </m:rPr>
          <m:t> m</m:t>
        </m:r>
      </m:oMath>
    </w:p>
    <w:p w14:paraId="32ACF8D9" w14:textId="77777777" w:rsidR="00AD7D7F" w:rsidRPr="00786320" w:rsidRDefault="00AD7D7F" w:rsidP="00AD7D7F">
      <w:r w:rsidRPr="00786320">
        <w:t>Number of HVLs:</w:t>
      </w:r>
    </w:p>
    <w:p w14:paraId="30D3709A" w14:textId="77777777" w:rsidR="00AD7D7F" w:rsidRPr="00786320" w:rsidRDefault="00AD7D7F" w:rsidP="00AD7D7F">
      <m:oMathPara>
        <m:oMath>
          <m:r>
            <w:rPr>
              <w:rFonts w:ascii="Cambria Math" w:hAnsi="Cambria Math"/>
            </w:rPr>
            <m:t>n=</m:t>
          </m:r>
          <m:f>
            <m:fPr>
              <m:ctrlPr>
                <w:rPr>
                  <w:rFonts w:ascii="Cambria Math" w:hAnsi="Cambria Math"/>
                </w:rPr>
              </m:ctrlPr>
            </m:fPr>
            <m:num>
              <m:r>
                <w:rPr>
                  <w:rFonts w:ascii="Cambria Math" w:hAnsi="Cambria Math"/>
                </w:rPr>
                <m:t>x</m:t>
              </m:r>
            </m:num>
            <m:den>
              <m:r>
                <m:rPr>
                  <m:nor/>
                </m:rPr>
                <m:t>HVL</m:t>
              </m:r>
            </m:den>
          </m:f>
          <m:r>
            <w:rPr>
              <w:rFonts w:ascii="Cambria Math" w:hAnsi="Cambria Math"/>
            </w:rPr>
            <m:t>=</m:t>
          </m:r>
          <m:f>
            <m:fPr>
              <m:ctrlPr>
                <w:rPr>
                  <w:rFonts w:ascii="Cambria Math" w:hAnsi="Cambria Math"/>
                </w:rPr>
              </m:ctrlPr>
            </m:fPr>
            <m:num>
              <m:r>
                <w:rPr>
                  <w:rFonts w:ascii="Cambria Math" w:hAnsi="Cambria Math"/>
                </w:rPr>
                <m:t>1.0</m:t>
              </m:r>
            </m:num>
            <m:den>
              <m:r>
                <w:rPr>
                  <w:rFonts w:ascii="Cambria Math" w:hAnsi="Cambria Math"/>
                </w:rPr>
                <m:t>0.23</m:t>
              </m:r>
            </m:den>
          </m:f>
          <m:r>
            <w:rPr>
              <w:rFonts w:ascii="Cambria Math" w:hAnsi="Cambria Math"/>
            </w:rPr>
            <m:t>≈4.35</m:t>
          </m:r>
        </m:oMath>
      </m:oMathPara>
    </w:p>
    <w:p w14:paraId="3A93A0A2" w14:textId="77777777" w:rsidR="00AD7D7F" w:rsidRPr="00786320" w:rsidRDefault="00AD7D7F" w:rsidP="00AD7D7F">
      <w:r w:rsidRPr="00786320">
        <w:t>Attenuation factor:</w:t>
      </w:r>
    </w:p>
    <w:p w14:paraId="4C8634C7" w14:textId="77777777" w:rsidR="00AD7D7F" w:rsidRPr="00786320" w:rsidRDefault="00AD7D7F" w:rsidP="00AD7D7F">
      <m:oMathPara>
        <m:oMath>
          <m:r>
            <m:rPr>
              <m:nor/>
            </m:rPr>
            <m:t>Factor</m:t>
          </m:r>
          <m: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1</m:t>
                      </m:r>
                    </m:num>
                    <m:den>
                      <m:r>
                        <w:rPr>
                          <w:rFonts w:ascii="Cambria Math" w:hAnsi="Cambria Math"/>
                        </w:rPr>
                        <m:t>2</m:t>
                      </m:r>
                    </m:den>
                  </m:f>
                </m:e>
              </m:d>
            </m:e>
            <m:sup>
              <m:r>
                <w:rPr>
                  <w:rFonts w:ascii="Cambria Math" w:hAnsi="Cambria Math"/>
                </w:rPr>
                <m:t>n</m:t>
              </m:r>
            </m:sup>
          </m:sSup>
          <m: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1</m:t>
                      </m:r>
                    </m:num>
                    <m:den>
                      <m:r>
                        <w:rPr>
                          <w:rFonts w:ascii="Cambria Math" w:hAnsi="Cambria Math"/>
                        </w:rPr>
                        <m:t>2</m:t>
                      </m:r>
                    </m:den>
                  </m:f>
                </m:e>
              </m:d>
            </m:e>
            <m:sup>
              <m:r>
                <w:rPr>
                  <w:rFonts w:ascii="Cambria Math" w:hAnsi="Cambria Math"/>
                </w:rPr>
                <m:t>4.35</m:t>
              </m:r>
            </m:sup>
          </m:sSup>
          <m:r>
            <w:rPr>
              <w:rFonts w:ascii="Cambria Math" w:hAnsi="Cambria Math"/>
            </w:rPr>
            <m:t>≈0.05</m:t>
          </m:r>
        </m:oMath>
      </m:oMathPara>
    </w:p>
    <w:p w14:paraId="53A38C89" w14:textId="77777777" w:rsidR="00AD7D7F" w:rsidRPr="00786320" w:rsidRDefault="00AD7D7F" w:rsidP="00AD7D7F">
      <w:r w:rsidRPr="00786320">
        <w:t>Shielded dose rate:</w:t>
      </w:r>
    </w:p>
    <w:p w14:paraId="4453403B" w14:textId="77777777" w:rsidR="00AD7D7F" w:rsidRPr="00786320" w:rsidRDefault="00AB08E7" w:rsidP="00AD7D7F">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D</m:t>
                  </m:r>
                </m:e>
              </m:acc>
            </m:e>
            <m:sub>
              <m:r>
                <m:rPr>
                  <m:nor/>
                </m:rPr>
                <m:t>shielded</m:t>
              </m:r>
            </m:sub>
          </m:sSub>
          <m: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rPr>
                    <m:t>D</m:t>
                  </m:r>
                </m:e>
              </m:acc>
            </m:e>
            <m:sub>
              <m:r>
                <m:rPr>
                  <m:nor/>
                </m:rPr>
                <m:t>unshielded</m:t>
              </m:r>
            </m:sub>
          </m:sSub>
          <m:r>
            <w:rPr>
              <w:rFonts w:ascii="Cambria Math" w:hAnsi="Cambria Math"/>
            </w:rPr>
            <m:t>×</m:t>
          </m:r>
          <m:r>
            <m:rPr>
              <m:nor/>
            </m:rPr>
            <m:t>Factor</m:t>
          </m:r>
        </m:oMath>
      </m:oMathPara>
    </w:p>
    <w:p w14:paraId="48D3F6D1" w14:textId="77777777" w:rsidR="00AD7D7F" w:rsidRPr="00786320" w:rsidRDefault="00AB08E7" w:rsidP="00AD7D7F">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D</m:t>
                  </m:r>
                </m:e>
              </m:acc>
            </m:e>
            <m:sub>
              <m:r>
                <m:rPr>
                  <m:nor/>
                </m:rPr>
                <m:t>shielded</m:t>
              </m:r>
            </m:sub>
          </m:sSub>
          <m:r>
            <w:rPr>
              <w:rFonts w:ascii="Cambria Math" w:hAnsi="Cambria Math"/>
            </w:rPr>
            <m:t>≈4×</m:t>
          </m:r>
          <m:sSup>
            <m:sSupPr>
              <m:ctrlPr>
                <w:rPr>
                  <w:rFonts w:ascii="Cambria Math" w:hAnsi="Cambria Math"/>
                </w:rPr>
              </m:ctrlPr>
            </m:sSupPr>
            <m:e>
              <m:r>
                <w:rPr>
                  <w:rFonts w:ascii="Cambria Math" w:hAnsi="Cambria Math"/>
                </w:rPr>
                <m:t>10</m:t>
              </m:r>
            </m:e>
            <m:sup>
              <m:r>
                <w:rPr>
                  <w:rFonts w:ascii="Cambria Math" w:hAnsi="Cambria Math"/>
                </w:rPr>
                <m:t>2</m:t>
              </m:r>
            </m:sup>
          </m:sSup>
          <m:r>
            <m:rPr>
              <m:nor/>
            </m:rPr>
            <m:t> </m:t>
          </m:r>
          <m:sSup>
            <m:sSupPr>
              <m:ctrlPr>
                <w:rPr>
                  <w:rFonts w:ascii="Cambria Math" w:hAnsi="Cambria Math"/>
                </w:rPr>
              </m:ctrlPr>
            </m:sSupPr>
            <m:e>
              <m:r>
                <m:rPr>
                  <m:nor/>
                </m:rPr>
                <m:t>Svh</m:t>
              </m:r>
            </m:e>
            <m:sup>
              <m:r>
                <w:rPr>
                  <w:rFonts w:ascii="Cambria Math" w:hAnsi="Cambria Math"/>
                </w:rPr>
                <m:t>-</m:t>
              </m:r>
              <m:r>
                <w:rPr>
                  <w:rFonts w:ascii="Cambria Math" w:hAnsi="Cambria Math"/>
                </w:rPr>
                <m:t>1</m:t>
              </m:r>
            </m:sup>
          </m:sSup>
          <m:r>
            <w:rPr>
              <w:rFonts w:ascii="Cambria Math" w:hAnsi="Cambria Math"/>
            </w:rPr>
            <m:t>×0.05≈20</m:t>
          </m:r>
          <m:r>
            <m:rPr>
              <m:nor/>
            </m:rPr>
            <m:t> </m:t>
          </m:r>
          <m:sSup>
            <m:sSupPr>
              <m:ctrlPr>
                <w:rPr>
                  <w:rFonts w:ascii="Cambria Math" w:hAnsi="Cambria Math"/>
                </w:rPr>
              </m:ctrlPr>
            </m:sSupPr>
            <m:e>
              <m:r>
                <m:rPr>
                  <m:nor/>
                </m:rPr>
                <m:t>Svh</m:t>
              </m:r>
            </m:e>
            <m:sup>
              <m:r>
                <w:rPr>
                  <w:rFonts w:ascii="Cambria Math" w:hAnsi="Cambria Math"/>
                </w:rPr>
                <m:t>-</m:t>
              </m:r>
              <m:r>
                <w:rPr>
                  <w:rFonts w:ascii="Cambria Math" w:hAnsi="Cambria Math"/>
                </w:rPr>
                <m:t>1</m:t>
              </m:r>
            </m:sup>
          </m:sSup>
        </m:oMath>
      </m:oMathPara>
    </w:p>
    <w:p w14:paraId="06B09289" w14:textId="77777777" w:rsidR="00AD7D7F" w:rsidRDefault="00AD7D7F" w:rsidP="00AD7D7F">
      <w:r w:rsidRPr="00786320">
        <w:t>So, the estimated dose rate at 2</w:t>
      </w:r>
      <w:r w:rsidRPr="00786320">
        <w:rPr>
          <w:rFonts w:ascii="Arial" w:hAnsi="Arial" w:cs="Arial"/>
        </w:rPr>
        <w:t> </w:t>
      </w:r>
      <w:r w:rsidRPr="00786320">
        <w:t>m with 1</w:t>
      </w:r>
      <w:r w:rsidRPr="00786320">
        <w:rPr>
          <w:rFonts w:ascii="Arial" w:hAnsi="Arial" w:cs="Arial"/>
        </w:rPr>
        <w:t> </w:t>
      </w:r>
      <w:r w:rsidRPr="00786320">
        <w:t>m of water shielding is:</w:t>
      </w:r>
    </w:p>
    <w:p w14:paraId="3EF246BF" w14:textId="77777777" w:rsidR="00AD7D7F" w:rsidRPr="00F92380" w:rsidRDefault="00AB08E7" w:rsidP="00AD7D7F">
      <m:oMathPara>
        <m:oMath>
          <m:sSub>
            <m:sSubPr>
              <m:ctrlPr>
                <w:rPr>
                  <w:rFonts w:ascii="Cambria Math" w:hAnsi="Cambria Math"/>
                </w:rPr>
              </m:ctrlPr>
            </m:sSubPr>
            <m:e>
              <m:acc>
                <m:accPr>
                  <m:chr m:val="̇"/>
                  <m:ctrlPr>
                    <w:rPr>
                      <w:rFonts w:ascii="Cambria Math" w:hAnsi="Cambria Math"/>
                    </w:rPr>
                  </m:ctrlPr>
                </m:accPr>
                <m:e>
                  <m:r>
                    <w:rPr>
                      <w:rFonts w:ascii="Cambria Math" w:hAnsi="Cambria Math"/>
                    </w:rPr>
                    <m:t>D</m:t>
                  </m:r>
                </m:e>
              </m:acc>
            </m:e>
            <m:sub>
              <m:r>
                <m:rPr>
                  <m:nor/>
                </m:rPr>
                <m:t>shielded</m:t>
              </m:r>
            </m:sub>
          </m:sSub>
          <m:r>
            <w:rPr>
              <w:rFonts w:ascii="Cambria Math" w:hAnsi="Cambria Math"/>
            </w:rPr>
            <m:t>≈2.0×</m:t>
          </m:r>
          <m:sSup>
            <m:sSupPr>
              <m:ctrlPr>
                <w:rPr>
                  <w:rFonts w:ascii="Cambria Math" w:hAnsi="Cambria Math"/>
                </w:rPr>
              </m:ctrlPr>
            </m:sSupPr>
            <m:e>
              <m:r>
                <w:rPr>
                  <w:rFonts w:ascii="Cambria Math" w:hAnsi="Cambria Math"/>
                </w:rPr>
                <m:t>10</m:t>
              </m:r>
            </m:e>
            <m:sup>
              <m:r>
                <w:rPr>
                  <w:rFonts w:ascii="Cambria Math" w:hAnsi="Cambria Math"/>
                </w:rPr>
                <m:t>1</m:t>
              </m:r>
            </m:sup>
          </m:sSup>
          <m:r>
            <m:rPr>
              <m:nor/>
            </m:rPr>
            <m:t> </m:t>
          </m:r>
          <m:sSup>
            <m:sSupPr>
              <m:ctrlPr>
                <w:rPr>
                  <w:rFonts w:ascii="Cambria Math" w:hAnsi="Cambria Math"/>
                </w:rPr>
              </m:ctrlPr>
            </m:sSupPr>
            <m:e>
              <m:r>
                <m:rPr>
                  <m:nor/>
                </m:rPr>
                <m:t>Svh</m:t>
              </m:r>
            </m:e>
            <m:sup>
              <m:r>
                <w:rPr>
                  <w:rFonts w:ascii="Cambria Math" w:hAnsi="Cambria Math"/>
                </w:rPr>
                <m:t>-</m:t>
              </m:r>
              <m:r>
                <w:rPr>
                  <w:rFonts w:ascii="Cambria Math" w:hAnsi="Cambria Math"/>
                </w:rPr>
                <m:t>1</m:t>
              </m:r>
            </m:sup>
          </m:sSup>
        </m:oMath>
      </m:oMathPara>
    </w:p>
    <w:p w14:paraId="3E8B76C0" w14:textId="77777777" w:rsidR="00AA1E24" w:rsidRPr="00C32C49" w:rsidRDefault="00AA1E24" w:rsidP="00C32C49"/>
    <w:p w14:paraId="28921D9A" w14:textId="77777777" w:rsidR="00C32C49" w:rsidRPr="00C32C49" w:rsidRDefault="00C32C49" w:rsidP="00C32C49"/>
    <w:p w14:paraId="291DDC42" w14:textId="77777777" w:rsidR="00C32C49" w:rsidRDefault="00C32C49" w:rsidP="00C32C49"/>
    <w:p w14:paraId="6C35D01B" w14:textId="77777777" w:rsidR="00FD27B3" w:rsidRDefault="00FD27B3" w:rsidP="00C32C49"/>
    <w:p w14:paraId="590AAE82" w14:textId="77777777" w:rsidR="00FD27B3" w:rsidRDefault="00FD27B3" w:rsidP="00C32C49"/>
    <w:p w14:paraId="61A0AD33" w14:textId="77777777" w:rsidR="00FD27B3" w:rsidRDefault="00FD27B3" w:rsidP="00C32C49"/>
    <w:p w14:paraId="56132377" w14:textId="77777777" w:rsidR="00FD27B3" w:rsidRDefault="00FD27B3" w:rsidP="00C32C49"/>
    <w:p w14:paraId="5914AF4B" w14:textId="77777777" w:rsidR="00FD27B3" w:rsidRDefault="00FD27B3" w:rsidP="00C32C49"/>
    <w:p w14:paraId="4D93E0B3" w14:textId="77777777" w:rsidR="00FD27B3" w:rsidRDefault="00FD27B3" w:rsidP="00C32C49"/>
    <w:p w14:paraId="10BA3C69" w14:textId="77777777" w:rsidR="00FD27B3" w:rsidRDefault="00FD27B3" w:rsidP="00C32C49"/>
    <w:p w14:paraId="13947C20" w14:textId="77777777" w:rsidR="00FD27B3" w:rsidRDefault="00FD27B3" w:rsidP="00C32C49"/>
    <w:p w14:paraId="0B3683D4" w14:textId="1FFD9FB1" w:rsidR="00FD27B3" w:rsidRDefault="00FD27B3" w:rsidP="00FD27B3">
      <w:pPr>
        <w:pStyle w:val="Heading1"/>
      </w:pPr>
      <w:bookmarkStart w:id="16" w:name="_Toc239411740"/>
      <w:r>
        <w:lastRenderedPageBreak/>
        <w:t>Annex B</w:t>
      </w:r>
      <w:bookmarkEnd w:id="16"/>
    </w:p>
    <w:p w14:paraId="4A567997" w14:textId="39B3D691" w:rsidR="00FD27B3" w:rsidRPr="00FD27B3" w:rsidRDefault="00FD27B3" w:rsidP="00FD27B3">
      <w:r>
        <w:rPr>
          <w:noProof/>
        </w:rPr>
        <w:drawing>
          <wp:inline distT="0" distB="0" distL="0" distR="0" wp14:anchorId="433B4913" wp14:editId="32759687">
            <wp:extent cx="6324600" cy="2380309"/>
            <wp:effectExtent l="0" t="0" r="0" b="1270"/>
            <wp:docPr id="184544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43491" name="Picture 184544349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49795" cy="2389791"/>
                    </a:xfrm>
                    <a:prstGeom prst="rect">
                      <a:avLst/>
                    </a:prstGeom>
                  </pic:spPr>
                </pic:pic>
              </a:graphicData>
            </a:graphic>
          </wp:inline>
        </w:drawing>
      </w:r>
    </w:p>
    <w:p w14:paraId="525F1DEB" w14:textId="6A06C3AC" w:rsidR="00C32C49" w:rsidRPr="00C32C49" w:rsidRDefault="00FD27B3" w:rsidP="00C32C49">
      <w:r>
        <w:rPr>
          <w:noProof/>
        </w:rPr>
        <w:drawing>
          <wp:inline distT="0" distB="0" distL="0" distR="0" wp14:anchorId="208D91ED" wp14:editId="0EA20E11">
            <wp:extent cx="6373666" cy="1859280"/>
            <wp:effectExtent l="0" t="0" r="8255" b="7620"/>
            <wp:docPr id="1788892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92276" name="Picture 1788892276"/>
                    <pic:cNvPicPr/>
                  </pic:nvPicPr>
                  <pic:blipFill>
                    <a:blip r:embed="rId11">
                      <a:extLst>
                        <a:ext uri="{28A0092B-C50C-407E-A947-70E740481C1C}">
                          <a14:useLocalDpi xmlns:a14="http://schemas.microsoft.com/office/drawing/2010/main" val="0"/>
                        </a:ext>
                      </a:extLst>
                    </a:blip>
                    <a:stretch>
                      <a:fillRect/>
                    </a:stretch>
                  </pic:blipFill>
                  <pic:spPr>
                    <a:xfrm>
                      <a:off x="0" y="0"/>
                      <a:ext cx="6379214" cy="1860898"/>
                    </a:xfrm>
                    <a:prstGeom prst="rect">
                      <a:avLst/>
                    </a:prstGeom>
                  </pic:spPr>
                </pic:pic>
              </a:graphicData>
            </a:graphic>
          </wp:inline>
        </w:drawing>
      </w:r>
    </w:p>
    <w:p w14:paraId="5610B076" w14:textId="77777777" w:rsidR="0089745B" w:rsidRPr="0089745B" w:rsidRDefault="0089745B" w:rsidP="0089745B"/>
    <w:p w14:paraId="6D2AC0F3" w14:textId="4424916E" w:rsidR="00B6508E" w:rsidRPr="00FD27B3" w:rsidRDefault="003107EF" w:rsidP="00FD27B3">
      <w:pPr>
        <w:rPr>
          <w:rFonts w:cs="Arial"/>
          <w:b/>
          <w:bCs/>
          <w:sz w:val="22"/>
          <w:szCs w:val="22"/>
        </w:rPr>
      </w:pPr>
      <w:r>
        <w:rPr>
          <w:rFonts w:cs="Arial"/>
          <w:b/>
          <w:bCs/>
          <w:sz w:val="22"/>
          <w:szCs w:val="22"/>
        </w:rPr>
        <w:t xml:space="preserve">*Disclaimer: These figures </w:t>
      </w:r>
      <w:r w:rsidR="00845445">
        <w:rPr>
          <w:rFonts w:cs="Arial"/>
          <w:b/>
          <w:bCs/>
          <w:sz w:val="22"/>
          <w:szCs w:val="22"/>
        </w:rPr>
        <w:t>were</w:t>
      </w:r>
      <w:r>
        <w:rPr>
          <w:rFonts w:cs="Arial"/>
          <w:b/>
          <w:bCs/>
          <w:sz w:val="22"/>
          <w:szCs w:val="22"/>
        </w:rPr>
        <w:t xml:space="preserve"> made with help from AI</w:t>
      </w:r>
    </w:p>
    <w:p w14:paraId="52DCF191" w14:textId="77777777" w:rsidR="00B6508E" w:rsidRPr="00B6508E" w:rsidRDefault="00B6508E" w:rsidP="00B6508E">
      <w:pPr>
        <w:jc w:val="center"/>
        <w:rPr>
          <w:b/>
          <w:bCs/>
          <w:sz w:val="44"/>
          <w:szCs w:val="44"/>
        </w:rPr>
      </w:pPr>
    </w:p>
    <w:sectPr w:rsidR="00B6508E" w:rsidRPr="00B65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A815C6"/>
    <w:multiLevelType w:val="multilevel"/>
    <w:tmpl w:val="1F044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E5335"/>
    <w:multiLevelType w:val="multilevel"/>
    <w:tmpl w:val="A60C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1860777">
    <w:abstractNumId w:val="0"/>
  </w:num>
  <w:num w:numId="2" w16cid:durableId="340087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08E"/>
    <w:rsid w:val="000033A8"/>
    <w:rsid w:val="000E44DA"/>
    <w:rsid w:val="000F0953"/>
    <w:rsid w:val="000F3BCF"/>
    <w:rsid w:val="001314AD"/>
    <w:rsid w:val="00170C88"/>
    <w:rsid w:val="001C55D7"/>
    <w:rsid w:val="001E0C0E"/>
    <w:rsid w:val="00214948"/>
    <w:rsid w:val="00265D40"/>
    <w:rsid w:val="002A686C"/>
    <w:rsid w:val="002A6B98"/>
    <w:rsid w:val="002D0934"/>
    <w:rsid w:val="002F28AF"/>
    <w:rsid w:val="003107EF"/>
    <w:rsid w:val="003226E5"/>
    <w:rsid w:val="00345412"/>
    <w:rsid w:val="003B0FB5"/>
    <w:rsid w:val="00457066"/>
    <w:rsid w:val="00492673"/>
    <w:rsid w:val="004A3F2C"/>
    <w:rsid w:val="004D3F7B"/>
    <w:rsid w:val="005264A0"/>
    <w:rsid w:val="006726AD"/>
    <w:rsid w:val="00672895"/>
    <w:rsid w:val="00675D18"/>
    <w:rsid w:val="00773832"/>
    <w:rsid w:val="007E08D8"/>
    <w:rsid w:val="00845445"/>
    <w:rsid w:val="00894493"/>
    <w:rsid w:val="00894649"/>
    <w:rsid w:val="0089745B"/>
    <w:rsid w:val="008A19F0"/>
    <w:rsid w:val="008F2ADC"/>
    <w:rsid w:val="00955B22"/>
    <w:rsid w:val="0096666A"/>
    <w:rsid w:val="00980D2A"/>
    <w:rsid w:val="00A51FB6"/>
    <w:rsid w:val="00AA1E24"/>
    <w:rsid w:val="00AD7D7F"/>
    <w:rsid w:val="00B6508E"/>
    <w:rsid w:val="00BA3374"/>
    <w:rsid w:val="00BC60D0"/>
    <w:rsid w:val="00BD0DF3"/>
    <w:rsid w:val="00BE68BB"/>
    <w:rsid w:val="00BF151D"/>
    <w:rsid w:val="00C254FC"/>
    <w:rsid w:val="00C32C49"/>
    <w:rsid w:val="00C63E62"/>
    <w:rsid w:val="00CA2527"/>
    <w:rsid w:val="00D32097"/>
    <w:rsid w:val="00D64453"/>
    <w:rsid w:val="00D84D93"/>
    <w:rsid w:val="00D93795"/>
    <w:rsid w:val="00DC39CC"/>
    <w:rsid w:val="00DF322F"/>
    <w:rsid w:val="00E12161"/>
    <w:rsid w:val="00E878B3"/>
    <w:rsid w:val="00EB09E3"/>
    <w:rsid w:val="00F215CC"/>
    <w:rsid w:val="00F33DAA"/>
    <w:rsid w:val="00F90BA8"/>
    <w:rsid w:val="00F9341C"/>
    <w:rsid w:val="00FA1996"/>
    <w:rsid w:val="00FB07E7"/>
    <w:rsid w:val="00FD27B3"/>
    <w:rsid w:val="00FD377E"/>
    <w:rsid w:val="00FE14FB"/>
    <w:rsid w:val="00FE4B99"/>
    <w:rsid w:val="00FF1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FBC8F"/>
  <w15:chartTrackingRefBased/>
  <w15:docId w15:val="{131825DB-099D-46DA-A6C8-D69F7F31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0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50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50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0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0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0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0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0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0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0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50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50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0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0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0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0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0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08E"/>
    <w:rPr>
      <w:rFonts w:eastAsiaTheme="majorEastAsia" w:cstheme="majorBidi"/>
      <w:color w:val="272727" w:themeColor="text1" w:themeTint="D8"/>
    </w:rPr>
  </w:style>
  <w:style w:type="paragraph" w:styleId="Title">
    <w:name w:val="Title"/>
    <w:basedOn w:val="Normal"/>
    <w:next w:val="Normal"/>
    <w:link w:val="TitleChar"/>
    <w:uiPriority w:val="10"/>
    <w:qFormat/>
    <w:rsid w:val="00B65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0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08E"/>
    <w:pPr>
      <w:spacing w:before="160"/>
      <w:jc w:val="center"/>
    </w:pPr>
    <w:rPr>
      <w:i/>
      <w:iCs/>
      <w:color w:val="404040" w:themeColor="text1" w:themeTint="BF"/>
    </w:rPr>
  </w:style>
  <w:style w:type="character" w:customStyle="1" w:styleId="QuoteChar">
    <w:name w:val="Quote Char"/>
    <w:basedOn w:val="DefaultParagraphFont"/>
    <w:link w:val="Quote"/>
    <w:uiPriority w:val="29"/>
    <w:rsid w:val="00B6508E"/>
    <w:rPr>
      <w:i/>
      <w:iCs/>
      <w:color w:val="404040" w:themeColor="text1" w:themeTint="BF"/>
    </w:rPr>
  </w:style>
  <w:style w:type="paragraph" w:styleId="ListParagraph">
    <w:name w:val="List Paragraph"/>
    <w:basedOn w:val="Normal"/>
    <w:uiPriority w:val="34"/>
    <w:qFormat/>
    <w:rsid w:val="00B6508E"/>
    <w:pPr>
      <w:ind w:left="720"/>
      <w:contextualSpacing/>
    </w:pPr>
  </w:style>
  <w:style w:type="character" w:styleId="IntenseEmphasis">
    <w:name w:val="Intense Emphasis"/>
    <w:basedOn w:val="DefaultParagraphFont"/>
    <w:uiPriority w:val="21"/>
    <w:qFormat/>
    <w:rsid w:val="00B6508E"/>
    <w:rPr>
      <w:i/>
      <w:iCs/>
      <w:color w:val="0F4761" w:themeColor="accent1" w:themeShade="BF"/>
    </w:rPr>
  </w:style>
  <w:style w:type="paragraph" w:styleId="IntenseQuote">
    <w:name w:val="Intense Quote"/>
    <w:basedOn w:val="Normal"/>
    <w:next w:val="Normal"/>
    <w:link w:val="IntenseQuoteChar"/>
    <w:uiPriority w:val="30"/>
    <w:qFormat/>
    <w:rsid w:val="00B650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08E"/>
    <w:rPr>
      <w:i/>
      <w:iCs/>
      <w:color w:val="0F4761" w:themeColor="accent1" w:themeShade="BF"/>
    </w:rPr>
  </w:style>
  <w:style w:type="character" w:styleId="IntenseReference">
    <w:name w:val="Intense Reference"/>
    <w:basedOn w:val="DefaultParagraphFont"/>
    <w:uiPriority w:val="32"/>
    <w:qFormat/>
    <w:rsid w:val="00B6508E"/>
    <w:rPr>
      <w:b/>
      <w:bCs/>
      <w:smallCaps/>
      <w:color w:val="0F4761" w:themeColor="accent1" w:themeShade="BF"/>
      <w:spacing w:val="5"/>
    </w:rPr>
  </w:style>
  <w:style w:type="paragraph" w:styleId="TOCHeading">
    <w:name w:val="TOC Heading"/>
    <w:basedOn w:val="Heading1"/>
    <w:next w:val="Normal"/>
    <w:uiPriority w:val="39"/>
    <w:unhideWhenUsed/>
    <w:qFormat/>
    <w:rsid w:val="008974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3F7B"/>
    <w:pPr>
      <w:spacing w:after="100"/>
    </w:pPr>
  </w:style>
  <w:style w:type="paragraph" w:styleId="TOC2">
    <w:name w:val="toc 2"/>
    <w:basedOn w:val="Normal"/>
    <w:next w:val="Normal"/>
    <w:autoRedefine/>
    <w:uiPriority w:val="39"/>
    <w:unhideWhenUsed/>
    <w:rsid w:val="004D3F7B"/>
    <w:pPr>
      <w:spacing w:after="100"/>
      <w:ind w:left="240"/>
    </w:pPr>
  </w:style>
  <w:style w:type="character" w:styleId="Hyperlink">
    <w:name w:val="Hyperlink"/>
    <w:basedOn w:val="DefaultParagraphFont"/>
    <w:uiPriority w:val="99"/>
    <w:unhideWhenUsed/>
    <w:rsid w:val="004D3F7B"/>
    <w:rPr>
      <w:color w:val="467886" w:themeColor="hyperlink"/>
      <w:u w:val="single"/>
    </w:rPr>
  </w:style>
  <w:style w:type="character" w:styleId="UnresolvedMention">
    <w:name w:val="Unresolved Mention"/>
    <w:basedOn w:val="DefaultParagraphFont"/>
    <w:uiPriority w:val="99"/>
    <w:semiHidden/>
    <w:unhideWhenUsed/>
    <w:rsid w:val="00EB09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17/1075/schedule/3?utm_source=copilo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si/2017/1075/regulation/9?utm_source=copilo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si/2017/1075/regulation/8?utm_source=copilot.com" TargetMode="External"/><Relationship Id="rId11" Type="http://schemas.openxmlformats.org/officeDocument/2006/relationships/image" Target="media/image2.png"/><Relationship Id="rId5" Type="http://schemas.openxmlformats.org/officeDocument/2006/relationships/hyperlink" Target="https://www.legislation.gov.uk/uksi/2017/1075/contents?utm_source=copilot.com"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onr.org.uk/saps/saps2014.pdf?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3932</Words>
  <Characters>22413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2</cp:revision>
  <dcterms:created xsi:type="dcterms:W3CDTF">2026-09-04T09:56:00Z</dcterms:created>
  <dcterms:modified xsi:type="dcterms:W3CDTF">2026-09-04T09:56:00Z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2d9828cc-ac89-4e12-93a8-5bee9dc4eaec</vt:lpwstr>
  </property>
</Properties>
</file>