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r>
        <w:rPr>
          <w:rFonts w:ascii="Georgia" w:hAnsi="Georgia" w:eastAsia="Georgia" w:cs="Georgia"/>
          <w:color w:val="000000" w:themeColor="text1" w:themeTint="FF"/>
          <w:sz w:val="21"/>
          <w:szCs w:val="21"/>
          <w:lang w:val="en-GB"/>
          <w14:textFill>
            <w14:solidFill>
              <w14:schemeClr w14:val="tx1">
                <w14:lumMod w14:val="100000"/>
                <w14:lumOff w14:val="0"/>
              </w14:schemeClr>
            </w14:solidFill>
          </w14:textFill>
        </w:rPr>
        <w:t xml:space="preserve"> </w:t>
      </w:r>
    </w:p>
    <w:p>
      <w:pPr>
        <w:jc w:val="center"/>
      </w:pPr>
      <w:r>
        <w:rPr>
          <w:rFonts w:ascii="Arial" w:hAnsi="Arial" w:eastAsia="Arial" w:cs="Arial"/>
          <w:b/>
          <w:bCs/>
          <w:color w:val="000000" w:themeColor="text1" w:themeTint="FF"/>
          <w:sz w:val="28"/>
          <w:szCs w:val="28"/>
          <w:lang w:val="en-GB"/>
          <w14:textFill>
            <w14:solidFill>
              <w14:schemeClr w14:val="tx1">
                <w14:lumMod w14:val="100000"/>
                <w14:lumOff w14:val="0"/>
              </w14:schemeClr>
            </w14:solidFill>
          </w14:textFill>
        </w:rPr>
        <w:t xml:space="preserve">Postgraduate/Distance Learning </w:t>
      </w:r>
    </w:p>
    <w:p>
      <w:pPr>
        <w:jc w:val="center"/>
      </w:pPr>
      <w:r>
        <w:rPr>
          <w:rFonts w:ascii="Arial" w:hAnsi="Arial" w:eastAsia="Arial" w:cs="Arial"/>
          <w:b/>
          <w:bCs/>
          <w:color w:val="000000" w:themeColor="text1" w:themeTint="FF"/>
          <w:sz w:val="28"/>
          <w:szCs w:val="28"/>
          <w:lang w:val="en-GB"/>
          <w14:textFill>
            <w14:solidFill>
              <w14:schemeClr w14:val="tx1">
                <w14:lumMod w14:val="100000"/>
                <w14:lumOff w14:val="0"/>
              </w14:schemeClr>
            </w14:solidFill>
          </w14:textFill>
        </w:rPr>
        <w:t>Assignment coversheet &amp; feedback form</w:t>
      </w:r>
    </w:p>
    <w:p>
      <w:r>
        <w:rPr>
          <w:rFonts w:ascii="Arial" w:hAnsi="Arial" w:eastAsia="Arial" w:cs="Arial"/>
          <w:sz w:val="28"/>
          <w:szCs w:val="28"/>
          <w:lang w:val="en-GB"/>
        </w:rPr>
        <w:t xml:space="preserve"> </w:t>
      </w:r>
    </w:p>
    <w:p>
      <w:pPr>
        <w:pStyle w:val="2"/>
      </w:pPr>
      <w:r>
        <w:rPr>
          <w:rFonts w:ascii="Tahoma" w:hAnsi="Tahoma" w:eastAsia="Tahoma" w:cs="Tahoma"/>
          <w:b/>
          <w:bCs/>
          <w:sz w:val="20"/>
          <w:szCs w:val="20"/>
          <w:lang w:val="en-GB"/>
        </w:rPr>
        <w:t>THIS SHEET MUST BE THE FIRST PAGE OF THE ASSIGNMENT YOU ARE SUBMITTING  (DO NOT SEND AS A SEPARATE FILE)</w:t>
      </w:r>
    </w:p>
    <w:p>
      <w:pPr>
        <w:pStyle w:val="2"/>
      </w:pPr>
      <w:r>
        <w:rPr>
          <w:rFonts w:ascii="Trebuchet MS" w:hAnsi="Trebuchet MS" w:eastAsia="Trebuchet MS" w:cs="Trebuchet MS"/>
          <w:b/>
          <w:bCs/>
          <w:sz w:val="20"/>
          <w:szCs w:val="20"/>
          <w:lang w:val="en-GB"/>
        </w:rPr>
        <w:t xml:space="preserve"> </w:t>
      </w:r>
    </w:p>
    <w:tbl>
      <w:tblPr>
        <w:tblStyle w:val="10"/>
        <w:tblW w:w="0" w:type="auto"/>
        <w:tblInd w:w="0" w:type="dxa"/>
        <w:tblLayout w:type="fixed"/>
        <w:tblCellMar>
          <w:top w:w="0" w:type="dxa"/>
          <w:left w:w="108" w:type="dxa"/>
          <w:bottom w:w="0" w:type="dxa"/>
          <w:right w:w="108" w:type="dxa"/>
        </w:tblCellMar>
      </w:tblPr>
      <w:tblGrid>
        <w:gridCol w:w="4785"/>
        <w:gridCol w:w="420"/>
        <w:gridCol w:w="1560"/>
        <w:gridCol w:w="285"/>
        <w:gridCol w:w="1800"/>
      </w:tblGrid>
      <w:tr>
        <w:trPr>
          <w:trHeight w:val="615" w:hRule="atLeast"/>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vAlign w:val="top"/>
          </w:tcPr>
          <w:p>
            <w:r>
              <w:rPr>
                <w:rFonts w:ascii="Arial" w:hAnsi="Arial" w:eastAsia="Arial" w:cs="Arial"/>
                <w:b/>
                <w:bCs/>
                <w:color w:val="000000" w:themeColor="text1" w:themeTint="FF"/>
                <w:sz w:val="22"/>
                <w:szCs w:val="22"/>
                <w14:textFill>
                  <w14:solidFill>
                    <w14:schemeClr w14:val="tx1">
                      <w14:lumMod w14:val="100000"/>
                      <w14:lumOff w14:val="0"/>
                    </w14:schemeClr>
                  </w14:solidFill>
                </w14:textFill>
              </w:rPr>
              <w:t>For completion by the student</w:t>
            </w:r>
            <w:r>
              <w:rPr>
                <w:rFonts w:ascii="Arial" w:hAnsi="Arial" w:eastAsia="Arial" w:cs="Arial"/>
                <w:color w:val="000000" w:themeColor="text1" w:themeTint="FF"/>
                <w:sz w:val="22"/>
                <w:szCs w:val="22"/>
                <w14:textFill>
                  <w14:solidFill>
                    <w14:schemeClr w14:val="tx1">
                      <w14:lumMod w14:val="100000"/>
                      <w14:lumOff w14:val="0"/>
                    </w14:schemeClr>
                  </w14:solidFill>
                </w14:textFill>
              </w:rPr>
              <w:t>:</w:t>
            </w:r>
          </w:p>
        </w:tc>
      </w:tr>
      <w:tr>
        <w:trPr>
          <w:trHeight w:val="720" w:hRule="atLeast"/>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vAlign w:val="top"/>
          </w:tcPr>
          <w:p>
            <w:r>
              <w:rPr>
                <w:rFonts w:ascii="Arial" w:hAnsi="Arial" w:eastAsia="Arial" w:cs="Arial"/>
                <w:color w:val="000000" w:themeColor="text1" w:themeTint="FF"/>
                <w:sz w:val="22"/>
                <w:szCs w:val="22"/>
                <w14:textFill>
                  <w14:solidFill>
                    <w14:schemeClr w14:val="tx1">
                      <w14:lumMod w14:val="100000"/>
                      <w14:lumOff w14:val="0"/>
                    </w14:schemeClr>
                  </w14:solidFill>
                </w14:textFill>
              </w:rPr>
              <w:t>Student Name:</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Cara Louise Braia</w:t>
            </w:r>
          </w:p>
        </w:tc>
      </w:tr>
      <w:tr>
        <w:trPr>
          <w:trHeight w:val="855" w:hRule="atLeast"/>
        </w:trPr>
        <w:tc>
          <w:tcPr>
            <w:tcW w:w="4785" w:type="dxa"/>
            <w:tcBorders>
              <w:top w:val="single" w:color="000000" w:themeColor="text1" w:sz="8" w:space="0"/>
              <w:left w:val="single" w:color="000000" w:themeColor="text1" w:sz="8" w:space="0"/>
              <w:bottom w:val="single" w:color="000000" w:themeColor="text1" w:sz="8" w:space="0"/>
              <w:right w:val="single" w:color="000000" w:themeColor="text1" w:sz="8" w:space="0"/>
            </w:tcBorders>
            <w:vAlign w:val="top"/>
          </w:tcPr>
          <w:p>
            <w:r>
              <w:rPr>
                <w:rFonts w:ascii="Arial" w:hAnsi="Arial" w:eastAsia="Arial" w:cs="Arial"/>
                <w:color w:val="000000" w:themeColor="text1" w:themeTint="FF"/>
                <w:sz w:val="22"/>
                <w:szCs w:val="22"/>
                <w14:textFill>
                  <w14:solidFill>
                    <w14:schemeClr w14:val="tx1">
                      <w14:lumMod w14:val="100000"/>
                      <w14:lumOff w14:val="0"/>
                    </w14:schemeClr>
                  </w14:solidFill>
                </w14:textFill>
              </w:rPr>
              <w:t>Module code:</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HPCA7027</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Module title:</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Cosmology, Magic and Divination</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w:t>
            </w:r>
          </w:p>
        </w:tc>
        <w:tc>
          <w:tcPr>
            <w:tcW w:w="2265"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vAlign w:val="top"/>
          </w:tcPr>
          <w:p>
            <w:r>
              <w:rPr>
                <w:rFonts w:ascii="Arial" w:hAnsi="Arial" w:eastAsia="Arial" w:cs="Arial"/>
                <w:color w:val="000000" w:themeColor="text1" w:themeTint="FF"/>
                <w:sz w:val="22"/>
                <w:szCs w:val="22"/>
                <w14:textFill>
                  <w14:solidFill>
                    <w14:schemeClr w14:val="tx1">
                      <w14:lumMod w14:val="100000"/>
                      <w14:lumOff w14:val="0"/>
                    </w14:schemeClr>
                  </w14:solidFill>
                </w14:textFill>
              </w:rPr>
              <w:t>Student ID number:</w:t>
            </w:r>
          </w:p>
          <w:p>
            <w:pPr>
              <w:rPr>
                <w:rFonts w:ascii="Segoe UI" w:hAnsi="Segoe UI" w:eastAsia="Segoe UI" w:cs="Segoe UI"/>
                <w:b w:val="0"/>
                <w:bCs w:val="0"/>
                <w:i w:val="0"/>
                <w:iCs w:val="0"/>
                <w:caps w:val="0"/>
                <w:smallCaps w:val="0"/>
                <w:color w:val="323130"/>
                <w:sz w:val="42"/>
                <w:szCs w:val="42"/>
                <w:lang w:val="en-GB"/>
              </w:rPr>
            </w:pPr>
            <w:r>
              <w:rPr>
                <w:rFonts w:ascii="Segoe UI" w:hAnsi="Segoe UI" w:eastAsia="Segoe UI" w:cs="Segoe UI"/>
                <w:b w:val="0"/>
                <w:bCs w:val="0"/>
                <w:i w:val="0"/>
                <w:iCs w:val="0"/>
                <w:caps w:val="0"/>
                <w:smallCaps w:val="0"/>
                <w:color w:val="323130"/>
                <w:sz w:val="42"/>
                <w:szCs w:val="42"/>
                <w:lang w:val="en-GB"/>
              </w:rPr>
              <w:t>2116365</w:t>
            </w:r>
          </w:p>
        </w:tc>
        <w:tc>
          <w:tcPr>
            <w:tcW w:w="1800" w:type="dxa"/>
            <w:tcBorders>
              <w:top w:val="single" w:color="000000" w:themeColor="text1" w:sz="8" w:space="0"/>
              <w:left w:val="nil"/>
              <w:bottom w:val="single" w:color="000000" w:themeColor="text1" w:sz="8" w:space="0"/>
              <w:right w:val="single" w:color="000000" w:themeColor="text1" w:sz="8" w:space="0"/>
            </w:tcBorders>
            <w:vAlign w:val="top"/>
          </w:tcPr>
          <w:p>
            <w:r>
              <w:rPr>
                <w:rFonts w:ascii="Arial" w:hAnsi="Arial" w:eastAsia="Arial" w:cs="Arial"/>
                <w:color w:val="000000" w:themeColor="text1" w:themeTint="FF"/>
                <w:sz w:val="22"/>
                <w:szCs w:val="22"/>
                <w14:textFill>
                  <w14:solidFill>
                    <w14:schemeClr w14:val="tx1">
                      <w14:lumMod w14:val="100000"/>
                      <w14:lumOff w14:val="0"/>
                    </w14:schemeClr>
                  </w14:solidFill>
                </w14:textFill>
              </w:rPr>
              <w:t>Educational support needs:</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No</w:t>
            </w:r>
          </w:p>
        </w:tc>
      </w:tr>
      <w:tr>
        <w:trPr>
          <w:trHeight w:val="1140" w:hRule="atLeast"/>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vAlign w:val="top"/>
          </w:tcPr>
          <w:p>
            <w:r>
              <w:rPr>
                <w:rFonts w:ascii="Arial" w:hAnsi="Arial" w:eastAsia="Arial" w:cs="Arial"/>
                <w:color w:val="000000" w:themeColor="text1" w:themeTint="FF"/>
                <w:sz w:val="22"/>
                <w:szCs w:val="22"/>
                <w14:textFill>
                  <w14:solidFill>
                    <w14:schemeClr w14:val="tx1">
                      <w14:lumMod w14:val="100000"/>
                      <w14:lumOff w14:val="0"/>
                    </w14:schemeClr>
                  </w14:solidFill>
                </w14:textFill>
              </w:rPr>
              <w:t>Module tutor:</w:t>
            </w:r>
          </w:p>
          <w:p>
            <w:pPr>
              <w:rPr>
                <w:rFonts w:ascii="Arial" w:hAnsi="Arial" w:eastAsia="Arial" w:cs="Arial"/>
                <w:sz w:val="22"/>
                <w:szCs w:val="22"/>
                <w:lang w:val="en-GB"/>
              </w:rPr>
            </w:pPr>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w:t>
            </w:r>
            <w:r>
              <w:rPr>
                <w:rFonts w:ascii="Arial" w:hAnsi="Arial" w:eastAsia="Arial" w:cs="Arial"/>
                <w:sz w:val="22"/>
                <w:szCs w:val="22"/>
                <w:lang w:val="en-GB"/>
              </w:rPr>
              <w:t>Dorian Greenbaum, Crystal Addey, Dawn Collins</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Assignment due date: 2</w:t>
            </w:r>
            <w:r>
              <w:rPr>
                <w:rFonts w:ascii="Arial" w:hAnsi="Arial" w:eastAsia="Arial" w:cs="Arial"/>
                <w:color w:val="000000" w:themeColor="text1" w:themeTint="FF"/>
                <w:sz w:val="22"/>
                <w:szCs w:val="22"/>
                <w:vertAlign w:val="superscript"/>
                <w14:textFill>
                  <w14:solidFill>
                    <w14:schemeClr w14:val="tx1">
                      <w14:lumMod w14:val="100000"/>
                      <w14:lumOff w14:val="0"/>
                    </w14:schemeClr>
                  </w14:solidFill>
                </w14:textFill>
              </w:rPr>
              <w:t>nd</w:t>
            </w:r>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May 2022</w:t>
            </w:r>
          </w:p>
        </w:tc>
      </w:tr>
      <w:tr>
        <w:trPr>
          <w:trHeight w:val="975" w:hRule="atLeast"/>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vAlign w:val="top"/>
          </w:tcPr>
          <w:p>
            <w:r>
              <w:rPr>
                <w:rFonts w:ascii="Arial" w:hAnsi="Arial" w:eastAsia="Arial" w:cs="Arial"/>
                <w:sz w:val="22"/>
                <w:szCs w:val="22"/>
              </w:rPr>
              <w:t>If your module has multiple submissions please indicate which piece of work this is.</w:t>
            </w:r>
          </w:p>
          <w:p>
            <w:r>
              <w:rPr>
                <w:rFonts w:ascii="Arial" w:hAnsi="Arial" w:eastAsia="Arial" w:cs="Arial"/>
                <w:sz w:val="22"/>
                <w:szCs w:val="22"/>
              </w:rPr>
              <w:t xml:space="preserve"> </w:t>
            </w:r>
          </w:p>
          <w:p>
            <w:r>
              <w:rPr>
                <w:rFonts w:ascii="Arial" w:hAnsi="Arial" w:eastAsia="Arial" w:cs="Arial"/>
                <w:sz w:val="22"/>
                <w:szCs w:val="22"/>
              </w:rPr>
              <w:t>1</w:t>
            </w:r>
            <w:r>
              <w:rPr>
                <w:rFonts w:ascii="Arial" w:hAnsi="Arial" w:eastAsia="Arial" w:cs="Arial"/>
                <w:sz w:val="22"/>
                <w:szCs w:val="22"/>
                <w:vertAlign w:val="superscript"/>
              </w:rPr>
              <w:t xml:space="preserve">st </w:t>
            </w:r>
            <w:r>
              <w:rPr>
                <w:rFonts w:ascii="Times New Roman" w:hAnsi="Times New Roman" w:eastAsia="Times New Roman" w:cs="Times New Roman"/>
                <w:sz w:val="24"/>
                <w:szCs w:val="24"/>
              </w:rPr>
              <w:t xml:space="preserve">  </w:t>
            </w:r>
            <w:r>
              <w:rPr>
                <w:rFonts w:ascii="Arial" w:hAnsi="Arial" w:eastAsia="Arial" w:cs="Arial"/>
                <w:sz w:val="22"/>
                <w:szCs w:val="22"/>
              </w:rPr>
              <w:t xml:space="preserve"> </w:t>
            </w:r>
          </w:p>
        </w:tc>
      </w:tr>
      <w:tr>
        <w:trPr>
          <w:trHeight w:val="975" w:hRule="atLeast"/>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D8D8D8" w:themeFill="background1" w:themeFillShade="D9"/>
            <w:vAlign w:val="top"/>
          </w:tcPr>
          <w:p>
            <w:r>
              <w:rPr>
                <w:rFonts w:ascii="Arial" w:hAnsi="Arial" w:eastAsia="Arial" w:cs="Arial"/>
                <w:color w:val="000000" w:themeColor="text1" w:themeTint="FF"/>
                <w:sz w:val="22"/>
                <w:szCs w:val="22"/>
                <w14:textFill>
                  <w14:solidFill>
                    <w14:schemeClr w14:val="tx1">
                      <w14:lumMod w14:val="100000"/>
                      <w14:lumOff w14:val="0"/>
                    </w14:schemeClr>
                  </w14:solidFill>
                </w14:textFill>
              </w:rPr>
              <w:t>I confirm that this is my original work and that I have adhered to the University policy on plagiarism.</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Signed ………Cara Braia………………………………</w:t>
            </w:r>
          </w:p>
          <w:p>
            <w:r>
              <w:rPr>
                <w:rFonts w:ascii="Calibri" w:hAnsi="Calibri" w:eastAsia="Calibri" w:cs="Calibri"/>
                <w:b/>
                <w:bCs/>
                <w:color w:val="000000" w:themeColor="text1" w:themeTint="FF"/>
                <w:sz w:val="24"/>
                <w:szCs w:val="24"/>
                <w14:textFill>
                  <w14:solidFill>
                    <w14:schemeClr w14:val="tx1">
                      <w14:lumMod w14:val="100000"/>
                      <w14:lumOff w14:val="0"/>
                    </w14:schemeClr>
                  </w14:solidFill>
                </w14:textFill>
              </w:rPr>
              <w:t xml:space="preserve">Email submission: if you are submitting this form via email, please tick this box </w:t>
            </w:r>
            <w:r>
              <w:rPr>
                <w:rFonts w:ascii="Calibri" w:hAnsi="Calibri" w:eastAsia="Calibri" w:cs="Calibri"/>
                <w:b/>
                <w:bCs/>
                <w:color w:val="000000" w:themeColor="text1" w:themeTint="FF"/>
                <w:sz w:val="44"/>
                <w:szCs w:val="44"/>
                <w14:textFill>
                  <w14:solidFill>
                    <w14:schemeClr w14:val="tx1">
                      <w14:lumMod w14:val="100000"/>
                      <w14:lumOff w14:val="0"/>
                    </w14:schemeClr>
                  </w14:solidFill>
                </w14:textFill>
              </w:rPr>
              <w:t>□</w:t>
            </w:r>
          </w:p>
          <w:p>
            <w:r>
              <w:rPr>
                <w:rFonts w:ascii="Calibri" w:hAnsi="Calibri" w:eastAsia="Calibri" w:cs="Calibri"/>
                <w:b/>
                <w:bCs/>
                <w:color w:val="000000" w:themeColor="text1" w:themeTint="FF"/>
                <w:sz w:val="24"/>
                <w:szCs w:val="24"/>
                <w14:textFill>
                  <w14:solidFill>
                    <w14:schemeClr w14:val="tx1">
                      <w14:lumMod w14:val="100000"/>
                      <w14:lumOff w14:val="0"/>
                    </w14:schemeClr>
                  </w14:solidFill>
                </w14:textFill>
              </w:rPr>
              <w:t>(as a substitute for your signature) to confirm that you agree to the above declaration.</w:t>
            </w:r>
          </w:p>
        </w:tc>
      </w:tr>
      <w:tr>
        <w:trPr>
          <w:trHeight w:val="3975" w:hRule="atLeast"/>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vAlign w:val="top"/>
          </w:tcPr>
          <w:p>
            <w:r>
              <w:rPr>
                <w:rFonts w:ascii="Arial" w:hAnsi="Arial" w:eastAsia="Arial" w:cs="Arial"/>
                <w:b/>
                <w:bCs/>
                <w:sz w:val="24"/>
                <w:szCs w:val="24"/>
              </w:rPr>
              <w:t xml:space="preserve"> </w:t>
            </w:r>
          </w:p>
          <w:p>
            <w:r>
              <w:rPr>
                <w:rFonts w:ascii="Arial" w:hAnsi="Arial" w:eastAsia="Arial" w:cs="Arial"/>
                <w:b/>
                <w:bCs/>
                <w:sz w:val="24"/>
                <w:szCs w:val="24"/>
              </w:rPr>
              <w:t>Assignment Mark</w:t>
            </w:r>
          </w:p>
          <w:tbl>
            <w:tblPr>
              <w:tblStyle w:val="10"/>
              <w:tblW w:w="0" w:type="auto"/>
              <w:tblInd w:w="0" w:type="dxa"/>
              <w:tblLayout w:type="fixed"/>
              <w:tblCellMar>
                <w:top w:w="0" w:type="dxa"/>
                <w:left w:w="108" w:type="dxa"/>
                <w:bottom w:w="0" w:type="dxa"/>
                <w:right w:w="108" w:type="dxa"/>
              </w:tblCellMar>
            </w:tblPr>
            <w:tblGrid>
              <w:gridCol w:w="6975"/>
              <w:gridCol w:w="1665"/>
            </w:tblGrid>
            <w:tr>
              <w:tc>
                <w:tcPr>
                  <w:tcW w:w="6975" w:type="dxa"/>
                  <w:tcBorders>
                    <w:top w:val="single" w:color="auto" w:sz="8" w:space="0"/>
                    <w:left w:val="single" w:color="auto" w:sz="8" w:space="0"/>
                    <w:bottom w:val="single" w:color="auto" w:sz="8" w:space="0"/>
                    <w:right w:val="single" w:color="auto" w:sz="8" w:space="0"/>
                  </w:tcBorders>
                  <w:vAlign w:val="top"/>
                </w:tcPr>
                <w:p>
                  <w:r>
                    <w:rPr>
                      <w:rFonts w:ascii="Arial" w:hAnsi="Arial" w:eastAsia="Arial" w:cs="Arial"/>
                      <w:sz w:val="20"/>
                      <w:szCs w:val="20"/>
                    </w:rPr>
                    <w:t xml:space="preserve"> </w:t>
                  </w:r>
                </w:p>
                <w:p>
                  <w:r>
                    <w:rPr>
                      <w:rFonts w:ascii="Arial" w:hAnsi="Arial" w:eastAsia="Arial" w:cs="Arial"/>
                      <w:sz w:val="20"/>
                      <w:szCs w:val="20"/>
                    </w:rPr>
                    <w:t>1</w:t>
                  </w:r>
                  <w:r>
                    <w:rPr>
                      <w:rFonts w:ascii="Arial" w:hAnsi="Arial" w:eastAsia="Arial" w:cs="Arial"/>
                      <w:sz w:val="20"/>
                      <w:szCs w:val="20"/>
                      <w:vertAlign w:val="superscript"/>
                    </w:rPr>
                    <w:t>st</w:t>
                  </w:r>
                  <w:r>
                    <w:rPr>
                      <w:rFonts w:ascii="Arial" w:hAnsi="Arial" w:eastAsia="Arial" w:cs="Arial"/>
                      <w:sz w:val="20"/>
                      <w:szCs w:val="20"/>
                    </w:rPr>
                    <w:t xml:space="preserve"> Marker’s Provisional mark</w:t>
                  </w:r>
                </w:p>
              </w:tc>
              <w:tc>
                <w:tcPr>
                  <w:tcW w:w="1665" w:type="dxa"/>
                  <w:tcBorders>
                    <w:top w:val="single" w:color="auto" w:sz="8" w:space="0"/>
                    <w:left w:val="single" w:color="auto" w:sz="8" w:space="0"/>
                    <w:bottom w:val="single" w:color="auto" w:sz="8" w:space="0"/>
                    <w:right w:val="single" w:color="auto" w:sz="8" w:space="0"/>
                  </w:tcBorders>
                  <w:vAlign w:val="top"/>
                </w:tcPr>
                <w:p>
                  <w:r>
                    <w:rPr>
                      <w:rFonts w:ascii="Arial" w:hAnsi="Arial" w:eastAsia="Arial" w:cs="Arial"/>
                      <w:sz w:val="20"/>
                      <w:szCs w:val="20"/>
                    </w:rPr>
                    <w:t xml:space="preserve"> </w:t>
                  </w:r>
                </w:p>
              </w:tc>
            </w:tr>
            <w:tr>
              <w:tc>
                <w:tcPr>
                  <w:tcW w:w="6975" w:type="dxa"/>
                  <w:tcBorders>
                    <w:top w:val="single" w:color="auto" w:sz="8" w:space="0"/>
                    <w:left w:val="single" w:color="auto" w:sz="8" w:space="0"/>
                    <w:bottom w:val="single" w:color="auto" w:sz="8" w:space="0"/>
                    <w:right w:val="single" w:color="auto" w:sz="8" w:space="0"/>
                  </w:tcBorders>
                  <w:vAlign w:val="top"/>
                </w:tcPr>
                <w:p>
                  <w:r>
                    <w:rPr>
                      <w:rFonts w:ascii="Arial" w:hAnsi="Arial" w:eastAsia="Arial" w:cs="Arial"/>
                      <w:sz w:val="20"/>
                      <w:szCs w:val="20"/>
                    </w:rPr>
                    <w:t xml:space="preserve"> </w:t>
                  </w:r>
                </w:p>
                <w:p>
                  <w:r>
                    <w:rPr>
                      <w:rFonts w:ascii="Arial" w:hAnsi="Arial" w:eastAsia="Arial" w:cs="Arial"/>
                      <w:sz w:val="20"/>
                      <w:szCs w:val="20"/>
                    </w:rPr>
                    <w:t>2</w:t>
                  </w:r>
                  <w:r>
                    <w:rPr>
                      <w:rFonts w:ascii="Arial" w:hAnsi="Arial" w:eastAsia="Arial" w:cs="Arial"/>
                      <w:sz w:val="20"/>
                      <w:szCs w:val="20"/>
                      <w:vertAlign w:val="superscript"/>
                    </w:rPr>
                    <w:t>nd</w:t>
                  </w:r>
                  <w:r>
                    <w:rPr>
                      <w:rFonts w:ascii="Arial" w:hAnsi="Arial" w:eastAsia="Arial" w:cs="Arial"/>
                      <w:sz w:val="20"/>
                      <w:szCs w:val="20"/>
                    </w:rPr>
                    <w:t xml:space="preserve"> Marker’s/Moderator’s provisional mark</w:t>
                  </w:r>
                </w:p>
              </w:tc>
              <w:tc>
                <w:tcPr>
                  <w:tcW w:w="1665" w:type="dxa"/>
                  <w:tcBorders>
                    <w:top w:val="single" w:color="auto" w:sz="8" w:space="0"/>
                    <w:left w:val="single" w:color="auto" w:sz="8" w:space="0"/>
                    <w:bottom w:val="single" w:color="auto" w:sz="8" w:space="0"/>
                    <w:right w:val="single" w:color="auto" w:sz="8" w:space="0"/>
                  </w:tcBorders>
                  <w:vAlign w:val="top"/>
                </w:tcPr>
                <w:p>
                  <w:r>
                    <w:rPr>
                      <w:rFonts w:ascii="Arial" w:hAnsi="Arial" w:eastAsia="Arial" w:cs="Arial"/>
                      <w:sz w:val="20"/>
                      <w:szCs w:val="20"/>
                    </w:rPr>
                    <w:t xml:space="preserve"> </w:t>
                  </w:r>
                </w:p>
              </w:tc>
            </w:tr>
            <w:tr>
              <w:tc>
                <w:tcPr>
                  <w:tcW w:w="6975" w:type="dxa"/>
                  <w:tcBorders>
                    <w:top w:val="single" w:color="auto" w:sz="8" w:space="0"/>
                    <w:left w:val="single" w:color="auto" w:sz="8" w:space="0"/>
                    <w:bottom w:val="single" w:color="auto" w:sz="8" w:space="0"/>
                    <w:right w:val="single" w:color="auto" w:sz="8" w:space="0"/>
                  </w:tcBorders>
                  <w:vAlign w:val="top"/>
                </w:tcPr>
                <w:p>
                  <w:r>
                    <w:rPr>
                      <w:rFonts w:ascii="Arial" w:hAnsi="Arial" w:eastAsia="Arial" w:cs="Arial"/>
                      <w:color w:val="000000" w:themeColor="text1" w:themeTint="FF"/>
                      <w:sz w:val="20"/>
                      <w:szCs w:val="20"/>
                      <w14:textFill>
                        <w14:solidFill>
                          <w14:schemeClr w14:val="tx1">
                            <w14:lumMod w14:val="100000"/>
                            <w14:lumOff w14:val="0"/>
                          </w14:schemeClr>
                        </w14:solidFill>
                      </w14:textFill>
                    </w:rPr>
                    <w:t xml:space="preserve">Agreed Internal Mark: </w:t>
                  </w:r>
                </w:p>
                <w:p>
                  <w:r>
                    <w:rPr>
                      <w:rFonts w:ascii="Arial" w:hAnsi="Arial" w:eastAsia="Arial" w:cs="Arial"/>
                      <w:sz w:val="20"/>
                      <w:szCs w:val="20"/>
                      <w:highlight w:val="yellow"/>
                    </w:rPr>
                    <w:t xml:space="preserve"> </w:t>
                  </w:r>
                </w:p>
              </w:tc>
              <w:tc>
                <w:tcPr>
                  <w:tcW w:w="1665" w:type="dxa"/>
                  <w:tcBorders>
                    <w:top w:val="single" w:color="auto" w:sz="8" w:space="0"/>
                    <w:left w:val="single" w:color="auto" w:sz="8" w:space="0"/>
                    <w:bottom w:val="single" w:color="auto" w:sz="8" w:space="0"/>
                    <w:right w:val="single" w:color="auto" w:sz="8" w:space="0"/>
                  </w:tcBorders>
                  <w:vAlign w:val="top"/>
                </w:tcPr>
                <w:p>
                  <w:r>
                    <w:rPr>
                      <w:rFonts w:ascii="Arial" w:hAnsi="Arial" w:eastAsia="Arial" w:cs="Arial"/>
                      <w:sz w:val="20"/>
                      <w:szCs w:val="20"/>
                      <w:highlight w:val="yellow"/>
                    </w:rPr>
                    <w:t xml:space="preserve"> </w:t>
                  </w:r>
                </w:p>
              </w:tc>
            </w:tr>
            <w:tr>
              <w:tc>
                <w:tcPr>
                  <w:tcW w:w="6975" w:type="dxa"/>
                  <w:tcBorders>
                    <w:top w:val="single" w:color="auto" w:sz="8" w:space="0"/>
                    <w:left w:val="single" w:color="auto" w:sz="8" w:space="0"/>
                    <w:bottom w:val="single" w:color="auto" w:sz="8" w:space="0"/>
                    <w:right w:val="single" w:color="auto" w:sz="8" w:space="0"/>
                  </w:tcBorders>
                  <w:vAlign w:val="top"/>
                </w:tcPr>
                <w:p>
                  <w:r>
                    <w:rPr>
                      <w:rFonts w:ascii="Arial" w:hAnsi="Arial" w:eastAsia="Arial" w:cs="Arial"/>
                      <w:sz w:val="20"/>
                      <w:szCs w:val="20"/>
                    </w:rPr>
                    <w:t xml:space="preserve"> </w:t>
                  </w:r>
                </w:p>
                <w:p>
                  <w:r>
                    <w:rPr>
                      <w:rFonts w:ascii="Arial" w:hAnsi="Arial" w:eastAsia="Arial" w:cs="Arial"/>
                      <w:sz w:val="20"/>
                      <w:szCs w:val="20"/>
                    </w:rPr>
                    <w:t>External Examiner’s mark (if relevant)</w:t>
                  </w:r>
                </w:p>
              </w:tc>
              <w:tc>
                <w:tcPr>
                  <w:tcW w:w="1665" w:type="dxa"/>
                  <w:tcBorders>
                    <w:top w:val="single" w:color="auto" w:sz="8" w:space="0"/>
                    <w:left w:val="single" w:color="auto" w:sz="8" w:space="0"/>
                    <w:bottom w:val="single" w:color="auto" w:sz="8" w:space="0"/>
                    <w:right w:val="single" w:color="auto" w:sz="8" w:space="0"/>
                  </w:tcBorders>
                  <w:vAlign w:val="top"/>
                </w:tcPr>
                <w:p>
                  <w:r>
                    <w:rPr>
                      <w:rFonts w:ascii="Arial" w:hAnsi="Arial" w:eastAsia="Arial" w:cs="Arial"/>
                      <w:sz w:val="20"/>
                      <w:szCs w:val="20"/>
                    </w:rPr>
                    <w:t xml:space="preserve"> </w:t>
                  </w:r>
                </w:p>
              </w:tc>
            </w:tr>
            <w:tr>
              <w:tc>
                <w:tcPr>
                  <w:tcW w:w="6975" w:type="dxa"/>
                  <w:tcBorders>
                    <w:top w:val="single" w:color="auto" w:sz="8" w:space="0"/>
                    <w:left w:val="single" w:color="auto" w:sz="8" w:space="0"/>
                    <w:bottom w:val="single" w:color="auto" w:sz="8" w:space="0"/>
                    <w:right w:val="single" w:color="auto" w:sz="8" w:space="0"/>
                  </w:tcBorders>
                  <w:vAlign w:val="top"/>
                </w:tcPr>
                <w:p>
                  <w:r>
                    <w:rPr>
                      <w:rFonts w:ascii="Arial" w:hAnsi="Arial" w:eastAsia="Arial" w:cs="Arial"/>
                      <w:sz w:val="20"/>
                      <w:szCs w:val="20"/>
                    </w:rPr>
                    <w:t xml:space="preserve"> </w:t>
                  </w:r>
                </w:p>
                <w:p>
                  <w:r>
                    <w:rPr>
                      <w:rFonts w:ascii="Arial" w:hAnsi="Arial" w:eastAsia="Arial" w:cs="Arial"/>
                      <w:b/>
                      <w:bCs/>
                      <w:sz w:val="20"/>
                      <w:szCs w:val="20"/>
                    </w:rPr>
                    <w:t>Final Mark</w:t>
                  </w:r>
                </w:p>
                <w:p>
                  <w:r>
                    <w:rPr>
                      <w:rFonts w:ascii="Arial" w:hAnsi="Arial" w:eastAsia="Arial" w:cs="Arial"/>
                      <w:sz w:val="20"/>
                      <w:szCs w:val="20"/>
                    </w:rPr>
                    <w:t xml:space="preserve"> </w:t>
                  </w:r>
                </w:p>
              </w:tc>
              <w:tc>
                <w:tcPr>
                  <w:tcW w:w="1665" w:type="dxa"/>
                  <w:tcBorders>
                    <w:top w:val="single" w:color="auto" w:sz="8" w:space="0"/>
                    <w:left w:val="single" w:color="auto" w:sz="8" w:space="0"/>
                    <w:bottom w:val="single" w:color="auto" w:sz="8" w:space="0"/>
                    <w:right w:val="single" w:color="auto" w:sz="8" w:space="0"/>
                  </w:tcBorders>
                  <w:vAlign w:val="top"/>
                </w:tcPr>
                <w:p>
                  <w:r>
                    <w:rPr>
                      <w:rFonts w:ascii="Arial" w:hAnsi="Arial" w:eastAsia="Arial" w:cs="Arial"/>
                      <w:sz w:val="20"/>
                      <w:szCs w:val="20"/>
                    </w:rPr>
                    <w:t xml:space="preserve"> </w:t>
                  </w:r>
                </w:p>
              </w:tc>
            </w:tr>
          </w:tbl>
          <w:p>
            <w:r>
              <w:rPr>
                <w:rFonts w:ascii="Arial" w:hAnsi="Arial" w:eastAsia="Arial" w:cs="Arial"/>
                <w:b/>
                <w:bCs/>
                <w:color w:val="000000" w:themeColor="text1" w:themeTint="FF"/>
                <w:sz w:val="22"/>
                <w:szCs w:val="22"/>
                <w14:textFill>
                  <w14:solidFill>
                    <w14:schemeClr w14:val="tx1">
                      <w14:lumMod w14:val="100000"/>
                      <w14:lumOff w14:val="0"/>
                    </w14:schemeClr>
                  </w14:solidFill>
                </w14:textFill>
              </w:rPr>
              <w:t xml:space="preserve"> </w:t>
            </w:r>
          </w:p>
          <w:p>
            <w:r>
              <w:rPr>
                <w:rFonts w:ascii="Arial" w:hAnsi="Arial" w:eastAsia="Arial" w:cs="Arial"/>
                <w:b/>
                <w:bCs/>
                <w:color w:val="000000" w:themeColor="text1" w:themeTint="FF"/>
                <w:sz w:val="22"/>
                <w:szCs w:val="22"/>
                <w14:textFill>
                  <w14:solidFill>
                    <w14:schemeClr w14:val="tx1">
                      <w14:lumMod w14:val="100000"/>
                      <w14:lumOff w14:val="0"/>
                    </w14:schemeClr>
                  </w14:solidFill>
                </w14:textFill>
              </w:rPr>
              <w:t>NB.</w:t>
            </w:r>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All marks are provisional until confirmed by the Final Examination Board.</w:t>
            </w:r>
          </w:p>
          <w:p>
            <w:r>
              <w:rPr>
                <w:rFonts w:ascii="Arial" w:hAnsi="Arial" w:eastAsia="Arial" w:cs="Arial"/>
                <w:b/>
                <w:bCs/>
                <w:color w:val="000000" w:themeColor="text1" w:themeTint="FF"/>
                <w:sz w:val="22"/>
                <w:szCs w:val="22"/>
                <w14:textFill>
                  <w14:solidFill>
                    <w14:schemeClr w14:val="tx1">
                      <w14:lumMod w14:val="100000"/>
                      <w14:lumOff w14:val="0"/>
                    </w14:schemeClr>
                  </w14:solidFill>
                </w14:textFill>
              </w:rPr>
              <w:t xml:space="preserve"> </w:t>
            </w:r>
          </w:p>
          <w:p>
            <w:r>
              <w:rPr>
                <w:rFonts w:ascii="Arial" w:hAnsi="Arial" w:eastAsia="Arial" w:cs="Arial"/>
                <w:b/>
                <w:bCs/>
                <w:color w:val="000000" w:themeColor="text1" w:themeTint="FF"/>
                <w:sz w:val="22"/>
                <w:szCs w:val="22"/>
                <w14:textFill>
                  <w14:solidFill>
                    <w14:schemeClr w14:val="tx1">
                      <w14:lumMod w14:val="100000"/>
                      <w14:lumOff w14:val="0"/>
                    </w14:schemeClr>
                  </w14:solidFill>
                </w14:textFill>
              </w:rPr>
              <w:t xml:space="preserve"> </w:t>
            </w:r>
          </w:p>
          <w:p>
            <w:r>
              <w:rPr>
                <w:rFonts w:ascii="Arial" w:hAnsi="Arial" w:eastAsia="Arial" w:cs="Arial"/>
                <w:b/>
                <w:bCs/>
                <w:color w:val="000000" w:themeColor="text1" w:themeTint="FF"/>
                <w:sz w:val="22"/>
                <w:szCs w:val="22"/>
                <w14:textFill>
                  <w14:solidFill>
                    <w14:schemeClr w14:val="tx1">
                      <w14:lumMod w14:val="100000"/>
                      <w14:lumOff w14:val="0"/>
                    </w14:schemeClr>
                  </w14:solidFill>
                </w14:textFill>
              </w:rPr>
              <w:t xml:space="preserve"> </w:t>
            </w:r>
          </w:p>
          <w:p>
            <w:r>
              <w:rPr>
                <w:rFonts w:ascii="Arial" w:hAnsi="Arial" w:eastAsia="Arial" w:cs="Arial"/>
                <w:b/>
                <w:bCs/>
                <w:color w:val="000000" w:themeColor="text1" w:themeTint="FF"/>
                <w:sz w:val="22"/>
                <w:szCs w:val="22"/>
                <w14:textFill>
                  <w14:solidFill>
                    <w14:schemeClr w14:val="tx1">
                      <w14:lumMod w14:val="100000"/>
                      <w14:lumOff w14:val="0"/>
                    </w14:schemeClr>
                  </w14:solidFill>
                </w14:textFill>
              </w:rPr>
              <w:t xml:space="preserve"> </w:t>
            </w:r>
          </w:p>
          <w:p>
            <w:r>
              <w:rPr>
                <w:rFonts w:ascii="Arial" w:hAnsi="Arial" w:eastAsia="Arial" w:cs="Arial"/>
                <w:b/>
                <w:bCs/>
                <w:color w:val="000000" w:themeColor="text1" w:themeTint="FF"/>
                <w:sz w:val="22"/>
                <w:szCs w:val="22"/>
                <w14:textFill>
                  <w14:solidFill>
                    <w14:schemeClr w14:val="tx1">
                      <w14:lumMod w14:val="100000"/>
                      <w14:lumOff w14:val="0"/>
                    </w14:schemeClr>
                  </w14:solidFill>
                </w14:textFill>
              </w:rPr>
              <w:t>For completion by Marker 1 :</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Comments:</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w:t>
            </w:r>
          </w:p>
        </w:tc>
      </w:tr>
      <w:tr>
        <w:trPr>
          <w:trHeight w:val="495" w:hRule="atLeast"/>
        </w:trPr>
        <w:tc>
          <w:tcPr>
            <w:tcW w:w="6765" w:type="dxa"/>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vAlign w:val="top"/>
          </w:tcPr>
          <w:p>
            <w:r>
              <w:rPr>
                <w:rFonts w:ascii="Arial" w:hAnsi="Arial" w:eastAsia="Arial" w:cs="Arial"/>
                <w:color w:val="000000" w:themeColor="text1" w:themeTint="FF"/>
                <w:sz w:val="22"/>
                <w:szCs w:val="22"/>
                <w14:textFill>
                  <w14:solidFill>
                    <w14:schemeClr w14:val="tx1">
                      <w14:lumMod w14:val="100000"/>
                      <w14:lumOff w14:val="0"/>
                    </w14:schemeClr>
                  </w14:solidFill>
                </w14:textFill>
              </w:rPr>
              <w:t>Marker’s signature:</w:t>
            </w:r>
          </w:p>
        </w:tc>
        <w:tc>
          <w:tcPr>
            <w:tcW w:w="2085" w:type="dxa"/>
            <w:gridSpan w:val="2"/>
            <w:tcBorders>
              <w:top w:val="single" w:color="000000" w:themeColor="text1" w:sz="8" w:space="0"/>
              <w:left w:val="nil"/>
              <w:bottom w:val="single" w:color="000000" w:themeColor="text1" w:sz="8" w:space="0"/>
              <w:right w:val="single" w:color="000000" w:themeColor="text1" w:sz="8" w:space="0"/>
            </w:tcBorders>
            <w:vAlign w:val="top"/>
          </w:tcPr>
          <w:p>
            <w:r>
              <w:rPr>
                <w:rFonts w:ascii="Arial" w:hAnsi="Arial" w:eastAsia="Arial" w:cs="Arial"/>
                <w:color w:val="000000" w:themeColor="text1" w:themeTint="FF"/>
                <w:sz w:val="22"/>
                <w:szCs w:val="22"/>
                <w14:textFill>
                  <w14:solidFill>
                    <w14:schemeClr w14:val="tx1">
                      <w14:lumMod w14:val="100000"/>
                      <w14:lumOff w14:val="0"/>
                    </w14:schemeClr>
                  </w14:solidFill>
                </w14:textFill>
              </w:rPr>
              <w:t>Date:</w:t>
            </w:r>
          </w:p>
        </w:tc>
      </w:tr>
      <w:t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vAlign w:val="top"/>
          </w:tcPr>
          <w:p>
            <w:r>
              <w:rPr>
                <w:rFonts w:ascii="Arial" w:hAnsi="Arial" w:eastAsia="Arial" w:cs="Arial"/>
                <w:i/>
                <w:iCs/>
                <w:color w:val="000000" w:themeColor="text1" w:themeTint="FF"/>
                <w:sz w:val="22"/>
                <w:szCs w:val="22"/>
                <w14:textFill>
                  <w14:solidFill>
                    <w14:schemeClr w14:val="tx1">
                      <w14:lumMod w14:val="100000"/>
                      <w14:lumOff w14:val="0"/>
                    </w14:schemeClr>
                  </w14:solidFill>
                </w14:textFill>
              </w:rPr>
              <w:t xml:space="preserve"> </w:t>
            </w:r>
          </w:p>
          <w:p>
            <w:r>
              <w:rPr>
                <w:rFonts w:ascii="Arial" w:hAnsi="Arial" w:eastAsia="Arial" w:cs="Arial"/>
                <w:b/>
                <w:bCs/>
                <w:color w:val="000000" w:themeColor="text1" w:themeTint="FF"/>
                <w:sz w:val="22"/>
                <w:szCs w:val="22"/>
                <w14:textFill>
                  <w14:solidFill>
                    <w14:schemeClr w14:val="tx1">
                      <w14:lumMod w14:val="100000"/>
                      <w14:lumOff w14:val="0"/>
                    </w14:schemeClr>
                  </w14:solidFill>
                </w14:textFill>
              </w:rPr>
              <w:t>For completion by Marker 2/Moderator:</w:t>
            </w:r>
          </w:p>
          <w:p>
            <w:r>
              <w:rPr>
                <w:rFonts w:ascii="Arial" w:hAnsi="Arial" w:eastAsia="Arial" w:cs="Arial"/>
                <w:b/>
                <w:bCs/>
                <w:color w:val="000000" w:themeColor="text1" w:themeTint="FF"/>
                <w:sz w:val="22"/>
                <w:szCs w:val="22"/>
                <w14:textFill>
                  <w14:solidFill>
                    <w14:schemeClr w14:val="tx1">
                      <w14:lumMod w14:val="100000"/>
                      <w14:lumOff w14:val="0"/>
                    </w14:schemeClr>
                  </w14:solidFill>
                </w14:textFill>
              </w:rPr>
              <w:t xml:space="preserve"> </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Comments:</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w:t>
            </w:r>
          </w:p>
        </w:tc>
      </w:tr>
      <w:tr>
        <w:trPr>
          <w:trHeight w:val="720" w:hRule="atLeast"/>
        </w:trPr>
        <w:tc>
          <w:tcPr>
            <w:tcW w:w="520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top"/>
          </w:tcPr>
          <w:p>
            <w:r>
              <w:rPr>
                <w:rFonts w:ascii="Arial" w:hAnsi="Arial" w:eastAsia="Arial" w:cs="Arial"/>
                <w:color w:val="000000" w:themeColor="text1" w:themeTint="FF"/>
                <w:sz w:val="22"/>
                <w:szCs w:val="22"/>
                <w14:textFill>
                  <w14:solidFill>
                    <w14:schemeClr w14:val="tx1">
                      <w14:lumMod w14:val="100000"/>
                      <w14:lumOff w14:val="0"/>
                    </w14:schemeClr>
                  </w14:solidFill>
                </w14:textFill>
              </w:rPr>
              <w:t>Marker’s Signature:</w:t>
            </w:r>
          </w:p>
        </w:tc>
        <w:tc>
          <w:tcPr>
            <w:tcW w:w="3645" w:type="dxa"/>
            <w:gridSpan w:val="3"/>
            <w:tcBorders>
              <w:top w:val="single" w:color="000000" w:themeColor="text1" w:sz="8" w:space="0"/>
              <w:left w:val="nil"/>
              <w:bottom w:val="single" w:color="000000" w:themeColor="text1" w:sz="8" w:space="0"/>
              <w:right w:val="single" w:color="000000" w:themeColor="text1" w:sz="8" w:space="0"/>
            </w:tcBorders>
            <w:vAlign w:val="top"/>
          </w:tcPr>
          <w:p>
            <w:r>
              <w:rPr>
                <w:rFonts w:ascii="Arial" w:hAnsi="Arial" w:eastAsia="Arial" w:cs="Arial"/>
                <w:color w:val="000000" w:themeColor="text1" w:themeTint="FF"/>
                <w:sz w:val="22"/>
                <w:szCs w:val="22"/>
                <w14:textFill>
                  <w14:solidFill>
                    <w14:schemeClr w14:val="tx1">
                      <w14:lumMod w14:val="100000"/>
                      <w14:lumOff w14:val="0"/>
                    </w14:schemeClr>
                  </w14:solidFill>
                </w14:textFill>
              </w:rPr>
              <w:t>Date:</w:t>
            </w:r>
          </w:p>
        </w:tc>
      </w:tr>
      <w:tr>
        <w:trPr>
          <w:trHeight w:val="720" w:hRule="atLeast"/>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vAlign w:val="top"/>
          </w:tcPr>
          <w:p>
            <w:r>
              <w:rPr>
                <w:rFonts w:ascii="Arial" w:hAnsi="Arial" w:eastAsia="Arial" w:cs="Arial"/>
                <w:b/>
                <w:bCs/>
                <w:sz w:val="22"/>
                <w:szCs w:val="22"/>
              </w:rPr>
              <w:t>AGREED INTERNAL MARK (where necessary):</w:t>
            </w:r>
          </w:p>
          <w:p>
            <w:r>
              <w:rPr>
                <w:rFonts w:ascii="Arial" w:hAnsi="Arial" w:eastAsia="Arial" w:cs="Arial"/>
                <w:b/>
                <w:bCs/>
                <w:sz w:val="22"/>
                <w:szCs w:val="22"/>
              </w:rPr>
              <w:t xml:space="preserve"> </w:t>
            </w:r>
          </w:p>
          <w:p>
            <w:r>
              <w:rPr>
                <w:rFonts w:ascii="Arial" w:hAnsi="Arial" w:eastAsia="Arial" w:cs="Arial"/>
                <w:b/>
                <w:bCs/>
                <w:sz w:val="22"/>
                <w:szCs w:val="22"/>
              </w:rPr>
              <w:t>Comment on process of arriving at agreed mark:</w:t>
            </w:r>
          </w:p>
          <w:p>
            <w:r>
              <w:rPr>
                <w:rFonts w:ascii="Arial" w:hAnsi="Arial" w:eastAsia="Arial" w:cs="Arial"/>
                <w:b/>
                <w:bCs/>
                <w:sz w:val="22"/>
                <w:szCs w:val="22"/>
              </w:rPr>
              <w:t xml:space="preserve"> </w:t>
            </w:r>
          </w:p>
          <w:p>
            <w:r>
              <w:rPr>
                <w:rFonts w:ascii="Arial" w:hAnsi="Arial" w:eastAsia="Arial" w:cs="Arial"/>
                <w:b/>
                <w:bCs/>
                <w:sz w:val="22"/>
                <w:szCs w:val="22"/>
              </w:rPr>
              <w:t xml:space="preserve"> </w:t>
            </w:r>
          </w:p>
          <w:p>
            <w:r>
              <w:rPr>
                <w:rFonts w:ascii="Arial" w:hAnsi="Arial" w:eastAsia="Arial" w:cs="Arial"/>
                <w:b/>
                <w:bCs/>
                <w:sz w:val="22"/>
                <w:szCs w:val="22"/>
              </w:rPr>
              <w:t xml:space="preserve"> </w:t>
            </w:r>
          </w:p>
          <w:p>
            <w:r>
              <w:rPr>
                <w:rFonts w:ascii="Arial" w:hAnsi="Arial" w:eastAsia="Arial" w:cs="Arial"/>
                <w:b/>
                <w:bCs/>
                <w:sz w:val="22"/>
                <w:szCs w:val="22"/>
              </w:rPr>
              <w:t xml:space="preserve"> </w:t>
            </w:r>
          </w:p>
          <w:p>
            <w:r>
              <w:rPr>
                <w:rFonts w:ascii="Arial" w:hAnsi="Arial" w:eastAsia="Arial" w:cs="Arial"/>
                <w:b/>
                <w:bCs/>
                <w:sz w:val="22"/>
                <w:szCs w:val="22"/>
              </w:rPr>
              <w:t xml:space="preserve"> </w:t>
            </w:r>
          </w:p>
          <w:p>
            <w:r>
              <w:rPr>
                <w:rFonts w:ascii="Arial" w:hAnsi="Arial" w:eastAsia="Arial" w:cs="Arial"/>
                <w:b/>
                <w:bCs/>
                <w:sz w:val="22"/>
                <w:szCs w:val="22"/>
              </w:rPr>
              <w:t xml:space="preserve"> </w:t>
            </w:r>
          </w:p>
          <w:p>
            <w:r>
              <w:rPr>
                <w:rFonts w:ascii="Arial" w:hAnsi="Arial" w:eastAsia="Arial" w:cs="Arial"/>
                <w:b/>
                <w:bCs/>
                <w:sz w:val="22"/>
                <w:szCs w:val="22"/>
              </w:rPr>
              <w:t xml:space="preserve"> </w:t>
            </w:r>
          </w:p>
          <w:p>
            <w:r>
              <w:rPr>
                <w:rFonts w:ascii="Arial" w:hAnsi="Arial" w:eastAsia="Arial" w:cs="Arial"/>
                <w:b/>
                <w:bCs/>
                <w:sz w:val="22"/>
                <w:szCs w:val="22"/>
              </w:rPr>
              <w:t xml:space="preserve"> </w:t>
            </w:r>
          </w:p>
        </w:tc>
      </w:tr>
      <w:tr>
        <w:trPr>
          <w:trHeight w:val="720" w:hRule="atLeast"/>
        </w:trPr>
        <w:tc>
          <w:tcPr>
            <w:tcW w:w="8850" w:type="dxa"/>
            <w:gridSpan w:val="5"/>
            <w:tcBorders>
              <w:top w:val="single" w:color="000000" w:themeColor="text1" w:sz="8" w:space="0"/>
              <w:left w:val="single" w:color="000000" w:themeColor="text1" w:sz="8" w:space="0"/>
              <w:bottom w:val="single" w:color="000000" w:themeColor="text1" w:sz="8" w:space="0"/>
              <w:right w:val="single" w:color="000000" w:themeColor="text1" w:sz="8" w:space="0"/>
            </w:tcBorders>
            <w:vAlign w:val="top"/>
          </w:tcPr>
          <w:p>
            <w:r>
              <w:rPr>
                <w:rFonts w:ascii="Arial" w:hAnsi="Arial" w:eastAsia="Arial" w:cs="Arial"/>
                <w:b/>
                <w:bCs/>
                <w:sz w:val="22"/>
                <w:szCs w:val="22"/>
              </w:rPr>
              <w:t>External Examiner’s comments (if relevant)</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w:t>
            </w:r>
          </w:p>
          <w:p>
            <w:r>
              <w:rPr>
                <w:rFonts w:ascii="Arial" w:hAnsi="Arial" w:eastAsia="Arial" w:cs="Arial"/>
                <w:color w:val="000000" w:themeColor="text1" w:themeTint="FF"/>
                <w:sz w:val="22"/>
                <w:szCs w:val="22"/>
                <w14:textFill>
                  <w14:solidFill>
                    <w14:schemeClr w14:val="tx1">
                      <w14:lumMod w14:val="100000"/>
                      <w14:lumOff w14:val="0"/>
                    </w14:schemeClr>
                  </w14:solidFill>
                </w14:textFill>
              </w:rPr>
              <w:t xml:space="preserve"> </w:t>
            </w:r>
          </w:p>
        </w:tc>
      </w:tr>
      <w:tr>
        <w:trPr>
          <w:trHeight w:val="720" w:hRule="atLeast"/>
        </w:trPr>
        <w:tc>
          <w:tcPr>
            <w:tcW w:w="5205"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vAlign w:val="top"/>
          </w:tcPr>
          <w:p>
            <w:r>
              <w:rPr>
                <w:rFonts w:ascii="Arial" w:hAnsi="Arial" w:eastAsia="Arial" w:cs="Arial"/>
                <w:sz w:val="22"/>
                <w:szCs w:val="22"/>
              </w:rPr>
              <w:t>External Examiner’s Signature:</w:t>
            </w:r>
          </w:p>
        </w:tc>
        <w:tc>
          <w:tcPr>
            <w:tcW w:w="3645" w:type="dxa"/>
            <w:gridSpan w:val="3"/>
            <w:tcBorders>
              <w:top w:val="single" w:color="000000" w:themeColor="text1" w:sz="8" w:space="0"/>
              <w:left w:val="nil"/>
              <w:bottom w:val="single" w:color="000000" w:themeColor="text1" w:sz="8" w:space="0"/>
              <w:right w:val="single" w:color="000000" w:themeColor="text1" w:sz="8" w:space="0"/>
            </w:tcBorders>
            <w:vAlign w:val="top"/>
          </w:tcPr>
          <w:p>
            <w:r>
              <w:rPr>
                <w:rFonts w:ascii="Arial" w:hAnsi="Arial" w:eastAsia="Arial" w:cs="Arial"/>
                <w:sz w:val="22"/>
                <w:szCs w:val="22"/>
              </w:rPr>
              <w:t>Date:</w:t>
            </w:r>
          </w:p>
        </w:tc>
      </w:tr>
    </w:tbl>
    <w:p/>
    <w:p/>
    <w:p/>
    <w:p/>
    <w:p/>
    <w:p/>
    <w:p/>
    <w:p/>
    <w:p/>
    <w:p/>
    <w:p/>
    <w:p>
      <w:pPr>
        <w:jc w:val="center"/>
        <w:rPr>
          <w:rFonts w:ascii="Times New Roman" w:hAnsi="Times New Roman" w:eastAsia="Times New Roman" w:cs="Times New Roman"/>
          <w:b w:val="0"/>
          <w:bCs w:val="0"/>
          <w:color w:val="auto"/>
          <w:sz w:val="24"/>
          <w:szCs w:val="24"/>
          <w:lang w:val="en-GB"/>
        </w:rPr>
      </w:pPr>
      <w:r>
        <w:rPr>
          <w:rFonts w:ascii="Times New Roman" w:hAnsi="Times New Roman" w:eastAsia="Times New Roman" w:cs="Times New Roman"/>
          <w:b w:val="0"/>
          <w:bCs w:val="0"/>
          <w:color w:val="auto"/>
          <w:sz w:val="24"/>
          <w:szCs w:val="24"/>
          <w:lang w:val="en-GB"/>
        </w:rPr>
        <w:t>Critically examine the roles of divination within theurgy</w:t>
      </w:r>
    </w:p>
    <w:p>
      <w:pPr>
        <w:rPr>
          <w:rFonts w:ascii="Times New Roman" w:hAnsi="Times New Roman" w:eastAsia="Times New Roman" w:cs="Times New Roman"/>
          <w:b w:val="0"/>
          <w:bCs w:val="0"/>
          <w:color w:val="auto"/>
          <w:sz w:val="24"/>
          <w:szCs w:val="24"/>
        </w:rPr>
      </w:pPr>
      <w:r>
        <w:rPr>
          <w:rFonts w:ascii="Times New Roman" w:hAnsi="Times New Roman" w:eastAsia="Times New Roman" w:cs="Times New Roman"/>
          <w:b w:val="0"/>
          <w:bCs w:val="0"/>
          <w:color w:val="auto"/>
          <w:sz w:val="24"/>
          <w:szCs w:val="24"/>
        </w:rPr>
        <w:t>41</w:t>
      </w:r>
      <w:r>
        <w:rPr>
          <w:rFonts w:ascii="Times New Roman" w:hAnsi="Times New Roman" w:eastAsia="Times New Roman" w:cs="Times New Roman"/>
          <w:b w:val="0"/>
          <w:bCs w:val="0"/>
          <w:color w:val="auto"/>
          <w:sz w:val="24"/>
          <w:szCs w:val="24"/>
        </w:rPr>
        <w:t>60</w:t>
      </w:r>
      <w:bookmarkStart w:id="0" w:name="_GoBack"/>
      <w:bookmarkEnd w:id="0"/>
      <w:r>
        <w:rPr>
          <w:rFonts w:ascii="Times New Roman" w:hAnsi="Times New Roman" w:eastAsia="Times New Roman" w:cs="Times New Roman"/>
          <w:b w:val="0"/>
          <w:bCs w:val="0"/>
          <w:color w:val="auto"/>
          <w:sz w:val="24"/>
          <w:szCs w:val="24"/>
        </w:rPr>
        <w:t xml:space="preserve"> words</w:t>
      </w:r>
    </w:p>
    <w:p>
      <w:pPr>
        <w:rPr>
          <w:rFonts w:ascii="Times New Roman" w:hAnsi="Times New Roman" w:eastAsia="Times New Roman" w:cs="Times New Roman"/>
          <w:b w:val="0"/>
          <w:bCs w:val="0"/>
          <w:color w:val="auto"/>
          <w:sz w:val="24"/>
          <w:szCs w:val="24"/>
        </w:rPr>
      </w:pPr>
    </w:p>
    <w:p>
      <w:pPr>
        <w:bidi w:val="0"/>
        <w:jc w:val="both"/>
        <w:rPr>
          <w:rFonts w:ascii="Times New Roman" w:hAnsi="Times New Roman" w:eastAsia="Times New Roman" w:cs="Times New Roman"/>
          <w:b w:val="0"/>
          <w:bCs w:val="0"/>
          <w:color w:val="auto"/>
          <w:sz w:val="24"/>
          <w:szCs w:val="24"/>
          <w:lang w:val="en-GB"/>
        </w:rPr>
      </w:pPr>
      <w:r>
        <w:rPr>
          <w:rFonts w:ascii="Times New Roman" w:hAnsi="Times New Roman" w:eastAsia="Times New Roman" w:cs="Times New Roman"/>
          <w:b w:val="0"/>
          <w:bCs w:val="0"/>
          <w:color w:val="auto"/>
          <w:sz w:val="24"/>
          <w:szCs w:val="24"/>
          <w:lang w:val="en-GB"/>
        </w:rPr>
        <w:t xml:space="preserve">        This essay critically examines the roles of divination within late antique theurgy. Theurgy is a religious practise and ritual where Gods are called to work through the person in order to gain insight, knowledge, or power. Theurgy helps to unite us with and to intelligent and divine spirit, Gods, and nature</w:t>
      </w:r>
      <w:r>
        <w:rPr>
          <w:rStyle w:val="8"/>
          <w:rFonts w:ascii="Times New Roman" w:hAnsi="Times New Roman" w:eastAsia="Times New Roman" w:cs="Times New Roman"/>
          <w:b w:val="0"/>
          <w:bCs w:val="0"/>
          <w:color w:val="auto"/>
          <w:sz w:val="24"/>
          <w:szCs w:val="24"/>
          <w:lang w:val="en-GB"/>
        </w:rPr>
        <w:footnoteReference w:id="0"/>
      </w:r>
      <w:r>
        <w:rPr>
          <w:rFonts w:ascii="Times New Roman" w:hAnsi="Times New Roman" w:eastAsia="Times New Roman" w:cs="Times New Roman"/>
          <w:b w:val="0"/>
          <w:bCs w:val="0"/>
          <w:color w:val="auto"/>
          <w:sz w:val="24"/>
          <w:szCs w:val="24"/>
          <w:lang w:val="en-GB"/>
        </w:rPr>
        <w:t xml:space="preserve">. During a ritual divinators contact and ask for a higher divine power, Gods and or Demons to work through them to provide guidance, assistance, and knowledge and power. Proclus describes Theurgy as being a ‘power greater than all human wisdom and knowledge, embracing the blessings of divination, the purifying powers of initiation, and in a word all operations of divine possession.’ </w:t>
      </w:r>
      <w:r>
        <w:rPr>
          <w:rStyle w:val="8"/>
          <w:rFonts w:ascii="Times New Roman" w:hAnsi="Times New Roman" w:eastAsia="Times New Roman" w:cs="Times New Roman"/>
          <w:b w:val="0"/>
          <w:bCs w:val="0"/>
          <w:color w:val="auto"/>
          <w:sz w:val="24"/>
          <w:szCs w:val="24"/>
          <w:lang w:val="en-GB"/>
        </w:rPr>
        <w:footnoteReference w:id="1"/>
      </w:r>
      <w:r>
        <w:rPr>
          <w:rFonts w:ascii="Times New Roman" w:hAnsi="Times New Roman" w:eastAsia="Times New Roman" w:cs="Times New Roman"/>
          <w:b w:val="0"/>
          <w:bCs w:val="0"/>
          <w:color w:val="auto"/>
          <w:sz w:val="24"/>
          <w:szCs w:val="24"/>
          <w:lang w:val="en-GB"/>
        </w:rPr>
        <w:t xml:space="preserve"> Theurgists believe it is through ‘training of our senses and the knowledge of the human self in relation to the Divine self’ </w:t>
      </w:r>
      <w:r>
        <w:rPr>
          <w:rStyle w:val="8"/>
          <w:rFonts w:ascii="Times New Roman" w:hAnsi="Times New Roman" w:eastAsia="Times New Roman" w:cs="Times New Roman"/>
          <w:b w:val="0"/>
          <w:bCs w:val="0"/>
          <w:color w:val="auto"/>
          <w:sz w:val="24"/>
          <w:szCs w:val="24"/>
          <w:lang w:val="en-GB"/>
        </w:rPr>
        <w:footnoteReference w:id="2"/>
      </w:r>
      <w:r>
        <w:rPr>
          <w:rFonts w:ascii="Times New Roman" w:hAnsi="Times New Roman" w:eastAsia="Times New Roman" w:cs="Times New Roman"/>
          <w:b w:val="0"/>
          <w:bCs w:val="0"/>
          <w:color w:val="auto"/>
          <w:sz w:val="24"/>
          <w:szCs w:val="24"/>
          <w:lang w:val="en-GB"/>
        </w:rPr>
        <w:t xml:space="preserve"> that enhances the connection to divine entities and thus we are then able to receive the answers to our questions or the knowledge for which we are seeking to find. It is said that Theology is God talking whereas Theurgy itself is God’s work.</w:t>
      </w:r>
      <w:r>
        <w:rPr>
          <w:rStyle w:val="8"/>
          <w:rFonts w:ascii="Times New Roman" w:hAnsi="Times New Roman" w:eastAsia="Times New Roman" w:cs="Times New Roman"/>
          <w:b w:val="0"/>
          <w:bCs w:val="0"/>
          <w:color w:val="auto"/>
          <w:sz w:val="24"/>
          <w:szCs w:val="24"/>
          <w:lang w:val="en-GB"/>
        </w:rPr>
        <w:footnoteReference w:id="3"/>
      </w:r>
      <w:r>
        <w:rPr>
          <w:rFonts w:ascii="Times New Roman" w:hAnsi="Times New Roman" w:eastAsia="Times New Roman" w:cs="Times New Roman"/>
          <w:b w:val="0"/>
          <w:bCs w:val="0"/>
          <w:color w:val="auto"/>
          <w:sz w:val="24"/>
          <w:szCs w:val="24"/>
          <w:lang w:val="en-GB"/>
        </w:rPr>
        <w:t xml:space="preserve"> </w:t>
      </w:r>
      <w:r>
        <w:rPr>
          <w:rFonts w:ascii="Times New Roman" w:hAnsi="Times New Roman" w:eastAsia="Times New Roman" w:cs="Times New Roman"/>
          <w:b w:val="0"/>
          <w:bCs w:val="0"/>
          <w:color w:val="auto"/>
          <w:sz w:val="24"/>
          <w:szCs w:val="24"/>
        </w:rPr>
        <w:t>Iamblichus</w:t>
      </w:r>
      <w:r>
        <w:rPr>
          <w:rFonts w:ascii="Times New Roman" w:hAnsi="Times New Roman" w:eastAsia="Times New Roman" w:cs="Times New Roman"/>
          <w:b w:val="0"/>
          <w:bCs w:val="0"/>
          <w:color w:val="auto"/>
          <w:sz w:val="24"/>
          <w:szCs w:val="24"/>
          <w:lang w:val="en-GB"/>
        </w:rPr>
        <w:t xml:space="preserve"> divided Theurgy into ‘Higher’ and ‘Lower’ form </w:t>
      </w:r>
      <w:r>
        <w:rPr>
          <w:rStyle w:val="8"/>
          <w:rFonts w:ascii="Times New Roman" w:hAnsi="Times New Roman" w:eastAsia="Times New Roman" w:cs="Times New Roman"/>
          <w:b w:val="0"/>
          <w:bCs w:val="0"/>
          <w:color w:val="auto"/>
          <w:sz w:val="24"/>
          <w:szCs w:val="24"/>
          <w:lang w:val="en-GB"/>
        </w:rPr>
        <w:footnoteReference w:id="4"/>
      </w:r>
      <w:r>
        <w:rPr>
          <w:rFonts w:ascii="Times New Roman" w:hAnsi="Times New Roman" w:eastAsia="Times New Roman" w:cs="Times New Roman"/>
          <w:b w:val="0"/>
          <w:bCs w:val="0"/>
          <w:color w:val="auto"/>
          <w:sz w:val="24"/>
          <w:szCs w:val="24"/>
          <w:lang w:val="en-GB"/>
        </w:rPr>
        <w:t xml:space="preserve"> with these different forms including the soul as being divided also as better and more purer verses and lower and less pure in state.</w:t>
      </w:r>
      <w:r>
        <w:rPr>
          <w:rStyle w:val="8"/>
          <w:rFonts w:ascii="Times New Roman" w:hAnsi="Times New Roman" w:eastAsia="Times New Roman" w:cs="Times New Roman"/>
          <w:b w:val="0"/>
          <w:bCs w:val="0"/>
          <w:color w:val="auto"/>
          <w:sz w:val="24"/>
          <w:szCs w:val="24"/>
          <w:lang w:val="en-GB"/>
        </w:rPr>
        <w:footnoteReference w:id="5"/>
      </w:r>
      <w:r>
        <w:rPr>
          <w:rFonts w:ascii="Times New Roman" w:hAnsi="Times New Roman" w:eastAsia="Times New Roman" w:cs="Times New Roman"/>
          <w:b w:val="0"/>
          <w:bCs w:val="0"/>
          <w:color w:val="auto"/>
          <w:sz w:val="24"/>
          <w:szCs w:val="24"/>
          <w:lang w:val="en-GB"/>
        </w:rPr>
        <w:t xml:space="preserve"> When referring to the world soul the higher soul is said to be purer where deities and contact with divine presence occurs easily. One at the peak is the highest and is ‘transcendent and perfect, while the other is at the bottom, deficient, and relatively imperfect’. The highest soul can manifest and achieve anything instantly whereas the lower soul may take longer to achieve or not at all.</w:t>
      </w:r>
      <w:r>
        <w:rPr>
          <w:rStyle w:val="8"/>
          <w:rFonts w:ascii="Times New Roman" w:hAnsi="Times New Roman" w:eastAsia="Times New Roman" w:cs="Times New Roman"/>
          <w:b w:val="0"/>
          <w:bCs w:val="0"/>
          <w:color w:val="auto"/>
          <w:sz w:val="24"/>
          <w:szCs w:val="24"/>
          <w:lang w:val="en-GB"/>
        </w:rPr>
        <w:footnoteReference w:id="6"/>
      </w:r>
      <w:r>
        <w:rPr>
          <w:rFonts w:ascii="Times New Roman" w:hAnsi="Times New Roman" w:eastAsia="Times New Roman" w:cs="Times New Roman"/>
          <w:b w:val="0"/>
          <w:bCs w:val="0"/>
          <w:color w:val="auto"/>
          <w:sz w:val="24"/>
          <w:szCs w:val="24"/>
          <w:lang w:val="en-GB"/>
        </w:rPr>
        <w:t xml:space="preserve"> </w:t>
      </w:r>
    </w:p>
    <w:p>
      <w:pPr>
        <w:bidi w:val="0"/>
        <w:ind w:firstLine="360" w:firstLineChars="150"/>
        <w:jc w:val="both"/>
        <w:rPr>
          <w:rFonts w:ascii="Times New Roman" w:hAnsi="Times New Roman" w:eastAsia="Times New Roman" w:cs="Times New Roman"/>
          <w:b w:val="0"/>
          <w:bCs w:val="0"/>
          <w:color w:val="auto"/>
          <w:sz w:val="24"/>
          <w:szCs w:val="24"/>
          <w:lang w:val="en-GB"/>
        </w:rPr>
      </w:pPr>
      <w:r>
        <w:rPr>
          <w:rFonts w:ascii="Times New Roman" w:hAnsi="Times New Roman" w:eastAsia="Times New Roman" w:cs="Times New Roman"/>
          <w:b w:val="0"/>
          <w:bCs w:val="0"/>
          <w:color w:val="auto"/>
          <w:sz w:val="24"/>
          <w:szCs w:val="24"/>
        </w:rPr>
        <w:t>In the third late century CE theurgy flourished with each culture and religion claiming their way as being the correct way to be one with God,</w:t>
      </w:r>
      <w:r>
        <w:rPr>
          <w:rStyle w:val="8"/>
          <w:rFonts w:ascii="Times New Roman" w:hAnsi="Times New Roman" w:eastAsia="Times New Roman" w:cs="Times New Roman"/>
          <w:b w:val="0"/>
          <w:bCs w:val="0"/>
          <w:color w:val="auto"/>
          <w:sz w:val="24"/>
          <w:szCs w:val="24"/>
        </w:rPr>
        <w:footnoteReference w:id="7"/>
      </w:r>
      <w:r>
        <w:rPr>
          <w:rFonts w:ascii="Times New Roman" w:hAnsi="Times New Roman" w:eastAsia="Times New Roman" w:cs="Times New Roman"/>
          <w:b w:val="0"/>
          <w:bCs w:val="0"/>
          <w:color w:val="auto"/>
          <w:sz w:val="24"/>
          <w:szCs w:val="24"/>
        </w:rPr>
        <w:t xml:space="preserve"> as with the Christian church who </w:t>
      </w:r>
      <w:r>
        <w:rPr>
          <w:rFonts w:ascii="Times New Roman" w:hAnsi="Times New Roman" w:eastAsia="Times New Roman" w:cs="Times New Roman"/>
          <w:b w:val="0"/>
          <w:bCs w:val="0"/>
          <w:color w:val="auto"/>
          <w:sz w:val="24"/>
          <w:szCs w:val="24"/>
        </w:rPr>
        <w:t xml:space="preserve">later </w:t>
      </w:r>
      <w:r>
        <w:rPr>
          <w:rFonts w:ascii="Times New Roman" w:hAnsi="Times New Roman" w:eastAsia="Times New Roman" w:cs="Times New Roman"/>
          <w:b w:val="0"/>
          <w:bCs w:val="0"/>
          <w:color w:val="auto"/>
          <w:sz w:val="24"/>
          <w:szCs w:val="24"/>
        </w:rPr>
        <w:t>frowned upon such oracles and forms of divination</w:t>
      </w:r>
      <w:r>
        <w:rPr>
          <w:rFonts w:ascii="Times New Roman" w:hAnsi="Times New Roman" w:eastAsia="Times New Roman" w:cs="Times New Roman"/>
          <w:b w:val="0"/>
          <w:bCs w:val="0"/>
          <w:color w:val="auto"/>
          <w:sz w:val="24"/>
          <w:szCs w:val="24"/>
        </w:rPr>
        <w:t xml:space="preserve"> with</w:t>
      </w:r>
      <w:r>
        <w:rPr>
          <w:rFonts w:hint="default" w:ascii="Times New Roman" w:hAnsi="Times New Roman" w:eastAsia="Times New Roman" w:cs="Times New Roman"/>
          <w:b w:val="0"/>
          <w:bCs w:val="0"/>
          <w:color w:val="auto"/>
          <w:sz w:val="24"/>
          <w:szCs w:val="24"/>
        </w:rPr>
        <w:t xml:space="preserve"> Ambrosiaster stating that ‘astrology is to be avoided, for the cunning and subtlety of the devil invented it’ and Origen also linking astrology to demons</w:t>
      </w:r>
      <w:r>
        <w:rPr>
          <w:rStyle w:val="8"/>
          <w:rFonts w:hint="default" w:ascii="Times New Roman" w:hAnsi="Times New Roman" w:eastAsia="Times New Roman" w:cs="Times New Roman"/>
          <w:b w:val="0"/>
          <w:bCs w:val="0"/>
          <w:color w:val="auto"/>
          <w:sz w:val="24"/>
          <w:szCs w:val="24"/>
        </w:rPr>
        <w:footnoteReference w:id="8"/>
      </w:r>
      <w:r>
        <w:rPr>
          <w:rFonts w:ascii="Times New Roman" w:hAnsi="Times New Roman" w:eastAsia="Times New Roman" w:cs="Times New Roman"/>
          <w:b w:val="0"/>
          <w:bCs w:val="0"/>
          <w:color w:val="auto"/>
          <w:sz w:val="24"/>
          <w:szCs w:val="24"/>
        </w:rPr>
        <w:t xml:space="preserve">. </w:t>
      </w:r>
      <w:r>
        <w:rPr>
          <w:rFonts w:ascii="Times New Roman" w:hAnsi="Times New Roman" w:eastAsia="Times New Roman" w:cs="Times New Roman"/>
          <w:b w:val="0"/>
          <w:bCs w:val="0"/>
          <w:color w:val="auto"/>
          <w:sz w:val="24"/>
          <w:szCs w:val="24"/>
        </w:rPr>
        <w:t>A series of m</w:t>
      </w:r>
      <w:r>
        <w:rPr>
          <w:rFonts w:ascii="Times New Roman" w:hAnsi="Times New Roman" w:eastAsia="Times New Roman" w:cs="Times New Roman"/>
          <w:b w:val="0"/>
          <w:bCs w:val="0"/>
          <w:color w:val="auto"/>
          <w:sz w:val="24"/>
          <w:szCs w:val="24"/>
        </w:rPr>
        <w:t>ira</w:t>
      </w:r>
      <w:r>
        <w:rPr>
          <w:rFonts w:ascii="Times New Roman" w:hAnsi="Times New Roman" w:eastAsia="Times New Roman" w:cs="Times New Roman"/>
          <w:b w:val="0"/>
          <w:bCs w:val="0"/>
          <w:color w:val="auto"/>
          <w:sz w:val="24"/>
          <w:szCs w:val="24"/>
        </w:rPr>
        <w:t>culous occurrences</w:t>
      </w:r>
      <w:r>
        <w:rPr>
          <w:rFonts w:ascii="Times New Roman" w:hAnsi="Times New Roman" w:eastAsia="Times New Roman" w:cs="Times New Roman"/>
          <w:b w:val="0"/>
          <w:bCs w:val="0"/>
          <w:color w:val="auto"/>
          <w:sz w:val="24"/>
          <w:szCs w:val="24"/>
        </w:rPr>
        <w:t xml:space="preserve"> are said to have occurred within different forms of </w:t>
      </w:r>
      <w:r>
        <w:rPr>
          <w:rFonts w:ascii="Times New Roman" w:hAnsi="Times New Roman" w:eastAsia="Times New Roman" w:cs="Times New Roman"/>
          <w:b w:val="0"/>
          <w:bCs w:val="0"/>
          <w:color w:val="auto"/>
          <w:sz w:val="24"/>
          <w:szCs w:val="24"/>
        </w:rPr>
        <w:t xml:space="preserve">the </w:t>
      </w:r>
      <w:r>
        <w:rPr>
          <w:rFonts w:ascii="Times New Roman" w:hAnsi="Times New Roman" w:eastAsia="Times New Roman" w:cs="Times New Roman"/>
          <w:b w:val="0"/>
          <w:bCs w:val="0"/>
          <w:color w:val="auto"/>
          <w:sz w:val="24"/>
          <w:szCs w:val="24"/>
        </w:rPr>
        <w:t>ritualistic</w:t>
      </w:r>
      <w:r>
        <w:rPr>
          <w:rFonts w:ascii="Times New Roman" w:hAnsi="Times New Roman" w:eastAsia="Times New Roman" w:cs="Times New Roman"/>
          <w:b w:val="0"/>
          <w:bCs w:val="0"/>
          <w:color w:val="auto"/>
          <w:sz w:val="24"/>
          <w:szCs w:val="24"/>
        </w:rPr>
        <w:t xml:space="preserve"> theurgic divination</w:t>
      </w:r>
      <w:r>
        <w:rPr>
          <w:rFonts w:ascii="Times New Roman" w:hAnsi="Times New Roman" w:eastAsia="Times New Roman" w:cs="Times New Roman"/>
          <w:b w:val="0"/>
          <w:bCs w:val="0"/>
          <w:color w:val="auto"/>
          <w:sz w:val="24"/>
          <w:szCs w:val="24"/>
        </w:rPr>
        <w:t xml:space="preserve"> practise</w:t>
      </w:r>
      <w:r>
        <w:rPr>
          <w:rFonts w:ascii="Times New Roman" w:hAnsi="Times New Roman" w:eastAsia="Times New Roman" w:cs="Times New Roman"/>
          <w:b w:val="0"/>
          <w:bCs w:val="0"/>
          <w:color w:val="auto"/>
          <w:sz w:val="24"/>
          <w:szCs w:val="24"/>
        </w:rPr>
        <w:t>s</w:t>
      </w:r>
      <w:r>
        <w:rPr>
          <w:rFonts w:ascii="Times New Roman" w:hAnsi="Times New Roman" w:eastAsia="Times New Roman" w:cs="Times New Roman"/>
          <w:b w:val="0"/>
          <w:bCs w:val="0"/>
          <w:color w:val="auto"/>
          <w:sz w:val="24"/>
          <w:szCs w:val="24"/>
        </w:rPr>
        <w:t xml:space="preserve"> and </w:t>
      </w:r>
      <w:r>
        <w:rPr>
          <w:rFonts w:hint="default" w:ascii="Times New Roman" w:hAnsi="Times New Roman" w:eastAsia="Times New Roman" w:cs="Times New Roman"/>
          <w:b w:val="0"/>
          <w:bCs w:val="0"/>
          <w:color w:val="auto"/>
          <w:sz w:val="24"/>
          <w:szCs w:val="24"/>
        </w:rPr>
        <w:t>‘</w:t>
      </w:r>
      <w:r>
        <w:rPr>
          <w:rFonts w:ascii="Times New Roman" w:hAnsi="Times New Roman" w:eastAsia="Times New Roman" w:cs="Times New Roman"/>
          <w:b w:val="0"/>
          <w:bCs w:val="0"/>
          <w:color w:val="auto"/>
          <w:sz w:val="24"/>
          <w:szCs w:val="24"/>
        </w:rPr>
        <w:t>Celsus had argued that the miracles performed by polytheist's were on a par with those performed by Jesus Christ</w:t>
      </w:r>
      <w:r>
        <w:rPr>
          <w:rFonts w:hint="default" w:ascii="Times New Roman" w:hAnsi="Times New Roman" w:eastAsia="Times New Roman" w:cs="Times New Roman"/>
          <w:b w:val="0"/>
          <w:bCs w:val="0"/>
          <w:color w:val="auto"/>
          <w:sz w:val="24"/>
          <w:szCs w:val="24"/>
        </w:rPr>
        <w:t xml:space="preserve">’.Many linked the practise of theurgy to magic including St Augustine who claimed that it almost toyed with the imagination. </w:t>
      </w:r>
      <w:r>
        <w:rPr>
          <w:rStyle w:val="8"/>
          <w:rFonts w:hint="default" w:ascii="Times New Roman" w:hAnsi="Times New Roman" w:eastAsia="Times New Roman" w:cs="Times New Roman"/>
          <w:b w:val="0"/>
          <w:bCs w:val="0"/>
          <w:color w:val="auto"/>
          <w:sz w:val="24"/>
          <w:szCs w:val="24"/>
        </w:rPr>
        <w:footnoteReference w:id="9"/>
      </w:r>
    </w:p>
    <w:p>
      <w:pPr>
        <w:bidi w:val="0"/>
        <w:spacing w:before="0" w:beforeAutospacing="0" w:after="160" w:afterAutospacing="0" w:line="259" w:lineRule="auto"/>
        <w:ind w:left="0" w:right="0"/>
        <w:jc w:val="left"/>
        <w:rPr>
          <w:rFonts w:ascii="Times New Roman" w:hAnsi="Times New Roman" w:eastAsia="Times New Roman" w:cs="Times New Roman"/>
          <w:b w:val="0"/>
          <w:bCs w:val="0"/>
          <w:color w:val="auto"/>
          <w:sz w:val="24"/>
          <w:szCs w:val="24"/>
          <w:lang w:val="en-GB"/>
        </w:rPr>
      </w:pPr>
      <w:r>
        <w:rPr>
          <w:rFonts w:ascii="Times New Roman" w:hAnsi="Times New Roman" w:eastAsia="Times New Roman" w:cs="Times New Roman"/>
          <w:b w:val="0"/>
          <w:bCs w:val="0"/>
          <w:color w:val="auto"/>
          <w:sz w:val="24"/>
          <w:szCs w:val="24"/>
          <w:lang w:val="en-GB"/>
        </w:rPr>
        <w:t xml:space="preserve">       A key element to Theurgy is the use of divinatory tools to contact and connect with Gods, deities and daemons through rituals </w:t>
      </w:r>
      <w:r>
        <w:rPr>
          <w:rStyle w:val="8"/>
          <w:rFonts w:ascii="Times New Roman" w:hAnsi="Times New Roman" w:eastAsia="Times New Roman" w:cs="Times New Roman"/>
          <w:b w:val="0"/>
          <w:bCs w:val="0"/>
          <w:color w:val="auto"/>
          <w:sz w:val="24"/>
          <w:szCs w:val="24"/>
          <w:lang w:val="en-GB"/>
        </w:rPr>
        <w:footnoteReference w:id="10"/>
      </w:r>
      <w:r>
        <w:rPr>
          <w:rFonts w:ascii="Times New Roman" w:hAnsi="Times New Roman" w:eastAsia="Times New Roman" w:cs="Times New Roman"/>
          <w:b w:val="0"/>
          <w:bCs w:val="0"/>
          <w:color w:val="auto"/>
          <w:sz w:val="24"/>
          <w:szCs w:val="24"/>
          <w:lang w:val="en-GB"/>
        </w:rPr>
        <w:t xml:space="preserve">. There are different types of theurgic rituals one being Telestike, also known as Teletai where deities and gods are called to work into and through statues, often animating cultic statues of the Gods </w:t>
      </w:r>
      <w:r>
        <w:rPr>
          <w:rStyle w:val="8"/>
          <w:rFonts w:ascii="Times New Roman" w:hAnsi="Times New Roman" w:eastAsia="Times New Roman" w:cs="Times New Roman"/>
          <w:b w:val="0"/>
          <w:bCs w:val="0"/>
          <w:color w:val="auto"/>
          <w:sz w:val="24"/>
          <w:szCs w:val="24"/>
          <w:lang w:val="en-GB"/>
        </w:rPr>
        <w:footnoteReference w:id="11"/>
      </w:r>
      <w:r>
        <w:rPr>
          <w:rFonts w:ascii="Times New Roman" w:hAnsi="Times New Roman" w:eastAsia="Times New Roman" w:cs="Times New Roman"/>
          <w:b w:val="0"/>
          <w:bCs w:val="0"/>
          <w:color w:val="auto"/>
          <w:sz w:val="24"/>
          <w:szCs w:val="24"/>
          <w:lang w:val="en-GB"/>
        </w:rPr>
        <w:t xml:space="preserve"> where one was able to transcend or even heal through what Plato described as ritual madness.</w:t>
      </w:r>
      <w:r>
        <w:rPr>
          <w:rStyle w:val="8"/>
          <w:rFonts w:ascii="Times New Roman" w:hAnsi="Times New Roman" w:eastAsia="Times New Roman" w:cs="Times New Roman"/>
          <w:b w:val="0"/>
          <w:bCs w:val="0"/>
          <w:color w:val="auto"/>
          <w:sz w:val="24"/>
          <w:szCs w:val="24"/>
          <w:lang w:val="en-GB"/>
        </w:rPr>
        <w:footnoteReference w:id="12"/>
      </w:r>
      <w:r>
        <w:rPr>
          <w:rFonts w:ascii="Times New Roman" w:hAnsi="Times New Roman" w:eastAsia="Times New Roman" w:cs="Times New Roman"/>
          <w:b w:val="0"/>
          <w:bCs w:val="0"/>
          <w:color w:val="auto"/>
          <w:sz w:val="24"/>
          <w:szCs w:val="24"/>
          <w:lang w:val="en-GB"/>
        </w:rPr>
        <w:t xml:space="preserve"> During Telestike ritual the theurgist philosopher is also able to channel as a living status of the Gods, similarly to other religious rituals including the philosophic system of Iqbal aiming to bring Divine reality in contact with humans without causing harm or disrespect to the divine powers.</w:t>
      </w:r>
      <w:r>
        <w:rPr>
          <w:rStyle w:val="8"/>
          <w:rFonts w:ascii="Times New Roman" w:hAnsi="Times New Roman" w:eastAsia="Times New Roman" w:cs="Times New Roman"/>
          <w:b w:val="0"/>
          <w:bCs w:val="0"/>
          <w:color w:val="auto"/>
          <w:sz w:val="24"/>
          <w:szCs w:val="24"/>
          <w:lang w:val="en-GB"/>
        </w:rPr>
        <w:footnoteReference w:id="13"/>
      </w:r>
      <w:r>
        <w:rPr>
          <w:rFonts w:ascii="Times New Roman" w:hAnsi="Times New Roman" w:eastAsia="Times New Roman" w:cs="Times New Roman"/>
          <w:b w:val="0"/>
          <w:bCs w:val="0"/>
          <w:color w:val="auto"/>
          <w:sz w:val="24"/>
          <w:szCs w:val="24"/>
          <w:lang w:val="en-GB"/>
        </w:rPr>
        <w:t xml:space="preserve"> Another form of Theurgic ritual to contact the divinity is through divine possession involving a direct oracular divination from the deity through to the theurgic practitioner often through a state of trance. </w:t>
      </w:r>
      <w:r>
        <w:rPr>
          <w:rFonts w:ascii="Times New Roman" w:hAnsi="Times New Roman" w:eastAsia="Times New Roman" w:cs="Times New Roman"/>
          <w:b w:val="0"/>
          <w:bCs w:val="0"/>
          <w:color w:val="auto"/>
          <w:sz w:val="24"/>
          <w:szCs w:val="24"/>
        </w:rPr>
        <w:t>Iamblichus</w:t>
      </w:r>
      <w:r>
        <w:rPr>
          <w:rFonts w:ascii="Times New Roman" w:hAnsi="Times New Roman" w:eastAsia="Times New Roman" w:cs="Times New Roman"/>
          <w:b w:val="0"/>
          <w:bCs w:val="0"/>
          <w:color w:val="auto"/>
          <w:sz w:val="24"/>
          <w:szCs w:val="24"/>
          <w:lang w:val="en-GB"/>
        </w:rPr>
        <w:t xml:space="preserve"> describes that during a divine possession ritual the prophet of the Oracle should prepare by fasting, spending time in isolation to channel, and drinking sacred water from the ritual site. Through doing this the prophet is able to purify their soul to open their physical body as a portal for divine entities to enter in and speak through.</w:t>
      </w:r>
      <w:r>
        <w:rPr>
          <w:rStyle w:val="8"/>
          <w:rFonts w:ascii="Times New Roman" w:hAnsi="Times New Roman" w:eastAsia="Times New Roman" w:cs="Times New Roman"/>
          <w:b w:val="0"/>
          <w:bCs w:val="0"/>
          <w:color w:val="auto"/>
          <w:sz w:val="24"/>
          <w:szCs w:val="24"/>
          <w:lang w:val="en-GB"/>
        </w:rPr>
        <w:footnoteReference w:id="14"/>
      </w:r>
      <w:r>
        <w:rPr>
          <w:rFonts w:ascii="Times New Roman" w:hAnsi="Times New Roman" w:eastAsia="Times New Roman" w:cs="Times New Roman"/>
          <w:b w:val="0"/>
          <w:bCs w:val="0"/>
          <w:color w:val="auto"/>
          <w:sz w:val="24"/>
          <w:szCs w:val="24"/>
          <w:lang w:val="en-GB"/>
        </w:rPr>
        <w:t xml:space="preserve"> Another form of ritual is through direct contact from the deity through means of dream and/ or oracular divination where the prophet would invoke the God's epiphany to gain knowledge and divine insight. </w:t>
      </w:r>
    </w:p>
    <w:p>
      <w:pPr>
        <w:bidi w:val="0"/>
        <w:spacing w:before="0" w:beforeAutospacing="0" w:after="160" w:afterAutospacing="0" w:line="259" w:lineRule="auto"/>
        <w:ind w:left="0" w:right="0"/>
        <w:jc w:val="left"/>
        <w:rPr>
          <w:rFonts w:ascii="Times New Roman" w:hAnsi="Times New Roman" w:eastAsia="Times New Roman" w:cs="Times New Roman"/>
          <w:b w:val="0"/>
          <w:bCs w:val="0"/>
          <w:color w:val="auto"/>
          <w:sz w:val="24"/>
          <w:szCs w:val="24"/>
          <w:lang w:val="en-GB"/>
        </w:rPr>
      </w:pPr>
      <w:r>
        <w:rPr>
          <w:rFonts w:ascii="Times New Roman" w:hAnsi="Times New Roman" w:eastAsia="Times New Roman" w:cs="Times New Roman"/>
          <w:b w:val="0"/>
          <w:bCs w:val="0"/>
          <w:color w:val="auto"/>
          <w:sz w:val="24"/>
          <w:szCs w:val="24"/>
          <w:lang w:val="en-GB"/>
        </w:rPr>
        <w:t xml:space="preserve">Divination is a ritual or tool used to contact the Gods for answers or guidance on what they require us to do and how; in order to receive what we are asking them for, this can be for information concerning our past, present or future. By using ritual and/ or physical tools from the physical world, it is believed that one can connect to spirit, and divine forces of energy or Godly power to operate on a level that is outside of the physical realm and reality. It is believed that not everyone is able to access the same level of contact to the divine as ‘to some it gives a greater portion of its foreknowledge, and to others a lesser portion.’ </w:t>
      </w:r>
      <w:r>
        <w:rPr>
          <w:rStyle w:val="8"/>
          <w:rFonts w:ascii="Times New Roman" w:hAnsi="Times New Roman" w:eastAsia="Times New Roman" w:cs="Times New Roman"/>
          <w:b w:val="0"/>
          <w:bCs w:val="0"/>
          <w:color w:val="auto"/>
          <w:sz w:val="24"/>
          <w:szCs w:val="24"/>
          <w:lang w:val="en-GB"/>
        </w:rPr>
        <w:footnoteReference w:id="15"/>
      </w:r>
    </w:p>
    <w:p>
      <w:pPr>
        <w:bidi w:val="0"/>
        <w:spacing w:before="0" w:beforeAutospacing="0" w:after="160" w:afterAutospacing="0" w:line="259" w:lineRule="auto"/>
        <w:ind w:left="0" w:right="0"/>
        <w:jc w:val="left"/>
        <w:rPr>
          <w:rFonts w:ascii="Times New Roman" w:hAnsi="Times New Roman" w:eastAsia="Times New Roman" w:cs="Times New Roman"/>
          <w:b w:val="0"/>
          <w:bCs w:val="0"/>
          <w:color w:val="auto"/>
          <w:sz w:val="24"/>
          <w:szCs w:val="24"/>
          <w:lang w:val="en-GB"/>
        </w:rPr>
      </w:pPr>
    </w:p>
    <w:p>
      <w:pPr>
        <w:bidi w:val="0"/>
        <w:spacing w:before="0" w:beforeAutospacing="0" w:after="160" w:afterAutospacing="0" w:line="259" w:lineRule="auto"/>
        <w:ind w:left="0" w:right="0"/>
        <w:jc w:val="left"/>
        <w:rPr>
          <w:rFonts w:ascii="Times New Roman" w:hAnsi="Times New Roman" w:eastAsia="Times New Roman" w:cs="Times New Roman"/>
          <w:b w:val="0"/>
          <w:bCs w:val="0"/>
          <w:color w:val="auto"/>
          <w:sz w:val="24"/>
          <w:szCs w:val="24"/>
          <w:lang w:val="en-GB"/>
        </w:rPr>
      </w:pPr>
      <w:r>
        <w:rPr>
          <w:rFonts w:ascii="Times New Roman" w:hAnsi="Times New Roman" w:eastAsia="Times New Roman" w:cs="Times New Roman"/>
          <w:b w:val="0"/>
          <w:bCs w:val="0"/>
          <w:color w:val="auto"/>
          <w:sz w:val="24"/>
          <w:szCs w:val="24"/>
          <w:lang w:val="en-GB"/>
        </w:rPr>
        <w:t xml:space="preserve">      There are distinct categories within divination such as natural inspired divination which is intuitive and a form of having direct contact with Gods naturally for example via dreams, visions and/or prophecies. There are also more complex forms of divination known to be artificial forms of divination, these can also be known as inductive or deductive divination. Here the diviner purposely sets out to seek answers to questions using material physical tools, instruments, and other deliberate practises. Examples of artificial and evoked forms of divination are Extispicy where the liver or entrail is used for divination which we will discuss later on in this paper. Augury which originated from reading the sky or by the sighting of birds in order to predict events in the future. There are also oracles. Oracles can be both provoked and unprovoked. Unprovoked divination is where one looks into an omen that happens to appear without being sought out and asked for examples of this. Opposite to this would be Provoked or Evoked divination where the diviner deliberately sets out to seek connection and answers from divine power for answers or the service they require. There are also many forms of Oracles for example, Kleromancy also known as cleromancy is a divination by lot for example to throw a dice often a special divinatory die, Lekanomancy where one reads droplets of oil or rocks placed in bowls of water to foresee the future.  Kledonomancy is where one would interpret the first sentence heard immediately after the ritual as an omen for what to expect, and also Astrology where one reads the cosmos and interprets planetary movements to read the past, present and predict future events.     </w:t>
      </w:r>
    </w:p>
    <w:p>
      <w:pPr>
        <w:bidi w:val="0"/>
        <w:rPr>
          <w:rFonts w:ascii="Times New Roman" w:hAnsi="Times New Roman" w:eastAsia="Times New Roman" w:cs="Times New Roman"/>
          <w:b w:val="0"/>
          <w:bCs w:val="0"/>
          <w:color w:val="auto"/>
          <w:sz w:val="24"/>
          <w:szCs w:val="24"/>
          <w:lang w:val="en-GB"/>
        </w:rPr>
      </w:pPr>
      <w:r>
        <w:rPr>
          <w:rFonts w:ascii="Times New Roman" w:hAnsi="Times New Roman" w:eastAsia="Times New Roman" w:cs="Times New Roman"/>
          <w:b w:val="0"/>
          <w:bCs w:val="0"/>
          <w:color w:val="auto"/>
          <w:sz w:val="24"/>
          <w:szCs w:val="24"/>
          <w:lang w:val="en-GB"/>
        </w:rPr>
        <w:t xml:space="preserve">      Divination is a tool used differently depending on the religion and culture with each referring to it in their own expression other than Egypt which has no word for oracle as opposed to the Greek </w:t>
      </w:r>
      <w:r>
        <w:rPr>
          <w:rFonts w:ascii="Times New Roman" w:hAnsi="Times New Roman" w:eastAsia="Times New Roman" w:cs="Times New Roman"/>
          <w:b w:val="0"/>
          <w:bCs w:val="0"/>
          <w:i/>
          <w:iCs/>
          <w:color w:val="auto"/>
          <w:sz w:val="24"/>
          <w:szCs w:val="24"/>
          <w:lang w:val="en-GB"/>
        </w:rPr>
        <w:t>mantikē</w:t>
      </w:r>
      <w:r>
        <w:rPr>
          <w:rFonts w:ascii="Times New Roman" w:hAnsi="Times New Roman" w:eastAsia="Times New Roman" w:cs="Times New Roman"/>
          <w:b w:val="0"/>
          <w:bCs w:val="0"/>
          <w:color w:val="auto"/>
          <w:sz w:val="24"/>
          <w:szCs w:val="24"/>
          <w:lang w:val="en-GB"/>
        </w:rPr>
        <w:t xml:space="preserve"> and</w:t>
      </w:r>
      <w:r>
        <w:rPr>
          <w:rFonts w:ascii="Times New Roman" w:hAnsi="Times New Roman" w:eastAsia="Times New Roman" w:cs="Times New Roman"/>
          <w:b w:val="0"/>
          <w:bCs w:val="0"/>
          <w:i/>
          <w:iCs/>
          <w:color w:val="auto"/>
          <w:sz w:val="24"/>
          <w:szCs w:val="24"/>
          <w:lang w:val="en-GB"/>
        </w:rPr>
        <w:t xml:space="preserve"> theiasmos</w:t>
      </w:r>
      <w:r>
        <w:rPr>
          <w:rFonts w:ascii="Times New Roman" w:hAnsi="Times New Roman" w:eastAsia="Times New Roman" w:cs="Times New Roman"/>
          <w:b w:val="0"/>
          <w:bCs w:val="0"/>
          <w:color w:val="auto"/>
          <w:sz w:val="24"/>
          <w:szCs w:val="24"/>
          <w:lang w:val="en-GB"/>
        </w:rPr>
        <w:t xml:space="preserve"> or Latin word </w:t>
      </w:r>
      <w:r>
        <w:rPr>
          <w:rFonts w:ascii="Times New Roman" w:hAnsi="Times New Roman" w:eastAsia="Times New Roman" w:cs="Times New Roman"/>
          <w:b w:val="0"/>
          <w:bCs w:val="0"/>
          <w:i/>
          <w:iCs/>
          <w:color w:val="auto"/>
          <w:sz w:val="24"/>
          <w:szCs w:val="24"/>
          <w:lang w:val="en-GB"/>
        </w:rPr>
        <w:t>divinatio</w:t>
      </w:r>
      <w:r>
        <w:rPr>
          <w:rFonts w:ascii="Times New Roman" w:hAnsi="Times New Roman" w:eastAsia="Times New Roman" w:cs="Times New Roman"/>
          <w:b w:val="0"/>
          <w:bCs w:val="0"/>
          <w:color w:val="auto"/>
          <w:sz w:val="24"/>
          <w:szCs w:val="24"/>
          <w:lang w:val="en-GB"/>
        </w:rPr>
        <w:t xml:space="preserve">. Ancient Egyptians were said to be one of the original founders and users of divination, with </w:t>
      </w:r>
      <w:r>
        <w:rPr>
          <w:rFonts w:ascii="Times New Roman" w:hAnsi="Times New Roman" w:eastAsia="Times New Roman" w:cs="Times New Roman"/>
          <w:b w:val="0"/>
          <w:bCs w:val="0"/>
          <w:color w:val="auto"/>
          <w:sz w:val="24"/>
          <w:szCs w:val="24"/>
        </w:rPr>
        <w:t>Iamblichus</w:t>
      </w:r>
      <w:r>
        <w:rPr>
          <w:rFonts w:ascii="Times New Roman" w:hAnsi="Times New Roman" w:eastAsia="Times New Roman" w:cs="Times New Roman"/>
          <w:b w:val="0"/>
          <w:bCs w:val="0"/>
          <w:color w:val="auto"/>
          <w:sz w:val="24"/>
          <w:szCs w:val="24"/>
          <w:lang w:val="en-GB"/>
        </w:rPr>
        <w:t xml:space="preserve"> arguing that the Egyptians practise of theology included imitation of the gods and ‘nature of the universe’.</w:t>
      </w:r>
      <w:r>
        <w:rPr>
          <w:rStyle w:val="8"/>
          <w:rFonts w:ascii="Times New Roman" w:hAnsi="Times New Roman" w:eastAsia="Times New Roman" w:cs="Times New Roman"/>
          <w:b w:val="0"/>
          <w:bCs w:val="0"/>
          <w:color w:val="auto"/>
          <w:sz w:val="24"/>
          <w:szCs w:val="24"/>
          <w:lang w:val="en-GB"/>
        </w:rPr>
        <w:footnoteReference w:id="16"/>
      </w:r>
      <w:r>
        <w:rPr>
          <w:rFonts w:ascii="Times New Roman" w:hAnsi="Times New Roman" w:eastAsia="Times New Roman" w:cs="Times New Roman"/>
          <w:b w:val="0"/>
          <w:bCs w:val="0"/>
          <w:color w:val="auto"/>
          <w:sz w:val="24"/>
          <w:szCs w:val="24"/>
          <w:lang w:val="en-GB"/>
        </w:rPr>
        <w:t xml:space="preserve"> Divination in Mesopotamia is similar to Egypt in its frameworks and in that it does not have a specific word for oracle or omen. Mesopotamian divination was said to be scientific in nature however, similarly to Egyptian divination or Ancient Eastern divination in general, it involved a mixture of worship, deity work and ritualistic ceremony which would involve religious and magical ‘non scientific’ acts of practise. Through repeated empirical observation, evidential tests, observation, and conceptual thoughts the scientific nature also supported the practise. In Mesopotamian divination the diverse types of divination could be related for example Extispicy and astrology where the universe has constant signs to be interpreted by it’s reader. Mesopotamia was polytheistic having multiple gods and goddesses as rulers of the natural world and nature itself, with the most powerful Mesopotamian deities being perceived through the ‘natural’ environment such as the sky.</w:t>
      </w:r>
    </w:p>
    <w:p>
      <w:pPr>
        <w:bidi w:val="0"/>
        <w:rPr>
          <w:rFonts w:ascii="Times New Roman" w:hAnsi="Times New Roman" w:eastAsia="Times New Roman" w:cs="Times New Roman"/>
          <w:b w:val="0"/>
          <w:bCs w:val="0"/>
          <w:color w:val="auto"/>
          <w:sz w:val="24"/>
          <w:szCs w:val="24"/>
          <w:lang w:val="en-GB"/>
        </w:rPr>
      </w:pPr>
    </w:p>
    <w:p>
      <w:pPr>
        <w:bidi w:val="0"/>
        <w:spacing w:before="0" w:beforeAutospacing="0" w:after="160" w:afterAutospacing="0" w:line="259" w:lineRule="auto"/>
        <w:ind w:left="0" w:right="0" w:firstLine="240"/>
        <w:jc w:val="left"/>
        <w:rPr>
          <w:rFonts w:ascii="Times New Roman" w:hAnsi="Times New Roman" w:eastAsia="Times New Roman" w:cs="Times New Roman"/>
          <w:b w:val="0"/>
          <w:bCs w:val="0"/>
          <w:color w:val="auto"/>
          <w:sz w:val="24"/>
          <w:szCs w:val="24"/>
          <w:lang w:val="en-GB"/>
        </w:rPr>
      </w:pPr>
      <w:r>
        <w:rPr>
          <w:rFonts w:ascii="Times New Roman" w:hAnsi="Times New Roman" w:eastAsia="Times New Roman" w:cs="Times New Roman"/>
          <w:b w:val="0"/>
          <w:bCs w:val="0"/>
          <w:color w:val="auto"/>
          <w:sz w:val="24"/>
          <w:szCs w:val="24"/>
          <w:lang w:val="en-GB"/>
        </w:rPr>
        <w:t>Ancient Egyptians were said to favour using Oracles, dream interpretation, astral and time divination where they would seek answers and omens. The difference between an omen and an oracle is that an oracle question or form of contact is directed to the Gods from the human and then the answer returns to the human, however, an omen would be a direct sign that humans would interpret as being directly sent from Gods with or without a request first</w:t>
      </w:r>
      <w:r>
        <w:rPr>
          <w:rStyle w:val="8"/>
          <w:rFonts w:ascii="Times New Roman" w:hAnsi="Times New Roman" w:eastAsia="Times New Roman" w:cs="Times New Roman"/>
          <w:b w:val="0"/>
          <w:bCs w:val="0"/>
          <w:color w:val="auto"/>
          <w:sz w:val="24"/>
          <w:szCs w:val="24"/>
          <w:lang w:val="en-GB"/>
        </w:rPr>
        <w:footnoteReference w:id="17"/>
      </w:r>
      <w:r>
        <w:rPr>
          <w:rFonts w:ascii="Times New Roman" w:hAnsi="Times New Roman" w:eastAsia="Times New Roman" w:cs="Times New Roman"/>
          <w:b w:val="0"/>
          <w:bCs w:val="0"/>
          <w:color w:val="auto"/>
          <w:sz w:val="24"/>
          <w:szCs w:val="24"/>
          <w:lang w:val="en-GB"/>
        </w:rPr>
        <w:t xml:space="preserve">. Ancient Egyptians emphasised the importance of having statues as a way to connect with the Gods and used them also for divination purposes as well as worship, they honoured the Gods through processionals, oracles and statues. It is even claimed that Maximus of Ephesus used ‘statues of gods in order to perform miracles.’ </w:t>
      </w:r>
      <w:r>
        <w:rPr>
          <w:rStyle w:val="8"/>
          <w:rFonts w:ascii="Times New Roman" w:hAnsi="Times New Roman" w:eastAsia="Times New Roman" w:cs="Times New Roman"/>
          <w:b w:val="0"/>
          <w:bCs w:val="0"/>
          <w:color w:val="auto"/>
          <w:sz w:val="24"/>
          <w:szCs w:val="24"/>
          <w:lang w:val="en-GB"/>
        </w:rPr>
        <w:footnoteReference w:id="18"/>
      </w:r>
      <w:r>
        <w:rPr>
          <w:rFonts w:ascii="Times New Roman" w:hAnsi="Times New Roman" w:eastAsia="Times New Roman" w:cs="Times New Roman"/>
          <w:b w:val="0"/>
          <w:bCs w:val="0"/>
          <w:color w:val="auto"/>
          <w:sz w:val="24"/>
          <w:szCs w:val="24"/>
        </w:rPr>
        <w:t xml:space="preserve"> </w:t>
      </w:r>
      <w:r>
        <w:rPr>
          <w:rFonts w:ascii="Times New Roman" w:hAnsi="Times New Roman" w:eastAsia="Times New Roman" w:cs="Times New Roman"/>
          <w:b w:val="0"/>
          <w:bCs w:val="0"/>
          <w:color w:val="auto"/>
          <w:sz w:val="24"/>
          <w:szCs w:val="24"/>
          <w:lang w:val="en-GB"/>
        </w:rPr>
        <w:t xml:space="preserve">There are diverse types of Ancient Oracles from other cultures such as Ancient Greece who would make contact with the divine not only for answers or to predict the future but also to ask for guidance and insight to situations revealing truths to past, present and future occurrences. These included oracle sanctuaries, where the divine entity was said to speak through a high, intermediary priest or priestess who was pure and able to be possessed. Healing Sanctuaries and incubation temples were used for this type of ritual, where answers and knowledge would be sent from divine source to the enquirer through dreams or a vision of the deity speaking directly to them, they would sleep in a secluded sanctuary until they were greeted by the Gods and delivered the information they were seeking. Similarly, to this, there was also Nekumanteion where the dead were said to be able to reply directly to the enquirer during dreams as the enquirer slept in special isolated oracular sanctuaries waiting for answers from the deceist. Many answers were sought to any questions about living life and life after death for reassurance and healing assistance. </w:t>
      </w:r>
    </w:p>
    <w:p>
      <w:pPr>
        <w:spacing w:before="0" w:beforeAutospacing="0" w:after="160" w:afterAutospacing="0" w:line="259" w:lineRule="auto"/>
        <w:rPr>
          <w:rFonts w:ascii="Times New Roman" w:hAnsi="Times New Roman" w:eastAsia="Times New Roman" w:cs="Times New Roman"/>
          <w:b w:val="0"/>
          <w:bCs w:val="0"/>
          <w:color w:val="auto"/>
          <w:sz w:val="24"/>
          <w:szCs w:val="24"/>
          <w:lang w:val="en-GB"/>
        </w:rPr>
      </w:pPr>
    </w:p>
    <w:p>
      <w:pPr>
        <w:spacing w:before="0" w:beforeAutospacing="0" w:after="160" w:afterAutospacing="0" w:line="259" w:lineRule="auto"/>
        <w:rPr>
          <w:rFonts w:ascii="Times New Roman" w:hAnsi="Times New Roman" w:eastAsia="Times New Roman" w:cs="Times New Roman"/>
          <w:b w:val="0"/>
          <w:bCs w:val="0"/>
          <w:color w:val="auto"/>
          <w:sz w:val="24"/>
          <w:szCs w:val="24"/>
          <w:lang w:val="en-GB"/>
        </w:rPr>
      </w:pPr>
      <w:r>
        <w:rPr>
          <w:rFonts w:ascii="Times New Roman" w:hAnsi="Times New Roman" w:eastAsia="Times New Roman" w:cs="Times New Roman"/>
          <w:b w:val="0"/>
          <w:bCs w:val="0"/>
          <w:color w:val="auto"/>
          <w:sz w:val="24"/>
          <w:szCs w:val="24"/>
          <w:lang w:val="en-GB"/>
        </w:rPr>
        <w:t xml:space="preserve">As mentioned above there are many different forms of divination, and some can be used conjointly, divination is an important tool used in theurgy with some being more popularly used than others. Other forms of divination would be via dreams, hemerology, and celestial divination. Hemerology is a time based or timing-based form of divination. Hemerology, is a study of calendars that gave insight to days that were considered as being good or bad. The Egyptians also had calendars of lucky and unlucky days </w:t>
      </w:r>
      <w:r>
        <w:rPr>
          <w:rStyle w:val="8"/>
          <w:rFonts w:ascii="Times New Roman" w:hAnsi="Times New Roman" w:eastAsia="Times New Roman" w:cs="Times New Roman"/>
          <w:b w:val="0"/>
          <w:bCs w:val="0"/>
          <w:color w:val="auto"/>
          <w:sz w:val="24"/>
          <w:szCs w:val="24"/>
          <w:lang w:val="en-GB"/>
        </w:rPr>
        <w:footnoteReference w:id="19"/>
      </w:r>
      <w:r>
        <w:rPr>
          <w:rFonts w:ascii="Times New Roman" w:hAnsi="Times New Roman" w:eastAsia="Times New Roman" w:cs="Times New Roman"/>
          <w:b w:val="0"/>
          <w:bCs w:val="0"/>
          <w:color w:val="auto"/>
          <w:sz w:val="24"/>
          <w:szCs w:val="24"/>
          <w:lang w:val="en-GB"/>
        </w:rPr>
        <w:t xml:space="preserve"> with Herodotus stating that the Egyptians ’found out to which god every month and day belongs, and to tell by the day of a man’s birth what fortune he will have, when he will die and what manner of man he is.’</w:t>
      </w:r>
      <w:r>
        <w:rPr>
          <w:rStyle w:val="8"/>
          <w:rFonts w:ascii="Times New Roman" w:hAnsi="Times New Roman" w:eastAsia="Times New Roman" w:cs="Times New Roman"/>
          <w:b w:val="0"/>
          <w:bCs w:val="0"/>
          <w:color w:val="auto"/>
          <w:sz w:val="24"/>
          <w:szCs w:val="24"/>
          <w:lang w:val="en-GB"/>
        </w:rPr>
        <w:footnoteReference w:id="20"/>
      </w:r>
      <w:r>
        <w:rPr>
          <w:rFonts w:ascii="Times New Roman" w:hAnsi="Times New Roman" w:eastAsia="Times New Roman" w:cs="Times New Roman"/>
          <w:b w:val="0"/>
          <w:bCs w:val="0"/>
          <w:color w:val="auto"/>
          <w:sz w:val="24"/>
          <w:szCs w:val="24"/>
          <w:lang w:val="en-GB"/>
        </w:rPr>
        <w:t xml:space="preserve"> Celestial divination was also used with there being no clear distinction made between both astronomy and astrology as with the modern day. Stars and planets were respected and thought to the manifestations of Gods with constellations being a huge part of wall and ceiling arts in royal tombs. Through reading the sky via observation of the stars, astrology was even used as astrological medicine combining Babylonian and Egyptian systems.</w:t>
      </w:r>
      <w:r>
        <w:rPr>
          <w:rStyle w:val="8"/>
          <w:rFonts w:ascii="Times New Roman" w:hAnsi="Times New Roman" w:eastAsia="Times New Roman" w:cs="Times New Roman"/>
          <w:b w:val="0"/>
          <w:bCs w:val="0"/>
          <w:color w:val="auto"/>
          <w:sz w:val="24"/>
          <w:szCs w:val="24"/>
          <w:lang w:val="en-GB"/>
        </w:rPr>
        <w:footnoteReference w:id="21"/>
      </w:r>
      <w:r>
        <w:rPr>
          <w:rFonts w:ascii="Times New Roman" w:hAnsi="Times New Roman" w:eastAsia="Times New Roman" w:cs="Times New Roman"/>
          <w:b w:val="0"/>
          <w:bCs w:val="0"/>
          <w:color w:val="auto"/>
          <w:sz w:val="24"/>
          <w:szCs w:val="24"/>
          <w:lang w:val="en-GB"/>
        </w:rPr>
        <w:t xml:space="preserve"> It is presumed that magical culture may have transferred and been adapted from Near Easten culture to Greece through itinerant religious technicians, although Graeco-Roman texts</w:t>
      </w:r>
      <w:r>
        <w:rPr>
          <w:rStyle w:val="8"/>
          <w:rFonts w:ascii="Times New Roman" w:hAnsi="Times New Roman" w:eastAsia="Times New Roman" w:cs="Times New Roman"/>
          <w:b w:val="0"/>
          <w:bCs w:val="0"/>
          <w:color w:val="auto"/>
          <w:sz w:val="24"/>
          <w:szCs w:val="24"/>
          <w:lang w:val="en-GB"/>
        </w:rPr>
        <w:footnoteReference w:id="22"/>
      </w:r>
      <w:r>
        <w:rPr>
          <w:rFonts w:ascii="Times New Roman" w:hAnsi="Times New Roman" w:eastAsia="Times New Roman" w:cs="Times New Roman"/>
          <w:b w:val="0"/>
          <w:bCs w:val="0"/>
          <w:color w:val="auto"/>
          <w:sz w:val="24"/>
          <w:szCs w:val="24"/>
          <w:lang w:val="en-GB"/>
        </w:rPr>
        <w:t xml:space="preserve"> during the Mycenean or Orientalizing period (ca.1500-1000 or 8th century B.C.E) show no evidence of this with others arguing that ‘much of our evidence of magical practice comes from the Hellenistic world. Ptolemaic Egypt has been a rich source of information in the form of magical papyri’.</w:t>
      </w:r>
      <w:r>
        <w:rPr>
          <w:rStyle w:val="8"/>
          <w:rFonts w:ascii="Times New Roman" w:hAnsi="Times New Roman" w:eastAsia="Times New Roman" w:cs="Times New Roman"/>
          <w:b w:val="0"/>
          <w:bCs w:val="0"/>
          <w:color w:val="auto"/>
          <w:sz w:val="24"/>
          <w:szCs w:val="24"/>
          <w:lang w:val="en-GB"/>
        </w:rPr>
        <w:footnoteReference w:id="23"/>
      </w:r>
      <w:r>
        <w:rPr>
          <w:rFonts w:ascii="Times New Roman" w:hAnsi="Times New Roman" w:eastAsia="Times New Roman" w:cs="Times New Roman"/>
          <w:b w:val="0"/>
          <w:bCs w:val="0"/>
          <w:color w:val="auto"/>
          <w:sz w:val="24"/>
          <w:szCs w:val="24"/>
          <w:lang w:val="en-GB"/>
        </w:rPr>
        <w:t xml:space="preserve"> Extispicy was developed before the last quarter of the 3</w:t>
      </w:r>
      <w:r>
        <w:rPr>
          <w:rFonts w:ascii="Times New Roman" w:hAnsi="Times New Roman" w:eastAsia="Times New Roman" w:cs="Times New Roman"/>
          <w:b w:val="0"/>
          <w:bCs w:val="0"/>
          <w:color w:val="auto"/>
          <w:sz w:val="24"/>
          <w:szCs w:val="24"/>
          <w:vertAlign w:val="superscript"/>
          <w:lang w:val="en-GB"/>
        </w:rPr>
        <w:t>rd</w:t>
      </w:r>
      <w:r>
        <w:rPr>
          <w:rFonts w:ascii="Times New Roman" w:hAnsi="Times New Roman" w:eastAsia="Times New Roman" w:cs="Times New Roman"/>
          <w:b w:val="0"/>
          <w:bCs w:val="0"/>
          <w:color w:val="auto"/>
          <w:sz w:val="24"/>
          <w:szCs w:val="24"/>
          <w:lang w:val="en-GB"/>
        </w:rPr>
        <w:t xml:space="preserve"> millennium BCE and continued throughout Mesopatamian history. Here the liver of a sacrificed animal would be inspected and intuitively read as a very useful form of divination. Through reading the liver many rulers would seek knowledge and guidance on their future political, military, religious or personal actions and matters. It was said that the animal organs provided divine insight and was refered to as a ’tablet’ sent from the gods.</w:t>
      </w:r>
    </w:p>
    <w:p>
      <w:pPr>
        <w:spacing w:before="0" w:beforeAutospacing="0" w:after="160" w:afterAutospacing="0" w:line="259" w:lineRule="auto"/>
        <w:rPr>
          <w:rFonts w:ascii="Times New Roman" w:hAnsi="Times New Roman" w:eastAsia="Times New Roman" w:cs="Times New Roman"/>
          <w:b w:val="0"/>
          <w:bCs w:val="0"/>
          <w:color w:val="auto"/>
          <w:sz w:val="24"/>
          <w:szCs w:val="24"/>
          <w:lang w:val="en-GB"/>
        </w:rPr>
      </w:pPr>
      <w:r>
        <w:rPr>
          <w:rFonts w:ascii="Times New Roman" w:hAnsi="Times New Roman" w:eastAsia="Times New Roman" w:cs="Times New Roman"/>
          <w:b w:val="0"/>
          <w:bCs w:val="0"/>
          <w:color w:val="auto"/>
          <w:sz w:val="24"/>
          <w:szCs w:val="24"/>
          <w:lang w:val="en-GB"/>
        </w:rPr>
        <w:t xml:space="preserve"> </w:t>
      </w:r>
    </w:p>
    <w:p>
      <w:pPr>
        <w:spacing w:before="0" w:beforeAutospacing="0" w:after="160" w:afterAutospacing="0" w:line="259" w:lineRule="auto"/>
        <w:ind w:left="0" w:right="0"/>
        <w:jc w:val="left"/>
        <w:rPr>
          <w:rFonts w:ascii="Times New Roman" w:hAnsi="Times New Roman" w:eastAsia="Times New Roman" w:cs="Times New Roman"/>
          <w:b w:val="0"/>
          <w:bCs w:val="0"/>
          <w:color w:val="auto"/>
          <w:sz w:val="24"/>
          <w:szCs w:val="24"/>
          <w:lang w:val="en-GB"/>
        </w:rPr>
      </w:pPr>
      <w:r>
        <w:rPr>
          <w:rFonts w:ascii="Times New Roman" w:hAnsi="Times New Roman" w:eastAsia="Times New Roman" w:cs="Times New Roman"/>
          <w:b w:val="0"/>
          <w:bCs w:val="0"/>
          <w:color w:val="auto"/>
          <w:sz w:val="24"/>
          <w:szCs w:val="24"/>
          <w:lang w:val="en-GB"/>
        </w:rPr>
        <w:t xml:space="preserve">         Astrology has been a powerful tool for divination by ancient cultures with the Astral Omina being collected near the end of the 2</w:t>
      </w:r>
      <w:r>
        <w:rPr>
          <w:rFonts w:ascii="Times New Roman" w:hAnsi="Times New Roman" w:eastAsia="Times New Roman" w:cs="Times New Roman"/>
          <w:b w:val="0"/>
          <w:bCs w:val="0"/>
          <w:color w:val="auto"/>
          <w:sz w:val="24"/>
          <w:szCs w:val="24"/>
          <w:vertAlign w:val="superscript"/>
          <w:lang w:val="en-GB"/>
        </w:rPr>
        <w:t>nd</w:t>
      </w:r>
      <w:r>
        <w:rPr>
          <w:rFonts w:ascii="Times New Roman" w:hAnsi="Times New Roman" w:eastAsia="Times New Roman" w:cs="Times New Roman"/>
          <w:b w:val="0"/>
          <w:bCs w:val="0"/>
          <w:color w:val="auto"/>
          <w:sz w:val="24"/>
          <w:szCs w:val="24"/>
          <w:lang w:val="en-GB"/>
        </w:rPr>
        <w:t xml:space="preserve"> millennium BCE documenting lunar, solar, stars, weather, earthquake happenings, planetary occurrences. During the middle Babylonian Period and thereafter celestial omen texts began with the </w:t>
      </w:r>
      <w:r>
        <w:rPr>
          <w:rFonts w:ascii="Times New Roman" w:hAnsi="Times New Roman" w:eastAsia="Times New Roman" w:cs="Times New Roman"/>
          <w:b w:val="0"/>
          <w:bCs w:val="0"/>
          <w:i w:val="0"/>
          <w:iCs w:val="0"/>
          <w:caps w:val="0"/>
          <w:smallCaps w:val="0"/>
          <w:color w:val="auto"/>
          <w:sz w:val="24"/>
          <w:szCs w:val="24"/>
          <w:lang w:val="en-GB"/>
        </w:rPr>
        <w:t xml:space="preserve">MUL.APIN also known as "the plough star" ‘which includes a list of the three divisions of the heavens, the dates (in the ideal 360-day year) of the rising of principal stars and of those which rise and set together, and the constellations in the path of the moon; nearly complete.’ being available to view </w:t>
      </w:r>
      <w:r>
        <w:rPr>
          <w:rStyle w:val="8"/>
          <w:rFonts w:ascii="Times New Roman" w:hAnsi="Times New Roman" w:eastAsia="Times New Roman" w:cs="Times New Roman"/>
          <w:b w:val="0"/>
          <w:bCs w:val="0"/>
          <w:i w:val="0"/>
          <w:iCs w:val="0"/>
          <w:caps w:val="0"/>
          <w:smallCaps w:val="0"/>
          <w:color w:val="auto"/>
          <w:sz w:val="24"/>
          <w:szCs w:val="24"/>
          <w:lang w:val="en-GB"/>
        </w:rPr>
        <w:footnoteReference w:id="24"/>
      </w:r>
      <w:r>
        <w:rPr>
          <w:rFonts w:ascii="Times New Roman" w:hAnsi="Times New Roman" w:eastAsia="Times New Roman" w:cs="Times New Roman"/>
          <w:b w:val="0"/>
          <w:bCs w:val="0"/>
          <w:i w:val="0"/>
          <w:iCs w:val="0"/>
          <w:caps w:val="0"/>
          <w:smallCaps w:val="0"/>
          <w:color w:val="auto"/>
          <w:sz w:val="24"/>
          <w:szCs w:val="24"/>
          <w:lang w:val="en-GB"/>
        </w:rPr>
        <w:t>. MUL.APIN mainly set out the astronomical framework such as the 36 stars and 18 lunar constellations which could have been used for astrological divination purposes. Another important tablet discovered was the Enuma Anu Enlil a ’Fragment of a Neo-Assyrian clay tablet: the text comments on excerpts from tablet 50 of the celestial omen series 'Enuma Anu Enlil' ('When the gods Anu and Enlil . . .'). The text is written in 77 lines of cuneiform inscription.’</w:t>
      </w:r>
      <w:r>
        <w:rPr>
          <w:rStyle w:val="8"/>
          <w:rFonts w:ascii="Times New Roman" w:hAnsi="Times New Roman" w:eastAsia="Times New Roman" w:cs="Times New Roman"/>
          <w:b w:val="0"/>
          <w:bCs w:val="0"/>
          <w:i w:val="0"/>
          <w:iCs w:val="0"/>
          <w:caps w:val="0"/>
          <w:smallCaps w:val="0"/>
          <w:color w:val="auto"/>
          <w:sz w:val="24"/>
          <w:szCs w:val="24"/>
          <w:lang w:val="en-GB"/>
        </w:rPr>
        <w:footnoteReference w:id="25"/>
      </w:r>
      <w:r>
        <w:rPr>
          <w:rFonts w:ascii="Times New Roman" w:hAnsi="Times New Roman" w:eastAsia="Times New Roman" w:cs="Times New Roman"/>
          <w:b w:val="0"/>
          <w:bCs w:val="0"/>
          <w:i w:val="0"/>
          <w:iCs w:val="0"/>
          <w:caps w:val="0"/>
          <w:smallCaps w:val="0"/>
          <w:color w:val="auto"/>
          <w:sz w:val="24"/>
          <w:szCs w:val="24"/>
          <w:lang w:val="en-GB"/>
        </w:rPr>
        <w:t xml:space="preserve"> includes the Venus tablet of Ammisaduqa and 54 other tablets containing 7000 omens said to be used for astrology from the 7-8</w:t>
      </w:r>
      <w:r>
        <w:rPr>
          <w:rFonts w:ascii="Times New Roman" w:hAnsi="Times New Roman" w:eastAsia="Times New Roman" w:cs="Times New Roman"/>
          <w:b w:val="0"/>
          <w:bCs w:val="0"/>
          <w:i w:val="0"/>
          <w:iCs w:val="0"/>
          <w:caps w:val="0"/>
          <w:smallCaps w:val="0"/>
          <w:color w:val="auto"/>
          <w:sz w:val="24"/>
          <w:szCs w:val="24"/>
          <w:vertAlign w:val="superscript"/>
          <w:lang w:val="en-GB"/>
        </w:rPr>
        <w:t>th</w:t>
      </w:r>
      <w:r>
        <w:rPr>
          <w:rFonts w:ascii="Times New Roman" w:hAnsi="Times New Roman" w:eastAsia="Times New Roman" w:cs="Times New Roman"/>
          <w:b w:val="0"/>
          <w:bCs w:val="0"/>
          <w:i w:val="0"/>
          <w:iCs w:val="0"/>
          <w:caps w:val="0"/>
          <w:smallCaps w:val="0"/>
          <w:color w:val="auto"/>
          <w:sz w:val="24"/>
          <w:szCs w:val="24"/>
          <w:lang w:val="en-GB"/>
        </w:rPr>
        <w:t xml:space="preserve"> centuries BCE. Many theurgists believed that through astrology, one was able to access and converse with their own p</w:t>
      </w:r>
      <w:r>
        <w:rPr>
          <w:rFonts w:ascii="Times New Roman" w:hAnsi="Times New Roman" w:eastAsia="Times New Roman" w:cs="Times New Roman"/>
          <w:b w:val="0"/>
          <w:bCs w:val="0"/>
          <w:color w:val="auto"/>
          <w:sz w:val="24"/>
          <w:szCs w:val="24"/>
          <w:lang w:val="en-GB"/>
        </w:rPr>
        <w:t>ersonal daemon, sub god or guardian angel. The inner daemons would encourage the enquirer to elevate their consciousness, offering them knowledge and wisdom.</w:t>
      </w:r>
      <w:r>
        <w:rPr>
          <w:rStyle w:val="8"/>
          <w:rFonts w:ascii="Times New Roman" w:hAnsi="Times New Roman" w:eastAsia="Times New Roman" w:cs="Times New Roman"/>
          <w:b w:val="0"/>
          <w:bCs w:val="0"/>
          <w:color w:val="auto"/>
          <w:sz w:val="24"/>
          <w:szCs w:val="24"/>
          <w:lang w:val="en-GB"/>
        </w:rPr>
        <w:footnoteReference w:id="26"/>
      </w:r>
    </w:p>
    <w:p>
      <w:pPr>
        <w:spacing w:before="0" w:beforeAutospacing="0" w:after="160" w:afterAutospacing="0" w:line="259" w:lineRule="auto"/>
        <w:rPr>
          <w:rFonts w:ascii="Times New Roman" w:hAnsi="Times New Roman" w:eastAsia="Times New Roman" w:cs="Times New Roman"/>
          <w:b w:val="0"/>
          <w:bCs w:val="0"/>
          <w:i w:val="0"/>
          <w:iCs w:val="0"/>
          <w:caps w:val="0"/>
          <w:smallCaps w:val="0"/>
          <w:color w:val="auto"/>
          <w:sz w:val="24"/>
          <w:szCs w:val="24"/>
          <w:lang w:val="en-GB"/>
        </w:rPr>
      </w:pPr>
    </w:p>
    <w:p>
      <w:pPr>
        <w:bidi w:val="0"/>
        <w:spacing w:before="0" w:beforeAutospacing="0" w:after="160" w:afterAutospacing="0" w:line="259" w:lineRule="auto"/>
        <w:ind w:left="0" w:right="0"/>
        <w:jc w:val="left"/>
        <w:rPr>
          <w:rFonts w:ascii="Times New Roman" w:hAnsi="Times New Roman" w:eastAsia="Times New Roman" w:cs="Times New Roman"/>
          <w:b w:val="0"/>
          <w:bCs w:val="0"/>
          <w:color w:val="auto"/>
          <w:sz w:val="24"/>
          <w:szCs w:val="24"/>
          <w:lang w:val="en-GB"/>
        </w:rPr>
      </w:pPr>
      <w:r>
        <w:rPr>
          <w:rFonts w:ascii="Times New Roman" w:hAnsi="Times New Roman" w:eastAsia="Times New Roman" w:cs="Times New Roman"/>
          <w:b w:val="0"/>
          <w:bCs w:val="0"/>
          <w:i w:val="0"/>
          <w:iCs w:val="0"/>
          <w:caps w:val="0"/>
          <w:smallCaps w:val="0"/>
          <w:color w:val="auto"/>
          <w:sz w:val="24"/>
          <w:szCs w:val="24"/>
          <w:lang w:val="en-GB"/>
        </w:rPr>
        <w:t xml:space="preserve">       There are many arguments against using divination and sacramental theology to contact the gods under the speculation that it is trying to control the gods or over glorify theurgy  </w:t>
      </w:r>
      <w:r>
        <w:rPr>
          <w:rStyle w:val="8"/>
          <w:rFonts w:ascii="Times New Roman" w:hAnsi="Times New Roman" w:eastAsia="Times New Roman" w:cs="Times New Roman"/>
          <w:b w:val="0"/>
          <w:bCs w:val="0"/>
          <w:i w:val="0"/>
          <w:iCs w:val="0"/>
          <w:caps w:val="0"/>
          <w:smallCaps w:val="0"/>
          <w:color w:val="auto"/>
          <w:sz w:val="24"/>
          <w:szCs w:val="24"/>
          <w:lang w:val="en-GB"/>
        </w:rPr>
        <w:footnoteReference w:id="27"/>
      </w:r>
      <w:r>
        <w:rPr>
          <w:rFonts w:ascii="Times New Roman" w:hAnsi="Times New Roman" w:eastAsia="Times New Roman" w:cs="Times New Roman"/>
          <w:b w:val="0"/>
          <w:bCs w:val="0"/>
          <w:i w:val="0"/>
          <w:iCs w:val="0"/>
          <w:caps w:val="0"/>
          <w:smallCaps w:val="0"/>
          <w:color w:val="auto"/>
          <w:sz w:val="24"/>
          <w:szCs w:val="24"/>
          <w:lang w:val="en-GB"/>
        </w:rPr>
        <w:t xml:space="preserve"> however, in defence of divination and theurgy,</w:t>
      </w:r>
      <w:r>
        <w:rPr>
          <w:rFonts w:ascii="Times New Roman" w:hAnsi="Times New Roman" w:eastAsia="Times New Roman" w:cs="Times New Roman"/>
          <w:b w:val="0"/>
          <w:bCs w:val="0"/>
          <w:color w:val="auto"/>
          <w:sz w:val="24"/>
          <w:szCs w:val="24"/>
          <w:lang w:val="en-GB"/>
        </w:rPr>
        <w:t xml:space="preserve"> </w:t>
      </w:r>
      <w:r>
        <w:rPr>
          <w:rFonts w:ascii="Times New Roman" w:hAnsi="Times New Roman" w:eastAsia="Times New Roman" w:cs="Times New Roman"/>
          <w:b w:val="0"/>
          <w:bCs w:val="0"/>
          <w:color w:val="auto"/>
          <w:sz w:val="24"/>
          <w:szCs w:val="24"/>
        </w:rPr>
        <w:t>Iamblichus</w:t>
      </w:r>
      <w:r>
        <w:rPr>
          <w:rFonts w:ascii="Times New Roman" w:hAnsi="Times New Roman" w:eastAsia="Times New Roman" w:cs="Times New Roman"/>
          <w:b w:val="0"/>
          <w:bCs w:val="0"/>
          <w:color w:val="auto"/>
          <w:sz w:val="24"/>
          <w:szCs w:val="24"/>
          <w:lang w:val="en-GB"/>
        </w:rPr>
        <w:t xml:space="preserve"> believes that since humans have a lower power, they don’t have power to control the gods and instead are contacting the gods for consent or insight that will only come through with consent from the higher power, theurgy in essence requires the participation of the Gods </w:t>
      </w:r>
      <w:r>
        <w:rPr>
          <w:rFonts w:ascii="Times New Roman" w:hAnsi="Times New Roman" w:eastAsia="Times New Roman" w:cs="Times New Roman"/>
          <w:b w:val="0"/>
          <w:bCs w:val="0"/>
          <w:i/>
          <w:iCs/>
          <w:color w:val="auto"/>
          <w:sz w:val="24"/>
          <w:szCs w:val="24"/>
          <w:lang w:val="en-GB"/>
        </w:rPr>
        <w:t>Deo Concedente.</w:t>
      </w:r>
      <w:r>
        <w:rPr>
          <w:rFonts w:ascii="Times New Roman" w:hAnsi="Times New Roman" w:eastAsia="Times New Roman" w:cs="Times New Roman"/>
          <w:b w:val="0"/>
          <w:bCs w:val="0"/>
          <w:color w:val="auto"/>
          <w:sz w:val="24"/>
          <w:szCs w:val="24"/>
          <w:lang w:val="en-GB"/>
        </w:rPr>
        <w:t xml:space="preserve"> </w:t>
      </w:r>
      <w:r>
        <w:rPr>
          <w:rFonts w:ascii="Times New Roman" w:hAnsi="Times New Roman" w:eastAsia="Times New Roman" w:cs="Times New Roman"/>
          <w:b w:val="0"/>
          <w:bCs w:val="0"/>
          <w:color w:val="auto"/>
          <w:sz w:val="24"/>
          <w:szCs w:val="24"/>
        </w:rPr>
        <w:t>Iamblichus</w:t>
      </w:r>
      <w:r>
        <w:rPr>
          <w:rFonts w:ascii="Times New Roman" w:hAnsi="Times New Roman" w:eastAsia="Times New Roman" w:cs="Times New Roman"/>
          <w:b w:val="0"/>
          <w:bCs w:val="0"/>
          <w:color w:val="auto"/>
          <w:sz w:val="24"/>
          <w:szCs w:val="24"/>
          <w:lang w:val="en-GB"/>
        </w:rPr>
        <w:t xml:space="preserve"> was also supportive of sacrificial rituals believing that they were sacred and an important part of rituals, not limited to blood sacrifice. </w:t>
      </w:r>
      <w:r>
        <w:rPr>
          <w:rStyle w:val="8"/>
          <w:rFonts w:ascii="Times New Roman" w:hAnsi="Times New Roman" w:eastAsia="Times New Roman" w:cs="Times New Roman"/>
          <w:b w:val="0"/>
          <w:bCs w:val="0"/>
          <w:color w:val="auto"/>
          <w:sz w:val="24"/>
          <w:szCs w:val="24"/>
          <w:lang w:val="en-GB"/>
        </w:rPr>
        <w:footnoteReference w:id="28"/>
      </w:r>
      <w:r>
        <w:rPr>
          <w:rFonts w:ascii="Times New Roman" w:hAnsi="Times New Roman" w:eastAsia="Times New Roman" w:cs="Times New Roman"/>
          <w:b w:val="0"/>
          <w:bCs w:val="0"/>
          <w:color w:val="auto"/>
          <w:sz w:val="24"/>
          <w:szCs w:val="24"/>
          <w:lang w:val="en-GB"/>
        </w:rPr>
        <w:t xml:space="preserve"> </w:t>
      </w:r>
      <w:r>
        <w:rPr>
          <w:rFonts w:ascii="Times New Roman" w:hAnsi="Times New Roman" w:eastAsia="Times New Roman" w:cs="Times New Roman"/>
          <w:b w:val="0"/>
          <w:bCs w:val="0"/>
          <w:color w:val="auto"/>
          <w:sz w:val="24"/>
          <w:szCs w:val="24"/>
        </w:rPr>
        <w:t>Iamblichus</w:t>
      </w:r>
      <w:r>
        <w:rPr>
          <w:rFonts w:ascii="Times New Roman" w:hAnsi="Times New Roman" w:eastAsia="Times New Roman" w:cs="Times New Roman"/>
          <w:b w:val="0"/>
          <w:bCs w:val="0"/>
          <w:color w:val="auto"/>
          <w:sz w:val="24"/>
          <w:szCs w:val="24"/>
          <w:lang w:val="en-GB"/>
        </w:rPr>
        <w:t xml:space="preserve"> believes that the soul must descend into embodiment as only then can it affect its function there for Divinity of the soul may only be accessed through accepting human moral behaviour and conditioning hence the higher and lower levels of the soul - </w:t>
      </w:r>
      <w:r>
        <w:rPr>
          <w:rStyle w:val="8"/>
          <w:rFonts w:ascii="Times New Roman" w:hAnsi="Times New Roman" w:eastAsia="Times New Roman" w:cs="Times New Roman"/>
          <w:b w:val="0"/>
          <w:bCs w:val="0"/>
          <w:color w:val="auto"/>
          <w:sz w:val="24"/>
          <w:szCs w:val="24"/>
          <w:lang w:val="en-GB"/>
        </w:rPr>
        <w:footnoteReference w:id="29"/>
      </w:r>
      <w:r>
        <w:rPr>
          <w:rFonts w:ascii="Times New Roman" w:hAnsi="Times New Roman" w:eastAsia="Times New Roman" w:cs="Times New Roman"/>
          <w:b w:val="0"/>
          <w:bCs w:val="0"/>
          <w:color w:val="auto"/>
          <w:sz w:val="24"/>
          <w:szCs w:val="24"/>
          <w:lang w:val="en-GB"/>
        </w:rPr>
        <w:t xml:space="preserve"> In order for one to contact and become pure and open to have a union with the gods one must perform in ritual ‘For it is not thinking that brings theurgists into contact with the gods, since what would hinder those who engage in contemplative philosophy from giving theurgic union with the gods? As it is, the truth lies elsewhere. It is the ritual accomplishment of ineffable acts, performed divinely, surpassing any intellectual processes, and the power of unspeakable symbols known only to the gods that accomplish theurgical union.’</w:t>
      </w:r>
      <w:r>
        <w:rPr>
          <w:rStyle w:val="8"/>
          <w:rFonts w:ascii="Times New Roman" w:hAnsi="Times New Roman" w:eastAsia="Times New Roman" w:cs="Times New Roman"/>
          <w:b w:val="0"/>
          <w:bCs w:val="0"/>
          <w:color w:val="auto"/>
          <w:sz w:val="24"/>
          <w:szCs w:val="24"/>
          <w:lang w:val="en-GB"/>
        </w:rPr>
        <w:footnoteReference w:id="30"/>
      </w:r>
      <w:r>
        <w:rPr>
          <w:rFonts w:ascii="Times New Roman" w:hAnsi="Times New Roman" w:eastAsia="Times New Roman" w:cs="Times New Roman"/>
          <w:b w:val="0"/>
          <w:bCs w:val="0"/>
          <w:color w:val="auto"/>
          <w:sz w:val="24"/>
          <w:szCs w:val="24"/>
          <w:lang w:val="en-GB"/>
        </w:rPr>
        <w:t xml:space="preserve"> without the permission of the gods then nothing would happen. Similar to praying to Gods in religion therefore theurgists believes that the gods had to consent to the human as it was impossible for someone of lower power to demand insight from a divine source of power. Cicero argues against divination, despite being an augur himself, where he would use the flock and flight of birds as an oracle for omens. Cicero argues against Astrology stating ’the fact that men who were born at the same very instant, are unlike in character, career, and in destiny, makes it very clear that the time of birth has nothing to do in determining man’s course in life’, Cicero didn’t seem to agree that there was much purpose to even needing Astrology at all. Cicero also did not believe in dream divination as he believed that it was the brains way of trying to piece together information during sleep as the body is in a dead like state.</w:t>
      </w:r>
      <w:r>
        <w:rPr>
          <w:rStyle w:val="8"/>
          <w:rFonts w:ascii="Times New Roman" w:hAnsi="Times New Roman" w:eastAsia="Times New Roman" w:cs="Times New Roman"/>
          <w:b w:val="0"/>
          <w:bCs w:val="0"/>
          <w:color w:val="auto"/>
          <w:sz w:val="24"/>
          <w:szCs w:val="24"/>
          <w:lang w:val="en-GB"/>
        </w:rPr>
        <w:footnoteReference w:id="31"/>
      </w:r>
      <w:r>
        <w:rPr>
          <w:rFonts w:ascii="Times New Roman" w:hAnsi="Times New Roman" w:eastAsia="Times New Roman" w:cs="Times New Roman"/>
          <w:b w:val="0"/>
          <w:bCs w:val="0"/>
          <w:color w:val="auto"/>
          <w:sz w:val="24"/>
          <w:szCs w:val="24"/>
          <w:lang w:val="en-GB"/>
        </w:rPr>
        <w:t xml:space="preserve"> Iamblichus argues for the use of theurgy and the importance of divination and how gods are both transcendent and immanent </w:t>
      </w:r>
      <w:r>
        <w:rPr>
          <w:rStyle w:val="8"/>
          <w:rFonts w:ascii="Times New Roman" w:hAnsi="Times New Roman" w:eastAsia="Times New Roman" w:cs="Times New Roman"/>
          <w:b w:val="0"/>
          <w:bCs w:val="0"/>
          <w:color w:val="auto"/>
          <w:sz w:val="24"/>
          <w:szCs w:val="24"/>
          <w:lang w:val="en-GB"/>
        </w:rPr>
        <w:footnoteReference w:id="32"/>
      </w:r>
      <w:r>
        <w:rPr>
          <w:rFonts w:ascii="Times New Roman" w:hAnsi="Times New Roman" w:eastAsia="Times New Roman" w:cs="Times New Roman"/>
          <w:b w:val="0"/>
          <w:bCs w:val="0"/>
          <w:color w:val="auto"/>
          <w:sz w:val="24"/>
          <w:szCs w:val="24"/>
          <w:lang w:val="en-GB"/>
        </w:rPr>
        <w:t>.</w:t>
      </w:r>
    </w:p>
    <w:p>
      <w:pPr>
        <w:spacing w:before="0" w:beforeAutospacing="0" w:after="160" w:afterAutospacing="0" w:line="259" w:lineRule="auto"/>
        <w:ind w:left="0"/>
        <w:rPr>
          <w:rFonts w:ascii="Times New Roman" w:hAnsi="Times New Roman" w:eastAsia="Times New Roman" w:cs="Times New Roman"/>
          <w:b w:val="0"/>
          <w:bCs w:val="0"/>
          <w:color w:val="auto"/>
          <w:sz w:val="24"/>
          <w:szCs w:val="24"/>
          <w:lang w:val="en-GB"/>
        </w:rPr>
      </w:pPr>
    </w:p>
    <w:p>
      <w:pPr>
        <w:spacing w:before="0" w:beforeAutospacing="0" w:after="160" w:afterAutospacing="0" w:line="259" w:lineRule="auto"/>
        <w:ind w:left="0"/>
        <w:rPr>
          <w:rFonts w:ascii="Times New Roman" w:hAnsi="Times New Roman" w:eastAsia="Times New Roman" w:cs="Times New Roman"/>
          <w:b w:val="0"/>
          <w:bCs w:val="0"/>
          <w:color w:val="auto"/>
          <w:sz w:val="24"/>
          <w:szCs w:val="24"/>
          <w:lang w:val="en-GB"/>
        </w:rPr>
      </w:pPr>
      <w:r>
        <w:rPr>
          <w:rFonts w:ascii="Times New Roman" w:hAnsi="Times New Roman" w:eastAsia="Times New Roman" w:cs="Times New Roman"/>
          <w:b w:val="0"/>
          <w:bCs w:val="0"/>
          <w:color w:val="auto"/>
          <w:sz w:val="24"/>
          <w:szCs w:val="24"/>
          <w:lang w:val="en-GB"/>
        </w:rPr>
        <w:t xml:space="preserve">      To conclude this essay it is evident that regardless of culture and divination differences the claimed results seem to be the same. After slight adaptations it seems to have been shared between cultures with some favouring certain rituals and forms over others. The evidence suggests that through isolation, and sacrifice, whether this is animal sacrifice or be it through fasting or sacrificing ones own food in order for a pure soul and peaceful mind then those who practised divination in this state were not only able to connect and contact with divine power, they also would take on the power of the god.</w:t>
      </w:r>
      <w:r>
        <w:rPr>
          <w:rStyle w:val="8"/>
          <w:rFonts w:ascii="Times New Roman" w:hAnsi="Times New Roman" w:eastAsia="Times New Roman" w:cs="Times New Roman"/>
          <w:b w:val="0"/>
          <w:bCs w:val="0"/>
          <w:color w:val="auto"/>
          <w:sz w:val="24"/>
          <w:szCs w:val="24"/>
          <w:lang w:val="en-GB"/>
        </w:rPr>
        <w:footnoteReference w:id="33"/>
      </w:r>
      <w:r>
        <w:rPr>
          <w:rFonts w:ascii="Times New Roman" w:hAnsi="Times New Roman" w:eastAsia="Times New Roman" w:cs="Times New Roman"/>
          <w:b w:val="0"/>
          <w:bCs w:val="0"/>
          <w:color w:val="auto"/>
          <w:sz w:val="24"/>
          <w:szCs w:val="24"/>
          <w:lang w:val="en-GB"/>
        </w:rPr>
        <w:t xml:space="preserve"> Although </w:t>
      </w:r>
      <w:r>
        <w:rPr>
          <w:rFonts w:ascii="Times New Roman" w:hAnsi="Times New Roman" w:eastAsia="Times New Roman" w:cs="Times New Roman"/>
          <w:b w:val="0"/>
          <w:bCs w:val="0"/>
          <w:color w:val="auto"/>
          <w:sz w:val="24"/>
          <w:szCs w:val="24"/>
        </w:rPr>
        <w:t>Iamblichus</w:t>
      </w:r>
      <w:r>
        <w:rPr>
          <w:rFonts w:ascii="Times New Roman" w:hAnsi="Times New Roman" w:eastAsia="Times New Roman" w:cs="Times New Roman"/>
          <w:b w:val="0"/>
          <w:bCs w:val="0"/>
          <w:color w:val="auto"/>
          <w:sz w:val="24"/>
          <w:szCs w:val="24"/>
          <w:lang w:val="en-GB"/>
        </w:rPr>
        <w:t xml:space="preserve"> and Porphyry argue that ‘the Egyptians were the first of men who were allotted the participation of the Gods, the Gods when invoked Rejoyce in the Egypian rites.’</w:t>
      </w:r>
      <w:r>
        <w:rPr>
          <w:rStyle w:val="8"/>
          <w:rFonts w:ascii="Times New Roman" w:hAnsi="Times New Roman" w:eastAsia="Times New Roman" w:cs="Times New Roman"/>
          <w:b w:val="0"/>
          <w:bCs w:val="0"/>
          <w:color w:val="auto"/>
          <w:sz w:val="24"/>
          <w:szCs w:val="24"/>
          <w:lang w:val="en-GB"/>
        </w:rPr>
        <w:footnoteReference w:id="34"/>
      </w:r>
      <w:r>
        <w:rPr>
          <w:rFonts w:ascii="Times New Roman" w:hAnsi="Times New Roman" w:eastAsia="Times New Roman" w:cs="Times New Roman"/>
          <w:b w:val="0"/>
          <w:bCs w:val="0"/>
          <w:color w:val="auto"/>
          <w:sz w:val="24"/>
          <w:szCs w:val="24"/>
          <w:lang w:val="en-GB"/>
        </w:rPr>
        <w:t xml:space="preserve"> many other scholars believe that it is not solely the Ancient Egyptians who were able to contact daemons and gods effectively and it is a collective of ancient beliefs that created the different tools and forms of divination. There is the claim that one must have a pure soul in order for the soul to be able to contact gods, daemons and higher entities</w:t>
      </w:r>
      <w:r>
        <w:rPr>
          <w:rStyle w:val="8"/>
          <w:rFonts w:ascii="Times New Roman" w:hAnsi="Times New Roman" w:eastAsia="Times New Roman" w:cs="Times New Roman"/>
          <w:b w:val="0"/>
          <w:bCs w:val="0"/>
          <w:color w:val="auto"/>
          <w:sz w:val="24"/>
          <w:szCs w:val="24"/>
          <w:lang w:val="en-GB"/>
        </w:rPr>
        <w:footnoteReference w:id="35"/>
      </w:r>
      <w:r>
        <w:rPr>
          <w:rFonts w:ascii="Times New Roman" w:hAnsi="Times New Roman" w:eastAsia="Times New Roman" w:cs="Times New Roman"/>
          <w:b w:val="0"/>
          <w:bCs w:val="0"/>
          <w:color w:val="auto"/>
          <w:sz w:val="24"/>
          <w:szCs w:val="24"/>
          <w:lang w:val="en-GB"/>
        </w:rPr>
        <w:t xml:space="preserve"> , humans are not only the sacrifice's but also the sacrificed for it is through our own seclusion and loneliness where one can realise a hidden divinity and connect to a greater power. The Gods however must need us as much as we need them as without the physical being a possession could never take place in the first place. Human behaviour, conditioning and reason is not the pathway to enlightenment it is through ritual and practise that one can truly find salvation.</w:t>
      </w:r>
      <w:r>
        <w:rPr>
          <w:rStyle w:val="8"/>
          <w:rFonts w:ascii="Times New Roman" w:hAnsi="Times New Roman" w:eastAsia="Times New Roman" w:cs="Times New Roman"/>
          <w:b w:val="0"/>
          <w:bCs w:val="0"/>
          <w:color w:val="auto"/>
          <w:sz w:val="24"/>
          <w:szCs w:val="24"/>
          <w:lang w:val="en-GB"/>
        </w:rPr>
        <w:footnoteReference w:id="36"/>
      </w:r>
    </w:p>
    <w:p>
      <w:pPr>
        <w:bidi w:val="0"/>
        <w:spacing w:before="0" w:beforeAutospacing="0" w:after="160" w:afterAutospacing="0" w:line="259" w:lineRule="auto"/>
        <w:ind w:left="0" w:right="0"/>
        <w:jc w:val="left"/>
        <w:rPr>
          <w:rFonts w:ascii="Times New Roman" w:hAnsi="Times New Roman" w:eastAsia="Times New Roman" w:cs="Times New Roman"/>
          <w:b w:val="0"/>
          <w:bCs w:val="0"/>
          <w:color w:val="auto"/>
          <w:sz w:val="24"/>
          <w:szCs w:val="24"/>
          <w:lang w:val="en-GB"/>
        </w:rPr>
      </w:pPr>
      <w:r>
        <w:rPr>
          <w:rFonts w:ascii="Times New Roman" w:hAnsi="Times New Roman" w:eastAsia="Times New Roman" w:cs="Times New Roman"/>
          <w:b w:val="0"/>
          <w:bCs w:val="0"/>
          <w:color w:val="auto"/>
          <w:sz w:val="24"/>
          <w:szCs w:val="24"/>
          <w:lang w:val="en-GB"/>
        </w:rPr>
        <w:t xml:space="preserve">    Theurgy would not exist as effectively it seems without the use of divination be this through oracles or omens, as it is a belief system that stems primarily from being able to contact the dead or Gods of higher power through use of divinatory methods. It seems to have been a fascination to always require guidance and insight during times of need whether this is to discover information for the past, present or future, or whether people in positions of power need guidance on their next steps for political or war reasons. Humans seem to find peace in believing in a higher power with many claiming miracles to have happened through using divination and theurgic ritual. Divination is a tool that has held a powerful role in theurgy, enabling theurgists to contact the dead as well as the divine and powerful gods and although it has had times of oppression, it continues to strongly deliver messages, guidance, and insight to those who practise divination today. </w:t>
      </w:r>
    </w:p>
    <w:p>
      <w:pPr>
        <w:spacing w:before="0" w:beforeAutospacing="0" w:after="160" w:afterAutospacing="0" w:line="259" w:lineRule="auto"/>
        <w:jc w:val="left"/>
        <w:rPr>
          <w:rFonts w:ascii="Times New Roman" w:hAnsi="Times New Roman" w:eastAsia="Times New Roman" w:cs="Times New Roman"/>
          <w:b w:val="0"/>
          <w:bCs w:val="0"/>
          <w:color w:val="auto"/>
          <w:sz w:val="24"/>
          <w:szCs w:val="24"/>
          <w:lang w:val="en-GB"/>
        </w:rPr>
      </w:pPr>
    </w:p>
    <w:p>
      <w:pPr>
        <w:spacing w:before="0" w:beforeAutospacing="0" w:after="160" w:afterAutospacing="0" w:line="259" w:lineRule="auto"/>
        <w:jc w:val="left"/>
        <w:rPr>
          <w:rFonts w:ascii="Times New Roman" w:hAnsi="Times New Roman" w:eastAsia="Times New Roman" w:cs="Times New Roman"/>
          <w:b w:val="0"/>
          <w:bCs w:val="0"/>
          <w:color w:val="auto"/>
          <w:sz w:val="24"/>
          <w:szCs w:val="24"/>
          <w:lang w:val="en-GB"/>
        </w:rPr>
      </w:pPr>
    </w:p>
    <w:p>
      <w:pPr>
        <w:spacing w:before="0" w:beforeAutospacing="0" w:after="160" w:afterAutospacing="0" w:line="259" w:lineRule="auto"/>
        <w:jc w:val="left"/>
        <w:rPr>
          <w:rFonts w:ascii="Times New Roman" w:hAnsi="Times New Roman" w:eastAsia="Times New Roman" w:cs="Times New Roman"/>
          <w:color w:val="auto"/>
          <w:sz w:val="24"/>
          <w:szCs w:val="24"/>
          <w:lang w:val="en-GB"/>
        </w:rPr>
      </w:pPr>
    </w:p>
    <w:p>
      <w:pPr>
        <w:spacing w:before="0" w:beforeAutospacing="0" w:after="160" w:afterAutospacing="0" w:line="259" w:lineRule="auto"/>
        <w:jc w:val="left"/>
        <w:rPr>
          <w:rFonts w:ascii="Calibri" w:hAnsi="Calibri" w:eastAsia="Calibri" w:cs="Calibri"/>
          <w:color w:val="auto"/>
          <w:sz w:val="24"/>
          <w:szCs w:val="24"/>
          <w:lang w:val="en-GB"/>
        </w:rPr>
      </w:pP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Bibliography -</w:t>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w:t>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rPr>
        <w:t xml:space="preserve"> </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De Boussac, Plato, Proclus, Helena Petrovna Blavatsky, Joseph-Louis. 2018. </w:t>
      </w:r>
      <w:r>
        <w:rPr>
          <w:rFonts w:hint="default" w:ascii="Times New Roman" w:hAnsi="Times New Roman" w:eastAsia="Segoe UI" w:cs="Times New Roman"/>
          <w:b w:val="0"/>
          <w:i/>
          <w:caps w:val="0"/>
          <w:color w:val="auto"/>
          <w:spacing w:val="0"/>
          <w:sz w:val="24"/>
          <w:szCs w:val="24"/>
          <w:u w:val="none"/>
          <w:shd w:val="clear" w:fill="FFFFFF"/>
          <w:vertAlign w:val="baseline"/>
          <w:lang w:val="en-US"/>
        </w:rPr>
        <w:t>Magic or Theurgy: Purpose and Pitfalls: On the Alliance and Sympathy That Underpins All Kingdoms of Life, and on the Doctrine and Dangers of Practical Magic.</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(United Kingdom: Philaletheians)</w:t>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H. D. Saffrey and L. G. Westerink</w:t>
      </w:r>
      <w:r>
        <w:rPr>
          <w:rFonts w:hint="default" w:ascii="Times New Roman" w:hAnsi="Times New Roman" w:eastAsia="Segoe UI" w:cs="Times New Roman"/>
          <w:b w:val="0"/>
          <w:i/>
          <w:caps w:val="0"/>
          <w:color w:val="auto"/>
          <w:spacing w:val="0"/>
          <w:sz w:val="24"/>
          <w:szCs w:val="24"/>
          <w:u w:val="none"/>
          <w:shd w:val="clear" w:fill="FFFFFF"/>
          <w:vertAlign w:val="baseline"/>
          <w:lang w:val="en-US"/>
        </w:rPr>
        <w:t xml:space="preserve">, Proclus, platonic theory. </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1951 (Dodds 1.25-7-10 113;) 291</w:t>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Athanassiadi, P. 1993. </w:t>
      </w:r>
      <w:r>
        <w:rPr>
          <w:rFonts w:hint="default" w:ascii="Times New Roman" w:hAnsi="Times New Roman" w:eastAsia="Segoe UI" w:cs="Times New Roman"/>
          <w:b w:val="0"/>
          <w:i/>
          <w:caps w:val="0"/>
          <w:color w:val="auto"/>
          <w:spacing w:val="0"/>
          <w:sz w:val="24"/>
          <w:szCs w:val="24"/>
          <w:u w:val="none"/>
          <w:shd w:val="clear" w:fill="FFFFFF"/>
          <w:vertAlign w:val="baseline"/>
          <w:lang w:val="en-US"/>
        </w:rPr>
        <w:t>Dreams, Theurgy and Freelance Divination: The Testimony of Iamblichus. The Journal of Roman Studie</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s, 83, 115–130. </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begin"/>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instrText xml:space="preserve"> HYPERLINK "https://doi.org/10.2307/300982" \t "/Users/carabraia/Documents\\x/_blank" </w:instrTex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separate"/>
      </w:r>
      <w:r>
        <w:rPr>
          <w:rStyle w:val="9"/>
          <w:rFonts w:hint="default" w:ascii="Times New Roman" w:hAnsi="Times New Roman" w:eastAsia="Segoe UI" w:cs="Times New Roman"/>
          <w:b w:val="0"/>
          <w:i w:val="0"/>
          <w:caps w:val="0"/>
          <w:color w:val="auto"/>
          <w:spacing w:val="0"/>
          <w:sz w:val="24"/>
          <w:szCs w:val="24"/>
          <w:u w:val="none"/>
          <w:shd w:val="clear" w:fill="FFFFFF"/>
          <w:vertAlign w:val="baseline"/>
          <w:lang w:val="en-US"/>
        </w:rPr>
        <w:t>https://doi.org/10.2307/300982</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end"/>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Addey, Crystal. 2014. Divination and Theurgy in Neoplatonism: Oracles of the gods, </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begin"/>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instrText xml:space="preserve"> HYPERLINK "https://www.google.com.cy/search?tbo=p&amp;tbm=bks&amp;q=bibliogroup:"Ashgate+Studies+in+Philosophy+and+Theology+in+Late+Antiquity"&amp;source=gbs_metadata_r&amp;cad=8" \t "/Users/carabraia/Documents\\x/_blank" </w:instrTex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separate"/>
      </w:r>
      <w:r>
        <w:rPr>
          <w:rStyle w:val="9"/>
          <w:rFonts w:hint="default" w:ascii="Times New Roman" w:hAnsi="Times New Roman" w:eastAsia="Segoe UI" w:cs="Times New Roman"/>
          <w:b w:val="0"/>
          <w:i w:val="0"/>
          <w:caps w:val="0"/>
          <w:color w:val="auto"/>
          <w:spacing w:val="0"/>
          <w:sz w:val="24"/>
          <w:szCs w:val="24"/>
          <w:u w:val="none"/>
          <w:shd w:val="clear" w:fill="FFFFFF"/>
          <w:vertAlign w:val="baseline"/>
          <w:lang w:val="en-US"/>
        </w:rPr>
        <w:t>Ashgate Studies in Philosophy and Theology in Late Antiquity</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end"/>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Farnham: Ashgate) P.39</w:t>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begin"/>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instrText xml:space="preserve"> HYPERLINK "https://www.google.co.uk/search?hl=en&amp;sxsrf=ALiCzsZQqOpCYiUt3YTE_vsZk93l03IJFg:1651251663982&amp;q=inauthor:"Iamblichus"&amp;tbm=bks" \t "/Users/carabraia/Documents\\x/_blank" </w:instrTex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separate"/>
      </w:r>
      <w:r>
        <w:rPr>
          <w:rStyle w:val="9"/>
          <w:rFonts w:hint="default" w:ascii="Times New Roman" w:hAnsi="Times New Roman" w:eastAsia="Segoe UI" w:cs="Times New Roman"/>
          <w:b w:val="0"/>
          <w:i w:val="0"/>
          <w:caps w:val="0"/>
          <w:color w:val="auto"/>
          <w:spacing w:val="0"/>
          <w:sz w:val="24"/>
          <w:szCs w:val="24"/>
          <w:u w:val="none"/>
          <w:shd w:val="clear" w:fill="FFFFFF"/>
          <w:vertAlign w:val="baseline"/>
          <w:lang w:val="en-US"/>
        </w:rPr>
        <w:t>Iamblichus</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end"/>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 </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begin"/>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instrText xml:space="preserve"> HYPERLINK "https://www.google.co.uk/search?hl=en&amp;sxsrf=ALiCzsZQqOpCYiUt3YTE_vsZk93l03IJFg:1651251663982&amp;q=inauthor:"Porphyry"&amp;tbm=bks" \t "/Users/carabraia/Documents\\x/_blank" </w:instrTex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separate"/>
      </w:r>
      <w:r>
        <w:rPr>
          <w:rStyle w:val="9"/>
          <w:rFonts w:hint="default" w:ascii="Times New Roman" w:hAnsi="Times New Roman" w:eastAsia="Segoe UI" w:cs="Times New Roman"/>
          <w:b w:val="0"/>
          <w:i w:val="0"/>
          <w:caps w:val="0"/>
          <w:color w:val="auto"/>
          <w:spacing w:val="0"/>
          <w:sz w:val="24"/>
          <w:szCs w:val="24"/>
          <w:u w:val="none"/>
          <w:shd w:val="clear" w:fill="FFFFFF"/>
          <w:vertAlign w:val="baseline"/>
          <w:lang w:val="en-US"/>
        </w:rPr>
        <w:t>Porphyry.</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end"/>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 1895</w:t>
      </w:r>
      <w:r>
        <w:rPr>
          <w:rFonts w:hint="default" w:ascii="Times New Roman" w:hAnsi="Times New Roman" w:eastAsia="Segoe UI" w:cs="Times New Roman"/>
          <w:b w:val="0"/>
          <w:i w:val="0"/>
          <w:caps w:val="0"/>
          <w:color w:val="auto"/>
          <w:spacing w:val="0"/>
          <w:sz w:val="24"/>
          <w:szCs w:val="24"/>
          <w:u w:val="none"/>
          <w:shd w:val="clear" w:fill="FFFFFF"/>
          <w:vertAlign w:val="baseline"/>
        </w:rPr>
        <w:t>.</w:t>
      </w:r>
      <w:r>
        <w:rPr>
          <w:rFonts w:hint="default" w:ascii="Times New Roman Italic" w:hAnsi="Times New Roman Italic" w:eastAsia="Segoe UI" w:cs="Times New Roman Italic"/>
          <w:b w:val="0"/>
          <w:i/>
          <w:iCs/>
          <w:caps w:val="0"/>
          <w:color w:val="auto"/>
          <w:spacing w:val="0"/>
          <w:sz w:val="24"/>
          <w:szCs w:val="24"/>
          <w:u w:val="none"/>
          <w:shd w:val="clear" w:fill="FFFFFF"/>
          <w:vertAlign w:val="baseline"/>
        </w:rPr>
        <w:t xml:space="preserve"> Iamblichus on the Mysteries of the Egyptians, Chaldeans and Assyrians.</w:t>
      </w:r>
      <w:r>
        <w:rPr>
          <w:rFonts w:hint="default" w:ascii="Times New Roman" w:hAnsi="Times New Roman" w:eastAsia="Segoe UI" w:cs="Times New Roman"/>
          <w:b w:val="0"/>
          <w:i w:val="0"/>
          <w:iCs w:val="0"/>
          <w:caps w:val="0"/>
          <w:color w:val="auto"/>
          <w:spacing w:val="0"/>
          <w:sz w:val="24"/>
          <w:szCs w:val="24"/>
          <w:u w:val="none"/>
          <w:shd w:val="clear" w:fill="FFFFFF"/>
          <w:vertAlign w:val="baseline"/>
        </w:rPr>
        <w:t>(B.Dobell. United Kingdom)</w:t>
      </w:r>
      <w:r>
        <w:rPr>
          <w:rFonts w:hint="default" w:ascii="Times New Roman Italic" w:hAnsi="Times New Roman Italic" w:eastAsia="Segoe UI" w:cs="Times New Roman Italic"/>
          <w:b w:val="0"/>
          <w:i/>
          <w:iCs/>
          <w:caps w:val="0"/>
          <w:color w:val="auto"/>
          <w:spacing w:val="0"/>
          <w:sz w:val="24"/>
          <w:szCs w:val="24"/>
          <w:u w:val="none"/>
          <w:shd w:val="clear" w:fill="FFFFFF"/>
          <w:vertAlign w:val="superscript"/>
          <w:lang w:val="en-US"/>
        </w:rPr>
        <w:t xml:space="preserve">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Von Lieven, Alexandra. 1999 </w:t>
      </w:r>
      <w:r>
        <w:rPr>
          <w:rFonts w:hint="default" w:ascii="Times New Roman" w:hAnsi="Times New Roman" w:eastAsia="Segoe UI" w:cs="Times New Roman"/>
          <w:b w:val="0"/>
          <w:i/>
          <w:caps w:val="0"/>
          <w:color w:val="auto"/>
          <w:spacing w:val="0"/>
          <w:sz w:val="24"/>
          <w:szCs w:val="24"/>
          <w:u w:val="none"/>
          <w:shd w:val="clear" w:fill="FFFFFF"/>
          <w:vertAlign w:val="baseline"/>
          <w:lang w:val="en-US"/>
        </w:rPr>
        <w:t>Divination in Ägypten. (</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Altorientalische Forschungen 26, no. 1: 77-126.)</w:t>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Clarke, E., Dillon, J., and Hershbell, J., </w:t>
      </w:r>
      <w:r>
        <w:rPr>
          <w:rFonts w:hint="default" w:ascii="Times New Roman" w:hAnsi="Times New Roman" w:eastAsia="Segoe UI" w:cs="Times New Roman"/>
          <w:b w:val="0"/>
          <w:i/>
          <w:caps w:val="0"/>
          <w:color w:val="auto"/>
          <w:spacing w:val="0"/>
          <w:sz w:val="24"/>
          <w:szCs w:val="24"/>
          <w:u w:val="none"/>
          <w:shd w:val="clear" w:fill="FFFFFF"/>
          <w:vertAlign w:val="baseline"/>
          <w:lang w:val="en-US"/>
        </w:rPr>
        <w:t>2003. Iamblichus,</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 </w:t>
      </w:r>
      <w:r>
        <w:rPr>
          <w:rFonts w:hint="default" w:ascii="Times New Roman" w:hAnsi="Times New Roman" w:eastAsia="Segoe UI" w:cs="Times New Roman"/>
          <w:b w:val="0"/>
          <w:i/>
          <w:caps w:val="0"/>
          <w:color w:val="auto"/>
          <w:spacing w:val="0"/>
          <w:sz w:val="24"/>
          <w:szCs w:val="24"/>
          <w:u w:val="none"/>
          <w:shd w:val="clear" w:fill="FFFFFF"/>
          <w:vertAlign w:val="baseline"/>
          <w:lang w:val="en-US"/>
        </w:rPr>
        <w:t>De mysteriis</w:t>
      </w:r>
      <w:r>
        <w:rPr>
          <w:rFonts w:hint="default" w:ascii="Times New Roman" w:hAnsi="Times New Roman" w:eastAsia="Segoe UI" w:cs="Times New Roman"/>
          <w:b w:val="0"/>
          <w:i/>
          <w:caps w:val="0"/>
          <w:color w:val="auto"/>
          <w:spacing w:val="0"/>
          <w:sz w:val="24"/>
          <w:szCs w:val="24"/>
          <w:u w:val="none"/>
          <w:shd w:val="clear" w:fill="FFFFFF"/>
          <w:vertAlign w:val="baseline"/>
        </w:rPr>
        <w:t xml:space="preserve"> </w:t>
      </w:r>
      <w:r>
        <w:rPr>
          <w:rFonts w:hint="default" w:ascii="Times New Roman" w:hAnsi="Times New Roman" w:eastAsia="Segoe UI" w:cs="Times New Roman"/>
          <w:b w:val="0"/>
          <w:i w:val="0"/>
          <w:iCs/>
          <w:caps w:val="0"/>
          <w:color w:val="auto"/>
          <w:spacing w:val="0"/>
          <w:sz w:val="24"/>
          <w:szCs w:val="24"/>
          <w:u w:val="none"/>
          <w:shd w:val="clear" w:fill="FFFFFF"/>
          <w:vertAlign w:val="baseline"/>
        </w:rPr>
        <w:t>(Netherlands, Society of Biblical Literature.</w:t>
      </w:r>
      <w:r>
        <w:rPr>
          <w:rFonts w:hint="default" w:ascii="Times New Roman" w:hAnsi="Times New Roman" w:eastAsia="Segoe UI" w:cs="Times New Roman"/>
          <w:b w:val="0"/>
          <w:i w:val="0"/>
          <w:caps w:val="0"/>
          <w:color w:val="auto"/>
          <w:spacing w:val="0"/>
          <w:sz w:val="24"/>
          <w:szCs w:val="24"/>
          <w:u w:val="none"/>
          <w:shd w:val="clear" w:fill="FFFFFF"/>
          <w:vertAlign w:val="superscript"/>
          <w:lang w:val="en-US"/>
        </w:rPr>
        <w:t xml:space="preserve"> </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Atlanta: SBL,).</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Finamore, J. 2013. </w:t>
      </w:r>
      <w:r>
        <w:rPr>
          <w:rFonts w:hint="default" w:ascii="Times New Roman" w:hAnsi="Times New Roman" w:eastAsia="Segoe UI" w:cs="Times New Roman"/>
          <w:b w:val="0"/>
          <w:i/>
          <w:caps w:val="0"/>
          <w:color w:val="auto"/>
          <w:spacing w:val="0"/>
          <w:sz w:val="24"/>
          <w:szCs w:val="24"/>
          <w:u w:val="none"/>
          <w:shd w:val="clear" w:fill="FFFFFF"/>
          <w:vertAlign w:val="baseline"/>
          <w:lang w:val="en-US"/>
        </w:rPr>
        <w:t>Iamblichus, Theurgy, and the Soul’s Ascent.</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 (Philosophy and Salvation in Greek Religion, edited by Vishwa Adluri, Berlin, Boston: De Gruyter,) pp. 343-356. </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begin"/>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instrText xml:space="preserve"> HYPERLINK "https://doi.org/10.1515/9783110276381.343" \t "/Users/carabraia/Documents\\x/_blank" </w:instrTex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separate"/>
      </w:r>
      <w:r>
        <w:rPr>
          <w:rStyle w:val="9"/>
          <w:rFonts w:hint="default" w:ascii="Times New Roman" w:hAnsi="Times New Roman" w:eastAsia="Segoe UI" w:cs="Times New Roman"/>
          <w:b w:val="0"/>
          <w:i w:val="0"/>
          <w:caps w:val="0"/>
          <w:color w:val="auto"/>
          <w:spacing w:val="0"/>
          <w:sz w:val="24"/>
          <w:szCs w:val="24"/>
          <w:u w:val="none"/>
          <w:shd w:val="clear" w:fill="FFFFFF"/>
          <w:vertAlign w:val="baseline"/>
          <w:lang w:val="en-US"/>
        </w:rPr>
        <w:t>https://doi.org/10.1515/9783110276381.343</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end"/>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Rochberg, F. 2004. </w:t>
      </w:r>
      <w:r>
        <w:rPr>
          <w:rFonts w:hint="default" w:ascii="Times New Roman" w:hAnsi="Times New Roman" w:eastAsia="Segoe UI" w:cs="Times New Roman"/>
          <w:b w:val="0"/>
          <w:i/>
          <w:caps w:val="0"/>
          <w:color w:val="auto"/>
          <w:spacing w:val="0"/>
          <w:sz w:val="24"/>
          <w:szCs w:val="24"/>
          <w:u w:val="none"/>
          <w:shd w:val="clear" w:fill="FFFFFF"/>
          <w:vertAlign w:val="baseline"/>
          <w:lang w:val="en-US"/>
        </w:rPr>
        <w:t>The Heavenly Writing: Divination, Horoscopy, and Astronomy in Mesopotamian Culture.</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(United Kingdom: Cambridge University Press.)</w:t>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Rouget, G,. Brunhilde, B. 1985. </w:t>
      </w:r>
      <w:r>
        <w:rPr>
          <w:rFonts w:hint="default" w:ascii="Times New Roman" w:hAnsi="Times New Roman" w:eastAsia="Segoe UI" w:cs="Times New Roman"/>
          <w:b w:val="0"/>
          <w:i/>
          <w:caps w:val="0"/>
          <w:color w:val="auto"/>
          <w:spacing w:val="0"/>
          <w:sz w:val="24"/>
          <w:szCs w:val="24"/>
          <w:u w:val="none"/>
          <w:shd w:val="clear" w:fill="FFFFFF"/>
          <w:vertAlign w:val="baseline"/>
          <w:lang w:val="en-US"/>
        </w:rPr>
        <w:t>Music And Trance</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(Chicago: The University of Chicago Press)</w:t>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Khatoon, J, 1997 </w:t>
      </w:r>
      <w:r>
        <w:rPr>
          <w:rFonts w:hint="default" w:ascii="Times New Roman" w:hAnsi="Times New Roman" w:eastAsia="Segoe UI" w:cs="Times New Roman"/>
          <w:b w:val="0"/>
          <w:i/>
          <w:caps w:val="0"/>
          <w:color w:val="auto"/>
          <w:spacing w:val="0"/>
          <w:sz w:val="24"/>
          <w:szCs w:val="24"/>
          <w:u w:val="none"/>
          <w:shd w:val="clear" w:fill="FFFFFF"/>
          <w:vertAlign w:val="baseline"/>
          <w:lang w:val="en-US"/>
        </w:rPr>
        <w:t xml:space="preserve">The Place Of God, Man And Universe In The Philosophic System Of Iqbal </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(Lahore: Iqbal Academy Pakistan)</w:t>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Pseudo-Dionysius. 2022. </w:t>
      </w:r>
      <w:r>
        <w:rPr>
          <w:rFonts w:hint="default" w:ascii="Times New Roman" w:hAnsi="Times New Roman" w:eastAsia="Segoe UI" w:cs="Times New Roman"/>
          <w:b w:val="0"/>
          <w:i/>
          <w:caps w:val="0"/>
          <w:color w:val="auto"/>
          <w:spacing w:val="0"/>
          <w:sz w:val="24"/>
          <w:szCs w:val="24"/>
          <w:u w:val="none"/>
          <w:shd w:val="clear" w:fill="FFFFFF"/>
          <w:vertAlign w:val="baseline"/>
          <w:lang w:val="en-US"/>
        </w:rPr>
        <w:t>The Areopagite</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(Stanford Encyclopedia Of Philosophy, Plato.Stanford.Edu) &lt;https://plato.stanford.edu/entries/pseudo-dionysius-areopagite/&gt;</w:t>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Dodds, E. R. 1947. </w:t>
      </w:r>
      <w:r>
        <w:rPr>
          <w:rFonts w:hint="default" w:ascii="Times New Roman" w:hAnsi="Times New Roman" w:eastAsia="Segoe UI" w:cs="Times New Roman"/>
          <w:b w:val="0"/>
          <w:i/>
          <w:caps w:val="0"/>
          <w:color w:val="auto"/>
          <w:spacing w:val="0"/>
          <w:sz w:val="24"/>
          <w:szCs w:val="24"/>
          <w:u w:val="none"/>
          <w:shd w:val="clear" w:fill="FFFFFF"/>
          <w:vertAlign w:val="baseline"/>
          <w:lang w:val="en-US"/>
        </w:rPr>
        <w:t>Theurgy and Its Relationship to Neoplatonism</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w:t>
      </w:r>
      <w:r>
        <w:rPr>
          <w:rFonts w:hint="default" w:ascii="Times New Roman" w:hAnsi="Times New Roman" w:eastAsia="Segoe UI" w:cs="Times New Roman"/>
          <w:b w:val="0"/>
          <w:i/>
          <w:caps w:val="0"/>
          <w:color w:val="auto"/>
          <w:spacing w:val="0"/>
          <w:sz w:val="24"/>
          <w:szCs w:val="24"/>
          <w:u w:val="none"/>
          <w:shd w:val="clear" w:fill="FFFFFF"/>
          <w:vertAlign w:val="baseline"/>
          <w:lang w:val="en-US"/>
        </w:rPr>
        <w:t>(</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The Journal of Roman Studies, vol. 37), https-//doi.org/10.2307/298455.</w:t>
      </w:r>
      <w:r>
        <w:rPr>
          <w:rFonts w:hint="default" w:ascii="Times New Roman" w:hAnsi="Times New Roman" w:eastAsia="Segoe UI" w:cs="Times New Roman"/>
          <w:b w:val="0"/>
          <w:i w:val="0"/>
          <w:caps w:val="0"/>
          <w:color w:val="auto"/>
          <w:spacing w:val="0"/>
          <w:sz w:val="24"/>
          <w:szCs w:val="24"/>
          <w:shd w:val="clear" w:fill="FFFFFF"/>
          <w:vertAlign w:val="baseline"/>
          <w:lang w:val="en-US"/>
        </w:rPr>
        <w:t xml:space="preserve">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Bács, T. 1990. </w:t>
      </w:r>
      <w:r>
        <w:rPr>
          <w:rFonts w:hint="default" w:ascii="Times New Roman" w:hAnsi="Times New Roman" w:eastAsia="Segoe UI" w:cs="Times New Roman"/>
          <w:b w:val="0"/>
          <w:i/>
          <w:caps w:val="0"/>
          <w:color w:val="auto"/>
          <w:spacing w:val="0"/>
          <w:sz w:val="24"/>
          <w:szCs w:val="24"/>
          <w:u w:val="none"/>
          <w:shd w:val="clear" w:fill="FFFFFF"/>
          <w:vertAlign w:val="baseline"/>
          <w:lang w:val="en-US"/>
        </w:rPr>
        <w:t>A. Two Calendars of Lucky and Unlucky Days.</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 (Studien Zur Altägyptischen Kultur 17: 41–64.) </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begin"/>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instrText xml:space="preserve"> HYPERLINK "http://www.jstor.org/stable/25150147" \t "/Users/carabraia/Documents\\x/_blank" </w:instrTex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separate"/>
      </w:r>
      <w:r>
        <w:rPr>
          <w:rStyle w:val="9"/>
          <w:rFonts w:hint="default" w:ascii="Times New Roman" w:hAnsi="Times New Roman" w:eastAsia="Segoe UI" w:cs="Times New Roman"/>
          <w:b w:val="0"/>
          <w:i w:val="0"/>
          <w:caps w:val="0"/>
          <w:color w:val="auto"/>
          <w:spacing w:val="0"/>
          <w:sz w:val="24"/>
          <w:szCs w:val="24"/>
          <w:u w:val="none"/>
          <w:shd w:val="clear" w:fill="FFFFFF"/>
          <w:vertAlign w:val="baseline"/>
          <w:lang w:val="en-US"/>
        </w:rPr>
        <w:t>http://www.jstor.org/stable/25150147</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end"/>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w:t>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rFonts w:hint="default" w:ascii="Times New Roman Regular" w:hAnsi="Times New Roman Regular" w:cs="Times New Roman Regular"/>
          <w:b w:val="0"/>
          <w:i w:val="0"/>
          <w:color w:val="auto"/>
          <w:sz w:val="24"/>
          <w:szCs w:val="24"/>
          <w:lang w:val="en-US"/>
        </w:rPr>
      </w:pPr>
      <w:r>
        <w:rPr>
          <w:rFonts w:hint="default" w:ascii="Times New Roman Regular" w:hAnsi="Times New Roman Regular" w:eastAsia="SimSun" w:cs="Times New Roman Regular"/>
          <w:i w:val="0"/>
          <w:caps w:val="0"/>
          <w:color w:val="auto"/>
          <w:spacing w:val="0"/>
          <w:kern w:val="0"/>
          <w:sz w:val="24"/>
          <w:szCs w:val="24"/>
          <w:shd w:val="clear" w:fill="FFFFFF"/>
          <w:lang w:val="en-US" w:eastAsia="zh-CN" w:bidi="ar"/>
        </w:rPr>
        <w:t>Hegedus, Tim. 2007. </w:t>
      </w:r>
      <w:r>
        <w:rPr>
          <w:rFonts w:hint="default" w:ascii="Times New Roman Regular" w:hAnsi="Times New Roman Regular" w:eastAsia="SimSun" w:cs="Times New Roman Regular"/>
          <w:i/>
          <w:caps w:val="0"/>
          <w:color w:val="auto"/>
          <w:spacing w:val="0"/>
          <w:kern w:val="0"/>
          <w:sz w:val="24"/>
          <w:szCs w:val="24"/>
          <w:shd w:val="clear" w:fill="FFFFFF"/>
          <w:lang w:val="en-US" w:eastAsia="zh-CN" w:bidi="ar"/>
        </w:rPr>
        <w:t>Early Christianity and Ancient Astrology Volume 6 of Patristic Studies,</w:t>
      </w:r>
      <w:r>
        <w:rPr>
          <w:rFonts w:hint="default" w:ascii="Times New Roman Regular" w:hAnsi="Times New Roman Regular" w:eastAsia="SimSun" w:cs="Times New Roman Regular"/>
          <w:i w:val="0"/>
          <w:caps w:val="0"/>
          <w:color w:val="auto"/>
          <w:spacing w:val="0"/>
          <w:kern w:val="0"/>
          <w:sz w:val="24"/>
          <w:szCs w:val="24"/>
          <w:shd w:val="clear" w:fill="FFFFFF"/>
          <w:lang w:val="en-US" w:eastAsia="zh-CN" w:bidi="ar"/>
        </w:rPr>
        <w:t> (Peter Lang)</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lang w:val="en-US"/>
        </w:rPr>
        <w:t xml:space="preserve">Herodotus, H. C. 1962. </w:t>
      </w:r>
      <w:r>
        <w:rPr>
          <w:rFonts w:hint="default" w:ascii="Times New Roman Regular" w:hAnsi="Times New Roman Regular" w:eastAsia="Segoe UI" w:cs="Times New Roman Regular"/>
          <w:b w:val="0"/>
          <w:i/>
          <w:caps w:val="0"/>
          <w:color w:val="auto"/>
          <w:spacing w:val="0"/>
          <w:sz w:val="24"/>
          <w:szCs w:val="24"/>
          <w:u w:val="none"/>
          <w:shd w:val="clear" w:fill="FFFFFF"/>
          <w:vertAlign w:val="baseline"/>
          <w:lang w:val="en-US"/>
        </w:rPr>
        <w:t>The Histories of Herodotus of Halicarnassus</w:t>
      </w:r>
      <w:r>
        <w:rPr>
          <w:rFonts w:hint="default" w:ascii="Times New Roman Regular" w:hAnsi="Times New Roman Regular" w:eastAsia="Segoe UI" w:cs="Times New Roman Regular"/>
          <w:b w:val="0"/>
          <w:i w:val="0"/>
          <w:caps w:val="0"/>
          <w:color w:val="auto"/>
          <w:spacing w:val="0"/>
          <w:sz w:val="24"/>
          <w:szCs w:val="24"/>
          <w:u w:val="none"/>
          <w:shd w:val="clear" w:fill="FFFFFF"/>
          <w:vertAlign w:val="baseline"/>
          <w:lang w:val="en-US"/>
        </w:rPr>
        <w:t>. (London: Oxf</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ord University Press)</w:t>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Tester, Jim.S. 1990. </w:t>
      </w:r>
      <w:r>
        <w:rPr>
          <w:rFonts w:hint="default" w:ascii="Times New Roman" w:hAnsi="Times New Roman" w:eastAsia="Segoe UI" w:cs="Times New Roman"/>
          <w:b w:val="0"/>
          <w:i/>
          <w:caps w:val="0"/>
          <w:color w:val="auto"/>
          <w:spacing w:val="0"/>
          <w:sz w:val="24"/>
          <w:szCs w:val="24"/>
          <w:u w:val="none"/>
          <w:shd w:val="clear" w:fill="FFFFFF"/>
          <w:vertAlign w:val="baseline"/>
          <w:lang w:val="en-US"/>
        </w:rPr>
        <w:t>A History Of Western Astrology</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(Boydell &amp; Brewer Ltd,  1990),</w:t>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caps w:val="0"/>
          <w:color w:val="auto"/>
          <w:spacing w:val="0"/>
          <w:sz w:val="24"/>
          <w:szCs w:val="24"/>
          <w:u w:val="none"/>
          <w:shd w:val="clear" w:fill="FFFFFF"/>
          <w:vertAlign w:val="baseline"/>
          <w:lang w:val="en-US"/>
        </w:rPr>
        <w:t>MUL.APIN Tablet | British Museum,</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The British Museum, 2022 &lt;https://www.britishmuseum.org/collection/object/W_1899-0610-108&gt; [Accessed 15 April 2022]</w:t>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caps w:val="0"/>
          <w:color w:val="auto"/>
          <w:spacing w:val="0"/>
          <w:sz w:val="24"/>
          <w:szCs w:val="24"/>
          <w:u w:val="none"/>
          <w:shd w:val="clear" w:fill="FFFFFF"/>
          <w:vertAlign w:val="baseline"/>
          <w:lang w:val="en-US"/>
        </w:rPr>
        <w:t>Enūma Anu Enlil Tablet | British Museum</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The British Museum, 2022 &lt;https://www.britishmuseum.org/collection/object/W_K-4292&gt; [Accessed 15 April 2022]</w:t>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John, D. 2004. </w:t>
      </w:r>
      <w:r>
        <w:rPr>
          <w:rFonts w:hint="default" w:ascii="Times New Roman" w:hAnsi="Times New Roman" w:eastAsia="Segoe UI" w:cs="Times New Roman"/>
          <w:b w:val="0"/>
          <w:i/>
          <w:caps w:val="0"/>
          <w:color w:val="auto"/>
          <w:spacing w:val="0"/>
          <w:sz w:val="24"/>
          <w:szCs w:val="24"/>
          <w:u w:val="none"/>
          <w:shd w:val="clear" w:fill="FFFFFF"/>
          <w:vertAlign w:val="baseline"/>
          <w:lang w:val="en-US"/>
        </w:rPr>
        <w:t xml:space="preserve">Iamblichus on the Mysteries </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[Review of Iamblichus: De mysteriis. A Manifesto of the Miraculous, by E. C. Clarke]. (The Classical Review, 54(2), 349–351). </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begin"/>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instrText xml:space="preserve"> HYPERLINK "http://www.jstor.org/stable/3661664" \t "/Users/carabraia/Documents\\x/_blank" </w:instrTex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separate"/>
      </w:r>
      <w:r>
        <w:rPr>
          <w:rStyle w:val="9"/>
          <w:rFonts w:hint="default" w:ascii="Times New Roman" w:hAnsi="Times New Roman" w:eastAsia="Segoe UI" w:cs="Times New Roman"/>
          <w:b w:val="0"/>
          <w:i w:val="0"/>
          <w:caps w:val="0"/>
          <w:color w:val="auto"/>
          <w:spacing w:val="0"/>
          <w:sz w:val="24"/>
          <w:szCs w:val="24"/>
          <w:u w:val="none"/>
          <w:shd w:val="clear" w:fill="FFFFFF"/>
          <w:vertAlign w:val="baseline"/>
          <w:lang w:val="en-US"/>
        </w:rPr>
        <w:t>http://www.jstor.org/stable/3661664</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fldChar w:fldCharType="end"/>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b w:val="0"/>
          <w:i w:val="0"/>
          <w:color w:val="auto"/>
          <w:sz w:val="24"/>
          <w:szCs w:val="24"/>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Helleman, W, E. 2010. </w:t>
      </w:r>
      <w:r>
        <w:rPr>
          <w:rFonts w:hint="default" w:ascii="Times New Roman" w:hAnsi="Times New Roman" w:eastAsia="Segoe UI" w:cs="Times New Roman"/>
          <w:b w:val="0"/>
          <w:i/>
          <w:caps w:val="0"/>
          <w:color w:val="auto"/>
          <w:spacing w:val="0"/>
          <w:sz w:val="24"/>
          <w:szCs w:val="24"/>
          <w:u w:val="none"/>
          <w:shd w:val="clear" w:fill="FFFFFF"/>
          <w:vertAlign w:val="baseline"/>
          <w:lang w:val="en-US"/>
        </w:rPr>
        <w:t>Plotinus And Magic</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(The International Journal Of The Platonic Tradition, 4, 114-146) &lt;https://doi.org/10.1163/187254710x524040&gt;</w:t>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0" w:leftChars="0" w:right="0" w:hanging="420" w:firstLineChars="0"/>
        <w:jc w:val="left"/>
        <w:textAlignment w:val="baseline"/>
        <w:rPr>
          <w:rFonts w:hint="default" w:ascii="Times New Roman" w:hAnsi="Times New Roman" w:cs="Times New Roman"/>
          <w:color w:val="auto"/>
          <w:sz w:val="24"/>
          <w:szCs w:val="24"/>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xml:space="preserve">Cicero., W. A. Falconer. 1923 </w:t>
      </w:r>
      <w:r>
        <w:rPr>
          <w:rFonts w:hint="default" w:ascii="Times New Roman" w:hAnsi="Times New Roman" w:eastAsia="Segoe UI" w:cs="Times New Roman"/>
          <w:b w:val="0"/>
          <w:i/>
          <w:caps w:val="0"/>
          <w:color w:val="auto"/>
          <w:spacing w:val="0"/>
          <w:sz w:val="24"/>
          <w:szCs w:val="24"/>
          <w:u w:val="none"/>
          <w:shd w:val="clear" w:fill="FFFFFF"/>
          <w:vertAlign w:val="baseline"/>
          <w:lang w:val="en-US"/>
        </w:rPr>
        <w:t>On Old Age. On Friendship. On Divination.</w:t>
      </w: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(Loeb Classical Library 154. Cambridge, MA: Harvard University Press)</w:t>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lang w:val="en-US"/>
        </w:rPr>
      </w:pPr>
      <w:r>
        <w:rPr>
          <w:rFonts w:hint="default" w:ascii="Times New Roman" w:hAnsi="Times New Roman" w:eastAsia="Segoe UI" w:cs="Times New Roman"/>
          <w:b w:val="0"/>
          <w:i w:val="0"/>
          <w:caps w:val="0"/>
          <w:color w:val="auto"/>
          <w:spacing w:val="0"/>
          <w:sz w:val="24"/>
          <w:szCs w:val="24"/>
          <w:u w:val="none"/>
          <w:shd w:val="clear" w:fill="FFFFFF"/>
          <w:vertAlign w:val="baseline"/>
          <w:lang w:val="en-US"/>
        </w:rPr>
        <w:t> </w:t>
      </w: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left"/>
        <w:textAlignment w:val="baseline"/>
        <w:rPr>
          <w:b w:val="0"/>
          <w:i w:val="0"/>
          <w:color w:val="auto"/>
          <w:lang w:val="en-US"/>
        </w:rPr>
      </w:pPr>
      <w:r>
        <w:rPr>
          <w:rFonts w:hint="default" w:ascii="Times New Roman" w:hAnsi="Times New Roman" w:eastAsia="Segoe UI" w:cs="Times New Roman"/>
          <w:b w:val="0"/>
          <w:i w:val="0"/>
          <w:caps w:val="0"/>
          <w:color w:val="auto"/>
          <w:spacing w:val="0"/>
          <w:sz w:val="24"/>
          <w:szCs w:val="24"/>
          <w:shd w:val="clear" w:fill="FFFFFF"/>
          <w:vertAlign w:val="baseline"/>
          <w:lang w:val="en-US"/>
        </w:rPr>
        <w:t> </w:t>
      </w:r>
    </w:p>
    <w:p>
      <w:pPr>
        <w:rPr>
          <w:rFonts w:ascii="Calibri" w:hAnsi="Calibri" w:eastAsia="Calibri" w:cs="Calibri"/>
          <w:sz w:val="22"/>
          <w:szCs w:val="22"/>
          <w:lang w:val="en-GB"/>
        </w:rPr>
      </w:pPr>
    </w:p>
    <w:p>
      <w:pPr>
        <w:rPr>
          <w:rFonts w:ascii="Calibri" w:hAnsi="Calibri" w:eastAsia="Calibri" w:cs="Calibri"/>
          <w:sz w:val="22"/>
          <w:szCs w:val="22"/>
          <w:lang w:val="en-GB"/>
        </w:rPr>
      </w:pPr>
    </w:p>
    <w:sectPr>
      <w:headerReference r:id="rId4" w:type="default"/>
      <w:footerReference r:id="rId5" w:type="default"/>
      <w:pgSz w:w="11906" w:h="16838"/>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Arial">
    <w:panose1 w:val="020B0604020202090204"/>
    <w:charset w:val="00"/>
    <w:family w:val="swiss"/>
    <w:pitch w:val="default"/>
    <w:sig w:usb0="E0000AFF" w:usb1="00007843" w:usb2="00000001" w:usb3="00000000" w:csb0="400001BF" w:csb1="DFF70000"/>
  </w:font>
  <w:font w:name="黑体">
    <w:altName w:val="黑体-简"/>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SimSun">
    <w:altName w:val="宋体-简"/>
    <w:panose1 w:val="00000000000000000000"/>
    <w:charset w:val="86"/>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0" w:usb3="00000000" w:csb0="00040001" w:csb1="00000000"/>
  </w:font>
  <w:font w:name="Calibri">
    <w:altName w:val="Helvetica Neue"/>
    <w:panose1 w:val="020F0502020204030204"/>
    <w:charset w:val="86"/>
    <w:family w:val="swiss"/>
    <w:pitch w:val="default"/>
    <w:sig w:usb0="00000000" w:usb1="00000000" w:usb2="00000001" w:usb3="00000000" w:csb0="0000019F" w:csb1="00000000"/>
  </w:font>
  <w:font w:name="宋体-简">
    <w:panose1 w:val="02010800040101010101"/>
    <w:charset w:val="86"/>
    <w:family w:val="auto"/>
    <w:pitch w:val="default"/>
    <w:sig w:usb0="00000001" w:usb1="080F0000" w:usb2="00000000" w:usb3="00000000" w:csb0="00040000" w:csb1="00000000"/>
  </w:font>
  <w:font w:name="黑体-简">
    <w:panose1 w:val="02000000000000000000"/>
    <w:charset w:val="86"/>
    <w:family w:val="auto"/>
    <w:pitch w:val="default"/>
    <w:sig w:usb0="8000002F" w:usb1="0800004A" w:usb2="00000000" w:usb3="00000000" w:csb0="203E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Calibri Light">
    <w:altName w:val="Helvetica Neue"/>
    <w:panose1 w:val="020F0302020204030204"/>
    <w:charset w:val="00"/>
    <w:family w:val="swiss"/>
    <w:pitch w:val="default"/>
    <w:sig w:usb0="00000000" w:usb1="00000000" w:usb2="00000000" w:usb3="00000000" w:csb0="0000019F" w:csb1="00000000"/>
  </w:font>
  <w:font w:name="Symbol">
    <w:altName w:val="Kingsoft Sign"/>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Georgia">
    <w:panose1 w:val="02040502050405090303"/>
    <w:charset w:val="00"/>
    <w:family w:val="auto"/>
    <w:pitch w:val="default"/>
    <w:sig w:usb0="00000287" w:usb1="00000000" w:usb2="00000000" w:usb3="00000000" w:csb0="2000009F" w:csb1="00000000"/>
  </w:font>
  <w:font w:name="Tahoma">
    <w:panose1 w:val="020B0604030504040204"/>
    <w:charset w:val="00"/>
    <w:family w:val="auto"/>
    <w:pitch w:val="default"/>
    <w:sig w:usb0="E1002AFF" w:usb1="C000605B" w:usb2="00000029" w:usb3="00000000" w:csb0="200101FF" w:csb1="20280000"/>
  </w:font>
  <w:font w:name="Trebuchet MS">
    <w:panose1 w:val="020B0703020202090204"/>
    <w:charset w:val="00"/>
    <w:family w:val="auto"/>
    <w:pitch w:val="default"/>
    <w:sig w:usb0="00000287" w:usb1="00000000" w:usb2="00000000" w:usb3="00000000" w:csb0="2000009F" w:csb1="00000000"/>
  </w:font>
  <w:font w:name="Segoe UI">
    <w:altName w:val="苹方-简"/>
    <w:panose1 w:val="00000000000000000000"/>
    <w:charset w:val="00"/>
    <w:family w:val="auto"/>
    <w:pitch w:val="default"/>
    <w:sig w:usb0="00000000" w:usb1="00000000" w:usb2="00000000" w:usb3="00000000" w:csb0="00000000" w:csb1="00000000"/>
  </w:font>
  <w:font w:name="Open Sans">
    <w:altName w:val="苹方-简"/>
    <w:panose1 w:val="00000000000000000000"/>
    <w:charset w:val="00"/>
    <w:family w:val="auto"/>
    <w:pitch w:val="default"/>
    <w:sig w:usb0="00000000" w:usb1="00000000" w:usb2="00000000" w:usb3="00000000" w:csb0="00000000" w:csb1="00000000"/>
  </w:font>
  <w:font w:name="Roboto">
    <w:altName w:val="苹方-简"/>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 w:name="Symbol">
    <w:altName w:val="Kingsoft Sign"/>
    <w:panose1 w:val="00000000000000000000"/>
    <w:charset w:val="00"/>
    <w:family w:val="auto"/>
    <w:pitch w:val="default"/>
    <w:sig w:usb0="00000000" w:usb1="00000000" w:usb2="00000000" w:usb3="00000000" w:csb0="00000000" w:csb1="00000000"/>
  </w:font>
  <w:font w:name="Times New Roman Regular">
    <w:panose1 w:val="02020503050405090304"/>
    <w:charset w:val="00"/>
    <w:family w:val="auto"/>
    <w:pitch w:val="default"/>
    <w:sig w:usb0="E0000AFF" w:usb1="00007843" w:usb2="00000001" w:usb3="00000000" w:csb0="400001BF" w:csb1="DFF70000"/>
  </w:font>
  <w:font w:name="Times New Roman Italic">
    <w:panose1 w:val="02020503050405090304"/>
    <w:charset w:val="00"/>
    <w:family w:val="auto"/>
    <w:pitch w:val="default"/>
    <w:sig w:usb0="E0000AFF" w:usb1="00007843" w:usb2="00000001" w:usb3="00000000" w:csb0="400001BF" w:csb1="DFF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0"/>
      <w:tblW w:w="0" w:type="auto"/>
      <w:tblInd w:w="0" w:type="dxa"/>
      <w:tblLayout w:type="fixed"/>
      <w:tblCellMar>
        <w:top w:w="0" w:type="dxa"/>
        <w:left w:w="108" w:type="dxa"/>
        <w:bottom w:w="0" w:type="dxa"/>
        <w:right w:w="108" w:type="dxa"/>
      </w:tblCellMar>
    </w:tblPr>
    <w:tblGrid>
      <w:gridCol w:w="3005"/>
      <w:gridCol w:w="3005"/>
      <w:gridCol w:w="3005"/>
    </w:tblGrid>
    <w:tr>
      <w:tc>
        <w:tcPr>
          <w:tcW w:w="3005" w:type="dxa"/>
        </w:tcPr>
        <w:p>
          <w:pPr>
            <w:pStyle w:val="5"/>
            <w:bidi w:val="0"/>
            <w:ind w:left="-115"/>
            <w:jc w:val="left"/>
          </w:pPr>
        </w:p>
      </w:tc>
      <w:tc>
        <w:tcPr>
          <w:tcW w:w="3005" w:type="dxa"/>
        </w:tcPr>
        <w:p>
          <w:pPr>
            <w:pStyle w:val="5"/>
            <w:bidi w:val="0"/>
            <w:jc w:val="center"/>
          </w:pPr>
        </w:p>
      </w:tc>
      <w:tc>
        <w:tcPr>
          <w:tcW w:w="3005" w:type="dxa"/>
        </w:tcPr>
        <w:p>
          <w:pPr>
            <w:pStyle w:val="5"/>
            <w:bidi w:val="0"/>
            <w:ind w:right="-115"/>
            <w:jc w:val="right"/>
          </w:pPr>
        </w:p>
      </w:tc>
    </w:tr>
  </w:tbl>
  <w:p>
    <w:pPr>
      <w:pStyle w:val="3"/>
      <w:bidi w:v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id="0">
    <w:p>
      <w:pPr>
        <w:keepNext w:val="0"/>
        <w:keepLines w:val="0"/>
        <w:widowControl/>
        <w:suppressLineNumbers w:val="0"/>
        <w:jc w:val="left"/>
        <w:rPr>
          <w:rFonts w:hint="default" w:ascii="Times New Roman Regular" w:hAnsi="Times New Roman Regular" w:cs="Times New Roman Regular"/>
          <w:sz w:val="18"/>
          <w:szCs w:val="18"/>
        </w:rPr>
      </w:pPr>
      <w:r>
        <w:rPr>
          <w:rStyle w:val="8"/>
          <w:sz w:val="20"/>
          <w:szCs w:val="20"/>
        </w:rPr>
        <w:footnoteRef/>
      </w:r>
      <w:r>
        <w:rPr>
          <w:sz w:val="20"/>
          <w:szCs w:val="20"/>
        </w:rPr>
        <w:t xml:space="preserve"> </w:t>
      </w:r>
      <w:r>
        <w:rPr>
          <w:rFonts w:hint="default" w:ascii="Times New Roman Regular" w:hAnsi="Times New Roman Regular" w:eastAsia="SimSun" w:cs="Times New Roman Regular"/>
          <w:b w:val="0"/>
          <w:i w:val="0"/>
          <w:caps w:val="0"/>
          <w:color w:val="auto"/>
          <w:spacing w:val="0"/>
          <w:kern w:val="0"/>
          <w:sz w:val="18"/>
          <w:szCs w:val="18"/>
          <w:shd w:val="clear" w:fill="FFFFFF"/>
          <w:lang w:val="en-US" w:eastAsia="zh-CN" w:bidi="ar"/>
        </w:rPr>
        <w:t>De Boussac, Plato Proclus Helena Petrovna Blavatsky Joseph-Louis. 2018. </w:t>
      </w:r>
      <w:r>
        <w:rPr>
          <w:rFonts w:hint="default" w:ascii="Times New Roman Regular" w:hAnsi="Times New Roman Regular" w:eastAsia="SimSun" w:cs="Times New Roman Regular"/>
          <w:b w:val="0"/>
          <w:i/>
          <w:caps w:val="0"/>
          <w:color w:val="auto"/>
          <w:spacing w:val="0"/>
          <w:kern w:val="0"/>
          <w:sz w:val="18"/>
          <w:szCs w:val="18"/>
          <w:shd w:val="clear" w:fill="FFFFFF"/>
          <w:lang w:val="en-US" w:eastAsia="zh-CN" w:bidi="ar"/>
        </w:rPr>
        <w:t>Magic or Theurgy</w:t>
      </w:r>
      <w:r>
        <w:rPr>
          <w:rFonts w:hint="default" w:ascii="Times New Roman Regular" w:hAnsi="Times New Roman Regular" w:cs="Times New Roman Regular"/>
          <w:sz w:val="18"/>
          <w:szCs w:val="18"/>
        </w:rPr>
        <w:t>. p.21</w:t>
      </w:r>
    </w:p>
  </w:footnote>
  <w:footnote w:id="1">
    <w:p>
      <w:pPr>
        <w:keepNext w:val="0"/>
        <w:keepLines w:val="0"/>
        <w:widowControl/>
        <w:suppressLineNumbers w:val="0"/>
        <w:ind w:left="100" w:hanging="90" w:hangingChars="50"/>
        <w:jc w:val="left"/>
        <w:rPr>
          <w:rFonts w:hint="default" w:ascii="Times New Roman Regular" w:hAnsi="Times New Roman Regular" w:eastAsia="Calibri" w:cs="Times New Roman Regular"/>
          <w:sz w:val="18"/>
          <w:szCs w:val="18"/>
          <w:lang w:val="en-GB"/>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SimSun" w:cs="Times New Roman Regular"/>
          <w:b w:val="0"/>
          <w:i w:val="0"/>
          <w:caps w:val="0"/>
          <w:color w:val="auto"/>
          <w:spacing w:val="0"/>
          <w:kern w:val="0"/>
          <w:sz w:val="18"/>
          <w:szCs w:val="18"/>
          <w:shd w:val="clear" w:fill="FFFFFF"/>
          <w:lang w:val="en-US" w:eastAsia="zh-CN" w:bidi="ar"/>
        </w:rPr>
        <w:t>H. D. Saffrey and L. G. Westerink</w:t>
      </w:r>
      <w:r>
        <w:rPr>
          <w:rFonts w:hint="default" w:ascii="Times New Roman Regular" w:hAnsi="Times New Roman Regular" w:eastAsia="SimSun" w:cs="Times New Roman Regular"/>
          <w:b w:val="0"/>
          <w:i/>
          <w:caps w:val="0"/>
          <w:color w:val="auto"/>
          <w:spacing w:val="0"/>
          <w:kern w:val="0"/>
          <w:sz w:val="18"/>
          <w:szCs w:val="18"/>
          <w:u w:val="none"/>
          <w:shd w:val="clear" w:fill="FFFFFF"/>
          <w:lang w:val="en-US" w:eastAsia="zh-CN" w:bidi="ar"/>
        </w:rPr>
        <w:t>, Proclus, platonic theory. 1951</w:t>
      </w:r>
      <w:r>
        <w:rPr>
          <w:rFonts w:hint="default" w:ascii="Times New Roman Regular" w:hAnsi="Times New Roman Regular" w:eastAsia="SimSun" w:cs="Times New Roman Regular"/>
          <w:b w:val="0"/>
          <w:i w:val="0"/>
          <w:caps w:val="0"/>
          <w:color w:val="auto"/>
          <w:spacing w:val="0"/>
          <w:kern w:val="0"/>
          <w:sz w:val="18"/>
          <w:szCs w:val="18"/>
          <w:u w:val="none"/>
          <w:shd w:val="clear" w:fill="FFFFFF"/>
          <w:lang w:val="en-US" w:eastAsia="zh-CN" w:bidi="ar"/>
        </w:rPr>
        <w:t xml:space="preserve"> (Dodds) 1.25-7-10 113; 291</w:t>
      </w:r>
    </w:p>
  </w:footnote>
  <w:footnote w:id="2">
    <w:p>
      <w:pPr>
        <w:pStyle w:val="4"/>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SimSun" w:cs="Times New Roman Regular"/>
          <w:b w:val="0"/>
          <w:i w:val="0"/>
          <w:caps w:val="0"/>
          <w:color w:val="auto"/>
          <w:spacing w:val="0"/>
          <w:kern w:val="0"/>
          <w:sz w:val="18"/>
          <w:szCs w:val="18"/>
          <w:shd w:val="clear" w:fill="FFFFFF"/>
          <w:lang w:val="en-US" w:eastAsia="zh-CN" w:bidi="ar"/>
        </w:rPr>
        <w:t>Blavatsky Joseph-Louis. 2018. </w:t>
      </w:r>
      <w:r>
        <w:rPr>
          <w:rFonts w:hint="default" w:ascii="Times New Roman Regular" w:hAnsi="Times New Roman Regular" w:eastAsia="SimSun" w:cs="Times New Roman Regular"/>
          <w:b w:val="0"/>
          <w:i/>
          <w:caps w:val="0"/>
          <w:color w:val="auto"/>
          <w:spacing w:val="0"/>
          <w:kern w:val="0"/>
          <w:sz w:val="18"/>
          <w:szCs w:val="18"/>
          <w:shd w:val="clear" w:fill="FFFFFF"/>
          <w:lang w:val="en-US" w:eastAsia="zh-CN" w:bidi="ar"/>
        </w:rPr>
        <w:t>Magic or Theurgy</w:t>
      </w:r>
      <w:r>
        <w:rPr>
          <w:rFonts w:hint="default" w:ascii="Times New Roman Regular" w:hAnsi="Times New Roman Regular" w:cs="Times New Roman Regular"/>
          <w:sz w:val="18"/>
          <w:szCs w:val="18"/>
        </w:rPr>
        <w:t>. P.22</w:t>
      </w:r>
    </w:p>
  </w:footnote>
  <w:footnote w:id="3">
    <w:p>
      <w:pPr>
        <w:keepNext w:val="0"/>
        <w:keepLines w:val="0"/>
        <w:widowControl/>
        <w:suppressLineNumbers w:val="0"/>
        <w:jc w:val="left"/>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SimSun" w:cs="Times New Roman Regular"/>
          <w:b w:val="0"/>
          <w:i w:val="0"/>
          <w:caps w:val="0"/>
          <w:color w:val="auto"/>
          <w:spacing w:val="0"/>
          <w:kern w:val="0"/>
          <w:sz w:val="18"/>
          <w:szCs w:val="18"/>
          <w:u w:val="none"/>
          <w:shd w:val="clear" w:fill="FFFFFF"/>
          <w:lang w:val="en-US" w:eastAsia="zh-CN" w:bidi="ar"/>
        </w:rPr>
        <w:t>Pseudo-Dionysius. 2022. &lt;https://plato.stanford.edu/entries/pseudo-dionysius-areopagite/&gt;</w:t>
      </w:r>
    </w:p>
  </w:footnote>
  <w:footnote w:id="4">
    <w:p>
      <w:pPr>
        <w:keepNext w:val="0"/>
        <w:keepLines w:val="0"/>
        <w:widowControl/>
        <w:suppressLineNumbers w:val="0"/>
        <w:jc w:val="left"/>
        <w:rPr>
          <w:rFonts w:hint="default" w:ascii="Times New Roman Regular" w:hAnsi="Times New Roman Regular" w:eastAsia="Calibri" w:cs="Times New Roman Regular"/>
          <w:sz w:val="18"/>
          <w:szCs w:val="18"/>
          <w:lang w:val="en-GB"/>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SimSun" w:cs="Times New Roman Regular"/>
          <w:b w:val="0"/>
          <w:i w:val="0"/>
          <w:caps w:val="0"/>
          <w:color w:val="auto"/>
          <w:spacing w:val="0"/>
          <w:kern w:val="0"/>
          <w:sz w:val="18"/>
          <w:szCs w:val="18"/>
          <w:u w:val="none"/>
          <w:shd w:val="clear" w:fill="FFFFFF"/>
          <w:lang w:val="en-US" w:eastAsia="zh-CN" w:bidi="ar"/>
        </w:rPr>
        <w:t xml:space="preserve">Addey, Crystal. 2014. Divination and Theurgy in Neoplatonism: Oracles of the gods, </w:t>
      </w:r>
      <w:r>
        <w:rPr>
          <w:rFonts w:hint="default" w:ascii="Times New Roman Regular" w:hAnsi="Times New Roman Regular" w:eastAsia="SimSun" w:cs="Times New Roman Regular"/>
          <w:i w:val="0"/>
          <w:caps w:val="0"/>
          <w:spacing w:val="0"/>
          <w:kern w:val="0"/>
          <w:sz w:val="18"/>
          <w:szCs w:val="18"/>
          <w:u w:val="none"/>
          <w:shd w:val="clear" w:fill="FFFFFF"/>
          <w:lang w:val="en-US" w:eastAsia="zh-CN" w:bidi="ar"/>
        </w:rPr>
        <w:fldChar w:fldCharType="begin"/>
      </w:r>
      <w:r>
        <w:rPr>
          <w:rFonts w:hint="default" w:ascii="Times New Roman Regular" w:hAnsi="Times New Roman Regular" w:eastAsia="SimSun" w:cs="Times New Roman Regular"/>
          <w:i w:val="0"/>
          <w:caps w:val="0"/>
          <w:spacing w:val="0"/>
          <w:kern w:val="0"/>
          <w:sz w:val="18"/>
          <w:szCs w:val="18"/>
          <w:u w:val="none"/>
          <w:shd w:val="clear" w:fill="FFFFFF"/>
          <w:lang w:val="en-US" w:eastAsia="zh-CN" w:bidi="ar"/>
        </w:rPr>
        <w:instrText xml:space="preserve"> HYPERLINK "https://www.google.com.cy/search?tbo=p&amp;tbm=bks&amp;q=bibliogroup:"Ashgate+Studies+in+Philosophy+and+Theology+in+Late+Antiquity"&amp;source=gbs_metadata_r&amp;cad=8" \t "/Users/carabraia/Documents\\x/_blank" </w:instrText>
      </w:r>
      <w:r>
        <w:rPr>
          <w:rFonts w:hint="default" w:ascii="Times New Roman Regular" w:hAnsi="Times New Roman Regular" w:eastAsia="SimSun" w:cs="Times New Roman Regular"/>
          <w:i w:val="0"/>
          <w:caps w:val="0"/>
          <w:spacing w:val="0"/>
          <w:kern w:val="0"/>
          <w:sz w:val="18"/>
          <w:szCs w:val="18"/>
          <w:u w:val="none"/>
          <w:shd w:val="clear" w:fill="FFFFFF"/>
          <w:lang w:val="en-US" w:eastAsia="zh-CN" w:bidi="ar"/>
        </w:rPr>
        <w:fldChar w:fldCharType="separate"/>
      </w:r>
      <w:r>
        <w:rPr>
          <w:rStyle w:val="9"/>
          <w:rFonts w:hint="default" w:ascii="Times New Roman Regular" w:hAnsi="Times New Roman Regular" w:eastAsia="SimSun" w:cs="Times New Roman Regular"/>
          <w:b w:val="0"/>
          <w:i w:val="0"/>
          <w:caps w:val="0"/>
          <w:color w:val="auto"/>
          <w:spacing w:val="0"/>
          <w:sz w:val="18"/>
          <w:szCs w:val="18"/>
          <w:u w:val="none"/>
          <w:shd w:val="clear" w:fill="FFFFFF"/>
          <w:lang w:val="en-US"/>
        </w:rPr>
        <w:t>Ashgate Studies in Philosophy and Theology in Late Antiquity</w:t>
      </w:r>
      <w:r>
        <w:rPr>
          <w:rFonts w:hint="default" w:ascii="Times New Roman Regular" w:hAnsi="Times New Roman Regular" w:eastAsia="SimSun" w:cs="Times New Roman Regular"/>
          <w:i w:val="0"/>
          <w:caps w:val="0"/>
          <w:spacing w:val="0"/>
          <w:kern w:val="0"/>
          <w:sz w:val="18"/>
          <w:szCs w:val="18"/>
          <w:u w:val="none"/>
          <w:shd w:val="clear" w:fill="FFFFFF"/>
          <w:lang w:val="en-US" w:eastAsia="zh-CN" w:bidi="ar"/>
        </w:rPr>
        <w:fldChar w:fldCharType="end"/>
      </w:r>
      <w:r>
        <w:rPr>
          <w:rFonts w:hint="default" w:ascii="Times New Roman Regular" w:hAnsi="Times New Roman Regular" w:eastAsia="Calibri" w:cs="Times New Roman Regular"/>
          <w:sz w:val="18"/>
          <w:szCs w:val="18"/>
          <w:lang w:val="en-GB"/>
        </w:rPr>
        <w:t xml:space="preserve"> P.39</w:t>
      </w:r>
    </w:p>
  </w:footnote>
  <w:footnote w:id="5">
    <w:p>
      <w:pPr>
        <w:bidi w:val="0"/>
        <w:jc w:val="both"/>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Iamblichus</w:t>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i/>
          <w:iCs/>
          <w:sz w:val="18"/>
          <w:szCs w:val="18"/>
        </w:rPr>
        <w:t>De Mysteriis</w:t>
      </w:r>
      <w:r>
        <w:rPr>
          <w:rFonts w:hint="default" w:ascii="Times New Roman Regular" w:hAnsi="Times New Roman Regular" w:cs="Times New Roman Regular"/>
          <w:sz w:val="18"/>
          <w:szCs w:val="18"/>
        </w:rPr>
        <w:t xml:space="preserve">, 1497. </w:t>
      </w:r>
      <w:r>
        <w:rPr>
          <w:rFonts w:hint="default" w:ascii="Times New Roman Regular" w:hAnsi="Times New Roman Regular" w:eastAsia="Calibri" w:cs="Times New Roman Regular"/>
          <w:sz w:val="18"/>
          <w:szCs w:val="18"/>
          <w:lang w:val="en-GB"/>
        </w:rPr>
        <w:t>1.7 29</w:t>
      </w:r>
    </w:p>
  </w:footnote>
  <w:footnote w:id="6">
    <w:p>
      <w:pPr>
        <w:bidi w:val="0"/>
        <w:jc w:val="both"/>
        <w:rPr>
          <w:sz w:val="20"/>
          <w:szCs w:val="20"/>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Iamblichus</w:t>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i/>
          <w:iCs/>
          <w:sz w:val="18"/>
          <w:szCs w:val="18"/>
        </w:rPr>
        <w:t>De Mysteriis</w:t>
      </w:r>
      <w:r>
        <w:rPr>
          <w:rFonts w:hint="default" w:ascii="Times New Roman Regular" w:hAnsi="Times New Roman Regular" w:cs="Times New Roman Regular"/>
          <w:sz w:val="18"/>
          <w:szCs w:val="18"/>
        </w:rPr>
        <w:t xml:space="preserve">, 1497. </w:t>
      </w:r>
      <w:r>
        <w:rPr>
          <w:rFonts w:hint="default" w:ascii="Times New Roman Regular" w:hAnsi="Times New Roman Regular" w:eastAsia="Calibri" w:cs="Times New Roman Regular"/>
          <w:sz w:val="18"/>
          <w:szCs w:val="18"/>
          <w:lang w:val="en-GB"/>
        </w:rPr>
        <w:t>1.6-7 - 27</w:t>
      </w:r>
    </w:p>
  </w:footnote>
  <w:footnote w:id="7">
    <w:p>
      <w:pPr>
        <w:keepNext w:val="0"/>
        <w:keepLines w:val="0"/>
        <w:widowControl/>
        <w:suppressLineNumbers w:val="0"/>
        <w:jc w:val="left"/>
      </w:pPr>
      <w:r>
        <w:rPr>
          <w:rStyle w:val="8"/>
        </w:rPr>
        <w:footnoteRef/>
      </w:r>
      <w:r>
        <w:t xml:space="preserve"> </w:t>
      </w:r>
      <w:r>
        <w:rPr>
          <w:sz w:val="20"/>
          <w:szCs w:val="20"/>
        </w:rPr>
        <w:t xml:space="preserve"> </w:t>
      </w:r>
      <w:r>
        <w:rPr>
          <w:rFonts w:hint="default" w:ascii="Times New Roman Regular" w:hAnsi="Times New Roman Regular" w:eastAsia="SimSun" w:cs="Times New Roman Regular"/>
          <w:i w:val="0"/>
          <w:caps w:val="0"/>
          <w:color w:val="auto"/>
          <w:spacing w:val="0"/>
          <w:kern w:val="0"/>
          <w:sz w:val="18"/>
          <w:szCs w:val="18"/>
          <w:shd w:val="clear" w:fill="FFFFFF"/>
          <w:lang w:val="en-US" w:eastAsia="zh-CN" w:bidi="ar"/>
        </w:rPr>
        <w:t>Graham H.</w:t>
      </w:r>
      <w:r>
        <w:rPr>
          <w:rFonts w:hint="default" w:ascii="Times New Roman Regular" w:hAnsi="Times New Roman Regular" w:eastAsia="SimSun" w:cs="Times New Roman Regular"/>
          <w:i w:val="0"/>
          <w:caps w:val="0"/>
          <w:color w:val="auto"/>
          <w:spacing w:val="0"/>
          <w:kern w:val="0"/>
          <w:sz w:val="18"/>
          <w:szCs w:val="18"/>
          <w:shd w:val="clear" w:fill="FFFFFF"/>
          <w:lang w:eastAsia="zh-CN" w:bidi="ar"/>
        </w:rPr>
        <w:t>Twelftree.</w:t>
      </w:r>
      <w:r>
        <w:rPr>
          <w:rFonts w:hint="default" w:ascii="Times New Roman Regular" w:hAnsi="Times New Roman Regular" w:eastAsia="SimSun" w:cs="Times New Roman Regular"/>
          <w:i w:val="0"/>
          <w:caps w:val="0"/>
          <w:color w:val="auto"/>
          <w:spacing w:val="0"/>
          <w:kern w:val="0"/>
          <w:sz w:val="18"/>
          <w:szCs w:val="18"/>
          <w:shd w:val="clear" w:fill="FFFFFF"/>
          <w:lang w:val="en-US" w:eastAsia="zh-CN" w:bidi="ar"/>
        </w:rPr>
        <w:t xml:space="preserve"> 2011. The Cambridge Companion to Miracles Cambridge Companions to Religion </w:t>
      </w:r>
      <w:r>
        <w:rPr>
          <w:rFonts w:hint="default" w:ascii="Times New Roman Regular" w:hAnsi="Times New Roman Regular" w:eastAsia="SimSun" w:cs="Times New Roman Regular"/>
          <w:i w:val="0"/>
          <w:caps w:val="0"/>
          <w:color w:val="auto"/>
          <w:spacing w:val="0"/>
          <w:kern w:val="0"/>
          <w:sz w:val="18"/>
          <w:szCs w:val="18"/>
          <w:shd w:val="clear" w:fill="FFFFFF"/>
          <w:lang w:eastAsia="zh-CN" w:bidi="ar"/>
        </w:rPr>
        <w:t>p.88</w:t>
      </w:r>
    </w:p>
  </w:footnote>
  <w:footnote w:id="8">
    <w:p>
      <w:pPr>
        <w:pStyle w:val="4"/>
        <w:snapToGrid w:val="0"/>
      </w:pPr>
      <w:r>
        <w:rPr>
          <w:rStyle w:val="8"/>
        </w:rPr>
        <w:footnoteRef/>
      </w:r>
      <w:r>
        <w:t xml:space="preserve"> (</w:t>
      </w:r>
      <w:r>
        <w:rPr>
          <w:rFonts w:hint="default" w:ascii="Times New Roman Regular" w:hAnsi="Times New Roman Regular" w:cs="Times New Roman Regular"/>
          <w:color w:val="auto"/>
          <w:sz w:val="18"/>
          <w:szCs w:val="18"/>
        </w:rPr>
        <w:t xml:space="preserve">Question 115.3) quoted in, </w:t>
      </w:r>
      <w:r>
        <w:rPr>
          <w:rFonts w:hint="default" w:ascii="Times New Roman Regular" w:hAnsi="Times New Roman Regular" w:eastAsia="SimSun" w:cs="Times New Roman Regular"/>
          <w:i w:val="0"/>
          <w:caps w:val="0"/>
          <w:color w:val="auto"/>
          <w:spacing w:val="0"/>
          <w:kern w:val="0"/>
          <w:sz w:val="18"/>
          <w:szCs w:val="18"/>
          <w:shd w:val="clear" w:fill="FFFFFF"/>
          <w:lang w:val="en-US" w:eastAsia="zh-CN" w:bidi="ar"/>
        </w:rPr>
        <w:t>Tim</w:t>
      </w:r>
      <w:r>
        <w:rPr>
          <w:rFonts w:hint="default" w:ascii="Times New Roman Regular" w:hAnsi="Times New Roman Regular" w:eastAsia="SimSun" w:cs="Times New Roman Regular"/>
          <w:i w:val="0"/>
          <w:caps w:val="0"/>
          <w:color w:val="auto"/>
          <w:spacing w:val="0"/>
          <w:kern w:val="0"/>
          <w:sz w:val="18"/>
          <w:szCs w:val="18"/>
          <w:shd w:val="clear" w:fill="FFFFFF"/>
          <w:lang w:eastAsia="zh-CN" w:bidi="ar"/>
        </w:rPr>
        <w:t xml:space="preserve"> Hegedus. </w:t>
      </w:r>
      <w:r>
        <w:rPr>
          <w:rFonts w:hint="default" w:ascii="Times New Roman Regular" w:hAnsi="Times New Roman Regular" w:eastAsia="SimSun" w:cs="Times New Roman Regular"/>
          <w:i w:val="0"/>
          <w:caps w:val="0"/>
          <w:color w:val="auto"/>
          <w:spacing w:val="0"/>
          <w:kern w:val="0"/>
          <w:sz w:val="18"/>
          <w:szCs w:val="18"/>
          <w:shd w:val="clear" w:fill="FFFFFF"/>
          <w:lang w:val="en-US" w:eastAsia="zh-CN" w:bidi="ar"/>
        </w:rPr>
        <w:t>2007. </w:t>
      </w:r>
      <w:r>
        <w:rPr>
          <w:rFonts w:hint="default" w:ascii="Times New Roman Regular" w:hAnsi="Times New Roman Regular" w:eastAsia="SimSun" w:cs="Times New Roman Regular"/>
          <w:i/>
          <w:caps w:val="0"/>
          <w:color w:val="auto"/>
          <w:spacing w:val="0"/>
          <w:kern w:val="0"/>
          <w:sz w:val="18"/>
          <w:szCs w:val="18"/>
          <w:shd w:val="clear" w:fill="FFFFFF"/>
          <w:lang w:val="en-US" w:eastAsia="zh-CN" w:bidi="ar"/>
        </w:rPr>
        <w:t>Early Christianity and Ancient Astrology Volume 6 of Patristic Studies,</w:t>
      </w:r>
      <w:r>
        <w:rPr>
          <w:rFonts w:hint="default" w:ascii="Times New Roman Regular" w:hAnsi="Times New Roman Regular" w:eastAsia="SimSun" w:cs="Times New Roman Regular"/>
          <w:i w:val="0"/>
          <w:caps w:val="0"/>
          <w:color w:val="auto"/>
          <w:spacing w:val="0"/>
          <w:kern w:val="0"/>
          <w:sz w:val="18"/>
          <w:szCs w:val="18"/>
          <w:shd w:val="clear" w:fill="FFFFFF"/>
          <w:lang w:val="en-US" w:eastAsia="zh-CN" w:bidi="ar"/>
        </w:rPr>
        <w:t> (Peter Lang)</w:t>
      </w:r>
      <w:r>
        <w:rPr>
          <w:rFonts w:hint="default" w:ascii="Times New Roman Regular" w:hAnsi="Times New Roman Regular" w:eastAsia="SimSun" w:cs="Times New Roman Regular"/>
          <w:i w:val="0"/>
          <w:caps w:val="0"/>
          <w:color w:val="auto"/>
          <w:spacing w:val="0"/>
          <w:kern w:val="0"/>
          <w:sz w:val="18"/>
          <w:szCs w:val="18"/>
          <w:shd w:val="clear" w:fill="FFFFFF"/>
          <w:lang w:eastAsia="zh-CN" w:bidi="ar"/>
        </w:rPr>
        <w:t xml:space="preserve"> </w:t>
      </w:r>
      <w:r>
        <w:rPr>
          <w:rFonts w:hint="default" w:ascii="Times New Roman Regular" w:hAnsi="Times New Roman Regular" w:cs="Times New Roman Regular"/>
          <w:color w:val="auto"/>
          <w:sz w:val="18"/>
          <w:szCs w:val="18"/>
        </w:rPr>
        <w:t>P.127</w:t>
      </w:r>
    </w:p>
  </w:footnote>
  <w:footnote w:id="9">
    <w:p>
      <w:pPr>
        <w:keepNext w:val="0"/>
        <w:keepLines w:val="0"/>
        <w:widowControl/>
        <w:suppressLineNumbers w:val="0"/>
        <w:jc w:val="left"/>
      </w:pPr>
      <w:r>
        <w:rPr>
          <w:rStyle w:val="8"/>
        </w:rPr>
        <w:footnoteRef/>
      </w:r>
      <w:r>
        <w:t xml:space="preserve"> </w:t>
      </w:r>
      <w:r>
        <w:rPr>
          <w:rFonts w:hint="default" w:ascii="Times New Roman Regular" w:hAnsi="Times New Roman Regular" w:eastAsia="SimSun" w:cs="Times New Roman Regular"/>
          <w:i w:val="0"/>
          <w:caps w:val="0"/>
          <w:color w:val="auto"/>
          <w:spacing w:val="0"/>
          <w:kern w:val="0"/>
          <w:sz w:val="18"/>
          <w:szCs w:val="18"/>
          <w:shd w:val="clear" w:fill="FFFFFF"/>
          <w:lang w:val="en-US" w:eastAsia="zh-CN" w:bidi="ar"/>
        </w:rPr>
        <w:t>Graham H.</w:t>
      </w:r>
      <w:r>
        <w:rPr>
          <w:rFonts w:hint="default" w:ascii="Times New Roman Regular" w:hAnsi="Times New Roman Regular" w:eastAsia="SimSun" w:cs="Times New Roman Regular"/>
          <w:i w:val="0"/>
          <w:caps w:val="0"/>
          <w:color w:val="auto"/>
          <w:spacing w:val="0"/>
          <w:kern w:val="0"/>
          <w:sz w:val="18"/>
          <w:szCs w:val="18"/>
          <w:shd w:val="clear" w:fill="FFFFFF"/>
          <w:lang w:eastAsia="zh-CN" w:bidi="ar"/>
        </w:rPr>
        <w:t>Twelftree.</w:t>
      </w:r>
      <w:r>
        <w:rPr>
          <w:rFonts w:hint="default" w:ascii="Times New Roman Regular" w:hAnsi="Times New Roman Regular" w:eastAsia="SimSun" w:cs="Times New Roman Regular"/>
          <w:i w:val="0"/>
          <w:caps w:val="0"/>
          <w:color w:val="auto"/>
          <w:spacing w:val="0"/>
          <w:kern w:val="0"/>
          <w:sz w:val="18"/>
          <w:szCs w:val="18"/>
          <w:shd w:val="clear" w:fill="FFFFFF"/>
          <w:lang w:val="en-US" w:eastAsia="zh-CN" w:bidi="ar"/>
        </w:rPr>
        <w:t xml:space="preserve"> 2011. The Cambridge Companion to Miracles Cambridge Companions to Religion </w:t>
      </w:r>
      <w:r>
        <w:rPr>
          <w:rFonts w:hint="default" w:ascii="Times New Roman Regular" w:hAnsi="Times New Roman Regular" w:eastAsia="SimSun" w:cs="Times New Roman Regular"/>
          <w:i w:val="0"/>
          <w:caps w:val="0"/>
          <w:color w:val="auto"/>
          <w:spacing w:val="0"/>
          <w:kern w:val="0"/>
          <w:sz w:val="18"/>
          <w:szCs w:val="18"/>
          <w:shd w:val="clear" w:fill="FFFFFF"/>
          <w:lang w:eastAsia="zh-CN" w:bidi="ar"/>
        </w:rPr>
        <w:t>p.88</w:t>
      </w:r>
    </w:p>
    <w:p>
      <w:pPr>
        <w:pStyle w:val="4"/>
        <w:snapToGrid w:val="0"/>
      </w:pPr>
    </w:p>
  </w:footnote>
  <w:footnote w:id="10">
    <w:p>
      <w:pPr>
        <w:keepNext w:val="0"/>
        <w:keepLines w:val="0"/>
        <w:widowControl/>
        <w:suppressLineNumbers w:val="0"/>
        <w:jc w:val="left"/>
        <w:rPr>
          <w:rFonts w:hint="default" w:ascii="Times New Roman Regular" w:hAnsi="Times New Roman Regular" w:eastAsia="Calibri" w:cs="Times New Roman Regular"/>
          <w:sz w:val="18"/>
          <w:szCs w:val="18"/>
          <w:lang w:val="en-GB"/>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SimSun" w:cs="Times New Roman Regular"/>
          <w:b w:val="0"/>
          <w:i w:val="0"/>
          <w:caps w:val="0"/>
          <w:color w:val="auto"/>
          <w:spacing w:val="0"/>
          <w:kern w:val="0"/>
          <w:sz w:val="18"/>
          <w:szCs w:val="18"/>
          <w:u w:val="none"/>
          <w:shd w:val="clear" w:fill="FFFFFF"/>
          <w:lang w:val="en-US" w:eastAsia="zh-CN" w:bidi="ar"/>
        </w:rPr>
        <w:t xml:space="preserve">Addey, Crystal. 2014. </w:t>
      </w:r>
      <w:r>
        <w:rPr>
          <w:rFonts w:hint="default" w:ascii="Times New Roman Regular" w:hAnsi="Times New Roman Regular" w:eastAsia="SimSun" w:cs="Times New Roman Regular"/>
          <w:b w:val="0"/>
          <w:i/>
          <w:iCs/>
          <w:caps w:val="0"/>
          <w:color w:val="auto"/>
          <w:spacing w:val="0"/>
          <w:kern w:val="0"/>
          <w:sz w:val="18"/>
          <w:szCs w:val="18"/>
          <w:u w:val="none"/>
          <w:shd w:val="clear" w:fill="FFFFFF"/>
          <w:lang w:val="en-US" w:eastAsia="zh-CN" w:bidi="ar"/>
        </w:rPr>
        <w:t xml:space="preserve">Divination and Theurgy in Neoplatonism: Oracles of the gods, </w:t>
      </w:r>
      <w:r>
        <w:rPr>
          <w:rFonts w:hint="default" w:ascii="Times New Roman Regular" w:hAnsi="Times New Roman Regular" w:eastAsia="SimSun" w:cs="Times New Roman Regular"/>
          <w:i/>
          <w:iCs/>
          <w:caps w:val="0"/>
          <w:spacing w:val="0"/>
          <w:kern w:val="0"/>
          <w:sz w:val="18"/>
          <w:szCs w:val="18"/>
          <w:u w:val="none"/>
          <w:shd w:val="clear" w:fill="FFFFFF"/>
          <w:lang w:val="en-US" w:eastAsia="zh-CN" w:bidi="ar"/>
        </w:rPr>
        <w:fldChar w:fldCharType="begin"/>
      </w:r>
      <w:r>
        <w:rPr>
          <w:rFonts w:hint="default" w:ascii="Times New Roman Regular" w:hAnsi="Times New Roman Regular" w:eastAsia="SimSun" w:cs="Times New Roman Regular"/>
          <w:i/>
          <w:iCs/>
          <w:caps w:val="0"/>
          <w:spacing w:val="0"/>
          <w:kern w:val="0"/>
          <w:sz w:val="18"/>
          <w:szCs w:val="18"/>
          <w:u w:val="none"/>
          <w:shd w:val="clear" w:fill="FFFFFF"/>
          <w:lang w:val="en-US" w:eastAsia="zh-CN" w:bidi="ar"/>
        </w:rPr>
        <w:instrText xml:space="preserve"> HYPERLINK "https://www.google.com.cy/search?tbo=p&amp;tbm=bks&amp;q=bibliogroup:"Ashgate+Studies+in+Philosophy+and+Theology+in+Late+Antiquity"&amp;source=gbs_metadata_r&amp;cad=8" \t "/Users/carabraia/Documents\\x/_blank" </w:instrText>
      </w:r>
      <w:r>
        <w:rPr>
          <w:rFonts w:hint="default" w:ascii="Times New Roman Regular" w:hAnsi="Times New Roman Regular" w:eastAsia="SimSun" w:cs="Times New Roman Regular"/>
          <w:i/>
          <w:iCs/>
          <w:caps w:val="0"/>
          <w:spacing w:val="0"/>
          <w:kern w:val="0"/>
          <w:sz w:val="18"/>
          <w:szCs w:val="18"/>
          <w:u w:val="none"/>
          <w:shd w:val="clear" w:fill="FFFFFF"/>
          <w:lang w:val="en-US" w:eastAsia="zh-CN" w:bidi="ar"/>
        </w:rPr>
        <w:fldChar w:fldCharType="separate"/>
      </w:r>
      <w:r>
        <w:rPr>
          <w:rStyle w:val="9"/>
          <w:rFonts w:hint="default" w:ascii="Times New Roman Regular" w:hAnsi="Times New Roman Regular" w:eastAsia="SimSun" w:cs="Times New Roman Regular"/>
          <w:b w:val="0"/>
          <w:i/>
          <w:iCs/>
          <w:caps w:val="0"/>
          <w:color w:val="auto"/>
          <w:spacing w:val="0"/>
          <w:sz w:val="18"/>
          <w:szCs w:val="18"/>
          <w:u w:val="none"/>
          <w:shd w:val="clear" w:fill="FFFFFF"/>
          <w:lang w:val="en-US"/>
        </w:rPr>
        <w:t>Ashgate Studies in Philosophy and Theology in Late Antiquity</w:t>
      </w:r>
      <w:r>
        <w:rPr>
          <w:rFonts w:hint="default" w:ascii="Times New Roman Regular" w:hAnsi="Times New Roman Regular" w:eastAsia="SimSun" w:cs="Times New Roman Regular"/>
          <w:i/>
          <w:iCs/>
          <w:caps w:val="0"/>
          <w:spacing w:val="0"/>
          <w:kern w:val="0"/>
          <w:sz w:val="18"/>
          <w:szCs w:val="18"/>
          <w:u w:val="none"/>
          <w:shd w:val="clear" w:fill="FFFFFF"/>
          <w:lang w:val="en-US" w:eastAsia="zh-CN" w:bidi="ar"/>
        </w:rPr>
        <w:fldChar w:fldCharType="end"/>
      </w:r>
      <w:r>
        <w:rPr>
          <w:rFonts w:hint="default" w:ascii="Times New Roman Regular" w:hAnsi="Times New Roman Regular" w:eastAsia="SimSun" w:cs="Times New Roman Regular"/>
          <w:i/>
          <w:iCs/>
          <w:caps w:val="0"/>
          <w:spacing w:val="0"/>
          <w:kern w:val="0"/>
          <w:sz w:val="18"/>
          <w:szCs w:val="18"/>
          <w:u w:val="none"/>
          <w:shd w:val="clear" w:fill="FFFFFF"/>
          <w:lang w:eastAsia="zh-CN" w:bidi="ar"/>
        </w:rPr>
        <w:t xml:space="preserve"> </w:t>
      </w:r>
      <w:r>
        <w:rPr>
          <w:rFonts w:hint="default" w:ascii="Times New Roman Regular" w:hAnsi="Times New Roman Regular" w:eastAsia="Calibri" w:cs="Times New Roman Regular"/>
          <w:sz w:val="18"/>
          <w:szCs w:val="18"/>
          <w:lang w:val="en-GB"/>
        </w:rPr>
        <w:t>P.25</w:t>
      </w:r>
    </w:p>
  </w:footnote>
  <w:footnote w:id="11">
    <w:p>
      <w:pPr>
        <w:keepNext w:val="0"/>
        <w:keepLines w:val="0"/>
        <w:widowControl/>
        <w:suppressLineNumbers w:val="0"/>
        <w:jc w:val="left"/>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SimSun" w:cs="Times New Roman Regular"/>
          <w:b w:val="0"/>
          <w:i w:val="0"/>
          <w:caps w:val="0"/>
          <w:color w:val="auto"/>
          <w:spacing w:val="0"/>
          <w:kern w:val="0"/>
          <w:sz w:val="18"/>
          <w:szCs w:val="18"/>
          <w:u w:val="none"/>
          <w:shd w:val="clear" w:fill="FFFFFF"/>
          <w:lang w:val="en-US" w:eastAsia="zh-CN" w:bidi="ar"/>
        </w:rPr>
        <w:t xml:space="preserve">Rouget, Gilbert, and Brunhilde Biebuyck, 1985, </w:t>
      </w:r>
      <w:r>
        <w:rPr>
          <w:rFonts w:hint="default" w:ascii="Times New Roman Regular" w:hAnsi="Times New Roman Regular" w:eastAsia="SimSun" w:cs="Times New Roman Regular"/>
          <w:b w:val="0"/>
          <w:i/>
          <w:caps w:val="0"/>
          <w:color w:val="auto"/>
          <w:spacing w:val="0"/>
          <w:kern w:val="0"/>
          <w:sz w:val="18"/>
          <w:szCs w:val="18"/>
          <w:u w:val="none"/>
          <w:shd w:val="clear" w:fill="FFFFFF"/>
          <w:lang w:val="en-US" w:eastAsia="zh-CN" w:bidi="ar"/>
        </w:rPr>
        <w:t>Music And Trance</w:t>
      </w:r>
      <w:r>
        <w:rPr>
          <w:rFonts w:hint="default" w:ascii="Times New Roman Regular" w:hAnsi="Times New Roman Regular" w:eastAsia="SimSun" w:cs="Times New Roman Regular"/>
          <w:b w:val="0"/>
          <w:i/>
          <w:caps w:val="0"/>
          <w:color w:val="auto"/>
          <w:spacing w:val="0"/>
          <w:kern w:val="0"/>
          <w:sz w:val="18"/>
          <w:szCs w:val="18"/>
          <w:u w:val="none"/>
          <w:shd w:val="clear" w:fill="FFFFFF"/>
          <w:lang w:eastAsia="zh-CN" w:bidi="ar"/>
        </w:rPr>
        <w:t xml:space="preserve"> </w:t>
      </w:r>
      <w:r>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t>P.196</w:t>
      </w:r>
    </w:p>
  </w:footnote>
  <w:footnote w:id="12">
    <w:p>
      <w:pPr>
        <w:pStyle w:val="4"/>
        <w:bidi w:val="0"/>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t xml:space="preserve">Daniel Ogden, </w:t>
      </w:r>
      <w:r>
        <w:rPr>
          <w:rFonts w:hint="default" w:ascii="Times New Roman Regular" w:hAnsi="Times New Roman Regular" w:eastAsia="Open Sans" w:cs="Times New Roman Regular"/>
          <w:b w:val="0"/>
          <w:bCs w:val="0"/>
          <w:i/>
          <w:iCs/>
          <w:caps w:val="0"/>
          <w:smallCaps w:val="0"/>
          <w:color w:val="000000" w:themeColor="text1" w:themeTint="FF"/>
          <w:sz w:val="18"/>
          <w:szCs w:val="18"/>
          <w:lang w:val="en-GB"/>
          <w14:textFill>
            <w14:solidFill>
              <w14:schemeClr w14:val="tx1">
                <w14:lumMod w14:val="100000"/>
                <w14:lumOff w14:val="0"/>
              </w14:schemeClr>
            </w14:solidFill>
          </w14:textFill>
        </w:rPr>
        <w:t>A Companion To Greek Religion</w:t>
      </w:r>
      <w:r>
        <w:rPr>
          <w:rFonts w:hint="default" w:ascii="Times New Roman Regular" w:hAnsi="Times New Roman Regular" w:eastAsia="Open Sans" w:cs="Times New Roman Regular"/>
          <w:b w:val="0"/>
          <w:bCs w:val="0"/>
          <w:i/>
          <w:iCs/>
          <w:caps w:val="0"/>
          <w:smallCaps w:val="0"/>
          <w:color w:val="000000" w:themeColor="text1" w:themeTint="FF"/>
          <w:sz w:val="18"/>
          <w:szCs w:val="18"/>
          <w14:textFill>
            <w14:solidFill>
              <w14:schemeClr w14:val="tx1">
                <w14:lumMod w14:val="100000"/>
                <w14:lumOff w14:val="0"/>
              </w14:schemeClr>
            </w14:solidFill>
          </w14:textFill>
        </w:rPr>
        <w:t>.</w:t>
      </w:r>
      <w:r>
        <w:rPr>
          <w:rFonts w:hint="default" w:ascii="Times New Roman Regular" w:hAnsi="Times New Roman Regular" w:eastAsia="Open Sans" w:cs="Times New Roman Regular"/>
          <w:b w:val="0"/>
          <w:bCs w:val="0"/>
          <w:i/>
          <w:iCs/>
          <w:caps w:val="0"/>
          <w:smallCaps w:val="0"/>
          <w:color w:val="000000" w:themeColor="text1" w:themeTint="FF"/>
          <w:sz w:val="18"/>
          <w:szCs w:val="18"/>
          <w:lang w:val="en-GB"/>
          <w14:textFill>
            <w14:solidFill>
              <w14:schemeClr w14:val="tx1">
                <w14:lumMod w14:val="100000"/>
                <w14:lumOff w14:val="0"/>
              </w14:schemeClr>
            </w14:solidFill>
          </w14:textFill>
        </w:rPr>
        <w:t xml:space="preserve"> </w:t>
      </w:r>
      <w:r>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t>2010, p. 339.</w:t>
      </w:r>
    </w:p>
  </w:footnote>
  <w:footnote w:id="13">
    <w:p>
      <w:pPr>
        <w:keepNext w:val="0"/>
        <w:keepLines w:val="0"/>
        <w:widowControl/>
        <w:suppressLineNumbers w:val="0"/>
        <w:jc w:val="left"/>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pPr>
      <w:r>
        <w:rPr>
          <w:rStyle w:val="8"/>
          <w:rFonts w:hint="default" w:ascii="Times New Roman Regular" w:hAnsi="Times New Roman Regular" w:cs="Times New Roman Regular"/>
          <w:sz w:val="18"/>
          <w:szCs w:val="18"/>
        </w:rPr>
        <w:footnoteRef/>
      </w:r>
      <w:r>
        <w:rPr>
          <w:rFonts w:hint="default" w:ascii="Times New Roman Regular" w:hAnsi="Times New Roman Regular" w:eastAsia="SimSun" w:cs="Times New Roman Regular"/>
          <w:b w:val="0"/>
          <w:i w:val="0"/>
          <w:caps w:val="0"/>
          <w:color w:val="auto"/>
          <w:spacing w:val="0"/>
          <w:kern w:val="0"/>
          <w:sz w:val="18"/>
          <w:szCs w:val="18"/>
          <w:u w:val="none"/>
          <w:shd w:val="clear" w:fill="FFFFFF"/>
          <w:lang w:val="en-US" w:eastAsia="zh-CN" w:bidi="ar"/>
        </w:rPr>
        <w:t xml:space="preserve">Khatoon, Jamila, 1997 </w:t>
      </w:r>
      <w:r>
        <w:rPr>
          <w:rFonts w:hint="default" w:ascii="Times New Roman Regular" w:hAnsi="Times New Roman Regular" w:eastAsia="SimSun" w:cs="Times New Roman Regular"/>
          <w:b w:val="0"/>
          <w:i/>
          <w:caps w:val="0"/>
          <w:color w:val="auto"/>
          <w:spacing w:val="0"/>
          <w:kern w:val="0"/>
          <w:sz w:val="18"/>
          <w:szCs w:val="18"/>
          <w:u w:val="none"/>
          <w:shd w:val="clear" w:fill="FFFFFF"/>
          <w:lang w:val="en-US" w:eastAsia="zh-CN" w:bidi="ar"/>
        </w:rPr>
        <w:t>The Place Of God, Man And Universe In The Philosophic System Of Iqbal</w:t>
      </w:r>
      <w:r>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t xml:space="preserve"> p. 63.</w:t>
      </w:r>
    </w:p>
  </w:footnote>
  <w:footnote w:id="14">
    <w:p>
      <w:pPr>
        <w:pStyle w:val="4"/>
        <w:bidi w:val="0"/>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sz w:val="18"/>
          <w:szCs w:val="18"/>
        </w:rPr>
        <w:t>Iamblichus</w:t>
      </w:r>
      <w:r>
        <w:rPr>
          <w:rFonts w:hint="default" w:ascii="Times New Roman Regular" w:hAnsi="Times New Roman Regular" w:cs="Times New Roman Regular"/>
          <w:sz w:val="18"/>
          <w:szCs w:val="18"/>
        </w:rPr>
        <w:t>,</w:t>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i/>
          <w:iCs/>
          <w:sz w:val="18"/>
          <w:szCs w:val="18"/>
        </w:rPr>
        <w:t>De Mysteriis</w:t>
      </w:r>
      <w:r>
        <w:rPr>
          <w:rFonts w:hint="default" w:ascii="Times New Roman Regular" w:hAnsi="Times New Roman Regular" w:cs="Times New Roman Regular"/>
          <w:sz w:val="18"/>
          <w:szCs w:val="18"/>
        </w:rPr>
        <w:t>,</w:t>
      </w:r>
      <w:r>
        <w:rPr>
          <w:rFonts w:hint="default" w:ascii="Times New Roman Regular" w:hAnsi="Times New Roman Regular" w:cs="Times New Roman Regular"/>
          <w:sz w:val="18"/>
          <w:szCs w:val="18"/>
        </w:rPr>
        <w:t xml:space="preserve"> 1497. </w:t>
      </w:r>
      <w:r>
        <w:rPr>
          <w:rFonts w:hint="default" w:ascii="Times New Roman Regular" w:hAnsi="Times New Roman Regular" w:cs="Times New Roman Regular"/>
          <w:sz w:val="18"/>
          <w:szCs w:val="18"/>
        </w:rPr>
        <w:t>3.11 126. 1-3</w:t>
      </w:r>
    </w:p>
  </w:footnote>
  <w:footnote w:id="15">
    <w:p>
      <w:pPr>
        <w:pStyle w:val="4"/>
        <w:bidi w:val="0"/>
        <w:rPr>
          <w:rFonts w:hint="default" w:ascii="Times New Roman Regular" w:hAnsi="Times New Roman Regular" w:eastAsia="Times New Roman" w:cs="Times New Roman Regular"/>
          <w:b w:val="0"/>
          <w:bCs w:val="0"/>
          <w:sz w:val="18"/>
          <w:szCs w:val="18"/>
          <w:lang w:val="en-GB"/>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sz w:val="18"/>
          <w:szCs w:val="18"/>
        </w:rPr>
        <w:t>Iamblichus</w:t>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i/>
          <w:iCs/>
          <w:sz w:val="18"/>
          <w:szCs w:val="18"/>
        </w:rPr>
        <w:t>De Mysteriis</w:t>
      </w:r>
      <w:r>
        <w:rPr>
          <w:rFonts w:hint="default" w:ascii="Times New Roman Regular" w:hAnsi="Times New Roman Regular" w:cs="Times New Roman Regular"/>
          <w:sz w:val="18"/>
          <w:szCs w:val="18"/>
        </w:rPr>
        <w:t>, 1497.</w:t>
      </w:r>
      <w:r>
        <w:rPr>
          <w:rFonts w:hint="default" w:ascii="Times New Roman Regular" w:hAnsi="Times New Roman Regular" w:eastAsia="Times New Roman" w:cs="Times New Roman Regular"/>
          <w:b w:val="0"/>
          <w:bCs w:val="0"/>
          <w:sz w:val="18"/>
          <w:szCs w:val="18"/>
          <w:lang w:val="en-GB"/>
        </w:rPr>
        <w:t xml:space="preserve"> 3.12 (129.1-11),</w:t>
      </w:r>
    </w:p>
  </w:footnote>
  <w:footnote w:id="16">
    <w:p>
      <w:pPr>
        <w:pStyle w:val="4"/>
        <w:bidi w:val="0"/>
        <w:rPr>
          <w:rFonts w:hint="default" w:ascii="Times New Roman Regular" w:hAnsi="Times New Roman Regular" w:cs="Times New Roman Regular"/>
          <w:sz w:val="18"/>
          <w:szCs w:val="18"/>
        </w:rPr>
      </w:pPr>
      <w:r>
        <w:rPr>
          <w:rStyle w:val="8"/>
          <w:sz w:val="20"/>
          <w:szCs w:val="20"/>
        </w:rPr>
        <w:footnoteRef/>
      </w:r>
      <w:r>
        <w:rPr>
          <w:rFonts w:ascii="Times New Roman Regular"/>
          <w:sz w:val="20"/>
          <w:szCs w:val="20"/>
        </w:rPr>
        <w:t xml:space="preserve"> </w:t>
      </w:r>
      <w:r>
        <w:rPr>
          <w:rFonts w:hint="default" w:ascii="Times New Roman Regular" w:hAnsi="Times New Roman Regular" w:cs="Times New Roman Regular"/>
          <w:sz w:val="18"/>
          <w:szCs w:val="18"/>
        </w:rPr>
        <w:t>Iamblichus</w:t>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i/>
          <w:iCs/>
          <w:sz w:val="18"/>
          <w:szCs w:val="18"/>
        </w:rPr>
        <w:t>De Mysteriis</w:t>
      </w:r>
      <w:r>
        <w:rPr>
          <w:rFonts w:hint="default" w:ascii="Times New Roman Regular" w:hAnsi="Times New Roman Regular" w:cs="Times New Roman Regular"/>
          <w:sz w:val="18"/>
          <w:szCs w:val="18"/>
        </w:rPr>
        <w:t>, 1497. 7.1-2. .291</w:t>
      </w:r>
    </w:p>
  </w:footnote>
  <w:footnote w:id="17">
    <w:p>
      <w:pPr>
        <w:keepNext w:val="0"/>
        <w:keepLines w:val="0"/>
        <w:widowControl/>
        <w:suppressLineNumbers w:val="0"/>
        <w:jc w:val="left"/>
        <w:rPr>
          <w:rFonts w:hint="default" w:ascii="Times New Roman Regular" w:hAnsi="Times New Roman Regular" w:cs="Times New Roman Regular"/>
          <w:sz w:val="18"/>
          <w:szCs w:val="18"/>
          <w:lang w:val="en-GB"/>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Von Lieven 1999,</w:t>
      </w:r>
      <w:r>
        <w:rPr>
          <w:rFonts w:hint="default" w:ascii="Times New Roman Regular" w:hAnsi="Times New Roman Regular" w:cs="Times New Roman Regular"/>
          <w:sz w:val="18"/>
          <w:szCs w:val="18"/>
        </w:rPr>
        <w:t xml:space="preserve"> </w:t>
      </w:r>
      <w:r>
        <w:rPr>
          <w:rFonts w:hint="default" w:ascii="Times New Roman Regular" w:hAnsi="Times New Roman Regular" w:eastAsia="SimSun" w:cs="Times New Roman Regular"/>
          <w:i/>
          <w:caps w:val="0"/>
          <w:color w:val="000000"/>
          <w:spacing w:val="0"/>
          <w:kern w:val="0"/>
          <w:sz w:val="18"/>
          <w:szCs w:val="18"/>
          <w:shd w:val="clear" w:fill="FFFFFF"/>
          <w:lang w:val="en-US" w:eastAsia="zh-CN" w:bidi="ar"/>
        </w:rPr>
        <w:t>Divination in Ägypten</w:t>
      </w:r>
      <w:r>
        <w:rPr>
          <w:rFonts w:hint="default" w:ascii="Times New Roman Regular" w:hAnsi="Times New Roman Regular" w:eastAsia="SimSun" w:cs="Times New Roman Regular"/>
          <w:i/>
          <w:caps w:val="0"/>
          <w:color w:val="000000"/>
          <w:spacing w:val="0"/>
          <w:kern w:val="0"/>
          <w:sz w:val="18"/>
          <w:szCs w:val="18"/>
          <w:shd w:val="clear" w:fill="FFFFFF"/>
          <w:lang w:eastAsia="zh-CN" w:bidi="ar"/>
        </w:rPr>
        <w:t xml:space="preserve"> p.</w:t>
      </w:r>
      <w:r>
        <w:rPr>
          <w:rFonts w:hint="default" w:ascii="Times New Roman Regular" w:hAnsi="Times New Roman Regular" w:cs="Times New Roman Regular"/>
          <w:sz w:val="18"/>
          <w:szCs w:val="18"/>
        </w:rPr>
        <w:t>78</w:t>
      </w:r>
    </w:p>
  </w:footnote>
  <w:footnote w:id="18">
    <w:p>
      <w:pPr>
        <w:bidi w:val="0"/>
        <w:rPr>
          <w:sz w:val="20"/>
          <w:szCs w:val="20"/>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sz w:val="18"/>
          <w:szCs w:val="18"/>
          <w:lang w:val="en-GB"/>
        </w:rPr>
        <w:t>Athanassiadi, P. 1993.</w:t>
      </w:r>
      <w:r>
        <w:rPr>
          <w:rFonts w:hint="default" w:ascii="Times New Roman Regular" w:hAnsi="Times New Roman Regular" w:cs="Times New Roman Regular"/>
          <w:i/>
          <w:iCs/>
          <w:sz w:val="18"/>
          <w:szCs w:val="18"/>
          <w:lang w:val="en-GB"/>
        </w:rPr>
        <w:t xml:space="preserve"> Dreams, Theurgy and Freelance Divination: </w:t>
      </w:r>
      <w:r>
        <w:rPr>
          <w:rFonts w:hint="default" w:ascii="Times New Roman Regular" w:hAnsi="Times New Roman Regular" w:cs="Times New Roman Regular"/>
          <w:sz w:val="18"/>
          <w:szCs w:val="18"/>
          <w:lang w:val="en-GB"/>
        </w:rPr>
        <w:t>p.122</w:t>
      </w:r>
    </w:p>
  </w:footnote>
  <w:footnote w:id="19">
    <w:p>
      <w:pPr>
        <w:bidi w:val="0"/>
        <w:rPr>
          <w:rFonts w:hint="default" w:ascii="Times New Roman Regular" w:hAnsi="Times New Roman Regular" w:cs="Times New Roman Regular"/>
          <w:sz w:val="18"/>
          <w:szCs w:val="18"/>
        </w:rPr>
      </w:pPr>
      <w:r>
        <w:rPr>
          <w:rStyle w:val="8"/>
          <w:sz w:val="20"/>
          <w:szCs w:val="20"/>
        </w:rPr>
        <w:footnoteRef/>
      </w:r>
      <w:r>
        <w:rPr>
          <w:sz w:val="20"/>
          <w:szCs w:val="20"/>
        </w:rPr>
        <w:t xml:space="preserve"> </w:t>
      </w:r>
      <w:r>
        <w:rPr>
          <w:rFonts w:hint="default" w:ascii="Times New Roman Regular" w:hAnsi="Times New Roman Regular" w:cs="Times New Roman Regular"/>
          <w:sz w:val="18"/>
          <w:szCs w:val="18"/>
          <w:lang w:val="en-GB"/>
        </w:rPr>
        <w:t xml:space="preserve">Bács, Tamás A. </w:t>
      </w:r>
      <w:r>
        <w:rPr>
          <w:rFonts w:hint="default" w:ascii="Times New Roman Italic" w:hAnsi="Times New Roman Italic" w:cs="Times New Roman Italic"/>
          <w:i/>
          <w:iCs/>
          <w:sz w:val="18"/>
          <w:szCs w:val="18"/>
          <w:lang w:val="en-GB"/>
        </w:rPr>
        <w:t>Two Calendars of Lucky and Unlucky Days.</w:t>
      </w:r>
      <w:r>
        <w:rPr>
          <w:rFonts w:hint="default" w:ascii="Times New Roman Regular" w:hAnsi="Times New Roman Regular" w:cs="Times New Roman Regular"/>
          <w:sz w:val="18"/>
          <w:szCs w:val="18"/>
          <w:lang w:val="en-GB"/>
        </w:rPr>
        <w:t>199</w:t>
      </w:r>
      <w:r>
        <w:rPr>
          <w:rFonts w:hint="default" w:ascii="Times New Roman Regular" w:hAnsi="Times New Roman Regular" w:cs="Times New Roman Regular"/>
          <w:sz w:val="18"/>
          <w:szCs w:val="18"/>
        </w:rPr>
        <w:t>0</w:t>
      </w:r>
      <w:r>
        <w:rPr>
          <w:rFonts w:hint="default" w:ascii="Times New Roman Regular" w:hAnsi="Times New Roman Regular" w:cs="Times New Roman Regular"/>
          <w:sz w:val="18"/>
          <w:szCs w:val="18"/>
          <w:lang w:val="en-GB"/>
        </w:rPr>
        <w:t>: 41–64.</w:t>
      </w:r>
    </w:p>
  </w:footnote>
  <w:footnote w:id="20">
    <w:p>
      <w:pPr>
        <w:pStyle w:val="4"/>
        <w:bidi w:val="0"/>
        <w:rPr>
          <w:rFonts w:hint="default" w:ascii="Times New Roman Regular" w:hAnsi="Times New Roman Regular" w:eastAsia="Calibri" w:cs="Times New Roman Regular"/>
          <w:sz w:val="18"/>
          <w:szCs w:val="18"/>
          <w:lang w:val="en-GB"/>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Calibri" w:cs="Times New Roman Regular"/>
          <w:sz w:val="18"/>
          <w:szCs w:val="18"/>
          <w:lang w:val="en-GB"/>
        </w:rPr>
        <w:t>Histories II, 82.1, trans. Carter</w:t>
      </w:r>
    </w:p>
  </w:footnote>
  <w:footnote w:id="21">
    <w:p>
      <w:pPr>
        <w:pStyle w:val="4"/>
        <w:bidi w:val="0"/>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t xml:space="preserve">Jim.S Tester, </w:t>
      </w:r>
      <w:r>
        <w:rPr>
          <w:rFonts w:hint="default" w:ascii="Times New Roman Regular" w:hAnsi="Times New Roman Regular" w:eastAsia="Open Sans" w:cs="Times New Roman Regular"/>
          <w:b w:val="0"/>
          <w:bCs w:val="0"/>
          <w:i/>
          <w:iCs/>
          <w:caps w:val="0"/>
          <w:smallCaps w:val="0"/>
          <w:color w:val="000000" w:themeColor="text1" w:themeTint="FF"/>
          <w:sz w:val="18"/>
          <w:szCs w:val="18"/>
          <w:lang w:val="en-GB"/>
          <w14:textFill>
            <w14:solidFill>
              <w14:schemeClr w14:val="tx1">
                <w14:lumMod w14:val="100000"/>
                <w14:lumOff w14:val="0"/>
              </w14:schemeClr>
            </w14:solidFill>
          </w14:textFill>
        </w:rPr>
        <w:t>A History Of Western Astrology</w:t>
      </w:r>
      <w:r>
        <w:rPr>
          <w:rFonts w:hint="default" w:ascii="Times New Roman Regular" w:hAnsi="Times New Roman Regular" w:eastAsia="Open Sans" w:cs="Times New Roman Regular"/>
          <w:b w:val="0"/>
          <w:bCs w:val="0"/>
          <w:i/>
          <w:iCs/>
          <w:caps w:val="0"/>
          <w:smallCaps w:val="0"/>
          <w:color w:val="000000" w:themeColor="text1" w:themeTint="FF"/>
          <w:sz w:val="18"/>
          <w:szCs w:val="18"/>
          <w14:textFill>
            <w14:solidFill>
              <w14:schemeClr w14:val="tx1">
                <w14:lumMod w14:val="100000"/>
                <w14:lumOff w14:val="0"/>
              </w14:schemeClr>
            </w14:solidFill>
          </w14:textFill>
        </w:rPr>
        <w:t>.</w:t>
      </w:r>
      <w:r>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t xml:space="preserve"> 1990, pp. 22-23.</w:t>
      </w:r>
    </w:p>
  </w:footnote>
  <w:footnote w:id="22">
    <w:p>
      <w:pPr>
        <w:pStyle w:val="4"/>
        <w:bidi w:val="0"/>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t xml:space="preserve">Tester, </w:t>
      </w:r>
      <w:r>
        <w:rPr>
          <w:rFonts w:hint="default" w:ascii="Times New Roman Regular" w:hAnsi="Times New Roman Regular" w:eastAsia="Open Sans" w:cs="Times New Roman Regular"/>
          <w:b w:val="0"/>
          <w:bCs w:val="0"/>
          <w:i/>
          <w:iCs/>
          <w:caps w:val="0"/>
          <w:smallCaps w:val="0"/>
          <w:color w:val="000000" w:themeColor="text1" w:themeTint="FF"/>
          <w:sz w:val="18"/>
          <w:szCs w:val="18"/>
          <w:lang w:val="en-GB"/>
          <w14:textFill>
            <w14:solidFill>
              <w14:schemeClr w14:val="tx1">
                <w14:lumMod w14:val="100000"/>
                <w14:lumOff w14:val="0"/>
              </w14:schemeClr>
            </w14:solidFill>
          </w14:textFill>
        </w:rPr>
        <w:t>A History Of Western Astrology</w:t>
      </w:r>
      <w:r>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t xml:space="preserve"> </w:t>
      </w:r>
      <w:r>
        <w:rPr>
          <w:rFonts w:hint="default" w:ascii="Times New Roman Regular" w:hAnsi="Times New Roman Regular" w:eastAsia="Open Sans" w:cs="Times New Roman Regular"/>
          <w:b w:val="0"/>
          <w:bCs w:val="0"/>
          <w:i w:val="0"/>
          <w:iCs w:val="0"/>
          <w:caps w:val="0"/>
          <w:smallCaps w:val="0"/>
          <w:color w:val="000000" w:themeColor="text1" w:themeTint="FF"/>
          <w:sz w:val="18"/>
          <w:szCs w:val="18"/>
          <w14:textFill>
            <w14:solidFill>
              <w14:schemeClr w14:val="tx1">
                <w14:lumMod w14:val="100000"/>
                <w14:lumOff w14:val="0"/>
              </w14:schemeClr>
            </w14:solidFill>
          </w14:textFill>
        </w:rPr>
        <w:t>.1990.</w:t>
      </w:r>
      <w:r>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t xml:space="preserve"> pp. 18-20</w:t>
      </w:r>
    </w:p>
  </w:footnote>
  <w:footnote w:id="23">
    <w:p>
      <w:pPr>
        <w:pStyle w:val="4"/>
        <w:bidi w:val="0"/>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t xml:space="preserve">Helleman, Wendy Elgersma, Plotinus And Magic, </w:t>
      </w:r>
      <w:r>
        <w:rPr>
          <w:rFonts w:hint="default" w:ascii="Times New Roman Regular" w:hAnsi="Times New Roman Regular" w:eastAsia="Open Sans" w:cs="Times New Roman Regular"/>
          <w:b w:val="0"/>
          <w:bCs w:val="0"/>
          <w:i w:val="0"/>
          <w:iCs w:val="0"/>
          <w:caps w:val="0"/>
          <w:smallCaps w:val="0"/>
          <w:color w:val="000000" w:themeColor="text1" w:themeTint="FF"/>
          <w:sz w:val="18"/>
          <w:szCs w:val="18"/>
          <w14:textFill>
            <w14:solidFill>
              <w14:schemeClr w14:val="tx1">
                <w14:lumMod w14:val="100000"/>
                <w14:lumOff w14:val="0"/>
              </w14:schemeClr>
            </w14:solidFill>
          </w14:textFill>
        </w:rPr>
        <w:t xml:space="preserve">2010. </w:t>
      </w:r>
      <w:r>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t>p.118</w:t>
      </w:r>
    </w:p>
  </w:footnote>
  <w:footnote w:id="24">
    <w:p>
      <w:pPr>
        <w:pStyle w:val="4"/>
        <w:bidi w:val="0"/>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MUL.APIN </w:t>
      </w:r>
      <w:r>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t xml:space="preserve">Tablet | British Museum, </w:t>
      </w:r>
      <w:r>
        <w:rPr>
          <w:rFonts w:hint="default" w:ascii="Times New Roman Regular" w:hAnsi="Times New Roman Regular" w:eastAsia="Open Sans" w:cs="Times New Roman Regular"/>
          <w:b w:val="0"/>
          <w:bCs w:val="0"/>
          <w:i/>
          <w:iCs/>
          <w:caps w:val="0"/>
          <w:smallCaps w:val="0"/>
          <w:color w:val="000000" w:themeColor="text1" w:themeTint="FF"/>
          <w:sz w:val="18"/>
          <w:szCs w:val="18"/>
          <w:lang w:val="en-GB"/>
          <w14:textFill>
            <w14:solidFill>
              <w14:schemeClr w14:val="tx1">
                <w14:lumMod w14:val="100000"/>
                <w14:lumOff w14:val="0"/>
              </w14:schemeClr>
            </w14:solidFill>
          </w14:textFill>
        </w:rPr>
        <w:t>The British Museum</w:t>
      </w:r>
      <w:r>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t xml:space="preserve">, 2022 &lt;https://www.britishmuseum.org/collection/object/W_1899-0610-108&gt; </w:t>
      </w:r>
    </w:p>
  </w:footnote>
  <w:footnote w:id="25">
    <w:p>
      <w:pPr>
        <w:pStyle w:val="4"/>
        <w:bidi w:val="0"/>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pPr>
      <w:r>
        <w:rPr>
          <w:rStyle w:val="8"/>
          <w:sz w:val="20"/>
          <w:szCs w:val="20"/>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t xml:space="preserve">Enūma Anu Enlil Tablet | British Museum, </w:t>
      </w:r>
      <w:r>
        <w:rPr>
          <w:rFonts w:hint="default" w:ascii="Times New Roman Regular" w:hAnsi="Times New Roman Regular" w:eastAsia="Open Sans" w:cs="Times New Roman Regular"/>
          <w:b w:val="0"/>
          <w:bCs w:val="0"/>
          <w:i/>
          <w:iCs/>
          <w:caps w:val="0"/>
          <w:smallCaps w:val="0"/>
          <w:color w:val="000000" w:themeColor="text1" w:themeTint="FF"/>
          <w:sz w:val="18"/>
          <w:szCs w:val="18"/>
          <w:lang w:val="en-GB"/>
          <w14:textFill>
            <w14:solidFill>
              <w14:schemeClr w14:val="tx1">
                <w14:lumMod w14:val="100000"/>
                <w14:lumOff w14:val="0"/>
              </w14:schemeClr>
            </w14:solidFill>
          </w14:textFill>
        </w:rPr>
        <w:t>The British Museum</w:t>
      </w:r>
      <w:r>
        <w:rPr>
          <w:rFonts w:hint="default" w:ascii="Times New Roman Regular" w:hAnsi="Times New Roman Regular" w:eastAsia="Open Sans" w:cs="Times New Roman Regular"/>
          <w:b w:val="0"/>
          <w:bCs w:val="0"/>
          <w:i w:val="0"/>
          <w:iCs w:val="0"/>
          <w:caps w:val="0"/>
          <w:smallCaps w:val="0"/>
          <w:color w:val="000000" w:themeColor="text1" w:themeTint="FF"/>
          <w:sz w:val="18"/>
          <w:szCs w:val="18"/>
          <w:lang w:val="en-GB"/>
          <w14:textFill>
            <w14:solidFill>
              <w14:schemeClr w14:val="tx1">
                <w14:lumMod w14:val="100000"/>
                <w14:lumOff w14:val="0"/>
              </w14:schemeClr>
            </w14:solidFill>
          </w14:textFill>
        </w:rPr>
        <w:t xml:space="preserve">, 2022 &lt;https://www.britishmuseum.org/collection/object/W_K-4292&gt; </w:t>
      </w:r>
    </w:p>
  </w:footnote>
  <w:footnote w:id="26">
    <w:p>
      <w:pPr>
        <w:pStyle w:val="4"/>
        <w:bidi w:val="0"/>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sz w:val="18"/>
          <w:szCs w:val="18"/>
        </w:rPr>
        <w:t>Iamblichus</w:t>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i/>
          <w:iCs/>
          <w:sz w:val="18"/>
          <w:szCs w:val="18"/>
        </w:rPr>
        <w:t>De Mysteriis</w:t>
      </w:r>
      <w:r>
        <w:rPr>
          <w:rFonts w:hint="default" w:ascii="Times New Roman Regular" w:hAnsi="Times New Roman Regular" w:cs="Times New Roman Regular"/>
          <w:sz w:val="18"/>
          <w:szCs w:val="18"/>
        </w:rPr>
        <w:t>, 1497.  9.9-10, 341</w:t>
      </w:r>
    </w:p>
  </w:footnote>
  <w:footnote w:id="27">
    <w:p>
      <w:pPr>
        <w:bidi w:val="0"/>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sz w:val="18"/>
          <w:szCs w:val="18"/>
          <w:lang w:val="en-GB"/>
        </w:rPr>
        <w:t xml:space="preserve">John Dillon. 2004. Iamblichus on the Mysteries </w:t>
      </w:r>
      <w:r>
        <w:rPr>
          <w:rFonts w:hint="default" w:ascii="Times New Roman Regular" w:hAnsi="Times New Roman Regular" w:cs="Times New Roman Regular"/>
          <w:i/>
          <w:iCs/>
          <w:sz w:val="18"/>
          <w:szCs w:val="18"/>
          <w:lang w:val="en-GB"/>
        </w:rPr>
        <w:t>54</w:t>
      </w:r>
      <w:r>
        <w:rPr>
          <w:rFonts w:hint="default" w:ascii="Times New Roman Regular" w:hAnsi="Times New Roman Regular" w:cs="Times New Roman Regular"/>
          <w:sz w:val="18"/>
          <w:szCs w:val="18"/>
          <w:lang w:val="en-GB"/>
        </w:rPr>
        <w:t>(2), 349–351.</w:t>
      </w:r>
    </w:p>
  </w:footnote>
  <w:footnote w:id="28">
    <w:p>
      <w:pPr>
        <w:pStyle w:val="4"/>
        <w:numPr>
          <w:ilvl w:val="0"/>
          <w:numId w:val="0"/>
        </w:numPr>
        <w:bidi w:val="0"/>
        <w:rPr>
          <w:rFonts w:hint="default" w:ascii="Times New Roman Regular" w:hAnsi="Times New Roman Regular" w:cs="Times New Roman Regular" w:eastAsiaTheme="minorAscii"/>
          <w:sz w:val="18"/>
          <w:szCs w:val="18"/>
          <w:vertAlign w:val="superscript"/>
          <w:lang w:val="en-GB"/>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Calibri" w:cs="Times New Roman Regular"/>
          <w:sz w:val="18"/>
          <w:szCs w:val="18"/>
          <w:lang w:val="en-GB"/>
        </w:rPr>
        <w:t>Crystal</w:t>
      </w:r>
      <w:r>
        <w:rPr>
          <w:rFonts w:hint="default" w:ascii="Times New Roman Regular" w:hAnsi="Times New Roman Regular" w:eastAsia="Calibri" w:cs="Times New Roman Regular"/>
          <w:sz w:val="18"/>
          <w:szCs w:val="18"/>
        </w:rPr>
        <w:t xml:space="preserve"> Addey</w:t>
      </w:r>
      <w:r>
        <w:rPr>
          <w:rFonts w:hint="default" w:ascii="Times New Roman Regular" w:hAnsi="Times New Roman Regular" w:eastAsia="Calibri" w:cs="Times New Roman Regular"/>
          <w:sz w:val="18"/>
          <w:szCs w:val="18"/>
          <w:lang w:val="en-GB"/>
        </w:rPr>
        <w:t xml:space="preserve">. </w:t>
      </w:r>
      <w:r>
        <w:rPr>
          <w:rFonts w:hint="default" w:ascii="Times New Roman Regular" w:hAnsi="Times New Roman Regular" w:eastAsia="Calibri" w:cs="Times New Roman Regular"/>
          <w:sz w:val="18"/>
          <w:szCs w:val="18"/>
        </w:rPr>
        <w:t xml:space="preserve">2014. </w:t>
      </w:r>
      <w:r>
        <w:rPr>
          <w:rFonts w:hint="default" w:ascii="Times New Roman Regular" w:hAnsi="Times New Roman Regular" w:eastAsia="Calibri" w:cs="Times New Roman Regular"/>
          <w:i/>
          <w:iCs/>
          <w:sz w:val="18"/>
          <w:szCs w:val="18"/>
          <w:lang w:val="en-GB"/>
        </w:rPr>
        <w:t>Divination and Theurgy in Neoplatonism: Oracles of the gods</w:t>
      </w:r>
      <w:r>
        <w:rPr>
          <w:rFonts w:hint="default" w:ascii="Times New Roman Regular" w:hAnsi="Times New Roman Regular" w:eastAsia="Calibri" w:cs="Times New Roman Regular"/>
          <w:i/>
          <w:iCs/>
          <w:sz w:val="18"/>
          <w:szCs w:val="18"/>
        </w:rPr>
        <w:t>.</w:t>
      </w:r>
      <w:r>
        <w:rPr>
          <w:rFonts w:hint="default" w:ascii="Times New Roman Regular" w:hAnsi="Times New Roman Regular" w:eastAsia="Calibri" w:cs="Times New Roman Regular"/>
          <w:sz w:val="18"/>
          <w:szCs w:val="18"/>
          <w:lang w:val="en-GB"/>
        </w:rPr>
        <w:t xml:space="preserve"> P.249-250</w:t>
      </w:r>
    </w:p>
  </w:footnote>
  <w:footnote w:id="29">
    <w:p>
      <w:pPr>
        <w:pStyle w:val="4"/>
        <w:bidi w:val="0"/>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Arial" w:cs="Times New Roman Regular"/>
          <w:b w:val="0"/>
          <w:bCs w:val="0"/>
          <w:i w:val="0"/>
          <w:iCs w:val="0"/>
          <w:caps w:val="0"/>
          <w:smallCaps w:val="0"/>
          <w:color w:val="3C4043"/>
          <w:sz w:val="18"/>
          <w:szCs w:val="18"/>
          <w:lang w:val="en-GB"/>
        </w:rPr>
        <w:t xml:space="preserve">Emma C. Clarke, Jackson P. Hershbell, John M. Dillon - </w:t>
      </w:r>
      <w:r>
        <w:rPr>
          <w:rFonts w:hint="default" w:ascii="Times New Roman Regular" w:hAnsi="Times New Roman Regular" w:cs="Times New Roman Regular"/>
          <w:sz w:val="18"/>
          <w:szCs w:val="18"/>
        </w:rPr>
        <w:t>Iamblichus. De Mysteriis. 2003. P.83</w:t>
      </w:r>
    </w:p>
  </w:footnote>
  <w:footnote w:id="30">
    <w:p>
      <w:pPr>
        <w:pStyle w:val="4"/>
        <w:bidi w:val="0"/>
        <w:rPr>
          <w:rFonts w:hint="default" w:ascii="Times New Roman Regular" w:hAnsi="Times New Roman Regular" w:cs="Times New Roman Regular"/>
          <w:sz w:val="18"/>
          <w:szCs w:val="18"/>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Finamore, John. </w:t>
      </w:r>
      <w:r>
        <w:rPr>
          <w:rFonts w:hint="default" w:ascii="Times New Roman Italic" w:hAnsi="Times New Roman Italic" w:cs="Times New Roman Italic"/>
          <w:i/>
          <w:iCs/>
          <w:sz w:val="18"/>
          <w:szCs w:val="18"/>
        </w:rPr>
        <w:t>Iamblichus, Theurgy, and the Soul’s Ascen</w:t>
      </w:r>
      <w:r>
        <w:rPr>
          <w:rFonts w:hint="default" w:ascii="Times New Roman Regular" w:hAnsi="Times New Roman Regular" w:cs="Times New Roman Regular"/>
          <w:sz w:val="18"/>
          <w:szCs w:val="18"/>
        </w:rPr>
        <w:t>t.</w:t>
      </w:r>
      <w:r>
        <w:rPr>
          <w:rFonts w:hint="default" w:ascii="Times New Roman Regular" w:hAnsi="Times New Roman Regular" w:cs="Times New Roman Regular"/>
          <w:sz w:val="18"/>
          <w:szCs w:val="18"/>
          <w:lang w:val="en-GB"/>
        </w:rPr>
        <w:t xml:space="preserve">2013, pp. 343-356. </w:t>
      </w:r>
    </w:p>
  </w:footnote>
  <w:footnote w:id="31">
    <w:p>
      <w:pPr>
        <w:pStyle w:val="4"/>
        <w:bidi w:val="0"/>
        <w:rPr>
          <w:rFonts w:hint="default" w:ascii="Times New Roman Regular" w:hAnsi="Times New Roman Regular" w:cs="Times New Roman Regular"/>
          <w:b w:val="0"/>
          <w:bCs w:val="0"/>
          <w:i w:val="0"/>
          <w:iCs w:val="0"/>
          <w:caps w:val="0"/>
          <w:smallCaps w:val="0"/>
          <w:color w:val="333333"/>
          <w:sz w:val="18"/>
          <w:szCs w:val="18"/>
          <w:lang w:val="en-GB"/>
        </w:rPr>
      </w:pPr>
      <w:r>
        <w:rPr>
          <w:rStyle w:val="8"/>
          <w:sz w:val="20"/>
          <w:szCs w:val="20"/>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b w:val="0"/>
          <w:bCs w:val="0"/>
          <w:i w:val="0"/>
          <w:iCs w:val="0"/>
          <w:caps w:val="0"/>
          <w:smallCaps w:val="0"/>
          <w:color w:val="333333"/>
          <w:sz w:val="18"/>
          <w:szCs w:val="18"/>
          <w:lang w:val="en-GB"/>
        </w:rPr>
        <w:t>Cicero.</w:t>
      </w:r>
      <w:r>
        <w:rPr>
          <w:rFonts w:hint="default" w:ascii="Times New Roman Regular" w:hAnsi="Times New Roman Regular" w:cs="Times New Roman Regular"/>
          <w:b w:val="0"/>
          <w:bCs w:val="0"/>
          <w:i w:val="0"/>
          <w:iCs w:val="0"/>
          <w:caps w:val="0"/>
          <w:smallCaps w:val="0"/>
          <w:color w:val="333333"/>
          <w:sz w:val="18"/>
          <w:szCs w:val="18"/>
        </w:rPr>
        <w:t xml:space="preserve"> Trns </w:t>
      </w:r>
      <w:r>
        <w:rPr>
          <w:rFonts w:hint="default" w:ascii="Times New Roman Regular" w:hAnsi="Times New Roman Regular" w:cs="Times New Roman Regular"/>
          <w:b w:val="0"/>
          <w:bCs w:val="0"/>
          <w:i w:val="0"/>
          <w:iCs w:val="0"/>
          <w:caps w:val="0"/>
          <w:smallCaps w:val="0"/>
          <w:color w:val="333333"/>
          <w:sz w:val="18"/>
          <w:szCs w:val="18"/>
          <w:lang w:val="en-GB"/>
        </w:rPr>
        <w:t>W. A. Falconer</w:t>
      </w:r>
      <w:r>
        <w:rPr>
          <w:rFonts w:hint="default" w:ascii="Times New Roman Regular" w:hAnsi="Times New Roman Regular" w:cs="Times New Roman Regular"/>
          <w:b w:val="0"/>
          <w:bCs w:val="0"/>
          <w:i w:val="0"/>
          <w:iCs w:val="0"/>
          <w:caps w:val="0"/>
          <w:smallCaps w:val="0"/>
          <w:color w:val="333333"/>
          <w:sz w:val="18"/>
          <w:szCs w:val="18"/>
        </w:rPr>
        <w:t>.</w:t>
      </w:r>
      <w:r>
        <w:rPr>
          <w:rFonts w:hint="default" w:ascii="Times New Roman Regular" w:hAnsi="Times New Roman Regular" w:cs="Times New Roman Regular"/>
          <w:b w:val="0"/>
          <w:bCs w:val="0"/>
          <w:i w:val="0"/>
          <w:iCs w:val="0"/>
          <w:caps w:val="0"/>
          <w:smallCaps w:val="0"/>
          <w:color w:val="333333"/>
          <w:sz w:val="18"/>
          <w:szCs w:val="18"/>
          <w:lang w:val="en-GB"/>
        </w:rPr>
        <w:t xml:space="preserve"> </w:t>
      </w:r>
      <w:r>
        <w:rPr>
          <w:rFonts w:hint="default" w:ascii="Times New Roman Regular" w:hAnsi="Times New Roman Regular" w:cs="Times New Roman Regular"/>
          <w:b w:val="0"/>
          <w:bCs w:val="0"/>
          <w:i/>
          <w:iCs/>
          <w:caps w:val="0"/>
          <w:smallCaps w:val="0"/>
          <w:color w:val="333333"/>
          <w:sz w:val="18"/>
          <w:szCs w:val="18"/>
          <w:lang w:val="en-GB"/>
        </w:rPr>
        <w:t xml:space="preserve">On Old Age. On Friendship. On Divination. </w:t>
      </w:r>
      <w:r>
        <w:rPr>
          <w:rFonts w:hint="default" w:ascii="Times New Roman Regular" w:hAnsi="Times New Roman Regular" w:cs="Times New Roman Regular"/>
          <w:b w:val="0"/>
          <w:bCs w:val="0"/>
          <w:i w:val="0"/>
          <w:iCs w:val="0"/>
          <w:caps w:val="0"/>
          <w:smallCaps w:val="0"/>
          <w:color w:val="333333"/>
          <w:sz w:val="18"/>
          <w:szCs w:val="18"/>
          <w:lang w:val="en-GB"/>
        </w:rPr>
        <w:t>1923.</w:t>
      </w:r>
    </w:p>
  </w:footnote>
  <w:footnote w:id="32">
    <w:p>
      <w:pPr>
        <w:bidi w:val="0"/>
        <w:rPr>
          <w:rFonts w:hint="default" w:ascii="Times New Roman Regular" w:hAnsi="Times New Roman Regular" w:eastAsia="Calibri" w:cs="Times New Roman Regular"/>
          <w:sz w:val="18"/>
          <w:szCs w:val="18"/>
          <w:lang w:val="en-GB"/>
        </w:rPr>
      </w:pPr>
      <w:r>
        <w:rPr>
          <w:rStyle w:val="8"/>
          <w:rFonts w:hint="default" w:ascii="Times New Roman Regular" w:hAnsi="Times New Roman Regular" w:cs="Times New Roman Regular"/>
          <w:sz w:val="18"/>
          <w:szCs w:val="18"/>
        </w:rPr>
        <w:footnoteRef/>
      </w:r>
      <w:r>
        <w:rPr>
          <w:rFonts w:hint="default" w:ascii="Times New Roman Regular" w:hAnsi="Times New Roman Regular" w:cs="Times New Roman Regular"/>
          <w:sz w:val="18"/>
          <w:szCs w:val="18"/>
        </w:rPr>
        <w:t xml:space="preserve"> </w:t>
      </w:r>
      <w:r>
        <w:rPr>
          <w:rFonts w:hint="default" w:ascii="Times New Roman Regular" w:hAnsi="Times New Roman Regular" w:eastAsia="Calibri" w:cs="Times New Roman Regular"/>
          <w:sz w:val="18"/>
          <w:szCs w:val="18"/>
          <w:lang w:val="en-GB"/>
        </w:rPr>
        <w:t xml:space="preserve">Addey, Crystal. </w:t>
      </w:r>
      <w:r>
        <w:rPr>
          <w:rFonts w:hint="default" w:ascii="Times New Roman Regular" w:hAnsi="Times New Roman Regular" w:eastAsia="Calibri" w:cs="Times New Roman Regular"/>
          <w:i/>
          <w:iCs/>
          <w:sz w:val="18"/>
          <w:szCs w:val="18"/>
          <w:lang w:val="en-GB"/>
        </w:rPr>
        <w:t>Divination and Theurgy in Neoplatonism</w:t>
      </w:r>
      <w:r>
        <w:rPr>
          <w:rFonts w:hint="default" w:ascii="Times New Roman Regular" w:hAnsi="Times New Roman Regular" w:eastAsia="Calibri" w:cs="Times New Roman Regular"/>
          <w:i/>
          <w:iCs/>
          <w:sz w:val="18"/>
          <w:szCs w:val="18"/>
        </w:rPr>
        <w:t>.</w:t>
      </w:r>
      <w:r>
        <w:rPr>
          <w:rFonts w:hint="default" w:ascii="Times New Roman Regular" w:hAnsi="Times New Roman Regular" w:eastAsia="Calibri" w:cs="Times New Roman Regular"/>
          <w:sz w:val="18"/>
          <w:szCs w:val="18"/>
          <w:lang w:val="en-GB"/>
        </w:rPr>
        <w:t xml:space="preserve"> 2014 p.28</w:t>
      </w:r>
    </w:p>
  </w:footnote>
  <w:footnote w:id="33">
    <w:p>
      <w:pPr>
        <w:pStyle w:val="4"/>
        <w:rPr>
          <w:rFonts w:hint="default" w:ascii="Times New Roman Regular" w:hAnsi="Times New Roman Regular" w:cs="Times New Roman Regular"/>
          <w:color w:val="auto"/>
          <w:sz w:val="18"/>
          <w:szCs w:val="18"/>
          <w:u w:val="none"/>
        </w:rPr>
      </w:pPr>
      <w:r>
        <w:rPr>
          <w:rStyle w:val="8"/>
          <w:sz w:val="20"/>
          <w:szCs w:val="20"/>
        </w:rPr>
        <w:footnoteRef/>
      </w:r>
      <w:r>
        <w:rPr>
          <w:rFonts w:hint="default" w:ascii="Times New Roman Regular" w:hAnsi="Times New Roman Regular" w:cs="Times New Roman Regular"/>
          <w:color w:val="auto"/>
          <w:sz w:val="18"/>
          <w:szCs w:val="18"/>
          <w:u w:val="single"/>
        </w:rPr>
        <w:t xml:space="preserve"> </w:t>
      </w:r>
      <w:r>
        <w:rPr>
          <w:rFonts w:hint="default" w:ascii="Times New Roman Regular" w:hAnsi="Times New Roman Regular" w:cs="Times New Roman Regular"/>
          <w:color w:val="auto"/>
          <w:sz w:val="18"/>
          <w:szCs w:val="18"/>
          <w:u w:val="none"/>
        </w:rPr>
        <w:fldChar w:fldCharType="begin"/>
      </w:r>
      <w:r>
        <w:rPr>
          <w:rFonts w:hint="default" w:ascii="Times New Roman Regular" w:hAnsi="Times New Roman Regular" w:cs="Times New Roman Regular"/>
          <w:color w:val="auto"/>
          <w:sz w:val="18"/>
          <w:szCs w:val="18"/>
          <w:u w:val="none"/>
        </w:rPr>
        <w:instrText xml:space="preserve"> HYPERLINK "https://www.google.co.uk/search?hl=en&amp;sxsrf=ALiCzsZQqOpCYiUt3YTE_vsZk93l03IJFg:1651251663982&amp;q=inauthor:%22Iamblichus%22&amp;tbm=bks" \h </w:instrText>
      </w:r>
      <w:r>
        <w:rPr>
          <w:rFonts w:hint="default" w:ascii="Times New Roman Regular" w:hAnsi="Times New Roman Regular" w:cs="Times New Roman Regular"/>
          <w:color w:val="auto"/>
          <w:sz w:val="18"/>
          <w:szCs w:val="18"/>
          <w:u w:val="none"/>
        </w:rPr>
        <w:fldChar w:fldCharType="separate"/>
      </w:r>
      <w:r>
        <w:rPr>
          <w:rStyle w:val="9"/>
          <w:rFonts w:hint="default" w:ascii="Times New Roman Regular" w:hAnsi="Times New Roman Regular" w:eastAsia="Roboto" w:cs="Times New Roman Regular"/>
          <w:b w:val="0"/>
          <w:bCs w:val="0"/>
          <w:i w:val="0"/>
          <w:iCs w:val="0"/>
          <w:caps w:val="0"/>
          <w:smallCaps w:val="0"/>
          <w:strike w:val="0"/>
          <w:dstrike w:val="0"/>
          <w:color w:val="auto"/>
          <w:sz w:val="18"/>
          <w:szCs w:val="18"/>
          <w:u w:val="none"/>
          <w:lang w:val="en-GB"/>
        </w:rPr>
        <w:t>Iamblichus</w:t>
      </w:r>
      <w:r>
        <w:rPr>
          <w:rStyle w:val="9"/>
          <w:rFonts w:hint="default" w:ascii="Times New Roman Regular" w:hAnsi="Times New Roman Regular" w:eastAsia="Roboto" w:cs="Times New Roman Regular"/>
          <w:b w:val="0"/>
          <w:bCs w:val="0"/>
          <w:i w:val="0"/>
          <w:iCs w:val="0"/>
          <w:caps w:val="0"/>
          <w:smallCaps w:val="0"/>
          <w:strike w:val="0"/>
          <w:dstrike w:val="0"/>
          <w:color w:val="auto"/>
          <w:sz w:val="18"/>
          <w:szCs w:val="18"/>
          <w:u w:val="none"/>
          <w:lang w:val="en-GB"/>
        </w:rPr>
        <w:fldChar w:fldCharType="end"/>
      </w:r>
      <w:r>
        <w:rPr>
          <w:rFonts w:hint="default" w:ascii="Times New Roman Regular" w:hAnsi="Times New Roman Regular" w:eastAsia="Roboto" w:cs="Times New Roman Regular"/>
          <w:b w:val="0"/>
          <w:bCs w:val="0"/>
          <w:i w:val="0"/>
          <w:iCs w:val="0"/>
          <w:caps w:val="0"/>
          <w:smallCaps w:val="0"/>
          <w:color w:val="auto"/>
          <w:sz w:val="18"/>
          <w:szCs w:val="18"/>
          <w:u w:val="none"/>
          <w:lang w:val="en-GB"/>
        </w:rPr>
        <w:t xml:space="preserve">, </w:t>
      </w:r>
      <w:r>
        <w:rPr>
          <w:rFonts w:hint="default" w:ascii="Times New Roman Regular" w:hAnsi="Times New Roman Regular" w:cs="Times New Roman Regular"/>
          <w:color w:val="auto"/>
          <w:sz w:val="18"/>
          <w:szCs w:val="18"/>
          <w:u w:val="none"/>
        </w:rPr>
        <w:fldChar w:fldCharType="begin"/>
      </w:r>
      <w:r>
        <w:rPr>
          <w:rFonts w:hint="default" w:ascii="Times New Roman Regular" w:hAnsi="Times New Roman Regular" w:cs="Times New Roman Regular"/>
          <w:color w:val="auto"/>
          <w:sz w:val="18"/>
          <w:szCs w:val="18"/>
          <w:u w:val="none"/>
        </w:rPr>
        <w:instrText xml:space="preserve"> HYPERLINK "https://www.google.co.uk/search?hl=en&amp;sxsrf=ALiCzsZQqOpCYiUt3YTE_vsZk93l03IJFg:1651251663982&amp;q=inauthor:%22Porphyry%22&amp;tbm=bks" \h </w:instrText>
      </w:r>
      <w:r>
        <w:rPr>
          <w:rFonts w:hint="default" w:ascii="Times New Roman Regular" w:hAnsi="Times New Roman Regular" w:cs="Times New Roman Regular"/>
          <w:color w:val="auto"/>
          <w:sz w:val="18"/>
          <w:szCs w:val="18"/>
          <w:u w:val="none"/>
        </w:rPr>
        <w:fldChar w:fldCharType="separate"/>
      </w:r>
      <w:r>
        <w:rPr>
          <w:rStyle w:val="9"/>
          <w:rFonts w:hint="default" w:ascii="Times New Roman Regular" w:hAnsi="Times New Roman Regular" w:eastAsia="Roboto" w:cs="Times New Roman Regular"/>
          <w:b w:val="0"/>
          <w:bCs w:val="0"/>
          <w:i w:val="0"/>
          <w:iCs w:val="0"/>
          <w:caps w:val="0"/>
          <w:smallCaps w:val="0"/>
          <w:strike w:val="0"/>
          <w:dstrike w:val="0"/>
          <w:color w:val="auto"/>
          <w:sz w:val="18"/>
          <w:szCs w:val="18"/>
          <w:u w:val="none"/>
          <w:lang w:val="en-GB"/>
        </w:rPr>
        <w:t>Porphyry</w:t>
      </w:r>
      <w:r>
        <w:rPr>
          <w:rStyle w:val="9"/>
          <w:rFonts w:hint="default" w:ascii="Times New Roman Regular" w:hAnsi="Times New Roman Regular" w:eastAsia="Roboto" w:cs="Times New Roman Regular"/>
          <w:b w:val="0"/>
          <w:bCs w:val="0"/>
          <w:i w:val="0"/>
          <w:iCs w:val="0"/>
          <w:caps w:val="0"/>
          <w:smallCaps w:val="0"/>
          <w:strike w:val="0"/>
          <w:dstrike w:val="0"/>
          <w:color w:val="auto"/>
          <w:sz w:val="18"/>
          <w:szCs w:val="18"/>
          <w:u w:val="none"/>
          <w:lang w:val="en-GB"/>
        </w:rPr>
        <w:fldChar w:fldCharType="end"/>
      </w:r>
      <w:r>
        <w:rPr>
          <w:rFonts w:hint="default" w:ascii="Times New Roman Regular" w:hAnsi="Times New Roman Regular" w:eastAsia="Roboto" w:cs="Times New Roman Regular"/>
          <w:b w:val="0"/>
          <w:bCs w:val="0"/>
          <w:i w:val="0"/>
          <w:iCs w:val="0"/>
          <w:caps w:val="0"/>
          <w:smallCaps w:val="0"/>
          <w:color w:val="auto"/>
          <w:sz w:val="18"/>
          <w:szCs w:val="18"/>
          <w:u w:val="none"/>
          <w:lang w:val="en-GB"/>
        </w:rPr>
        <w:t xml:space="preserve"> · 1895</w:t>
      </w:r>
      <w:r>
        <w:rPr>
          <w:rFonts w:hint="default" w:ascii="Times New Roman Italic" w:hAnsi="Times New Roman Italic" w:cs="Times New Roman Italic"/>
          <w:i/>
          <w:iCs/>
          <w:color w:val="auto"/>
          <w:sz w:val="18"/>
          <w:szCs w:val="18"/>
          <w:u w:val="none"/>
        </w:rPr>
        <w:t xml:space="preserve"> Iamblichus on the Mysteries of the Egyptians, Chaldeans</w:t>
      </w:r>
      <w:r>
        <w:rPr>
          <w:rFonts w:hint="default" w:ascii="Times New Roman Regular" w:hAnsi="Times New Roman Regular" w:cs="Times New Roman Regular"/>
          <w:color w:val="auto"/>
          <w:sz w:val="18"/>
          <w:szCs w:val="18"/>
          <w:u w:val="none"/>
        </w:rPr>
        <w:t>,P.12</w:t>
      </w:r>
    </w:p>
  </w:footnote>
  <w:footnote w:id="34">
    <w:p>
      <w:pPr>
        <w:pStyle w:val="4"/>
        <w:rPr>
          <w:rFonts w:hint="default" w:ascii="Times New Roman Regular" w:hAnsi="Times New Roman Regular" w:cs="Times New Roman Regular"/>
          <w:color w:val="auto"/>
          <w:sz w:val="18"/>
          <w:szCs w:val="18"/>
          <w:u w:val="none"/>
        </w:rPr>
      </w:pPr>
      <w:r>
        <w:rPr>
          <w:rStyle w:val="8"/>
          <w:rFonts w:hint="default" w:ascii="Times New Roman Regular" w:hAnsi="Times New Roman Regular" w:cs="Times New Roman Regular"/>
          <w:color w:val="auto"/>
          <w:sz w:val="18"/>
          <w:szCs w:val="18"/>
          <w:u w:val="none"/>
        </w:rPr>
        <w:footnoteRef/>
      </w:r>
      <w:r>
        <w:rPr>
          <w:rFonts w:hint="default" w:ascii="Times New Roman Regular" w:hAnsi="Times New Roman Regular" w:cs="Times New Roman Regular"/>
          <w:color w:val="auto"/>
          <w:sz w:val="18"/>
          <w:szCs w:val="18"/>
          <w:u w:val="none"/>
        </w:rPr>
        <w:t xml:space="preserve"> </w:t>
      </w:r>
      <w:r>
        <w:rPr>
          <w:rFonts w:hint="default" w:ascii="Times New Roman Regular" w:hAnsi="Times New Roman Regular" w:cs="Times New Roman Regular"/>
          <w:color w:val="auto"/>
          <w:sz w:val="18"/>
          <w:szCs w:val="18"/>
          <w:u w:val="none"/>
        </w:rPr>
        <w:fldChar w:fldCharType="begin"/>
      </w:r>
      <w:r>
        <w:rPr>
          <w:rFonts w:hint="default" w:ascii="Times New Roman Regular" w:hAnsi="Times New Roman Regular" w:cs="Times New Roman Regular"/>
          <w:color w:val="auto"/>
          <w:sz w:val="18"/>
          <w:szCs w:val="18"/>
          <w:u w:val="none"/>
        </w:rPr>
        <w:instrText xml:space="preserve"> HYPERLINK "https://www.google.co.uk/search?hl=en&amp;sxsrf=ALiCzsZQqOpCYiUt3YTE_vsZk93l03IJFg:1651251663982&amp;q=inauthor:%22Iamblichus%22&amp;tbm=bks" \h </w:instrText>
      </w:r>
      <w:r>
        <w:rPr>
          <w:rFonts w:hint="default" w:ascii="Times New Roman Regular" w:hAnsi="Times New Roman Regular" w:cs="Times New Roman Regular"/>
          <w:color w:val="auto"/>
          <w:sz w:val="18"/>
          <w:szCs w:val="18"/>
          <w:u w:val="none"/>
        </w:rPr>
        <w:fldChar w:fldCharType="separate"/>
      </w:r>
      <w:r>
        <w:rPr>
          <w:rStyle w:val="9"/>
          <w:rFonts w:hint="default" w:ascii="Times New Roman Regular" w:hAnsi="Times New Roman Regular" w:eastAsia="Roboto" w:cs="Times New Roman Regular"/>
          <w:b w:val="0"/>
          <w:bCs w:val="0"/>
          <w:i w:val="0"/>
          <w:iCs w:val="0"/>
          <w:caps w:val="0"/>
          <w:smallCaps w:val="0"/>
          <w:strike w:val="0"/>
          <w:dstrike w:val="0"/>
          <w:color w:val="auto"/>
          <w:sz w:val="18"/>
          <w:szCs w:val="18"/>
          <w:u w:val="none"/>
          <w:lang w:val="en-GB"/>
        </w:rPr>
        <w:t>Iamblichus</w:t>
      </w:r>
      <w:r>
        <w:rPr>
          <w:rStyle w:val="9"/>
          <w:rFonts w:hint="default" w:ascii="Times New Roman Regular" w:hAnsi="Times New Roman Regular" w:eastAsia="Roboto" w:cs="Times New Roman Regular"/>
          <w:b w:val="0"/>
          <w:bCs w:val="0"/>
          <w:i w:val="0"/>
          <w:iCs w:val="0"/>
          <w:caps w:val="0"/>
          <w:smallCaps w:val="0"/>
          <w:strike w:val="0"/>
          <w:dstrike w:val="0"/>
          <w:color w:val="auto"/>
          <w:sz w:val="18"/>
          <w:szCs w:val="18"/>
          <w:u w:val="none"/>
          <w:lang w:val="en-GB"/>
        </w:rPr>
        <w:fldChar w:fldCharType="end"/>
      </w:r>
      <w:r>
        <w:rPr>
          <w:rFonts w:hint="default" w:ascii="Times New Roman Regular" w:hAnsi="Times New Roman Regular" w:eastAsia="Roboto" w:cs="Times New Roman Regular"/>
          <w:b w:val="0"/>
          <w:bCs w:val="0"/>
          <w:i w:val="0"/>
          <w:iCs w:val="0"/>
          <w:caps w:val="0"/>
          <w:smallCaps w:val="0"/>
          <w:color w:val="auto"/>
          <w:sz w:val="18"/>
          <w:szCs w:val="18"/>
          <w:u w:val="none"/>
          <w:lang w:val="en-GB"/>
        </w:rPr>
        <w:t xml:space="preserve">, </w:t>
      </w:r>
      <w:r>
        <w:rPr>
          <w:rFonts w:hint="default" w:ascii="Times New Roman Regular" w:hAnsi="Times New Roman Regular" w:cs="Times New Roman Regular"/>
          <w:color w:val="auto"/>
          <w:sz w:val="18"/>
          <w:szCs w:val="18"/>
          <w:u w:val="none"/>
        </w:rPr>
        <w:fldChar w:fldCharType="begin"/>
      </w:r>
      <w:r>
        <w:rPr>
          <w:rFonts w:hint="default" w:ascii="Times New Roman Regular" w:hAnsi="Times New Roman Regular" w:cs="Times New Roman Regular"/>
          <w:color w:val="auto"/>
          <w:sz w:val="18"/>
          <w:szCs w:val="18"/>
          <w:u w:val="none"/>
        </w:rPr>
        <w:instrText xml:space="preserve"> HYPERLINK "https://www.google.co.uk/search?hl=en&amp;sxsrf=ALiCzsZQqOpCYiUt3YTE_vsZk93l03IJFg:1651251663982&amp;q=inauthor:%22Porphyry%22&amp;tbm=bks" \h </w:instrText>
      </w:r>
      <w:r>
        <w:rPr>
          <w:rFonts w:hint="default" w:ascii="Times New Roman Regular" w:hAnsi="Times New Roman Regular" w:cs="Times New Roman Regular"/>
          <w:color w:val="auto"/>
          <w:sz w:val="18"/>
          <w:szCs w:val="18"/>
          <w:u w:val="none"/>
        </w:rPr>
        <w:fldChar w:fldCharType="separate"/>
      </w:r>
      <w:r>
        <w:rPr>
          <w:rStyle w:val="9"/>
          <w:rFonts w:hint="default" w:ascii="Times New Roman Regular" w:hAnsi="Times New Roman Regular" w:eastAsia="Roboto" w:cs="Times New Roman Regular"/>
          <w:b w:val="0"/>
          <w:bCs w:val="0"/>
          <w:i w:val="0"/>
          <w:iCs w:val="0"/>
          <w:caps w:val="0"/>
          <w:smallCaps w:val="0"/>
          <w:strike w:val="0"/>
          <w:dstrike w:val="0"/>
          <w:color w:val="auto"/>
          <w:sz w:val="18"/>
          <w:szCs w:val="18"/>
          <w:u w:val="none"/>
          <w:lang w:val="en-GB"/>
        </w:rPr>
        <w:t>Porphyry</w:t>
      </w:r>
      <w:r>
        <w:rPr>
          <w:rStyle w:val="9"/>
          <w:rFonts w:hint="default" w:ascii="Times New Roman Regular" w:hAnsi="Times New Roman Regular" w:eastAsia="Roboto" w:cs="Times New Roman Regular"/>
          <w:b w:val="0"/>
          <w:bCs w:val="0"/>
          <w:i w:val="0"/>
          <w:iCs w:val="0"/>
          <w:caps w:val="0"/>
          <w:smallCaps w:val="0"/>
          <w:strike w:val="0"/>
          <w:dstrike w:val="0"/>
          <w:color w:val="auto"/>
          <w:sz w:val="18"/>
          <w:szCs w:val="18"/>
          <w:u w:val="none"/>
          <w:lang w:val="en-GB"/>
        </w:rPr>
        <w:fldChar w:fldCharType="end"/>
      </w:r>
      <w:r>
        <w:rPr>
          <w:rFonts w:hint="default" w:ascii="Times New Roman Regular" w:hAnsi="Times New Roman Regular" w:eastAsia="Roboto" w:cs="Times New Roman Regular"/>
          <w:b w:val="0"/>
          <w:bCs w:val="0"/>
          <w:i w:val="0"/>
          <w:iCs w:val="0"/>
          <w:caps w:val="0"/>
          <w:smallCaps w:val="0"/>
          <w:color w:val="auto"/>
          <w:sz w:val="18"/>
          <w:szCs w:val="18"/>
          <w:u w:val="none"/>
          <w:lang w:val="en-GB"/>
        </w:rPr>
        <w:t xml:space="preserve"> · 1895</w:t>
      </w:r>
      <w:r>
        <w:rPr>
          <w:rFonts w:hint="default" w:ascii="Times New Roman Regular" w:hAnsi="Times New Roman Regular" w:eastAsia="Roboto" w:cs="Times New Roman Regular"/>
          <w:b w:val="0"/>
          <w:bCs w:val="0"/>
          <w:i w:val="0"/>
          <w:iCs w:val="0"/>
          <w:caps w:val="0"/>
          <w:smallCaps w:val="0"/>
          <w:color w:val="auto"/>
          <w:sz w:val="18"/>
          <w:szCs w:val="18"/>
          <w:u w:val="none"/>
        </w:rPr>
        <w:t xml:space="preserve">. </w:t>
      </w:r>
      <w:r>
        <w:rPr>
          <w:rFonts w:hint="default" w:ascii="Times New Roman Regular" w:hAnsi="Times New Roman Regular" w:cs="Times New Roman Regular"/>
          <w:color w:val="auto"/>
          <w:sz w:val="18"/>
          <w:szCs w:val="18"/>
          <w:u w:val="none"/>
        </w:rPr>
        <w:t>,P.296</w:t>
      </w:r>
    </w:p>
  </w:footnote>
  <w:footnote w:id="35">
    <w:p>
      <w:pPr>
        <w:bidi w:val="0"/>
        <w:ind w:left="0"/>
        <w:rPr>
          <w:rFonts w:hint="default" w:ascii="Times New Roman Regular" w:hAnsi="Times New Roman Regular" w:eastAsia="Calibri" w:cs="Times New Roman Regular"/>
          <w:color w:val="auto"/>
          <w:sz w:val="18"/>
          <w:szCs w:val="18"/>
          <w:u w:val="none"/>
          <w:lang w:val="en-GB"/>
        </w:rPr>
      </w:pPr>
      <w:r>
        <w:rPr>
          <w:rStyle w:val="8"/>
          <w:rFonts w:hint="default" w:ascii="Times New Roman Regular" w:hAnsi="Times New Roman Regular" w:cs="Times New Roman Regular"/>
          <w:color w:val="auto"/>
          <w:sz w:val="18"/>
          <w:szCs w:val="18"/>
          <w:u w:val="none"/>
        </w:rPr>
        <w:footnoteRef/>
      </w:r>
      <w:r>
        <w:rPr>
          <w:rFonts w:hint="default" w:ascii="Times New Roman Regular" w:hAnsi="Times New Roman Regular" w:cs="Times New Roman Regular"/>
          <w:color w:val="auto"/>
          <w:sz w:val="18"/>
          <w:szCs w:val="18"/>
          <w:u w:val="none"/>
        </w:rPr>
        <w:t xml:space="preserve"> </w:t>
      </w:r>
      <w:r>
        <w:rPr>
          <w:rFonts w:hint="default" w:ascii="Times New Roman Regular" w:hAnsi="Times New Roman Regular" w:cs="Times New Roman Regular"/>
          <w:sz w:val="18"/>
          <w:szCs w:val="18"/>
        </w:rPr>
        <w:t>Iamblichus</w:t>
      </w:r>
      <w:r>
        <w:rPr>
          <w:rFonts w:hint="default" w:ascii="Times New Roman Regular" w:hAnsi="Times New Roman Regular" w:cs="Times New Roman Regular"/>
          <w:sz w:val="18"/>
          <w:szCs w:val="18"/>
        </w:rPr>
        <w:t xml:space="preserve">, </w:t>
      </w:r>
      <w:r>
        <w:rPr>
          <w:rFonts w:hint="default" w:ascii="Times New Roman Regular" w:hAnsi="Times New Roman Regular" w:cs="Times New Roman Regular"/>
          <w:i/>
          <w:iCs/>
          <w:sz w:val="18"/>
          <w:szCs w:val="18"/>
        </w:rPr>
        <w:t>De Mysteriis</w:t>
      </w:r>
      <w:r>
        <w:rPr>
          <w:rFonts w:hint="default" w:ascii="Times New Roman Regular" w:hAnsi="Times New Roman Regular" w:cs="Times New Roman Regular"/>
          <w:sz w:val="18"/>
          <w:szCs w:val="18"/>
        </w:rPr>
        <w:t>, 1497.</w:t>
      </w:r>
      <w:r>
        <w:rPr>
          <w:rFonts w:hint="default" w:ascii="Times New Roman Regular" w:hAnsi="Times New Roman Regular" w:cs="Times New Roman Regular"/>
          <w:color w:val="auto"/>
          <w:sz w:val="18"/>
          <w:szCs w:val="18"/>
          <w:u w:val="none"/>
        </w:rPr>
        <w:t xml:space="preserve"> </w:t>
      </w:r>
      <w:r>
        <w:rPr>
          <w:rFonts w:hint="default" w:ascii="Times New Roman Regular" w:hAnsi="Times New Roman Regular" w:eastAsia="Calibri" w:cs="Times New Roman Regular"/>
          <w:color w:val="auto"/>
          <w:sz w:val="18"/>
          <w:szCs w:val="18"/>
          <w:u w:val="none"/>
          <w:lang w:val="en-GB"/>
        </w:rPr>
        <w:t>1.8 33</w:t>
      </w:r>
    </w:p>
  </w:footnote>
  <w:footnote w:id="36">
    <w:p>
      <w:pPr>
        <w:pStyle w:val="4"/>
        <w:numPr>
          <w:ilvl w:val="0"/>
          <w:numId w:val="0"/>
        </w:numPr>
        <w:bidi w:val="0"/>
        <w:rPr>
          <w:rFonts w:hint="default" w:ascii="Times New Roman Regular" w:hAnsi="Times New Roman Regular" w:cs="Times New Roman Regular" w:eastAsiaTheme="minorAscii"/>
          <w:b w:val="0"/>
          <w:bCs w:val="0"/>
          <w:i w:val="0"/>
          <w:iCs w:val="0"/>
          <w:caps w:val="0"/>
          <w:smallCaps w:val="0"/>
          <w:color w:val="auto"/>
          <w:sz w:val="18"/>
          <w:szCs w:val="18"/>
          <w:u w:val="none"/>
          <w:vertAlign w:val="superscript"/>
          <w:lang w:val="en-GB"/>
        </w:rPr>
      </w:pPr>
      <w:r>
        <w:rPr>
          <w:rStyle w:val="8"/>
          <w:rFonts w:hint="default" w:ascii="Times New Roman Regular" w:hAnsi="Times New Roman Regular" w:cs="Times New Roman Regular"/>
          <w:color w:val="auto"/>
          <w:sz w:val="18"/>
          <w:szCs w:val="18"/>
          <w:u w:val="none"/>
        </w:rPr>
        <w:footnoteRef/>
      </w:r>
      <w:r>
        <w:rPr>
          <w:rFonts w:hint="default" w:ascii="Times New Roman Regular" w:hAnsi="Times New Roman Regular" w:cs="Times New Roman Regular"/>
          <w:color w:val="auto"/>
          <w:sz w:val="18"/>
          <w:szCs w:val="18"/>
          <w:u w:val="none"/>
        </w:rPr>
        <w:t xml:space="preserve"> </w:t>
      </w:r>
      <w:r>
        <w:rPr>
          <w:rFonts w:hint="default" w:ascii="Times New Roman Regular" w:hAnsi="Times New Roman Regular" w:eastAsia="Open Sans" w:cs="Times New Roman Regular"/>
          <w:b w:val="0"/>
          <w:bCs w:val="0"/>
          <w:i w:val="0"/>
          <w:iCs w:val="0"/>
          <w:caps w:val="0"/>
          <w:smallCaps w:val="0"/>
          <w:color w:val="auto"/>
          <w:sz w:val="18"/>
          <w:szCs w:val="18"/>
          <w:u w:val="none"/>
          <w:lang w:val="en-GB"/>
        </w:rPr>
        <w:t xml:space="preserve">Dodds, E. R. </w:t>
      </w:r>
      <w:r>
        <w:rPr>
          <w:rFonts w:hint="default" w:ascii="Times New Roman Italic" w:hAnsi="Times New Roman Italic" w:eastAsia="Open Sans" w:cs="Times New Roman Italic"/>
          <w:b w:val="0"/>
          <w:bCs w:val="0"/>
          <w:i/>
          <w:iCs/>
          <w:caps w:val="0"/>
          <w:smallCaps w:val="0"/>
          <w:color w:val="auto"/>
          <w:sz w:val="18"/>
          <w:szCs w:val="18"/>
          <w:u w:val="none"/>
          <w:lang w:val="en-GB"/>
        </w:rPr>
        <w:t>Theurgy and Its Relationship to Neoplatonism.</w:t>
      </w:r>
      <w:r>
        <w:rPr>
          <w:rFonts w:hint="default" w:ascii="Times New Roman Regular" w:hAnsi="Times New Roman Regular" w:eastAsia="Open Sans" w:cs="Times New Roman Regular"/>
          <w:b w:val="0"/>
          <w:bCs w:val="0"/>
          <w:i w:val="0"/>
          <w:iCs w:val="0"/>
          <w:caps w:val="0"/>
          <w:smallCaps w:val="0"/>
          <w:color w:val="auto"/>
          <w:sz w:val="18"/>
          <w:szCs w:val="18"/>
          <w:u w:val="none"/>
          <w:lang w:val="en-GB"/>
        </w:rPr>
        <w:t xml:space="preserve"> 2022. P.59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10"/>
      <w:tblW w:w="0" w:type="auto"/>
      <w:tblInd w:w="0" w:type="dxa"/>
      <w:tblLayout w:type="fixed"/>
      <w:tblCellMar>
        <w:top w:w="0" w:type="dxa"/>
        <w:left w:w="108" w:type="dxa"/>
        <w:bottom w:w="0" w:type="dxa"/>
        <w:right w:w="108" w:type="dxa"/>
      </w:tblCellMar>
    </w:tblPr>
    <w:tblGrid>
      <w:gridCol w:w="3005"/>
      <w:gridCol w:w="3005"/>
      <w:gridCol w:w="3005"/>
    </w:tblGrid>
    <w:tr>
      <w:tc>
        <w:tcPr>
          <w:tcW w:w="3005" w:type="dxa"/>
        </w:tcPr>
        <w:p>
          <w:pPr>
            <w:pStyle w:val="5"/>
            <w:bidi w:val="0"/>
            <w:ind w:left="-115"/>
            <w:jc w:val="left"/>
          </w:pPr>
          <w:r>
            <w:t>Cara Louise Braia</w:t>
          </w:r>
        </w:p>
      </w:tc>
      <w:tc>
        <w:tcPr>
          <w:tcW w:w="3005" w:type="dxa"/>
        </w:tcPr>
        <w:p>
          <w:pPr>
            <w:pStyle w:val="5"/>
            <w:bidi w:val="0"/>
            <w:jc w:val="center"/>
          </w:pPr>
          <w:r>
            <w:fldChar w:fldCharType="begin"/>
          </w:r>
          <w:r>
            <w:instrText xml:space="preserve">PAGE</w:instrText>
          </w:r>
          <w:r>
            <w:fldChar w:fldCharType="separate"/>
          </w:r>
          <w:r>
            <w:fldChar w:fldCharType="end"/>
          </w:r>
        </w:p>
      </w:tc>
      <w:tc>
        <w:tcPr>
          <w:tcW w:w="3005" w:type="dxa"/>
        </w:tcPr>
        <w:p>
          <w:pPr>
            <w:pStyle w:val="5"/>
            <w:bidi w:val="0"/>
            <w:ind w:right="-115"/>
            <w:jc w:val="right"/>
          </w:pPr>
          <w:r>
            <w:t>HPCA7027</w:t>
          </w:r>
        </w:p>
      </w:tc>
    </w:tr>
  </w:tbl>
  <w:p>
    <w:pPr>
      <w:pStyle w:val="5"/>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6FEE48"/>
    <w:multiLevelType w:val="singleLevel"/>
    <w:tmpl w:val="626FEE48"/>
    <w:lvl w:ilvl="0" w:tentative="0">
      <w:start w:val="1"/>
      <w:numFmt w:val="bullet"/>
      <w:lvlText w:val=""/>
      <w:lvlJc w:val="left"/>
      <w:pPr>
        <w:ind w:left="420" w:leftChars="0" w:hanging="420" w:firstLineChars="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607E4C"/>
    <w:rsid w:val="001C3D78"/>
    <w:rsid w:val="00260A2D"/>
    <w:rsid w:val="0141C1E2"/>
    <w:rsid w:val="024E94EC"/>
    <w:rsid w:val="02B9E4CC"/>
    <w:rsid w:val="0353DE3A"/>
    <w:rsid w:val="040F083E"/>
    <w:rsid w:val="04229410"/>
    <w:rsid w:val="046201AA"/>
    <w:rsid w:val="0488CF35"/>
    <w:rsid w:val="05659F1B"/>
    <w:rsid w:val="0668A0C8"/>
    <w:rsid w:val="0761AADA"/>
    <w:rsid w:val="0794D1E9"/>
    <w:rsid w:val="07A59072"/>
    <w:rsid w:val="07B5AD18"/>
    <w:rsid w:val="07E0B6D5"/>
    <w:rsid w:val="08C3381A"/>
    <w:rsid w:val="08FA2B72"/>
    <w:rsid w:val="096013D7"/>
    <w:rsid w:val="09B621F6"/>
    <w:rsid w:val="0A5F087B"/>
    <w:rsid w:val="0AB4B7A2"/>
    <w:rsid w:val="0AE7D0AF"/>
    <w:rsid w:val="0B21767C"/>
    <w:rsid w:val="0B9D963E"/>
    <w:rsid w:val="0BF8E87C"/>
    <w:rsid w:val="0C623219"/>
    <w:rsid w:val="0C6D138F"/>
    <w:rsid w:val="0C830AEA"/>
    <w:rsid w:val="0CDB7C98"/>
    <w:rsid w:val="0CEDC2B8"/>
    <w:rsid w:val="0D10E785"/>
    <w:rsid w:val="0D39669F"/>
    <w:rsid w:val="0D44D6DB"/>
    <w:rsid w:val="0D83A342"/>
    <w:rsid w:val="0D96A93D"/>
    <w:rsid w:val="0E59173E"/>
    <w:rsid w:val="0EA96703"/>
    <w:rsid w:val="0EDB9100"/>
    <w:rsid w:val="0F195141"/>
    <w:rsid w:val="1025637A"/>
    <w:rsid w:val="10F3D37B"/>
    <w:rsid w:val="1124CC9F"/>
    <w:rsid w:val="1157E5AC"/>
    <w:rsid w:val="116E70BE"/>
    <w:rsid w:val="11BCAB48"/>
    <w:rsid w:val="11CCEB39"/>
    <w:rsid w:val="11F6A636"/>
    <w:rsid w:val="1224554E"/>
    <w:rsid w:val="122C28B6"/>
    <w:rsid w:val="122C5A1F"/>
    <w:rsid w:val="123935FF"/>
    <w:rsid w:val="126DE24C"/>
    <w:rsid w:val="12AB1FD8"/>
    <w:rsid w:val="12D5503B"/>
    <w:rsid w:val="13209BE8"/>
    <w:rsid w:val="1388B66E"/>
    <w:rsid w:val="139AABB1"/>
    <w:rsid w:val="13D096DC"/>
    <w:rsid w:val="13D8B694"/>
    <w:rsid w:val="1420E164"/>
    <w:rsid w:val="14449C9A"/>
    <w:rsid w:val="144EE421"/>
    <w:rsid w:val="145C6D61"/>
    <w:rsid w:val="148F866E"/>
    <w:rsid w:val="14A61180"/>
    <w:rsid w:val="14FFC69E"/>
    <w:rsid w:val="1502D10D"/>
    <w:rsid w:val="15776A29"/>
    <w:rsid w:val="15E06CFB"/>
    <w:rsid w:val="160F96DE"/>
    <w:rsid w:val="1613F5D5"/>
    <w:rsid w:val="162B56CF"/>
    <w:rsid w:val="166EC627"/>
    <w:rsid w:val="169EA16E"/>
    <w:rsid w:val="16E6A2E5"/>
    <w:rsid w:val="16ED8783"/>
    <w:rsid w:val="17191204"/>
    <w:rsid w:val="1871386F"/>
    <w:rsid w:val="190138FF"/>
    <w:rsid w:val="191CF9EB"/>
    <w:rsid w:val="1962F791"/>
    <w:rsid w:val="196AE517"/>
    <w:rsid w:val="19911B2A"/>
    <w:rsid w:val="19BE52DA"/>
    <w:rsid w:val="19FAC4CB"/>
    <w:rsid w:val="1A0F38DE"/>
    <w:rsid w:val="1A3CBEAE"/>
    <w:rsid w:val="1A5C03E8"/>
    <w:rsid w:val="1A78F431"/>
    <w:rsid w:val="1A9D0960"/>
    <w:rsid w:val="1B06B578"/>
    <w:rsid w:val="1B383056"/>
    <w:rsid w:val="1B662CB1"/>
    <w:rsid w:val="1BF1B76C"/>
    <w:rsid w:val="1CA285D9"/>
    <w:rsid w:val="1CB12365"/>
    <w:rsid w:val="1D0F29CC"/>
    <w:rsid w:val="1D65CA7A"/>
    <w:rsid w:val="1D745F70"/>
    <w:rsid w:val="1D777922"/>
    <w:rsid w:val="1D8E5B46"/>
    <w:rsid w:val="1DEEA760"/>
    <w:rsid w:val="1DF06B0E"/>
    <w:rsid w:val="1E1F07BA"/>
    <w:rsid w:val="1E5ACAE8"/>
    <w:rsid w:val="1E70179D"/>
    <w:rsid w:val="1F0AABBE"/>
    <w:rsid w:val="1F4C6554"/>
    <w:rsid w:val="1F9D50C7"/>
    <w:rsid w:val="1FA563CC"/>
    <w:rsid w:val="1FBAD81B"/>
    <w:rsid w:val="1FDA269B"/>
    <w:rsid w:val="1FE8C427"/>
    <w:rsid w:val="200BE7FE"/>
    <w:rsid w:val="206626E6"/>
    <w:rsid w:val="207C4A54"/>
    <w:rsid w:val="20C35EBD"/>
    <w:rsid w:val="213946A7"/>
    <w:rsid w:val="21A7B85F"/>
    <w:rsid w:val="21F1167F"/>
    <w:rsid w:val="21F94B80"/>
    <w:rsid w:val="225EE7A3"/>
    <w:rsid w:val="22817660"/>
    <w:rsid w:val="22C3DC31"/>
    <w:rsid w:val="2311C75D"/>
    <w:rsid w:val="233E6C38"/>
    <w:rsid w:val="2398775C"/>
    <w:rsid w:val="23EA384C"/>
    <w:rsid w:val="23F08EA2"/>
    <w:rsid w:val="24079225"/>
    <w:rsid w:val="245FAC92"/>
    <w:rsid w:val="2470C1EA"/>
    <w:rsid w:val="24BD4996"/>
    <w:rsid w:val="24E3A326"/>
    <w:rsid w:val="24FDFA73"/>
    <w:rsid w:val="2512EFE4"/>
    <w:rsid w:val="251AE296"/>
    <w:rsid w:val="254FBB77"/>
    <w:rsid w:val="258C5F03"/>
    <w:rsid w:val="25FB7CF3"/>
    <w:rsid w:val="26C3DF17"/>
    <w:rsid w:val="2704B435"/>
    <w:rsid w:val="27162CE2"/>
    <w:rsid w:val="2719C976"/>
    <w:rsid w:val="27282F64"/>
    <w:rsid w:val="2781264F"/>
    <w:rsid w:val="27CF56B1"/>
    <w:rsid w:val="27D10745"/>
    <w:rsid w:val="27D5B702"/>
    <w:rsid w:val="27E53880"/>
    <w:rsid w:val="283211CF"/>
    <w:rsid w:val="2844AFB9"/>
    <w:rsid w:val="2870EBCB"/>
    <w:rsid w:val="288F49BF"/>
    <w:rsid w:val="28997FBE"/>
    <w:rsid w:val="29718763"/>
    <w:rsid w:val="29995B62"/>
    <w:rsid w:val="29B0F1E7"/>
    <w:rsid w:val="29E32F41"/>
    <w:rsid w:val="29F75C8C"/>
    <w:rsid w:val="2A2B1A20"/>
    <w:rsid w:val="2A625934"/>
    <w:rsid w:val="2A88BB84"/>
    <w:rsid w:val="2B0D57C4"/>
    <w:rsid w:val="2BBC6D45"/>
    <w:rsid w:val="2BBEFCFB"/>
    <w:rsid w:val="2BF6A05F"/>
    <w:rsid w:val="2BF773D8"/>
    <w:rsid w:val="2C2FB7E4"/>
    <w:rsid w:val="2C56EB11"/>
    <w:rsid w:val="2C83E6D4"/>
    <w:rsid w:val="2CB8A9A3"/>
    <w:rsid w:val="2CFC18FB"/>
    <w:rsid w:val="2D934439"/>
    <w:rsid w:val="2DBC202D"/>
    <w:rsid w:val="2E068ED8"/>
    <w:rsid w:val="2E2FEE77"/>
    <w:rsid w:val="2E4A56D7"/>
    <w:rsid w:val="2E6800AD"/>
    <w:rsid w:val="2E755D83"/>
    <w:rsid w:val="2EB8820A"/>
    <w:rsid w:val="2F1948F6"/>
    <w:rsid w:val="2F57EECF"/>
    <w:rsid w:val="2F6758A6"/>
    <w:rsid w:val="2F87C004"/>
    <w:rsid w:val="300253CC"/>
    <w:rsid w:val="30564C11"/>
    <w:rsid w:val="309BF0FA"/>
    <w:rsid w:val="30AB967B"/>
    <w:rsid w:val="30B0E925"/>
    <w:rsid w:val="30CCECD0"/>
    <w:rsid w:val="30D98287"/>
    <w:rsid w:val="319E242D"/>
    <w:rsid w:val="31BE8FA8"/>
    <w:rsid w:val="32362C05"/>
    <w:rsid w:val="3237C15B"/>
    <w:rsid w:val="32A8CD1E"/>
    <w:rsid w:val="33246A57"/>
    <w:rsid w:val="3327EB27"/>
    <w:rsid w:val="335A6009"/>
    <w:rsid w:val="3376C847"/>
    <w:rsid w:val="33B2D6E3"/>
    <w:rsid w:val="33D391BC"/>
    <w:rsid w:val="3424BF6A"/>
    <w:rsid w:val="3494B15C"/>
    <w:rsid w:val="34C3BB88"/>
    <w:rsid w:val="3565DF41"/>
    <w:rsid w:val="35888A7A"/>
    <w:rsid w:val="365F8BE9"/>
    <w:rsid w:val="367FCBF0"/>
    <w:rsid w:val="368ED53D"/>
    <w:rsid w:val="369200CB"/>
    <w:rsid w:val="36AB2928"/>
    <w:rsid w:val="375C602C"/>
    <w:rsid w:val="37C34898"/>
    <w:rsid w:val="37F57295"/>
    <w:rsid w:val="3838599F"/>
    <w:rsid w:val="3850231F"/>
    <w:rsid w:val="38662D7E"/>
    <w:rsid w:val="388EFD1B"/>
    <w:rsid w:val="39A93612"/>
    <w:rsid w:val="3A11F21F"/>
    <w:rsid w:val="3A2ACD7C"/>
    <w:rsid w:val="3A607E4C"/>
    <w:rsid w:val="3A680B75"/>
    <w:rsid w:val="3A6F7B88"/>
    <w:rsid w:val="3A70F3C8"/>
    <w:rsid w:val="3A9E6C1C"/>
    <w:rsid w:val="3ACEEADB"/>
    <w:rsid w:val="3AFAE95A"/>
    <w:rsid w:val="3B0590B8"/>
    <w:rsid w:val="3B46BA8A"/>
    <w:rsid w:val="3B491E03"/>
    <w:rsid w:val="3B7DDCB5"/>
    <w:rsid w:val="3BC69DDD"/>
    <w:rsid w:val="3BDD0E4B"/>
    <w:rsid w:val="3C04D6A3"/>
    <w:rsid w:val="3C2FD14F"/>
    <w:rsid w:val="3C429D35"/>
    <w:rsid w:val="3C80E241"/>
    <w:rsid w:val="3C88B725"/>
    <w:rsid w:val="3CE38B40"/>
    <w:rsid w:val="3CE4EE64"/>
    <w:rsid w:val="3CEA7871"/>
    <w:rsid w:val="3D4992E1"/>
    <w:rsid w:val="3DA37FB6"/>
    <w:rsid w:val="3DDE6D96"/>
    <w:rsid w:val="3E06034F"/>
    <w:rsid w:val="3E48288D"/>
    <w:rsid w:val="3E74E96F"/>
    <w:rsid w:val="3E80BEC5"/>
    <w:rsid w:val="3EFA4E90"/>
    <w:rsid w:val="3EFE3E9F"/>
    <w:rsid w:val="3FB88303"/>
    <w:rsid w:val="3FFEE6B8"/>
    <w:rsid w:val="40CE2FBF"/>
    <w:rsid w:val="40EB297B"/>
    <w:rsid w:val="40F98E17"/>
    <w:rsid w:val="411AAE92"/>
    <w:rsid w:val="41C61388"/>
    <w:rsid w:val="41CCDE32"/>
    <w:rsid w:val="4218C6F5"/>
    <w:rsid w:val="424C4FCF"/>
    <w:rsid w:val="4359B9F5"/>
    <w:rsid w:val="437083D3"/>
    <w:rsid w:val="4373F51D"/>
    <w:rsid w:val="43D01352"/>
    <w:rsid w:val="43D8073A"/>
    <w:rsid w:val="44A45CD2"/>
    <w:rsid w:val="44C2BAC6"/>
    <w:rsid w:val="44FDB44A"/>
    <w:rsid w:val="4511B5DE"/>
    <w:rsid w:val="455067B7"/>
    <w:rsid w:val="45B0C041"/>
    <w:rsid w:val="45CB69A1"/>
    <w:rsid w:val="45E26018"/>
    <w:rsid w:val="4668C126"/>
    <w:rsid w:val="467FAC0F"/>
    <w:rsid w:val="4695CA3B"/>
    <w:rsid w:val="46B14E2B"/>
    <w:rsid w:val="46C7CE30"/>
    <w:rsid w:val="46EC3818"/>
    <w:rsid w:val="474F76D0"/>
    <w:rsid w:val="475B6A02"/>
    <w:rsid w:val="4771F432"/>
    <w:rsid w:val="47FA5B88"/>
    <w:rsid w:val="481B7C70"/>
    <w:rsid w:val="482B7701"/>
    <w:rsid w:val="489E2F7E"/>
    <w:rsid w:val="48B7325C"/>
    <w:rsid w:val="48B757DB"/>
    <w:rsid w:val="48EB4731"/>
    <w:rsid w:val="4902A5BC"/>
    <w:rsid w:val="49962BE9"/>
    <w:rsid w:val="49B74CD1"/>
    <w:rsid w:val="49E336A1"/>
    <w:rsid w:val="49E8EEED"/>
    <w:rsid w:val="4A262C79"/>
    <w:rsid w:val="4A39FFDF"/>
    <w:rsid w:val="4AB1210E"/>
    <w:rsid w:val="4B342C58"/>
    <w:rsid w:val="4C016049"/>
    <w:rsid w:val="4C3A467E"/>
    <w:rsid w:val="4C5BFE42"/>
    <w:rsid w:val="4CE45A2C"/>
    <w:rsid w:val="4CFD8289"/>
    <w:rsid w:val="4CFEE824"/>
    <w:rsid w:val="4D1F539F"/>
    <w:rsid w:val="4D71A0A1"/>
    <w:rsid w:val="4D798E27"/>
    <w:rsid w:val="4DBB3869"/>
    <w:rsid w:val="4E6B3262"/>
    <w:rsid w:val="4EAA8DC1"/>
    <w:rsid w:val="4EAD6673"/>
    <w:rsid w:val="4EC6CB3E"/>
    <w:rsid w:val="4ECBA141"/>
    <w:rsid w:val="4F0D7102"/>
    <w:rsid w:val="4F520F4A"/>
    <w:rsid w:val="4FE31F6A"/>
    <w:rsid w:val="50056D6D"/>
    <w:rsid w:val="500702C3"/>
    <w:rsid w:val="50EAE8DA"/>
    <w:rsid w:val="510ECBED"/>
    <w:rsid w:val="51A2D324"/>
    <w:rsid w:val="51BBFB81"/>
    <w:rsid w:val="51F400D2"/>
    <w:rsid w:val="525AE93E"/>
    <w:rsid w:val="5265909C"/>
    <w:rsid w:val="52764F25"/>
    <w:rsid w:val="52C571D2"/>
    <w:rsid w:val="52EA14C3"/>
    <w:rsid w:val="5367AF39"/>
    <w:rsid w:val="536FDDBF"/>
    <w:rsid w:val="538FB1EF"/>
    <w:rsid w:val="544F4029"/>
    <w:rsid w:val="549970F6"/>
    <w:rsid w:val="54DA73E6"/>
    <w:rsid w:val="54EB0215"/>
    <w:rsid w:val="54FFAC1B"/>
    <w:rsid w:val="554139B7"/>
    <w:rsid w:val="55D258D4"/>
    <w:rsid w:val="56764447"/>
    <w:rsid w:val="5685B85F"/>
    <w:rsid w:val="56DD0A18"/>
    <w:rsid w:val="56E569DA"/>
    <w:rsid w:val="571882E7"/>
    <w:rsid w:val="574C723D"/>
    <w:rsid w:val="57545FC3"/>
    <w:rsid w:val="57659A9A"/>
    <w:rsid w:val="5798E2F5"/>
    <w:rsid w:val="581214A8"/>
    <w:rsid w:val="581C6D58"/>
    <w:rsid w:val="5822A2D7"/>
    <w:rsid w:val="5845B25B"/>
    <w:rsid w:val="58916B5E"/>
    <w:rsid w:val="58AA56D8"/>
    <w:rsid w:val="593A1500"/>
    <w:rsid w:val="595DA790"/>
    <w:rsid w:val="598FC427"/>
    <w:rsid w:val="59C2DD34"/>
    <w:rsid w:val="59FF12B7"/>
    <w:rsid w:val="5A58112F"/>
    <w:rsid w:val="5AB11C14"/>
    <w:rsid w:val="5B2B9488"/>
    <w:rsid w:val="5B9D1852"/>
    <w:rsid w:val="5BB8DAFD"/>
    <w:rsid w:val="5C3257BF"/>
    <w:rsid w:val="5D11DC81"/>
    <w:rsid w:val="5D13A653"/>
    <w:rsid w:val="5D38E8B3"/>
    <w:rsid w:val="5D76A02C"/>
    <w:rsid w:val="5DB91190"/>
    <w:rsid w:val="5DC0BB19"/>
    <w:rsid w:val="5DF123C6"/>
    <w:rsid w:val="5DF2711B"/>
    <w:rsid w:val="5E1F5FCF"/>
    <w:rsid w:val="5E656059"/>
    <w:rsid w:val="5E81562C"/>
    <w:rsid w:val="5EADACE2"/>
    <w:rsid w:val="5ECFF424"/>
    <w:rsid w:val="5ED12DAC"/>
    <w:rsid w:val="5F5F71A8"/>
    <w:rsid w:val="5F7383C9"/>
    <w:rsid w:val="5F9A5154"/>
    <w:rsid w:val="603D25F0"/>
    <w:rsid w:val="60560FE9"/>
    <w:rsid w:val="60FF61D3"/>
    <w:rsid w:val="6107353B"/>
    <w:rsid w:val="612BA01D"/>
    <w:rsid w:val="61E54DA4"/>
    <w:rsid w:val="62A3059C"/>
    <w:rsid w:val="62ABA361"/>
    <w:rsid w:val="62C4CBBE"/>
    <w:rsid w:val="62E38322"/>
    <w:rsid w:val="634ED302"/>
    <w:rsid w:val="645EE808"/>
    <w:rsid w:val="6497BE4A"/>
    <w:rsid w:val="64C5C107"/>
    <w:rsid w:val="65277937"/>
    <w:rsid w:val="656FB183"/>
    <w:rsid w:val="65C00527"/>
    <w:rsid w:val="6610B159"/>
    <w:rsid w:val="664CEB98"/>
    <w:rsid w:val="6670723E"/>
    <w:rsid w:val="66D2FB70"/>
    <w:rsid w:val="67369437"/>
    <w:rsid w:val="68548F28"/>
    <w:rsid w:val="6868CD59"/>
    <w:rsid w:val="686DB785"/>
    <w:rsid w:val="68AE4446"/>
    <w:rsid w:val="68B9744E"/>
    <w:rsid w:val="6909363D"/>
    <w:rsid w:val="69124720"/>
    <w:rsid w:val="6928D150"/>
    <w:rsid w:val="69E0EE84"/>
    <w:rsid w:val="6A5CBBB1"/>
    <w:rsid w:val="6A8615C4"/>
    <w:rsid w:val="6AAF43D3"/>
    <w:rsid w:val="6AB6B546"/>
    <w:rsid w:val="6B06FFCE"/>
    <w:rsid w:val="6B74784B"/>
    <w:rsid w:val="6BAF0D3C"/>
    <w:rsid w:val="6C1A0F3F"/>
    <w:rsid w:val="6C49E7E2"/>
    <w:rsid w:val="6CB9CA80"/>
    <w:rsid w:val="6CCB7793"/>
    <w:rsid w:val="6CFA143F"/>
    <w:rsid w:val="6D81B569"/>
    <w:rsid w:val="6DE5B843"/>
    <w:rsid w:val="6E09E1DE"/>
    <w:rsid w:val="6E1795DF"/>
    <w:rsid w:val="6E22091D"/>
    <w:rsid w:val="6E2635C9"/>
    <w:rsid w:val="6E34EB9B"/>
    <w:rsid w:val="6E658446"/>
    <w:rsid w:val="6E6747F4"/>
    <w:rsid w:val="6EAC7221"/>
    <w:rsid w:val="6F89A793"/>
    <w:rsid w:val="6FC3423A"/>
    <w:rsid w:val="7055FAA3"/>
    <w:rsid w:val="70678E93"/>
    <w:rsid w:val="70B07ABA"/>
    <w:rsid w:val="71A1EA0E"/>
    <w:rsid w:val="71E412E3"/>
    <w:rsid w:val="71FD3B40"/>
    <w:rsid w:val="72EB7CFF"/>
    <w:rsid w:val="72F9A6EC"/>
    <w:rsid w:val="7302D082"/>
    <w:rsid w:val="733AB917"/>
    <w:rsid w:val="737FE344"/>
    <w:rsid w:val="7388A443"/>
    <w:rsid w:val="73B9F9A2"/>
    <w:rsid w:val="73CEB27B"/>
    <w:rsid w:val="73E81B7C"/>
    <w:rsid w:val="74874D60"/>
    <w:rsid w:val="7495774D"/>
    <w:rsid w:val="749FAB74"/>
    <w:rsid w:val="75023234"/>
    <w:rsid w:val="75090C5B"/>
    <w:rsid w:val="750EA900"/>
    <w:rsid w:val="75331230"/>
    <w:rsid w:val="753AFFB6"/>
    <w:rsid w:val="754FA668"/>
    <w:rsid w:val="756A82DC"/>
    <w:rsid w:val="7574D759"/>
    <w:rsid w:val="7583EBDD"/>
    <w:rsid w:val="75A7C928"/>
    <w:rsid w:val="75F967ED"/>
    <w:rsid w:val="763147AE"/>
    <w:rsid w:val="76755B31"/>
    <w:rsid w:val="76AA6336"/>
    <w:rsid w:val="76B78406"/>
    <w:rsid w:val="76BF718C"/>
    <w:rsid w:val="76F82DCC"/>
    <w:rsid w:val="771FBC3E"/>
    <w:rsid w:val="77B407F8"/>
    <w:rsid w:val="77CD180F"/>
    <w:rsid w:val="78753DC3"/>
    <w:rsid w:val="78BB8C9F"/>
    <w:rsid w:val="7935DC83"/>
    <w:rsid w:val="79386955"/>
    <w:rsid w:val="79ACFBF3"/>
    <w:rsid w:val="79C322F8"/>
    <w:rsid w:val="79F7124E"/>
    <w:rsid w:val="7A737F96"/>
    <w:rsid w:val="7ABB1F63"/>
    <w:rsid w:val="7AD6AD0C"/>
    <w:rsid w:val="7AEDB08F"/>
    <w:rsid w:val="7B049EB3"/>
    <w:rsid w:val="7B45CAFC"/>
    <w:rsid w:val="7B8FFC81"/>
    <w:rsid w:val="7B92E2AF"/>
    <w:rsid w:val="7C682A9B"/>
    <w:rsid w:val="7C6D7D45"/>
    <w:rsid w:val="7CA9B2C8"/>
    <w:rsid w:val="7CDBE343"/>
    <w:rsid w:val="7D1120B7"/>
    <w:rsid w:val="7D506A08"/>
    <w:rsid w:val="7DE673A8"/>
    <w:rsid w:val="7E0C6758"/>
    <w:rsid w:val="7E10D6DC"/>
    <w:rsid w:val="7E4FEE57"/>
    <w:rsid w:val="7E855944"/>
    <w:rsid w:val="7E8FED6F"/>
    <w:rsid w:val="7ECA8371"/>
    <w:rsid w:val="7F04BF4E"/>
    <w:rsid w:val="7F3B971A"/>
    <w:rsid w:val="7F86A300"/>
    <w:rsid w:val="7F94D134"/>
    <w:rsid w:val="7F9F99F4"/>
    <w:rsid w:val="7FA51E07"/>
    <w:rsid w:val="7FB10B83"/>
    <w:rsid w:val="7FDEE32F"/>
    <w:rsid w:val="7FEBBE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3"/>
    <w:basedOn w:val="1"/>
    <w:next w:val="1"/>
    <w:link w:val="12"/>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7">
    <w:name w:val="Default Paragraph Font"/>
    <w:unhideWhenUsed/>
    <w:qFormat/>
    <w:uiPriority w:val="1"/>
  </w:style>
  <w:style w:type="table" w:default="1" w:styleId="10">
    <w:name w:val="Normal Table"/>
    <w:unhideWhenUsed/>
    <w:qFormat/>
    <w:uiPriority w:val="99"/>
    <w:tblPr>
      <w:tblCellMar>
        <w:top w:w="0" w:type="dxa"/>
        <w:left w:w="108" w:type="dxa"/>
        <w:bottom w:w="0" w:type="dxa"/>
        <w:right w:w="108" w:type="dxa"/>
      </w:tblCellMar>
    </w:tblPr>
  </w:style>
  <w:style w:type="paragraph" w:styleId="3">
    <w:name w:val="footer"/>
    <w:basedOn w:val="1"/>
    <w:link w:val="15"/>
    <w:unhideWhenUsed/>
    <w:qFormat/>
    <w:uiPriority w:val="99"/>
    <w:pPr>
      <w:tabs>
        <w:tab w:val="center" w:pos="4680"/>
        <w:tab w:val="right" w:pos="9360"/>
      </w:tabs>
      <w:spacing w:after="0" w:line="240" w:lineRule="auto"/>
    </w:pPr>
  </w:style>
  <w:style w:type="paragraph" w:styleId="4">
    <w:name w:val="footnote text"/>
    <w:basedOn w:val="1"/>
    <w:link w:val="16"/>
    <w:unhideWhenUsed/>
    <w:qFormat/>
    <w:uiPriority w:val="99"/>
    <w:pPr>
      <w:spacing w:after="0" w:line="240" w:lineRule="auto"/>
    </w:pPr>
    <w:rPr>
      <w:sz w:val="20"/>
      <w:szCs w:val="20"/>
    </w:rPr>
  </w:style>
  <w:style w:type="paragraph" w:styleId="5">
    <w:name w:val="header"/>
    <w:basedOn w:val="1"/>
    <w:link w:val="14"/>
    <w:unhideWhenUsed/>
    <w:qFormat/>
    <w:uiPriority w:val="99"/>
    <w:pPr>
      <w:tabs>
        <w:tab w:val="center" w:pos="4680"/>
        <w:tab w:val="right" w:pos="9360"/>
      </w:tabs>
      <w:spacing w:after="0" w:line="240" w:lineRule="auto"/>
    </w:pPr>
  </w:style>
  <w:style w:type="paragraph" w:styleId="6">
    <w:name w:val="Normal (Web)"/>
    <w:basedOn w:val="1"/>
    <w:unhideWhenUsed/>
    <w:qFormat/>
    <w:uiPriority w:val="99"/>
    <w:rPr>
      <w:sz w:val="24"/>
      <w:szCs w:val="24"/>
    </w:rPr>
  </w:style>
  <w:style w:type="character" w:styleId="8">
    <w:name w:val="footnote reference"/>
    <w:basedOn w:val="7"/>
    <w:unhideWhenUsed/>
    <w:qFormat/>
    <w:uiPriority w:val="99"/>
    <w:rPr>
      <w:vertAlign w:val="superscript"/>
    </w:rPr>
  </w:style>
  <w:style w:type="character" w:styleId="9">
    <w:name w:val="Hyperlink"/>
    <w:basedOn w:val="7"/>
    <w:unhideWhenUsed/>
    <w:qFormat/>
    <w:uiPriority w:val="99"/>
    <w:rPr>
      <w:color w:val="0563C1" w:themeColor="hyperlink"/>
      <w:u w:val="single"/>
      <w14:textFill>
        <w14:solidFill>
          <w14:schemeClr w14:val="hlink"/>
        </w14:solidFill>
      </w14:textFill>
    </w:rPr>
  </w:style>
  <w:style w:type="table" w:styleId="11">
    <w:name w:val="Table Grid"/>
    <w:basedOn w:val="10"/>
    <w:qFormat/>
    <w:uiPriority w:val="5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12">
    <w:name w:val="Heading 3 Char"/>
    <w:basedOn w:val="7"/>
    <w:link w:val="2"/>
    <w:qFormat/>
    <w:uiPriority w:val="9"/>
    <w:rPr>
      <w:rFonts w:asciiTheme="majorHAnsi" w:hAnsiTheme="majorHAnsi" w:eastAsiaTheme="majorEastAsia" w:cstheme="majorBidi"/>
      <w:color w:val="203864" w:themeColor="accent1" w:themeShade="80"/>
      <w:sz w:val="24"/>
      <w:szCs w:val="24"/>
    </w:rPr>
  </w:style>
  <w:style w:type="paragraph" w:customStyle="1" w:styleId="13">
    <w:name w:val="List Paragraph"/>
    <w:basedOn w:val="1"/>
    <w:qFormat/>
    <w:uiPriority w:val="34"/>
    <w:pPr>
      <w:ind w:left="720"/>
      <w:contextualSpacing/>
    </w:pPr>
  </w:style>
  <w:style w:type="character" w:customStyle="1" w:styleId="14">
    <w:name w:val="Header Char"/>
    <w:basedOn w:val="7"/>
    <w:link w:val="5"/>
    <w:qFormat/>
    <w:uiPriority w:val="99"/>
  </w:style>
  <w:style w:type="character" w:customStyle="1" w:styleId="15">
    <w:name w:val="Footer Char"/>
    <w:basedOn w:val="7"/>
    <w:link w:val="3"/>
    <w:qFormat/>
    <w:uiPriority w:val="99"/>
  </w:style>
  <w:style w:type="character" w:customStyle="1" w:styleId="16">
    <w:name w:val="Footnote Text Char"/>
    <w:basedOn w:val="7"/>
    <w:link w:val="4"/>
    <w:semiHidden/>
    <w:qFormat/>
    <w:uiPriority w:val="99"/>
    <w:rPr>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ScaleCrop>false</ScaleCrop>
  <LinksUpToDate>false</LinksUpToDate>
  <Application>WPS Office_3.1.1.5096_F1E327BC-269C-435d-A152-05C5408002CA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1900-01-00T00:00:00Z</dcterms:created>
  <dc:creator>Cara Braia (2116365)</dc:creator>
  <cp:lastModifiedBy>carabraia</cp:lastModifiedBy>
  <dcterms:modified xsi:type="dcterms:W3CDTF">2022-05-02T18:16:13Z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1033-3.1.1.5096</vt:lpwstr>
  </property>
</Properties>
</file>