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3C3F4" w14:textId="374B60A0" w:rsidR="006F7BAD" w:rsidRPr="00BA4E4E" w:rsidRDefault="00BA4E4E" w:rsidP="00BA4E4E">
      <w:pPr>
        <w:jc w:val="center"/>
      </w:pPr>
      <w:r w:rsidRPr="00BA4E4E">
        <w:t>Method</w:t>
      </w:r>
      <w:r w:rsidR="005F5926">
        <w:t>ology</w:t>
      </w:r>
    </w:p>
    <w:p w14:paraId="0B87A169" w14:textId="77777777" w:rsidR="00BA4E4E" w:rsidRDefault="00BA4E4E">
      <w:pPr>
        <w:rPr>
          <w:u w:val="single"/>
        </w:rPr>
      </w:pPr>
    </w:p>
    <w:p w14:paraId="71844363" w14:textId="5FED466E" w:rsidR="000B7D45" w:rsidRPr="000B7D45" w:rsidRDefault="000B7D45">
      <w:pPr>
        <w:rPr>
          <w:u w:val="single"/>
        </w:rPr>
      </w:pPr>
      <w:r w:rsidRPr="000B7D45">
        <w:rPr>
          <w:u w:val="single"/>
        </w:rPr>
        <w:t xml:space="preserve">3.1 Introduction </w:t>
      </w:r>
    </w:p>
    <w:p w14:paraId="6DAB79C4" w14:textId="06EE28FD" w:rsidR="00BA4E4E" w:rsidRDefault="000B7D45">
      <w:r>
        <w:t>This chapter outlines the methodological approach adopted for this dissertation</w:t>
      </w:r>
      <w:r w:rsidR="006F7BAD">
        <w:t xml:space="preserve">, which examines how exposure to traumatic incidents effects the mental health of operational </w:t>
      </w:r>
      <w:r w:rsidR="00BA4E4E">
        <w:t xml:space="preserve">police staff within Gwent Police, and explores officers’ perceptions of the accessibility and effectiveness of available organisational support mechanisms. The chapter details the research design, philosophical foundations, sampling strategy, data collection procedures, analytical approach, and ethical considerations. Together these components provide transparency and demonstrate the methodological </w:t>
      </w:r>
      <w:r w:rsidR="005F5926">
        <w:t>thoroughness</w:t>
      </w:r>
      <w:r w:rsidR="00BA4E4E">
        <w:t xml:space="preserve"> </w:t>
      </w:r>
      <w:r w:rsidR="005F5926">
        <w:t>supporting</w:t>
      </w:r>
      <w:r w:rsidR="00BA4E4E">
        <w:t xml:space="preserve"> the study.</w:t>
      </w:r>
      <w:r w:rsidR="00A13666">
        <w:t>vbbh</w:t>
      </w:r>
    </w:p>
    <w:p w14:paraId="2FC18F62" w14:textId="77777777" w:rsidR="00E06107" w:rsidRPr="000E205D" w:rsidRDefault="00E06107">
      <w:pPr>
        <w:rPr>
          <w:u w:val="single"/>
        </w:rPr>
      </w:pPr>
    </w:p>
    <w:p w14:paraId="0ACF6D80" w14:textId="4733BBA6" w:rsidR="00B00C2D" w:rsidRPr="000E205D" w:rsidRDefault="00E06107">
      <w:pPr>
        <w:rPr>
          <w:u w:val="single"/>
        </w:rPr>
      </w:pPr>
      <w:r w:rsidRPr="000E205D">
        <w:rPr>
          <w:u w:val="single"/>
        </w:rPr>
        <w:t xml:space="preserve">3.2 Research Philosophy </w:t>
      </w:r>
    </w:p>
    <w:p w14:paraId="2C6C4082" w14:textId="59F13545" w:rsidR="00E06107" w:rsidRDefault="00E06107">
      <w:r>
        <w:t xml:space="preserve">This research is grounded in a pragmatist philosophical position, which recognises that complex real-world issues such as </w:t>
      </w:r>
      <w:r w:rsidR="00832FDD">
        <w:t>officers’</w:t>
      </w:r>
      <w:r>
        <w:t xml:space="preserve"> exposures to traumatic incidents are best understood through the integration of multiple forms of </w:t>
      </w:r>
      <w:r w:rsidR="00832FDD">
        <w:t>evidence (</w:t>
      </w:r>
      <w:r w:rsidRPr="00E06107">
        <w:t>Johnson and Onwuegbuzie, 2004)</w:t>
      </w:r>
      <w:r>
        <w:t xml:space="preserve">. </w:t>
      </w:r>
      <w:r w:rsidR="00832FDD">
        <w:t>Pragmatism</w:t>
      </w:r>
      <w:r>
        <w:t xml:space="preserve"> emphasises the usefulness of methods in comparison to adherence </w:t>
      </w:r>
      <w:r w:rsidR="008C51F6">
        <w:t>of</w:t>
      </w:r>
      <w:r>
        <w:t xml:space="preserve"> a single approach, making it particularly suitable for applied policing research where </w:t>
      </w:r>
      <w:r w:rsidR="00832FDD">
        <w:t>both</w:t>
      </w:r>
      <w:r>
        <w:t xml:space="preserve"> measurable patterns and subjective experiences are relevant to the study.</w:t>
      </w:r>
    </w:p>
    <w:p w14:paraId="74C9B2C1" w14:textId="17990486" w:rsidR="00E06107" w:rsidRDefault="00E06107">
      <w:r>
        <w:t>The pragmatist approach recognises that:</w:t>
      </w:r>
    </w:p>
    <w:p w14:paraId="52F98BB4" w14:textId="0D24DFF8" w:rsidR="00E06107" w:rsidRDefault="00E06107" w:rsidP="00E06107">
      <w:pPr>
        <w:pStyle w:val="ListParagraph"/>
        <w:numPr>
          <w:ilvl w:val="0"/>
          <w:numId w:val="1"/>
        </w:numPr>
      </w:pPr>
      <w:r>
        <w:t xml:space="preserve">Quantitative date will capture overall trends in wellbeing, frequency of traumatic exposure, and perceived accessibility of support services. </w:t>
      </w:r>
    </w:p>
    <w:p w14:paraId="519530D4" w14:textId="25BD6F3A" w:rsidR="00E06107" w:rsidRDefault="00E06107" w:rsidP="00E06107">
      <w:pPr>
        <w:pStyle w:val="ListParagraph"/>
        <w:numPr>
          <w:ilvl w:val="0"/>
          <w:numId w:val="1"/>
        </w:numPr>
      </w:pPr>
      <w:r>
        <w:t>Qualitative dat</w:t>
      </w:r>
      <w:r w:rsidR="008C51F6">
        <w:t>a</w:t>
      </w:r>
      <w:r>
        <w:t xml:space="preserve"> </w:t>
      </w:r>
      <w:r w:rsidR="000D5388">
        <w:t xml:space="preserve">can illuminate the nuanced emotional, organisational and cultural factors influencing officers’ help-seeking </w:t>
      </w:r>
      <w:r w:rsidR="00832FDD">
        <w:t>behaviours</w:t>
      </w:r>
      <w:r w:rsidR="000D5388">
        <w:t>.</w:t>
      </w:r>
    </w:p>
    <w:p w14:paraId="09CF702F" w14:textId="0982F35C" w:rsidR="00832FDD" w:rsidRDefault="000D5388" w:rsidP="00832FDD">
      <w:r>
        <w:t xml:space="preserve">This philosophical </w:t>
      </w:r>
      <w:r w:rsidR="00832FDD">
        <w:t xml:space="preserve">position therefore justifies the use of a mixed-methods design, enabling the research to address the practical realities of trauma in policing through a combination of </w:t>
      </w:r>
      <w:r w:rsidR="008C51F6">
        <w:t>width</w:t>
      </w:r>
      <w:r w:rsidR="00832FDD">
        <w:t xml:space="preserve"> </w:t>
      </w:r>
      <w:r w:rsidR="008C51F6">
        <w:t>and</w:t>
      </w:r>
      <w:r w:rsidR="00832FDD">
        <w:t xml:space="preserve"> depth </w:t>
      </w:r>
      <w:r w:rsidR="00832FDD" w:rsidRPr="00832FDD">
        <w:t>(Saunders, Lewis and Thornhill, 2019)</w:t>
      </w:r>
      <w:r w:rsidR="00832FDD">
        <w:t>.</w:t>
      </w:r>
    </w:p>
    <w:p w14:paraId="74B1D279" w14:textId="77777777" w:rsidR="00832FDD" w:rsidRPr="00FE3F9A" w:rsidRDefault="00832FDD" w:rsidP="00832FDD">
      <w:pPr>
        <w:rPr>
          <w:u w:val="single"/>
        </w:rPr>
      </w:pPr>
    </w:p>
    <w:p w14:paraId="29303CFD" w14:textId="6C42F9CA" w:rsidR="00832FDD" w:rsidRPr="00FE3F9A" w:rsidRDefault="00832FDD" w:rsidP="00832FDD">
      <w:pPr>
        <w:rPr>
          <w:u w:val="single"/>
        </w:rPr>
      </w:pPr>
      <w:r w:rsidRPr="00FE3F9A">
        <w:rPr>
          <w:u w:val="single"/>
        </w:rPr>
        <w:t xml:space="preserve">3.3 Research design </w:t>
      </w:r>
    </w:p>
    <w:p w14:paraId="29F6723D" w14:textId="4DF7FDFD" w:rsidR="000B5035" w:rsidRDefault="00FF6E71" w:rsidP="00832FDD">
      <w:r>
        <w:t xml:space="preserve">This study employs a mixed-methods questionnaire to gather both numerical data and personal narrative. The quantitative strand includes Likert-scale questions designed to measure how often officers encounter traumatic incidents, their wellbeing, and their views on how accessible and effective organisational support services are. In contrast, the </w:t>
      </w:r>
      <w:r w:rsidR="008C51F6">
        <w:t>qualitative</w:t>
      </w:r>
      <w:r>
        <w:t xml:space="preserve"> element </w:t>
      </w:r>
      <w:r w:rsidR="008C51F6">
        <w:t xml:space="preserve">is </w:t>
      </w:r>
      <w:r>
        <w:t>comprise</w:t>
      </w:r>
      <w:r w:rsidR="008C51F6">
        <w:t>d</w:t>
      </w:r>
      <w:r>
        <w:t xml:space="preserve"> of open-ended questions which have been utilised </w:t>
      </w:r>
      <w:r>
        <w:lastRenderedPageBreak/>
        <w:t xml:space="preserve">to encourage responses of </w:t>
      </w:r>
      <w:r w:rsidR="000B5035">
        <w:t>officer’s</w:t>
      </w:r>
      <w:r>
        <w:t xml:space="preserve"> </w:t>
      </w:r>
      <w:r w:rsidR="000B5035">
        <w:t>work experiences and insights to the barriers</w:t>
      </w:r>
      <w:r w:rsidR="008C51F6">
        <w:t xml:space="preserve">, </w:t>
      </w:r>
      <w:r w:rsidR="000B5035">
        <w:t xml:space="preserve">attitudes and cultures towards mental health. </w:t>
      </w:r>
    </w:p>
    <w:p w14:paraId="0D93CFB0" w14:textId="3DD7BAD6" w:rsidR="000B5035" w:rsidRDefault="000B5035" w:rsidP="00832FDD">
      <w:r>
        <w:t xml:space="preserve">Overall, this combined approach enhances the depth and validity of the findings by identifying general patterns and officers’ individual experiences. Additionally, mixed-method questionnaires are particularly advantageous in policing research, as they capture emotional and organisational complexities that cannot be captured through quantitative measures alone (Tashakkori and Teddlie, 2010). </w:t>
      </w:r>
    </w:p>
    <w:p w14:paraId="4FE2FF50" w14:textId="77777777" w:rsidR="000B5035" w:rsidRDefault="000B5035" w:rsidP="00832FDD"/>
    <w:p w14:paraId="362E054B" w14:textId="2984300E" w:rsidR="000B5035" w:rsidRPr="007C2770" w:rsidRDefault="000B5035" w:rsidP="00832FDD">
      <w:pPr>
        <w:rPr>
          <w:u w:val="single"/>
        </w:rPr>
      </w:pPr>
      <w:r w:rsidRPr="007C2770">
        <w:rPr>
          <w:u w:val="single"/>
        </w:rPr>
        <w:t>3.4 Sampling Strategy</w:t>
      </w:r>
    </w:p>
    <w:p w14:paraId="54CCD5E4" w14:textId="77777777" w:rsidR="002217EC" w:rsidRDefault="006C3296" w:rsidP="000D5388">
      <w:r>
        <w:t>A non-probability convenience sampling strategy is adopted for this study. This</w:t>
      </w:r>
      <w:r w:rsidR="009915F1">
        <w:t xml:space="preserve"> method is widely used to conduct policing research where access to specific roles or operational groups is restricted by organisational structures and operational demands (Bryman, 2016).</w:t>
      </w:r>
      <w:r w:rsidR="002217EC">
        <w:t xml:space="preserve"> The </w:t>
      </w:r>
      <w:r w:rsidR="00232577">
        <w:t xml:space="preserve">Gwent Police intranet will be utilised to distribute the </w:t>
      </w:r>
      <w:r w:rsidR="004D62BC">
        <w:t xml:space="preserve">questionnaire, as this will provide operational police staff </w:t>
      </w:r>
      <w:r w:rsidR="002217EC">
        <w:t xml:space="preserve">across the police force </w:t>
      </w:r>
      <w:r w:rsidR="004D62BC">
        <w:t>straightforward access.</w:t>
      </w:r>
      <w:r w:rsidR="00493D91">
        <w:t xml:space="preserve"> </w:t>
      </w:r>
    </w:p>
    <w:p w14:paraId="6C9C1E31" w14:textId="46E9827D" w:rsidR="002217EC" w:rsidRPr="002217EC" w:rsidRDefault="002217EC" w:rsidP="002217EC">
      <w:r>
        <w:t xml:space="preserve">The participation for this study will be restricted to operational police officers and Police Community Support Officers (PCSOs), as these roles routinely deal with traumatic incidents and therefore directly align with the aims and focus of this study. </w:t>
      </w:r>
      <w:r>
        <w:t>Although the precise number of eligible participants cannot be predetermined, the intranet distribution methods enable the study to reach the broadest possible operational audiences within the available time scale.</w:t>
      </w:r>
      <w:r>
        <w:t xml:space="preserve"> This approach is the most appropriate in this organisational context, </w:t>
      </w:r>
      <w:r>
        <w:t>as the operational realties of policing often render probability-based sampling methods impractica</w:t>
      </w:r>
      <w:r>
        <w:t xml:space="preserve">l and where the digital dissemination facilitates access to geographically dispersed teams </w:t>
      </w:r>
      <w:r w:rsidRPr="002217EC">
        <w:t>(Saunders, Lewis and Thornhill, 2019)</w:t>
      </w:r>
      <w:r w:rsidR="00A90EC8">
        <w:t>.</w:t>
      </w:r>
    </w:p>
    <w:p w14:paraId="6CAA9047" w14:textId="2766911F" w:rsidR="00D04C69" w:rsidRDefault="002217EC" w:rsidP="000D5388">
      <w:r>
        <w:t>The participants must</w:t>
      </w:r>
      <w:r w:rsidR="00007622">
        <w:t xml:space="preserve"> meet criteria in order to be eligible. They must be currently serving operational officers or PCSOs within Gwent Police, be aged 18 years or over, and provide consent. The administrative and civilian staff within Gwent Police are automatically excluded as their roles fall outside of the scope of this study’s research.</w:t>
      </w:r>
    </w:p>
    <w:p w14:paraId="5C5FC6B7" w14:textId="0B080B7F" w:rsidR="00007622" w:rsidRDefault="00021414" w:rsidP="000D5388">
      <w:r>
        <w:t xml:space="preserve">While convenience sampling inherently restricts the generalisability of the findings, the study has limited this </w:t>
      </w:r>
      <w:r w:rsidR="007C2770">
        <w:t>b</w:t>
      </w:r>
      <w:r>
        <w:t xml:space="preserve">y </w:t>
      </w:r>
      <w:r w:rsidR="007C2770">
        <w:t>actively</w:t>
      </w:r>
      <w:r>
        <w:t xml:space="preserve"> encouraging participation </w:t>
      </w:r>
      <w:r w:rsidR="007C2770">
        <w:t>fro</w:t>
      </w:r>
      <w:r>
        <w:t xml:space="preserve">m officers representing diverse </w:t>
      </w:r>
      <w:r w:rsidR="007C2770">
        <w:t>operational</w:t>
      </w:r>
      <w:r>
        <w:t xml:space="preserve"> roles, lengths of service, and demographic characteristics, such an approach is appropriate for an exploratory study, where the emphasis is placed on generating rich, varied </w:t>
      </w:r>
      <w:r w:rsidR="007C2770">
        <w:t>insights</w:t>
      </w:r>
      <w:r>
        <w:t xml:space="preserve"> over achieving </w:t>
      </w:r>
      <w:r w:rsidR="007C2770">
        <w:t xml:space="preserve">statistical </w:t>
      </w:r>
      <w:r>
        <w:t>representativeness.</w:t>
      </w:r>
    </w:p>
    <w:p w14:paraId="7A4FE588" w14:textId="77777777" w:rsidR="007C2770" w:rsidRDefault="007C2770" w:rsidP="000D5388"/>
    <w:p w14:paraId="75E48C1F" w14:textId="7CE71E73" w:rsidR="004725DE" w:rsidRPr="009459B4" w:rsidRDefault="004725DE" w:rsidP="000D5388">
      <w:pPr>
        <w:rPr>
          <w:u w:val="single"/>
        </w:rPr>
      </w:pPr>
      <w:r w:rsidRPr="009459B4">
        <w:rPr>
          <w:u w:val="single"/>
        </w:rPr>
        <w:t>3.</w:t>
      </w:r>
      <w:r w:rsidR="009459B4" w:rsidRPr="009459B4">
        <w:rPr>
          <w:u w:val="single"/>
        </w:rPr>
        <w:t>5</w:t>
      </w:r>
      <w:r w:rsidRPr="009459B4">
        <w:rPr>
          <w:u w:val="single"/>
        </w:rPr>
        <w:t xml:space="preserve"> Data collection procedure</w:t>
      </w:r>
    </w:p>
    <w:p w14:paraId="2F976147" w14:textId="542628B8" w:rsidR="009459B4" w:rsidRDefault="004725DE" w:rsidP="009459B4">
      <w:r>
        <w:lastRenderedPageBreak/>
        <w:t>This study will obtain all data through an anonymous online questionnaire, which is available through the Gwent Police secure Intranet page, that only those employed by Gwent Police ha</w:t>
      </w:r>
      <w:r w:rsidR="00A90EC8">
        <w:t>ve</w:t>
      </w:r>
      <w:r>
        <w:t xml:space="preserve"> access</w:t>
      </w:r>
      <w:r w:rsidR="00A90EC8">
        <w:t xml:space="preserve"> to</w:t>
      </w:r>
      <w:r>
        <w:t xml:space="preserve">. The questionnaire being disseminated online offers several advantages especially when highlighting sensitive topics, it increases </w:t>
      </w:r>
      <w:r w:rsidR="009459B4">
        <w:t>convenience</w:t>
      </w:r>
      <w:r>
        <w:t xml:space="preserve"> for users, enhances anonymity, and reduces pressure on participants to provide socially desirable responses (</w:t>
      </w:r>
      <w:r w:rsidR="009459B4" w:rsidRPr="009459B4">
        <w:t>Wright, 2005)</w:t>
      </w:r>
      <w:r w:rsidR="009459B4">
        <w:t>.</w:t>
      </w:r>
    </w:p>
    <w:p w14:paraId="1D66426D" w14:textId="00CCD155" w:rsidR="009459B4" w:rsidRDefault="009459B4" w:rsidP="009459B4">
      <w:r>
        <w:t>The questionnaire will first populate an information statement outlining the purpose of the study, explaining the voluntary nature of participation and the participants right to withdraw before submission. The participants consent will be implied through the continuation past the information page.</w:t>
      </w:r>
    </w:p>
    <w:p w14:paraId="6172E6C5" w14:textId="000F7DFF" w:rsidR="009459B4" w:rsidRDefault="009459B4" w:rsidP="009459B4">
      <w:r>
        <w:t xml:space="preserve">The online questionnaire considers that the target audience work across varying shift patterns and have differing operational demands and therefore, the questionnaire will remain open for a predefined period, to allow for the maximum participation. </w:t>
      </w:r>
    </w:p>
    <w:p w14:paraId="17F3A7CC" w14:textId="77777777" w:rsidR="009459B4" w:rsidRDefault="009459B4" w:rsidP="009459B4"/>
    <w:p w14:paraId="0B944604" w14:textId="292F76E5" w:rsidR="009459B4" w:rsidRPr="00692154" w:rsidRDefault="009459B4" w:rsidP="009459B4">
      <w:pPr>
        <w:rPr>
          <w:u w:val="single"/>
        </w:rPr>
      </w:pPr>
      <w:r w:rsidRPr="00692154">
        <w:rPr>
          <w:u w:val="single"/>
        </w:rPr>
        <w:t>3.6 Research Tools</w:t>
      </w:r>
    </w:p>
    <w:p w14:paraId="648CF9BE" w14:textId="02C0537A" w:rsidR="009459B4" w:rsidRDefault="00274B01" w:rsidP="009459B4">
      <w:r>
        <w:t>The first section of the online questionnaire seek</w:t>
      </w:r>
      <w:r w:rsidR="00981E29">
        <w:t xml:space="preserve">s </w:t>
      </w:r>
      <w:r>
        <w:t>to obtain demographic information including, age range, gender, length of service, and operational role. Identifying these variables enables the identification of any trends and differences surrounding the exposure of trauma and wellbeing outcomes across participant groups, supporting contextual interpretation of the findings.</w:t>
      </w:r>
    </w:p>
    <w:p w14:paraId="26399473" w14:textId="6DBBE367" w:rsidR="002168F2" w:rsidRDefault="00981E29" w:rsidP="002168F2">
      <w:r>
        <w:t>The quantitative data w</w:t>
      </w:r>
      <w:r w:rsidR="00A90EC8">
        <w:t>as</w:t>
      </w:r>
      <w:r>
        <w:t xml:space="preserve"> obtained through</w:t>
      </w:r>
      <w:r w:rsidR="00274B01">
        <w:t xml:space="preserve"> Likert-scale </w:t>
      </w:r>
      <w:r w:rsidR="00A90EC8">
        <w:t>questions,</w:t>
      </w:r>
      <w:r w:rsidR="002168F2">
        <w:t xml:space="preserve"> measuring key variables such as frequency of exposure to distressing incidents, psychological strain and perceptions of the organisational support. Likert scales </w:t>
      </w:r>
      <w:r>
        <w:t>provide</w:t>
      </w:r>
      <w:r w:rsidR="002168F2">
        <w:t xml:space="preserve"> quantifiable data whilst allowing participants to expressing varying degrees of agreement or experience. This method is commonly used for both organisational and mental health research </w:t>
      </w:r>
      <w:r w:rsidR="002168F2" w:rsidRPr="002168F2">
        <w:t>(Allen and Seaman, 2007)</w:t>
      </w:r>
      <w:r w:rsidR="002168F2">
        <w:t>.</w:t>
      </w:r>
    </w:p>
    <w:p w14:paraId="55CD56B7" w14:textId="646C08FE" w:rsidR="00981E29" w:rsidRDefault="00981E29" w:rsidP="002168F2">
      <w:r>
        <w:t xml:space="preserve">Qualitative open-ended questions allowed participants to elaborate on personal experiences, clarify quantitative responses and reflect on the organisational culture. These questions are more appropriate when approaching sensitive topics, enabling depth rather than </w:t>
      </w:r>
      <w:r w:rsidR="00A90EC8">
        <w:t xml:space="preserve">a </w:t>
      </w:r>
      <w:r>
        <w:t>fixed-response formats (Wheeldon, 2010).</w:t>
      </w:r>
    </w:p>
    <w:p w14:paraId="2B6AD539" w14:textId="77777777" w:rsidR="00FE3F9A" w:rsidRPr="005F5926" w:rsidRDefault="00FE3F9A" w:rsidP="000D5388">
      <w:pPr>
        <w:rPr>
          <w:u w:val="single"/>
        </w:rPr>
      </w:pPr>
    </w:p>
    <w:p w14:paraId="0068456F" w14:textId="00DBC816" w:rsidR="00692154" w:rsidRPr="005F5926" w:rsidRDefault="00692154" w:rsidP="000D5388">
      <w:pPr>
        <w:rPr>
          <w:u w:val="single"/>
        </w:rPr>
      </w:pPr>
      <w:r w:rsidRPr="005F5926">
        <w:rPr>
          <w:u w:val="single"/>
        </w:rPr>
        <w:t>3.7 Data Analysis</w:t>
      </w:r>
    </w:p>
    <w:p w14:paraId="76346172" w14:textId="5D3A31EB" w:rsidR="00692154" w:rsidRDefault="00AC6338" w:rsidP="000D5388">
      <w:r>
        <w:t xml:space="preserve">The </w:t>
      </w:r>
      <w:r w:rsidR="005F5926">
        <w:t>qualitative</w:t>
      </w:r>
      <w:r>
        <w:t xml:space="preserve"> date from the Likert-scale questions were analyses by looking at simple patterns in the responses, such as how often certain answers were selected and average scores for key questions. This assisted with identifying trends in trauma exposure, wellbeing and views on support services.</w:t>
      </w:r>
    </w:p>
    <w:p w14:paraId="04DB3ED5" w14:textId="24CAF895" w:rsidR="00AC6338" w:rsidRDefault="00AC6338" w:rsidP="000D5388">
      <w:r>
        <w:lastRenderedPageBreak/>
        <w:t>The qualitative responses were analys</w:t>
      </w:r>
      <w:r w:rsidR="00A90EC8">
        <w:t>ed</w:t>
      </w:r>
      <w:r>
        <w:t xml:space="preserve"> by reading through participants’ written responses and recognising common themes. This allowed recurring issues, such as barriers to seeking support or perceptions of organisational culture, to be regrouped and explored in detail.</w:t>
      </w:r>
    </w:p>
    <w:p w14:paraId="1F3CE3D8" w14:textId="0A653EC9" w:rsidR="00AC6338" w:rsidRDefault="00AC6338" w:rsidP="000D5388">
      <w:r>
        <w:t>Both types of data have allowed for a clearer understanding of the topic, as numerical trends were supported by officers own explanations and views.</w:t>
      </w:r>
    </w:p>
    <w:p w14:paraId="7E549ADC" w14:textId="77777777" w:rsidR="00AC6338" w:rsidRPr="005F5926" w:rsidRDefault="00AC6338" w:rsidP="000D5388">
      <w:pPr>
        <w:rPr>
          <w:u w:val="single"/>
        </w:rPr>
      </w:pPr>
    </w:p>
    <w:p w14:paraId="56DF3FF6" w14:textId="0B1FE00D" w:rsidR="00AC6338" w:rsidRPr="005F5926" w:rsidRDefault="00AC6338" w:rsidP="000D5388">
      <w:pPr>
        <w:rPr>
          <w:u w:val="single"/>
        </w:rPr>
      </w:pPr>
      <w:r w:rsidRPr="005F5926">
        <w:rPr>
          <w:u w:val="single"/>
        </w:rPr>
        <w:t>3.8 Ethical Considerations</w:t>
      </w:r>
    </w:p>
    <w:p w14:paraId="7F916E48" w14:textId="4677A7F8" w:rsidR="00AC6338" w:rsidRDefault="005F5926" w:rsidP="000D5388">
      <w:r>
        <w:t>Ethical approval for this study was granted through the university’s formal ethics process prior to the data collection. Research was conducted in line with recognised ethical guidelines to ensure participants were treated with respect and responsibly.</w:t>
      </w:r>
    </w:p>
    <w:p w14:paraId="5EDC7C0E" w14:textId="779F06D3" w:rsidR="00D72AB4" w:rsidRDefault="005F5926" w:rsidP="00D72AB4">
      <w:r>
        <w:t>The start of the questionnaire explains the studies purpose and that participation is consensual and voluntary. Participants were advised that they could withdraw at any point prior to submission without penalty.</w:t>
      </w:r>
    </w:p>
    <w:p w14:paraId="2FA7633D" w14:textId="287CB31B" w:rsidR="005F5926" w:rsidRDefault="005F5926" w:rsidP="00D72AB4">
      <w:r>
        <w:t>The study ensures that anonymity and confidentiality is maintained throughout, none of the data included identifiable information.</w:t>
      </w:r>
    </w:p>
    <w:p w14:paraId="383CE292" w14:textId="58EFDD45" w:rsidR="005F5926" w:rsidRDefault="005F5926" w:rsidP="00D72AB4">
      <w:r>
        <w:t>In line with university guidelines, all data was safely protected and stored on a password protected device accessible only to the researcher and all data will be destroyed following the completion of the dissertation.</w:t>
      </w:r>
    </w:p>
    <w:p w14:paraId="350F2ED4" w14:textId="37496B43" w:rsidR="005F5926" w:rsidRDefault="005F5926" w:rsidP="00D72AB4">
      <w:r>
        <w:t>Given the sensitive nature of the topic, participants were signposted to relevant wellbeing services at the end of the questionnaire should any distress arise.</w:t>
      </w:r>
    </w:p>
    <w:p w14:paraId="42EB8C2A" w14:textId="77777777" w:rsidR="005F5926" w:rsidRDefault="005F5926" w:rsidP="00D72AB4"/>
    <w:p w14:paraId="1B668546" w14:textId="73C8B083" w:rsidR="005F5926" w:rsidRPr="005F5926" w:rsidRDefault="005F5926" w:rsidP="00D72AB4">
      <w:pPr>
        <w:rPr>
          <w:b/>
          <w:bCs/>
        </w:rPr>
      </w:pPr>
      <w:r w:rsidRPr="005F5926">
        <w:rPr>
          <w:b/>
          <w:bCs/>
        </w:rPr>
        <w:t>Word count – 117</w:t>
      </w:r>
      <w:r w:rsidR="00A90EC8">
        <w:rPr>
          <w:b/>
          <w:bCs/>
        </w:rPr>
        <w:t>3</w:t>
      </w:r>
    </w:p>
    <w:p w14:paraId="2B20ECAA" w14:textId="77777777" w:rsidR="005F5926" w:rsidRDefault="005F5926" w:rsidP="00D72AB4"/>
    <w:p w14:paraId="5D921048" w14:textId="77777777" w:rsidR="005F5926" w:rsidRPr="005F5926" w:rsidRDefault="005F5926" w:rsidP="005F5926">
      <w:pPr>
        <w:rPr>
          <w:b/>
          <w:bCs/>
        </w:rPr>
      </w:pPr>
      <w:r w:rsidRPr="005F5926">
        <w:rPr>
          <w:b/>
          <w:bCs/>
        </w:rPr>
        <w:t>Reference list</w:t>
      </w:r>
    </w:p>
    <w:p w14:paraId="47878A06" w14:textId="77777777" w:rsidR="005F5926" w:rsidRPr="005F5926" w:rsidRDefault="005F5926" w:rsidP="005F5926">
      <w:r w:rsidRPr="005F5926">
        <w:t xml:space="preserve">Allen, E. and Seaman, C. (2007). </w:t>
      </w:r>
      <w:r w:rsidRPr="005F5926">
        <w:rPr>
          <w:i/>
          <w:iCs/>
        </w:rPr>
        <w:t>Likert Scales and Data Analyses</w:t>
      </w:r>
      <w:r w:rsidRPr="005F5926">
        <w:t xml:space="preserve">. [online] </w:t>
      </w:r>
      <w:r w:rsidRPr="005F5926">
        <w:rPr>
          <w:i/>
          <w:iCs/>
        </w:rPr>
        <w:t>quality progress</w:t>
      </w:r>
      <w:r w:rsidRPr="005F5926">
        <w:t>, pp.64–65. Available at: https://www.bayviewanalytics.com/reports/asq/likert-scales-and-data-analyses.pdf.</w:t>
      </w:r>
    </w:p>
    <w:p w14:paraId="35C6F4C0" w14:textId="77777777" w:rsidR="005F5926" w:rsidRPr="005F5926" w:rsidRDefault="005F5926" w:rsidP="005F5926">
      <w:r w:rsidRPr="005F5926">
        <w:t xml:space="preserve">Bryman, A. (2016). </w:t>
      </w:r>
      <w:r w:rsidRPr="005F5926">
        <w:rPr>
          <w:i/>
          <w:iCs/>
        </w:rPr>
        <w:t>Social Research Methods</w:t>
      </w:r>
      <w:r w:rsidRPr="005F5926">
        <w:t xml:space="preserve">. 5th ed. </w:t>
      </w:r>
      <w:r w:rsidRPr="005F5926">
        <w:rPr>
          <w:i/>
          <w:iCs/>
        </w:rPr>
        <w:t>Google Books</w:t>
      </w:r>
      <w:r w:rsidRPr="005F5926">
        <w:t>. Oxford University Press.</w:t>
      </w:r>
    </w:p>
    <w:p w14:paraId="2CA84B29" w14:textId="77777777" w:rsidR="005F5926" w:rsidRPr="005F5926" w:rsidRDefault="005F5926" w:rsidP="005F5926">
      <w:r w:rsidRPr="005F5926">
        <w:t xml:space="preserve">Johnson, R.B. and Onwuegbuzie, A.J. (2004). Mixed Methods research: a Research Paradigm Whose Time Has Come. </w:t>
      </w:r>
      <w:r w:rsidRPr="005F5926">
        <w:rPr>
          <w:i/>
          <w:iCs/>
        </w:rPr>
        <w:t>Educational Researcher</w:t>
      </w:r>
      <w:r w:rsidRPr="005F5926">
        <w:t>, 33(7), pp.14–26. doi:https://doi.org/10.3102/0013189X033007014.</w:t>
      </w:r>
    </w:p>
    <w:p w14:paraId="4F581C77" w14:textId="77777777" w:rsidR="005F5926" w:rsidRPr="005F5926" w:rsidRDefault="005F5926" w:rsidP="005F5926">
      <w:r w:rsidRPr="005F5926">
        <w:lastRenderedPageBreak/>
        <w:t xml:space="preserve">Saunders, M.N.K., Lewis, P. and Thornhill, A. (2019). </w:t>
      </w:r>
      <w:r w:rsidRPr="005F5926">
        <w:rPr>
          <w:i/>
          <w:iCs/>
        </w:rPr>
        <w:t>Research Methods for Business Students ebook</w:t>
      </w:r>
      <w:r w:rsidRPr="005F5926">
        <w:t>. [online] elibrary.pearson.de. Available at: https://elibrary.pearson.de/book/99.150005/9781292208794.</w:t>
      </w:r>
    </w:p>
    <w:p w14:paraId="0248E065" w14:textId="77777777" w:rsidR="005F5926" w:rsidRPr="005F5926" w:rsidRDefault="005F5926" w:rsidP="005F5926">
      <w:r w:rsidRPr="005F5926">
        <w:t xml:space="preserve">Tashakkori, A. and Teddlie, C. (2010). Putting the Human Back in ‘“Human Research Methodology”’: The Researcher in Mixed Methods Research. </w:t>
      </w:r>
      <w:r w:rsidRPr="005F5926">
        <w:rPr>
          <w:i/>
          <w:iCs/>
        </w:rPr>
        <w:t>Journal of Mixed Methods Research</w:t>
      </w:r>
      <w:r w:rsidRPr="005F5926">
        <w:t>, [online] 4(4), pp.271–277. doi:https://doi.org/10.1177/1558689810382532.</w:t>
      </w:r>
    </w:p>
    <w:p w14:paraId="40D52A07" w14:textId="77777777" w:rsidR="005F5926" w:rsidRPr="005F5926" w:rsidRDefault="005F5926" w:rsidP="005F5926">
      <w:r w:rsidRPr="005F5926">
        <w:t xml:space="preserve">Wheeldon, J. (2010). Mapping Mixed Methods Research: Methods, Measures, and Meaning. </w:t>
      </w:r>
      <w:r w:rsidRPr="005F5926">
        <w:rPr>
          <w:i/>
          <w:iCs/>
        </w:rPr>
        <w:t>Journal of Mixed Methods Research</w:t>
      </w:r>
      <w:r w:rsidRPr="005F5926">
        <w:t>, 4(2), pp.87–102. doi:https://doi.org/10.1177/1558689809358755.</w:t>
      </w:r>
    </w:p>
    <w:p w14:paraId="4CBA363F" w14:textId="77777777" w:rsidR="005F5926" w:rsidRPr="005F5926" w:rsidRDefault="005F5926" w:rsidP="005F5926">
      <w:r w:rsidRPr="005F5926">
        <w:t xml:space="preserve">Wright, K.B. (2005). Researching Internet-Based Populations: Advantages and Disadvantages of Online Survey Research, Online Questionnaire Authoring Software Packages, and Web Survey Services. </w:t>
      </w:r>
      <w:r w:rsidRPr="005F5926">
        <w:rPr>
          <w:i/>
          <w:iCs/>
        </w:rPr>
        <w:t>Journal of Computer-Mediated Communication</w:t>
      </w:r>
      <w:r w:rsidRPr="005F5926">
        <w:t>, [online] 10(3). doi:https://doi.org/10.1111/j.1083-6101.2005.tb00259.x.</w:t>
      </w:r>
    </w:p>
    <w:p w14:paraId="4F3E047B" w14:textId="77777777" w:rsidR="007E7FE2" w:rsidRDefault="007E7FE2" w:rsidP="005F5926"/>
    <w:sectPr w:rsidR="007E7F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C40AA1"/>
    <w:multiLevelType w:val="hybridMultilevel"/>
    <w:tmpl w:val="4A52A18C"/>
    <w:lvl w:ilvl="0" w:tplc="3B64B57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0458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D45"/>
    <w:rsid w:val="00004C88"/>
    <w:rsid w:val="00007622"/>
    <w:rsid w:val="00021414"/>
    <w:rsid w:val="00045745"/>
    <w:rsid w:val="000B5035"/>
    <w:rsid w:val="000B7D45"/>
    <w:rsid w:val="000D5388"/>
    <w:rsid w:val="000E205D"/>
    <w:rsid w:val="002168F2"/>
    <w:rsid w:val="002217EC"/>
    <w:rsid w:val="00232577"/>
    <w:rsid w:val="00274B01"/>
    <w:rsid w:val="002B4937"/>
    <w:rsid w:val="004725DE"/>
    <w:rsid w:val="00493D91"/>
    <w:rsid w:val="004D62BC"/>
    <w:rsid w:val="005222CF"/>
    <w:rsid w:val="005A2660"/>
    <w:rsid w:val="005F5926"/>
    <w:rsid w:val="00612D6E"/>
    <w:rsid w:val="00626DAB"/>
    <w:rsid w:val="00692154"/>
    <w:rsid w:val="00694E75"/>
    <w:rsid w:val="006C3296"/>
    <w:rsid w:val="006F7BAD"/>
    <w:rsid w:val="00751D88"/>
    <w:rsid w:val="007A0102"/>
    <w:rsid w:val="007C2770"/>
    <w:rsid w:val="007E7FE2"/>
    <w:rsid w:val="0080611F"/>
    <w:rsid w:val="00832FDD"/>
    <w:rsid w:val="008A0E29"/>
    <w:rsid w:val="008A7F02"/>
    <w:rsid w:val="008C51F6"/>
    <w:rsid w:val="0090076B"/>
    <w:rsid w:val="009459B4"/>
    <w:rsid w:val="00981E29"/>
    <w:rsid w:val="009915F1"/>
    <w:rsid w:val="00A13666"/>
    <w:rsid w:val="00A21842"/>
    <w:rsid w:val="00A90EC8"/>
    <w:rsid w:val="00A9433C"/>
    <w:rsid w:val="00AB735A"/>
    <w:rsid w:val="00AC6338"/>
    <w:rsid w:val="00AF62A8"/>
    <w:rsid w:val="00B00C2D"/>
    <w:rsid w:val="00B9552E"/>
    <w:rsid w:val="00BA4E4E"/>
    <w:rsid w:val="00D04C69"/>
    <w:rsid w:val="00D306F6"/>
    <w:rsid w:val="00D72AB4"/>
    <w:rsid w:val="00DB5AD7"/>
    <w:rsid w:val="00DD03C6"/>
    <w:rsid w:val="00E06107"/>
    <w:rsid w:val="00EB5785"/>
    <w:rsid w:val="00EE2DB3"/>
    <w:rsid w:val="00EE5387"/>
    <w:rsid w:val="00FE2F19"/>
    <w:rsid w:val="00FE3F9A"/>
    <w:rsid w:val="00FF6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5AB40"/>
  <w15:chartTrackingRefBased/>
  <w15:docId w15:val="{3AC74755-7F12-423A-B11C-EC8176937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D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D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7D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D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D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D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D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D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D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D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D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7D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D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D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D45"/>
    <w:rPr>
      <w:rFonts w:eastAsiaTheme="majorEastAsia" w:cstheme="majorBidi"/>
      <w:color w:val="272727" w:themeColor="text1" w:themeTint="D8"/>
    </w:rPr>
  </w:style>
  <w:style w:type="paragraph" w:styleId="Title">
    <w:name w:val="Title"/>
    <w:basedOn w:val="Normal"/>
    <w:next w:val="Normal"/>
    <w:link w:val="TitleChar"/>
    <w:uiPriority w:val="10"/>
    <w:qFormat/>
    <w:rsid w:val="000B7D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D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D45"/>
    <w:pPr>
      <w:spacing w:before="160"/>
      <w:jc w:val="center"/>
    </w:pPr>
    <w:rPr>
      <w:i/>
      <w:iCs/>
      <w:color w:val="404040" w:themeColor="text1" w:themeTint="BF"/>
    </w:rPr>
  </w:style>
  <w:style w:type="character" w:customStyle="1" w:styleId="QuoteChar">
    <w:name w:val="Quote Char"/>
    <w:basedOn w:val="DefaultParagraphFont"/>
    <w:link w:val="Quote"/>
    <w:uiPriority w:val="29"/>
    <w:rsid w:val="000B7D45"/>
    <w:rPr>
      <w:i/>
      <w:iCs/>
      <w:color w:val="404040" w:themeColor="text1" w:themeTint="BF"/>
    </w:rPr>
  </w:style>
  <w:style w:type="paragraph" w:styleId="ListParagraph">
    <w:name w:val="List Paragraph"/>
    <w:basedOn w:val="Normal"/>
    <w:uiPriority w:val="34"/>
    <w:qFormat/>
    <w:rsid w:val="000B7D45"/>
    <w:pPr>
      <w:ind w:left="720"/>
      <w:contextualSpacing/>
    </w:pPr>
  </w:style>
  <w:style w:type="character" w:styleId="IntenseEmphasis">
    <w:name w:val="Intense Emphasis"/>
    <w:basedOn w:val="DefaultParagraphFont"/>
    <w:uiPriority w:val="21"/>
    <w:qFormat/>
    <w:rsid w:val="000B7D45"/>
    <w:rPr>
      <w:i/>
      <w:iCs/>
      <w:color w:val="0F4761" w:themeColor="accent1" w:themeShade="BF"/>
    </w:rPr>
  </w:style>
  <w:style w:type="paragraph" w:styleId="IntenseQuote">
    <w:name w:val="Intense Quote"/>
    <w:basedOn w:val="Normal"/>
    <w:next w:val="Normal"/>
    <w:link w:val="IntenseQuoteChar"/>
    <w:uiPriority w:val="30"/>
    <w:qFormat/>
    <w:rsid w:val="000B7D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D45"/>
    <w:rPr>
      <w:i/>
      <w:iCs/>
      <w:color w:val="0F4761" w:themeColor="accent1" w:themeShade="BF"/>
    </w:rPr>
  </w:style>
  <w:style w:type="character" w:styleId="IntenseReference">
    <w:name w:val="Intense Reference"/>
    <w:basedOn w:val="DefaultParagraphFont"/>
    <w:uiPriority w:val="32"/>
    <w:qFormat/>
    <w:rsid w:val="000B7D45"/>
    <w:rPr>
      <w:b/>
      <w:bCs/>
      <w:smallCaps/>
      <w:color w:val="0F4761" w:themeColor="accent1" w:themeShade="BF"/>
      <w:spacing w:val="5"/>
    </w:rPr>
  </w:style>
  <w:style w:type="character" w:styleId="Hyperlink">
    <w:name w:val="Hyperlink"/>
    <w:basedOn w:val="DefaultParagraphFont"/>
    <w:uiPriority w:val="99"/>
    <w:unhideWhenUsed/>
    <w:rsid w:val="00DD03C6"/>
    <w:rPr>
      <w:color w:val="467886" w:themeColor="hyperlink"/>
      <w:u w:val="single"/>
    </w:rPr>
  </w:style>
  <w:style w:type="character" w:styleId="UnresolvedMention">
    <w:name w:val="Unresolved Mention"/>
    <w:basedOn w:val="DefaultParagraphFont"/>
    <w:uiPriority w:val="99"/>
    <w:semiHidden/>
    <w:unhideWhenUsed/>
    <w:rsid w:val="00DD03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13764</TotalTime>
  <Pages>5</Pages>
  <Words>1312</Words>
  <Characters>8820</Characters>
  <Application>Microsoft Office Word</Application>
  <DocSecurity>0</DocSecurity>
  <Lines>169</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Witcombe, Sophie</dc:creator>
  <cp:keywords/>
  <dc:description/>
  <cp:lastModifiedBy>Witcombe, Sophie</cp:lastModifiedBy>
  <cp:revision>35</cp:revision>
  <dcterms:created xsi:type="dcterms:W3CDTF">2025-12-02T01:08:00Z</dcterms:created>
  <dcterms:modified xsi:type="dcterms:W3CDTF">2025-12-14T22:00:00Z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2025-12-02T04:24:16Z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0e536c76-67da-4a4a-9744-2906cb7969a4</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