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3BBEEF" w14:textId="77777777" w:rsidR="00283DCB" w:rsidRDefault="003B5868" w:rsidP="009032EA">
      <w:pPr>
        <w:spacing w:beforeAutospacing="1" w:afterAutospacing="1" w:line="240" w:lineRule="auto"/>
        <w:jc w:val="both"/>
        <w:rPr>
          <w:rFonts w:ascii="Arial" w:eastAsia="Times New Roman" w:hAnsi="Arial" w:cs="Arial"/>
          <w:color w:val="000000" w:themeColor="text1"/>
          <w:lang w:eastAsia="en-IN"/>
        </w:rPr>
      </w:pPr>
      <w:r>
        <w:rPr>
          <w:rFonts w:ascii="Arial" w:eastAsia="Times New Roman" w:hAnsi="Arial" w:cs="Arial"/>
          <w:color w:val="000000" w:themeColor="text1"/>
          <w:lang w:eastAsia="en-IN"/>
        </w:rPr>
        <w:t> </w:t>
      </w:r>
    </w:p>
    <w:p w14:paraId="7A18D513" w14:textId="77777777" w:rsidR="00283DCB" w:rsidRDefault="003B5868" w:rsidP="009032EA">
      <w:pPr>
        <w:spacing w:beforeAutospacing="1" w:afterAutospacing="1" w:line="240" w:lineRule="auto"/>
        <w:jc w:val="both"/>
        <w:rPr>
          <w:rFonts w:ascii="Arial" w:eastAsia="Times New Roman" w:hAnsi="Arial" w:cs="Arial"/>
          <w:b/>
          <w:color w:val="000000" w:themeColor="text1"/>
          <w:lang w:eastAsia="en-IN"/>
        </w:rPr>
      </w:pPr>
      <w:r>
        <w:rPr>
          <w:rFonts w:ascii="Arial" w:eastAsia="Times New Roman" w:hAnsi="Arial" w:cs="Arial"/>
          <w:b/>
          <w:color w:val="000000" w:themeColor="text1"/>
          <w:lang w:eastAsia="en-IN"/>
        </w:rPr>
        <w:t>                                 </w:t>
      </w:r>
    </w:p>
    <w:p w14:paraId="25B33C94" w14:textId="77777777" w:rsidR="00283DCB" w:rsidRDefault="00283DCB" w:rsidP="009032EA">
      <w:pPr>
        <w:spacing w:beforeAutospacing="1" w:afterAutospacing="1" w:line="240" w:lineRule="auto"/>
        <w:jc w:val="both"/>
        <w:rPr>
          <w:rFonts w:ascii="Arial" w:eastAsia="Times New Roman" w:hAnsi="Arial" w:cs="Arial"/>
          <w:color w:val="000000" w:themeColor="text1"/>
          <w:lang w:eastAsia="en-IN"/>
        </w:rPr>
      </w:pPr>
    </w:p>
    <w:p w14:paraId="6827CB36" w14:textId="77777777" w:rsidR="00283DCB" w:rsidRDefault="00283DCB" w:rsidP="009032EA">
      <w:pPr>
        <w:spacing w:beforeAutospacing="1" w:afterAutospacing="1" w:line="240" w:lineRule="auto"/>
        <w:jc w:val="both"/>
        <w:rPr>
          <w:rFonts w:ascii="Arial" w:eastAsia="Times New Roman" w:hAnsi="Arial" w:cs="Arial"/>
          <w:b/>
          <w:color w:val="000000" w:themeColor="text1"/>
          <w:sz w:val="36"/>
          <w:szCs w:val="36"/>
          <w:lang w:eastAsia="en-IN"/>
        </w:rPr>
      </w:pPr>
    </w:p>
    <w:p w14:paraId="59ABC177" w14:textId="77777777" w:rsidR="00283DCB" w:rsidRDefault="00283DCB" w:rsidP="009032EA">
      <w:pPr>
        <w:spacing w:beforeAutospacing="1" w:afterAutospacing="1" w:line="240" w:lineRule="auto"/>
        <w:jc w:val="both"/>
        <w:rPr>
          <w:rFonts w:ascii="Arial" w:eastAsia="Times New Roman" w:hAnsi="Arial" w:cs="Arial"/>
          <w:b/>
          <w:color w:val="000000" w:themeColor="text1"/>
          <w:sz w:val="36"/>
          <w:szCs w:val="36"/>
          <w:lang w:eastAsia="en-IN"/>
        </w:rPr>
      </w:pPr>
    </w:p>
    <w:p w14:paraId="2D29CCD2" w14:textId="12351BA7" w:rsidR="00283DCB" w:rsidRPr="00AB1FAF" w:rsidRDefault="003B5868" w:rsidP="00AB1FAF">
      <w:pPr>
        <w:spacing w:beforeAutospacing="1" w:afterAutospacing="1" w:line="240" w:lineRule="auto"/>
        <w:jc w:val="center"/>
        <w:rPr>
          <w:rFonts w:ascii="Arial" w:eastAsia="Times New Roman" w:hAnsi="Arial" w:cs="Arial"/>
          <w:b/>
          <w:color w:val="000000" w:themeColor="text1"/>
          <w:sz w:val="48"/>
          <w:szCs w:val="48"/>
          <w:lang w:eastAsia="en-IN"/>
        </w:rPr>
      </w:pPr>
      <w:r w:rsidRPr="00AB1FAF">
        <w:rPr>
          <w:rFonts w:ascii="Arial" w:eastAsia="Times New Roman" w:hAnsi="Arial" w:cs="Arial"/>
          <w:b/>
          <w:color w:val="000000" w:themeColor="text1"/>
          <w:sz w:val="48"/>
          <w:szCs w:val="48"/>
          <w:lang w:eastAsia="en-IN"/>
        </w:rPr>
        <w:t>TASK 3</w:t>
      </w:r>
    </w:p>
    <w:p w14:paraId="1A729DE7" w14:textId="5C5BB6E7" w:rsidR="00AB1FAF" w:rsidRPr="00AB1FAF" w:rsidRDefault="00AB1FAF" w:rsidP="00AB1FAF">
      <w:pPr>
        <w:spacing w:beforeAutospacing="1" w:afterAutospacing="1" w:line="240" w:lineRule="auto"/>
        <w:jc w:val="center"/>
        <w:rPr>
          <w:rFonts w:ascii="Arial" w:eastAsia="Times New Roman" w:hAnsi="Arial" w:cs="Arial"/>
          <w:b/>
          <w:color w:val="000000" w:themeColor="text1"/>
          <w:sz w:val="48"/>
          <w:szCs w:val="48"/>
          <w:lang w:eastAsia="en-IN"/>
        </w:rPr>
      </w:pPr>
      <w:r w:rsidRPr="00AB1FAF">
        <w:rPr>
          <w:rFonts w:ascii="Arial" w:eastAsia="Times New Roman" w:hAnsi="Arial" w:cs="Arial"/>
          <w:b/>
          <w:color w:val="000000" w:themeColor="text1"/>
          <w:sz w:val="48"/>
          <w:szCs w:val="48"/>
          <w:lang w:eastAsia="en-IN"/>
        </w:rPr>
        <w:t>Professional Careers Development</w:t>
      </w:r>
    </w:p>
    <w:p w14:paraId="579C1D61" w14:textId="5D22CC19" w:rsidR="00AB1FAF" w:rsidRPr="00AB1FAF" w:rsidRDefault="00AB1FAF" w:rsidP="00AB1FAF">
      <w:pPr>
        <w:spacing w:beforeAutospacing="1" w:afterAutospacing="1" w:line="240" w:lineRule="auto"/>
        <w:jc w:val="center"/>
        <w:rPr>
          <w:rFonts w:ascii="Arial" w:eastAsia="Times New Roman" w:hAnsi="Arial" w:cs="Arial"/>
          <w:b/>
          <w:color w:val="000000" w:themeColor="text1"/>
          <w:sz w:val="48"/>
          <w:szCs w:val="48"/>
          <w:lang w:eastAsia="en-IN"/>
        </w:rPr>
      </w:pPr>
      <w:r w:rsidRPr="00AB1FAF">
        <w:rPr>
          <w:rFonts w:ascii="Arial" w:eastAsia="Times New Roman" w:hAnsi="Arial" w:cs="Arial"/>
          <w:b/>
          <w:color w:val="000000" w:themeColor="text1"/>
          <w:sz w:val="48"/>
          <w:szCs w:val="48"/>
          <w:lang w:eastAsia="en-IN"/>
        </w:rPr>
        <w:t>Naima Siddique</w:t>
      </w:r>
    </w:p>
    <w:p w14:paraId="1AFCB779" w14:textId="17E30241" w:rsidR="00AB1FAF" w:rsidRPr="00AB1FAF" w:rsidRDefault="00AB1FAF" w:rsidP="00AB1FAF">
      <w:pPr>
        <w:spacing w:beforeAutospacing="1" w:afterAutospacing="1" w:line="240" w:lineRule="auto"/>
        <w:jc w:val="center"/>
        <w:rPr>
          <w:rFonts w:ascii="Arial" w:eastAsia="Times New Roman" w:hAnsi="Arial" w:cs="Arial"/>
          <w:b/>
          <w:color w:val="000000" w:themeColor="text1"/>
          <w:sz w:val="48"/>
          <w:szCs w:val="48"/>
          <w:lang w:eastAsia="en-IN"/>
        </w:rPr>
      </w:pPr>
      <w:r w:rsidRPr="00AB1FAF">
        <w:rPr>
          <w:rFonts w:ascii="Arial" w:eastAsia="Times New Roman" w:hAnsi="Arial" w:cs="Arial"/>
          <w:b/>
          <w:color w:val="000000" w:themeColor="text1"/>
          <w:sz w:val="48"/>
          <w:szCs w:val="48"/>
          <w:lang w:eastAsia="en-IN"/>
        </w:rPr>
        <w:t>Student ID: 1911572</w:t>
      </w:r>
    </w:p>
    <w:p w14:paraId="7ADA4277" w14:textId="0842DF19" w:rsidR="00AB1FAF" w:rsidRDefault="00AB1FAF" w:rsidP="00AB1FAF">
      <w:pPr>
        <w:spacing w:beforeAutospacing="1" w:afterAutospacing="1" w:line="240" w:lineRule="auto"/>
        <w:jc w:val="center"/>
        <w:rPr>
          <w:rFonts w:ascii="Arial" w:eastAsia="Times New Roman" w:hAnsi="Arial" w:cs="Arial"/>
          <w:b/>
          <w:color w:val="000000" w:themeColor="text1"/>
          <w:sz w:val="48"/>
          <w:szCs w:val="48"/>
          <w:lang w:eastAsia="en-IN"/>
        </w:rPr>
      </w:pPr>
      <w:r w:rsidRPr="00AB1FAF">
        <w:rPr>
          <w:rFonts w:ascii="Arial" w:eastAsia="Times New Roman" w:hAnsi="Arial" w:cs="Arial"/>
          <w:b/>
          <w:color w:val="000000" w:themeColor="text1"/>
          <w:sz w:val="48"/>
          <w:szCs w:val="48"/>
          <w:lang w:eastAsia="en-IN"/>
        </w:rPr>
        <w:t>Module code: BMSW4005</w:t>
      </w:r>
    </w:p>
    <w:p w14:paraId="087581DA" w14:textId="02C67289" w:rsidR="00AB1FAF" w:rsidRPr="00AB1FAF" w:rsidRDefault="00AB1FAF" w:rsidP="00AB1FAF">
      <w:pPr>
        <w:spacing w:beforeAutospacing="1" w:afterAutospacing="1" w:line="240" w:lineRule="auto"/>
        <w:jc w:val="center"/>
        <w:rPr>
          <w:rFonts w:ascii="Arial" w:eastAsia="Times New Roman" w:hAnsi="Arial" w:cs="Arial"/>
          <w:b/>
          <w:color w:val="000000" w:themeColor="text1"/>
          <w:sz w:val="48"/>
          <w:szCs w:val="48"/>
          <w:lang w:eastAsia="en-IN"/>
        </w:rPr>
      </w:pPr>
      <w:r>
        <w:rPr>
          <w:rFonts w:ascii="Arial" w:eastAsia="Times New Roman" w:hAnsi="Arial" w:cs="Arial"/>
          <w:b/>
          <w:color w:val="000000" w:themeColor="text1"/>
          <w:sz w:val="48"/>
          <w:szCs w:val="48"/>
          <w:lang w:eastAsia="en-IN"/>
        </w:rPr>
        <w:t xml:space="preserve">Lecturer Name: Charles </w:t>
      </w:r>
      <w:proofErr w:type="spellStart"/>
      <w:r>
        <w:rPr>
          <w:rFonts w:ascii="Arial" w:eastAsia="Times New Roman" w:hAnsi="Arial" w:cs="Arial"/>
          <w:b/>
          <w:color w:val="000000" w:themeColor="text1"/>
          <w:sz w:val="48"/>
          <w:szCs w:val="48"/>
          <w:lang w:eastAsia="en-IN"/>
        </w:rPr>
        <w:t>Nimoh</w:t>
      </w:r>
      <w:proofErr w:type="spellEnd"/>
    </w:p>
    <w:p w14:paraId="37A35EEB" w14:textId="77777777" w:rsidR="00283DCB" w:rsidRDefault="00283DCB" w:rsidP="009032EA">
      <w:pPr>
        <w:spacing w:beforeAutospacing="1" w:afterAutospacing="1" w:line="240" w:lineRule="auto"/>
        <w:jc w:val="both"/>
        <w:rPr>
          <w:rFonts w:ascii="Arial" w:eastAsia="Times New Roman" w:hAnsi="Arial" w:cs="Arial"/>
          <w:b/>
          <w:color w:val="000000" w:themeColor="text1"/>
          <w:sz w:val="36"/>
          <w:szCs w:val="36"/>
          <w:lang w:eastAsia="en-IN"/>
        </w:rPr>
      </w:pPr>
    </w:p>
    <w:p w14:paraId="117D33EB" w14:textId="77777777" w:rsidR="00283DCB" w:rsidRDefault="00283DCB" w:rsidP="009032EA">
      <w:pPr>
        <w:spacing w:beforeAutospacing="1" w:afterAutospacing="1" w:line="240" w:lineRule="auto"/>
        <w:jc w:val="both"/>
        <w:rPr>
          <w:rFonts w:ascii="Arial" w:eastAsia="Times New Roman" w:hAnsi="Arial" w:cs="Arial"/>
          <w:b/>
          <w:color w:val="000000" w:themeColor="text1"/>
          <w:sz w:val="36"/>
          <w:szCs w:val="36"/>
          <w:lang w:eastAsia="en-IN"/>
        </w:rPr>
      </w:pPr>
    </w:p>
    <w:p w14:paraId="0B3D69FC" w14:textId="77777777" w:rsidR="00283DCB" w:rsidRDefault="00283DCB" w:rsidP="009032EA">
      <w:pPr>
        <w:spacing w:beforeAutospacing="1" w:afterAutospacing="1" w:line="240" w:lineRule="auto"/>
        <w:jc w:val="both"/>
        <w:rPr>
          <w:rFonts w:ascii="Arial" w:eastAsia="Times New Roman" w:hAnsi="Arial" w:cs="Arial"/>
          <w:b/>
          <w:color w:val="000000" w:themeColor="text1"/>
          <w:sz w:val="36"/>
          <w:szCs w:val="36"/>
          <w:lang w:eastAsia="en-IN"/>
        </w:rPr>
      </w:pPr>
    </w:p>
    <w:p w14:paraId="7925B6BB" w14:textId="5817130E" w:rsidR="00283DCB" w:rsidRDefault="00283DCB" w:rsidP="009032EA">
      <w:pPr>
        <w:spacing w:beforeAutospacing="1" w:afterAutospacing="1" w:line="240" w:lineRule="auto"/>
        <w:jc w:val="both"/>
        <w:rPr>
          <w:rFonts w:ascii="Arial" w:eastAsia="Times New Roman" w:hAnsi="Arial" w:cs="Arial"/>
          <w:b/>
          <w:color w:val="000000" w:themeColor="text1"/>
          <w:sz w:val="36"/>
          <w:szCs w:val="36"/>
          <w:lang w:eastAsia="en-IN"/>
        </w:rPr>
      </w:pPr>
    </w:p>
    <w:p w14:paraId="36E0178D" w14:textId="77777777" w:rsidR="00283DCB" w:rsidRDefault="00283DCB" w:rsidP="009032EA">
      <w:pPr>
        <w:spacing w:beforeAutospacing="1" w:afterAutospacing="1" w:line="240" w:lineRule="auto"/>
        <w:jc w:val="both"/>
        <w:rPr>
          <w:rFonts w:ascii="Arial" w:eastAsia="Times New Roman" w:hAnsi="Arial" w:cs="Arial"/>
          <w:b/>
          <w:color w:val="000000" w:themeColor="text1"/>
          <w:sz w:val="36"/>
          <w:szCs w:val="36"/>
          <w:lang w:eastAsia="en-IN"/>
        </w:rPr>
      </w:pPr>
    </w:p>
    <w:p w14:paraId="4DF43A30" w14:textId="77777777" w:rsidR="00283DCB" w:rsidRDefault="00283DCB" w:rsidP="009032EA">
      <w:pPr>
        <w:spacing w:beforeAutospacing="1" w:afterAutospacing="1" w:line="240" w:lineRule="auto"/>
        <w:jc w:val="both"/>
        <w:rPr>
          <w:rFonts w:ascii="Arial" w:eastAsia="Times New Roman" w:hAnsi="Arial" w:cs="Arial"/>
          <w:b/>
          <w:color w:val="000000" w:themeColor="text1"/>
          <w:sz w:val="36"/>
          <w:szCs w:val="36"/>
          <w:lang w:eastAsia="en-IN"/>
        </w:rPr>
      </w:pPr>
    </w:p>
    <w:p w14:paraId="2D692598" w14:textId="77777777" w:rsidR="00283DCB" w:rsidRDefault="00283DCB" w:rsidP="009032EA">
      <w:pPr>
        <w:spacing w:beforeAutospacing="1" w:afterAutospacing="1" w:line="240" w:lineRule="auto"/>
        <w:jc w:val="both"/>
        <w:rPr>
          <w:rFonts w:ascii="Arial" w:eastAsia="Times New Roman" w:hAnsi="Arial" w:cs="Arial"/>
          <w:b/>
          <w:color w:val="000000" w:themeColor="text1"/>
          <w:sz w:val="36"/>
          <w:szCs w:val="36"/>
          <w:lang w:eastAsia="en-IN"/>
        </w:rPr>
      </w:pPr>
    </w:p>
    <w:p w14:paraId="1DE0C417" w14:textId="77777777" w:rsidR="00AB1FAF" w:rsidRDefault="00AB1FAF" w:rsidP="009032EA">
      <w:pPr>
        <w:spacing w:beforeAutospacing="1" w:afterAutospacing="1" w:line="240" w:lineRule="auto"/>
        <w:jc w:val="both"/>
        <w:rPr>
          <w:rFonts w:ascii="Arial" w:eastAsia="Times New Roman" w:hAnsi="Arial" w:cs="Arial"/>
          <w:color w:val="000000" w:themeColor="text1"/>
          <w:lang w:eastAsia="en-IN"/>
        </w:rPr>
      </w:pPr>
    </w:p>
    <w:p w14:paraId="11E477B3" w14:textId="0C150801" w:rsidR="00283DCB" w:rsidRPr="00AB1FAF" w:rsidRDefault="003B5868" w:rsidP="009032EA">
      <w:pPr>
        <w:spacing w:beforeAutospacing="1" w:afterAutospacing="1" w:line="240" w:lineRule="auto"/>
        <w:jc w:val="both"/>
        <w:rPr>
          <w:rFonts w:ascii="Arial" w:hAnsi="Arial" w:cs="Arial"/>
        </w:rPr>
      </w:pPr>
      <w:r w:rsidRPr="00AB1FAF">
        <w:rPr>
          <w:rFonts w:ascii="Arial" w:eastAsia="Times New Roman" w:hAnsi="Arial" w:cs="Arial"/>
          <w:b/>
          <w:color w:val="000000" w:themeColor="text1"/>
          <w:lang w:eastAsia="en-IN"/>
        </w:rPr>
        <w:lastRenderedPageBreak/>
        <w:t>Students Early Career Interest and Planning</w:t>
      </w:r>
    </w:p>
    <w:p w14:paraId="04D0B9A4" w14:textId="77777777" w:rsidR="00283DCB" w:rsidRPr="00AB1FAF" w:rsidRDefault="00283DCB" w:rsidP="009032EA">
      <w:pPr>
        <w:spacing w:beforeAutospacing="1" w:afterAutospacing="1" w:line="240" w:lineRule="auto"/>
        <w:jc w:val="both"/>
        <w:rPr>
          <w:rFonts w:ascii="Arial" w:eastAsia="Times New Roman" w:hAnsi="Arial" w:cs="Arial"/>
          <w:color w:val="000000" w:themeColor="text1"/>
          <w:lang w:eastAsia="en-IN"/>
        </w:rPr>
      </w:pPr>
    </w:p>
    <w:p w14:paraId="566E711D"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 xml:space="preserve">Choosing a professional career is the most difficult decision for our youngsters. But nowadays to ease these choices we are glad to have multiple opportunities available in the market as per our interest with the support of parents and teachers nowadays. The best thing is we are fortunate enough to get such exposure in our academic journey as per our interest and focus </w:t>
      </w:r>
      <w:proofErr w:type="gramStart"/>
      <w:r w:rsidRPr="00AB1FAF">
        <w:rPr>
          <w:rFonts w:ascii="Arial" w:eastAsia="Times New Roman" w:hAnsi="Arial" w:cs="Arial"/>
          <w:color w:val="000000" w:themeColor="text1"/>
          <w:lang w:eastAsia="en-IN"/>
        </w:rPr>
        <w:t>in</w:t>
      </w:r>
      <w:proofErr w:type="gramEnd"/>
      <w:r w:rsidRPr="00AB1FAF">
        <w:rPr>
          <w:rFonts w:ascii="Arial" w:eastAsia="Times New Roman" w:hAnsi="Arial" w:cs="Arial"/>
          <w:color w:val="000000" w:themeColor="text1"/>
          <w:lang w:eastAsia="en-IN"/>
        </w:rPr>
        <w:t xml:space="preserve"> a particular field. The best part is we have the authority to opt for whichever field we would like to pursue ahead. During our academic learning, I got to know my strength and weakness; </w:t>
      </w:r>
      <w:proofErr w:type="gramStart"/>
      <w:r w:rsidRPr="00AB1FAF">
        <w:rPr>
          <w:rFonts w:ascii="Arial" w:eastAsia="Times New Roman" w:hAnsi="Arial" w:cs="Arial"/>
          <w:color w:val="000000" w:themeColor="text1"/>
          <w:lang w:eastAsia="en-IN"/>
        </w:rPr>
        <w:t>so</w:t>
      </w:r>
      <w:proofErr w:type="gramEnd"/>
      <w:r w:rsidRPr="00AB1FAF">
        <w:rPr>
          <w:rFonts w:ascii="Arial" w:eastAsia="Times New Roman" w:hAnsi="Arial" w:cs="Arial"/>
          <w:color w:val="000000" w:themeColor="text1"/>
          <w:lang w:eastAsia="en-IN"/>
        </w:rPr>
        <w:t xml:space="preserve"> it's quite easy for me to understand what I am good at and where I need to put more effort.</w:t>
      </w:r>
    </w:p>
    <w:p w14:paraId="65F649A3"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spacing w:val="-4"/>
          <w:shd w:val="clear" w:color="auto" w:fill="FFFFFF"/>
          <w:lang w:eastAsia="en-IN"/>
        </w:rPr>
        <w:t>An article prepared by the Author (Dick &amp; Rallis) on Factors and Influences on high school student’s career choices clearly mentioned about previously the pay was a more important factor in career choices for men and women in general, and genuine interest was a more important factor for women not choosing careers in engineering, science, or in the financial field. Teachers nowadays play a particularly important role in influencing the career choice of some of these students especially encouraging women to enter such field.  </w:t>
      </w:r>
      <w:r w:rsidRPr="00AB1FAF">
        <w:rPr>
          <w:rFonts w:ascii="Arial" w:eastAsia="Times New Roman" w:hAnsi="Arial" w:cs="Arial"/>
          <w:color w:val="000000" w:themeColor="text1"/>
          <w:lang w:eastAsia="en-IN"/>
        </w:rPr>
        <w:t xml:space="preserve">Choosing what to study in your higher education ranks high among the most important decisions </w:t>
      </w:r>
      <w:proofErr w:type="gramStart"/>
      <w:r w:rsidRPr="00AB1FAF">
        <w:rPr>
          <w:rFonts w:ascii="Arial" w:eastAsia="Times New Roman" w:hAnsi="Arial" w:cs="Arial"/>
          <w:color w:val="000000" w:themeColor="text1"/>
          <w:lang w:eastAsia="en-IN"/>
        </w:rPr>
        <w:t>you’ll</w:t>
      </w:r>
      <w:proofErr w:type="gramEnd"/>
      <w:r w:rsidRPr="00AB1FAF">
        <w:rPr>
          <w:rFonts w:ascii="Arial" w:eastAsia="Times New Roman" w:hAnsi="Arial" w:cs="Arial"/>
          <w:color w:val="000000" w:themeColor="text1"/>
          <w:lang w:eastAsia="en-IN"/>
        </w:rPr>
        <w:t xml:space="preserve"> have to make ever. </w:t>
      </w:r>
      <w:proofErr w:type="gramStart"/>
      <w:r w:rsidRPr="00AB1FAF">
        <w:rPr>
          <w:rFonts w:ascii="Arial" w:eastAsia="Times New Roman" w:hAnsi="Arial" w:cs="Arial"/>
          <w:color w:val="000000" w:themeColor="text1"/>
          <w:lang w:eastAsia="en-IN"/>
        </w:rPr>
        <w:t>So</w:t>
      </w:r>
      <w:proofErr w:type="gramEnd"/>
      <w:r w:rsidRPr="00AB1FAF">
        <w:rPr>
          <w:rFonts w:ascii="Arial" w:eastAsia="Times New Roman" w:hAnsi="Arial" w:cs="Arial"/>
          <w:color w:val="000000" w:themeColor="text1"/>
          <w:lang w:eastAsia="en-IN"/>
        </w:rPr>
        <w:t xml:space="preserve"> I personally consider some facts and logic to pursue my interest and consider important factors to help me make my decisions better.</w:t>
      </w:r>
    </w:p>
    <w:p w14:paraId="3473E5D5" w14:textId="77777777" w:rsidR="00283DCB" w:rsidRPr="00AB1FAF" w:rsidRDefault="003B5868" w:rsidP="009032EA">
      <w:pPr>
        <w:spacing w:beforeAutospacing="1" w:afterAutospacing="1" w:line="240" w:lineRule="auto"/>
        <w:jc w:val="both"/>
        <w:rPr>
          <w:rFonts w:ascii="Arial" w:hAnsi="Arial" w:cs="Arial"/>
        </w:rPr>
      </w:pPr>
      <w:r w:rsidRPr="00AB1FAF">
        <w:rPr>
          <w:rFonts w:ascii="Arial" w:eastAsia="Times New Roman" w:hAnsi="Arial" w:cs="Arial"/>
          <w:color w:val="000000" w:themeColor="text1"/>
          <w:lang w:eastAsia="en-IN"/>
        </w:rPr>
        <w:t xml:space="preserve">Similarly, my interest is in Nursing and Healthcare quite good. Healthcare Assistance, Caregiving, Nursing are my particular interests. Have done full market research on these job roles which I am passionate about. I have such care giving skills and most importantly market knowledge to go ahead with the sector. With good tenure and exposure to the market would like to open my own set up of an independent healthcare firm and can act as a nursing services firm someday. A healthcare assistant </w:t>
      </w:r>
      <w:proofErr w:type="spellStart"/>
      <w:r w:rsidRPr="00AB1FAF">
        <w:rPr>
          <w:rFonts w:ascii="Arial" w:eastAsia="Times New Roman" w:hAnsi="Arial" w:cs="Arial"/>
          <w:color w:val="000000" w:themeColor="text1"/>
          <w:lang w:eastAsia="en-IN"/>
        </w:rPr>
        <w:t>esssntially</w:t>
      </w:r>
      <w:proofErr w:type="spellEnd"/>
      <w:r w:rsidRPr="00AB1FAF">
        <w:rPr>
          <w:rFonts w:ascii="Arial" w:eastAsia="Times New Roman" w:hAnsi="Arial" w:cs="Arial"/>
          <w:color w:val="000000" w:themeColor="text1"/>
          <w:lang w:eastAsia="en-IN"/>
        </w:rPr>
        <w:t xml:space="preserve"> supports the role of nurse and </w:t>
      </w:r>
      <w:proofErr w:type="spellStart"/>
      <w:r w:rsidRPr="00AB1FAF">
        <w:rPr>
          <w:rFonts w:ascii="Arial" w:eastAsia="Times New Roman" w:hAnsi="Arial" w:cs="Arial"/>
          <w:color w:val="000000" w:themeColor="text1"/>
          <w:lang w:eastAsia="en-IN"/>
        </w:rPr>
        <w:t>supplments</w:t>
      </w:r>
      <w:proofErr w:type="spellEnd"/>
      <w:r w:rsidRPr="00AB1FAF">
        <w:rPr>
          <w:rFonts w:ascii="Arial" w:eastAsia="Times New Roman" w:hAnsi="Arial" w:cs="Arial"/>
          <w:color w:val="000000" w:themeColor="text1"/>
          <w:lang w:eastAsia="en-IN"/>
        </w:rPr>
        <w:t xml:space="preserve"> by taking care of non-medical needs of the patient at all times when they are unattended.</w:t>
      </w:r>
    </w:p>
    <w:p w14:paraId="5D44DA45"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 xml:space="preserve">Lack of knowledge and understanding of literacy will affect directly against the wellbeing of the individual. Due to the low financial literacy to make individuals experiencing a variety of problems that engaged with personal finances such as savings, investments, or old plans, credit and so on and awareness in financial management with good is still very lacking in Surabaya. High rates of Surabaya’s economy are not in line with the understanding and knowledge of the financial literacy community in Surabaya. The industrial sector, trade, real estate, and services in Surabaya showed growth of 51.78% whereas the information and communication sector as well as financial services and insurance only amounting to 5.33% and 5.46%. It proves that public access to financial institutions is still lacking published in one of the </w:t>
      </w:r>
      <w:proofErr w:type="gramStart"/>
      <w:r w:rsidRPr="00AB1FAF">
        <w:rPr>
          <w:rFonts w:ascii="Arial" w:eastAsia="Times New Roman" w:hAnsi="Arial" w:cs="Arial"/>
          <w:color w:val="000000" w:themeColor="text1"/>
          <w:lang w:eastAsia="en-IN"/>
        </w:rPr>
        <w:t>journal</w:t>
      </w:r>
      <w:proofErr w:type="gramEnd"/>
      <w:r w:rsidRPr="00AB1FAF">
        <w:rPr>
          <w:rFonts w:ascii="Arial" w:eastAsia="Times New Roman" w:hAnsi="Arial" w:cs="Arial"/>
          <w:color w:val="000000" w:themeColor="text1"/>
          <w:lang w:eastAsia="en-IN"/>
        </w:rPr>
        <w:t xml:space="preserve"> by Author (</w:t>
      </w:r>
      <w:proofErr w:type="spellStart"/>
      <w:r w:rsidRPr="00AB1FAF">
        <w:rPr>
          <w:rFonts w:ascii="Arial" w:eastAsia="Times New Roman" w:hAnsi="Arial" w:cs="Arial"/>
          <w:color w:val="000000" w:themeColor="text1"/>
          <w:lang w:eastAsia="en-IN"/>
        </w:rPr>
        <w:t>Dewanti&amp;Isbanah</w:t>
      </w:r>
      <w:proofErr w:type="spellEnd"/>
      <w:r w:rsidRPr="00AB1FAF">
        <w:rPr>
          <w:rFonts w:ascii="Arial" w:eastAsia="Times New Roman" w:hAnsi="Arial" w:cs="Arial"/>
          <w:color w:val="000000" w:themeColor="text1"/>
          <w:lang w:eastAsia="en-IN"/>
        </w:rPr>
        <w:t>, 2018). Varying themes were found related to what students think would be most helpful in their career planning. Few differences were noted between grades. In response to the open-ended questions, Grade 10 students indicated that they had a desire for more information, such as career fairs and/or information meetings’ and a concern for ‘more information regarding courses, post-secondary education and careers’ in their career planning. Grade 11 and 12 students shared the same overall concern for receiving more information. Additionally, Grade 12 students indicated a desire for ‘better counselling in the way of information and advice’ and concern for receiving ‘job experience (</w:t>
      </w:r>
      <w:proofErr w:type="spellStart"/>
      <w:r w:rsidRPr="00AB1FAF">
        <w:rPr>
          <w:rFonts w:ascii="Arial" w:eastAsia="Times New Roman" w:hAnsi="Arial" w:cs="Arial"/>
          <w:color w:val="000000" w:themeColor="text1"/>
          <w:lang w:eastAsia="en-IN"/>
        </w:rPr>
        <w:t>Vitco</w:t>
      </w:r>
      <w:proofErr w:type="spellEnd"/>
      <w:r w:rsidRPr="00AB1FAF">
        <w:rPr>
          <w:rFonts w:ascii="Arial" w:eastAsia="Times New Roman" w:hAnsi="Arial" w:cs="Arial"/>
          <w:color w:val="000000" w:themeColor="text1"/>
          <w:lang w:eastAsia="en-IN"/>
        </w:rPr>
        <w:t>, Bernes, Magnusson, &amp;</w:t>
      </w:r>
      <w:proofErr w:type="spellStart"/>
      <w:r w:rsidRPr="00AB1FAF">
        <w:rPr>
          <w:rFonts w:ascii="Arial" w:eastAsia="Times New Roman" w:hAnsi="Arial" w:cs="Arial"/>
          <w:color w:val="000000" w:themeColor="text1"/>
          <w:lang w:eastAsia="en-IN"/>
        </w:rPr>
        <w:t>Bardick</w:t>
      </w:r>
      <w:proofErr w:type="spellEnd"/>
      <w:r w:rsidRPr="00AB1FAF">
        <w:rPr>
          <w:rFonts w:ascii="Arial" w:eastAsia="Times New Roman" w:hAnsi="Arial" w:cs="Arial"/>
          <w:color w:val="000000" w:themeColor="text1"/>
          <w:lang w:eastAsia="en-IN"/>
        </w:rPr>
        <w:t>)</w:t>
      </w:r>
    </w:p>
    <w:p w14:paraId="35766441" w14:textId="77777777" w:rsidR="009032EA" w:rsidRPr="00AB1FAF" w:rsidRDefault="009032EA" w:rsidP="009032EA">
      <w:pPr>
        <w:spacing w:after="0" w:line="240" w:lineRule="auto"/>
        <w:jc w:val="both"/>
        <w:rPr>
          <w:rFonts w:ascii="Arial" w:eastAsia="Times New Roman" w:hAnsi="Arial" w:cs="Arial"/>
          <w:b/>
          <w:bCs/>
          <w:color w:val="000000" w:themeColor="text1"/>
          <w:lang w:eastAsia="en-IN"/>
        </w:rPr>
      </w:pPr>
      <w:r w:rsidRPr="00AB1FAF">
        <w:rPr>
          <w:rFonts w:ascii="Arial" w:eastAsia="Times New Roman" w:hAnsi="Arial" w:cs="Arial"/>
          <w:b/>
          <w:bCs/>
          <w:color w:val="000000" w:themeColor="text1"/>
          <w:lang w:eastAsia="en-IN"/>
        </w:rPr>
        <w:br w:type="page"/>
      </w:r>
    </w:p>
    <w:p w14:paraId="19F0EDA1"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b/>
          <w:bCs/>
          <w:color w:val="000000" w:themeColor="text1"/>
          <w:lang w:eastAsia="en-IN"/>
        </w:rPr>
        <w:lastRenderedPageBreak/>
        <w:t>Skills Required</w:t>
      </w:r>
    </w:p>
    <w:p w14:paraId="4AD8EF10"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 xml:space="preserve">Managing one’s own money is a tough task and equally tough rather a little more is managing other funds. The foremost quality a financial planner needs are hard skills for strong market knowledge, soft skills for acquiring a market with your perfect pitch and ability, Skill-building as being in the industry, you have to keep yourself updated with the market happenings around, People management continuously being on the upfront and meeting and managing new clients and interacting with new customers acquiring their trust and running a long term relationship you definitely needs people management skills else it will be brainstorming work for you fortunately I am pretty good in managing people. Communication Skills is the most important skills or rather I would say an asset, nowadays in every field, you must excel with your language with strong communication skills as per today's industries requirement which I am not great with and working on one. As this is the most important factor to excel in your </w:t>
      </w:r>
      <w:proofErr w:type="gramStart"/>
      <w:r w:rsidRPr="00AB1FAF">
        <w:rPr>
          <w:rFonts w:ascii="Arial" w:eastAsia="Times New Roman" w:hAnsi="Arial" w:cs="Arial"/>
          <w:color w:val="000000" w:themeColor="text1"/>
          <w:lang w:eastAsia="en-IN"/>
        </w:rPr>
        <w:t>job</w:t>
      </w:r>
      <w:proofErr w:type="gramEnd"/>
      <w:r w:rsidRPr="00AB1FAF">
        <w:rPr>
          <w:rFonts w:ascii="Arial" w:eastAsia="Times New Roman" w:hAnsi="Arial" w:cs="Arial"/>
          <w:color w:val="000000" w:themeColor="text1"/>
          <w:lang w:eastAsia="en-IN"/>
        </w:rPr>
        <w:t xml:space="preserve"> I am pretty average on my fluency but have improved a lot and will not stop working on it till I am fluent in my communication skills.</w:t>
      </w:r>
    </w:p>
    <w:p w14:paraId="7F580DC7"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The study found that 272 (91.9%) of all respondents indicated that having prior knowledge of what a career entails is important to developing interest in a career. In fact, having prior knowledge prepares an individual for what one is about to enter and therefore a decision will be made while well aware of what one is to expect, what work habits are expected of them, and the potential earnings. It is like knowing where one wants to go before the start of a journey. Individual goals and interests produce motivation, that is, a person is directed towards a particular activity that is aimed at accomplishing goals or exploring interest. In this regard, motivation has two functions, one qualitative and the other quantitative as explained by the Author in the journal (</w:t>
      </w:r>
      <w:proofErr w:type="spellStart"/>
      <w:r w:rsidRPr="00AB1FAF">
        <w:rPr>
          <w:rFonts w:ascii="Arial" w:eastAsia="Times New Roman" w:hAnsi="Arial" w:cs="Arial"/>
          <w:color w:val="000000" w:themeColor="text1"/>
          <w:lang w:eastAsia="en-IN"/>
        </w:rPr>
        <w:t>Nyamwange</w:t>
      </w:r>
      <w:proofErr w:type="spellEnd"/>
      <w:r w:rsidRPr="00AB1FAF">
        <w:rPr>
          <w:rFonts w:ascii="Arial" w:eastAsia="Times New Roman" w:hAnsi="Arial" w:cs="Arial"/>
          <w:color w:val="000000" w:themeColor="text1"/>
          <w:lang w:eastAsia="en-IN"/>
        </w:rPr>
        <w:t>, 2016).</w:t>
      </w:r>
    </w:p>
    <w:p w14:paraId="70158ABE" w14:textId="77777777" w:rsidR="004B11BB" w:rsidRPr="00AB1FAF" w:rsidRDefault="004B11BB"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 xml:space="preserve">Johari window is mainly a technique which helps the individuals properly understanding their relationship with themselves and also with others. There are four quadrants present in this Johari window and those four quadrants help in knowing the relationship. The first quadrant is arena or open. In this quadrant the adjectives that is selected by both peers and the subject mainly go in this cell of the grid. The next quadrant is termed to be blind. In this quadrant the adjectives are not mainly selected by the subjects. The adjectives hence </w:t>
      </w:r>
      <w:proofErr w:type="gramStart"/>
      <w:r w:rsidRPr="00AB1FAF">
        <w:rPr>
          <w:rFonts w:ascii="Arial" w:eastAsia="Times New Roman" w:hAnsi="Arial" w:cs="Arial"/>
          <w:color w:val="000000" w:themeColor="text1"/>
          <w:lang w:eastAsia="en-IN"/>
        </w:rPr>
        <w:t>is</w:t>
      </w:r>
      <w:proofErr w:type="gramEnd"/>
      <w:r w:rsidRPr="00AB1FAF">
        <w:rPr>
          <w:rFonts w:ascii="Arial" w:eastAsia="Times New Roman" w:hAnsi="Arial" w:cs="Arial"/>
          <w:color w:val="000000" w:themeColor="text1"/>
          <w:lang w:eastAsia="en-IN"/>
        </w:rPr>
        <w:t xml:space="preserve"> selected by the peers. The next quadrant is Façade. In this the adjectives are mainly selected by the subject and hence not peers can select the adjectives. The last quadrant is termed as unknown. In this quadrant the adjectives that are not selected by the peers and subject mainly go here. This quadrant mainly helps in representing the behaviour of the motives or subject.</w:t>
      </w:r>
    </w:p>
    <w:p w14:paraId="05789A2E" w14:textId="77777777" w:rsidR="00283DCB" w:rsidRPr="00AB1FAF" w:rsidRDefault="003B5868" w:rsidP="009032EA">
      <w:pPr>
        <w:spacing w:beforeAutospacing="1" w:afterAutospacing="1" w:line="240" w:lineRule="auto"/>
        <w:jc w:val="both"/>
        <w:rPr>
          <w:rFonts w:ascii="Arial" w:hAnsi="Arial" w:cs="Arial"/>
        </w:rPr>
      </w:pPr>
      <w:r w:rsidRPr="00AB1FAF">
        <w:rPr>
          <w:rFonts w:ascii="Arial" w:eastAsia="Times New Roman" w:hAnsi="Arial" w:cs="Arial"/>
          <w:color w:val="000000" w:themeColor="text1"/>
          <w:lang w:eastAsia="en-IN"/>
        </w:rPr>
        <w:t>This particular field has a wide range of need in the market; nowadays all major sector is believed to provide financial perks and policies to their employees and the importance of this sector has grown rapidly in quite a few years. A certified financial planner can find a desirable job in the private sector, wealth management companies, investment consultancy firms, mutual funds and many more insurance companies which are spread overseas with good international exposure.</w:t>
      </w:r>
    </w:p>
    <w:p w14:paraId="7911E266" w14:textId="77777777" w:rsidR="00AB1FAF" w:rsidRDefault="00AB1FAF" w:rsidP="009032EA">
      <w:pPr>
        <w:spacing w:line="360" w:lineRule="auto"/>
        <w:jc w:val="both"/>
        <w:rPr>
          <w:rFonts w:ascii="Arial" w:eastAsia="Times New Roman" w:hAnsi="Arial" w:cs="Arial"/>
          <w:b/>
          <w:bCs/>
        </w:rPr>
      </w:pPr>
    </w:p>
    <w:p w14:paraId="08094D73" w14:textId="77777777" w:rsidR="00AB1FAF" w:rsidRDefault="00AB1FAF" w:rsidP="009032EA">
      <w:pPr>
        <w:spacing w:line="360" w:lineRule="auto"/>
        <w:jc w:val="both"/>
        <w:rPr>
          <w:rFonts w:ascii="Arial" w:eastAsia="Times New Roman" w:hAnsi="Arial" w:cs="Arial"/>
          <w:b/>
          <w:bCs/>
        </w:rPr>
      </w:pPr>
    </w:p>
    <w:p w14:paraId="05F2FEA9" w14:textId="77777777" w:rsidR="00AB1FAF" w:rsidRDefault="00AB1FAF" w:rsidP="009032EA">
      <w:pPr>
        <w:spacing w:line="360" w:lineRule="auto"/>
        <w:jc w:val="both"/>
        <w:rPr>
          <w:rFonts w:ascii="Arial" w:eastAsia="Times New Roman" w:hAnsi="Arial" w:cs="Arial"/>
          <w:b/>
          <w:bCs/>
        </w:rPr>
      </w:pPr>
    </w:p>
    <w:p w14:paraId="7EBF93A0" w14:textId="710EDB0A" w:rsidR="00283DCB" w:rsidRPr="00604EBC" w:rsidRDefault="003B5868" w:rsidP="009032EA">
      <w:pPr>
        <w:spacing w:line="360" w:lineRule="auto"/>
        <w:jc w:val="both"/>
        <w:rPr>
          <w:rFonts w:ascii="Arial" w:hAnsi="Arial" w:cs="Arial"/>
          <w:sz w:val="32"/>
          <w:szCs w:val="32"/>
        </w:rPr>
      </w:pPr>
      <w:r w:rsidRPr="00604EBC">
        <w:rPr>
          <w:rFonts w:ascii="Arial" w:eastAsia="Times New Roman" w:hAnsi="Arial" w:cs="Arial"/>
          <w:b/>
          <w:bCs/>
          <w:sz w:val="32"/>
          <w:szCs w:val="32"/>
        </w:rPr>
        <w:lastRenderedPageBreak/>
        <w:t>P</w:t>
      </w:r>
      <w:r w:rsidR="00604EBC" w:rsidRPr="00604EBC">
        <w:rPr>
          <w:rFonts w:ascii="Arial" w:eastAsia="Times New Roman" w:hAnsi="Arial" w:cs="Arial"/>
          <w:b/>
          <w:bCs/>
          <w:sz w:val="32"/>
          <w:szCs w:val="32"/>
        </w:rPr>
        <w:t>ersonal Development plan</w:t>
      </w:r>
    </w:p>
    <w:p w14:paraId="168F54D1" w14:textId="77777777" w:rsidR="00283DCB" w:rsidRPr="00AB1FAF" w:rsidRDefault="00283DCB" w:rsidP="009032EA">
      <w:pPr>
        <w:spacing w:line="360" w:lineRule="auto"/>
        <w:jc w:val="both"/>
        <w:rPr>
          <w:rFonts w:ascii="Arial" w:hAnsi="Arial" w:cs="Arial"/>
        </w:rPr>
      </w:pPr>
    </w:p>
    <w:tbl>
      <w:tblPr>
        <w:tblW w:w="9523" w:type="dxa"/>
        <w:tblInd w:w="-115" w:type="dxa"/>
        <w:tblBorders>
          <w:top w:val="single" w:sz="6" w:space="0" w:color="000000"/>
          <w:left w:val="single" w:sz="6" w:space="0" w:color="000000"/>
        </w:tblBorders>
        <w:shd w:val="clear" w:color="auto" w:fill="EEECE1" w:themeFill="background2"/>
        <w:tblCellMar>
          <w:left w:w="99" w:type="dxa"/>
        </w:tblCellMar>
        <w:tblLook w:val="04A0" w:firstRow="1" w:lastRow="0" w:firstColumn="1" w:lastColumn="0" w:noHBand="0" w:noVBand="1"/>
      </w:tblPr>
      <w:tblGrid>
        <w:gridCol w:w="1862"/>
        <w:gridCol w:w="2271"/>
        <w:gridCol w:w="1915"/>
        <w:gridCol w:w="3475"/>
      </w:tblGrid>
      <w:tr w:rsidR="00283DCB" w:rsidRPr="00AB1FAF" w14:paraId="19824724" w14:textId="77777777" w:rsidTr="006A1B6C">
        <w:trPr>
          <w:cantSplit/>
        </w:trPr>
        <w:tc>
          <w:tcPr>
            <w:tcW w:w="1861" w:type="dxa"/>
            <w:tcBorders>
              <w:top w:val="single" w:sz="6" w:space="0" w:color="000000"/>
              <w:left w:val="single" w:sz="6" w:space="0" w:color="000000"/>
              <w:bottom w:val="single" w:sz="6" w:space="0" w:color="000000"/>
            </w:tcBorders>
            <w:shd w:val="clear" w:color="auto" w:fill="EEECE1" w:themeFill="background2"/>
          </w:tcPr>
          <w:p w14:paraId="13B59ACA" w14:textId="77777777" w:rsidR="00283DCB" w:rsidRPr="00AB1FAF" w:rsidRDefault="003B5868" w:rsidP="009032EA">
            <w:pPr>
              <w:jc w:val="both"/>
              <w:rPr>
                <w:rFonts w:ascii="Arial" w:hAnsi="Arial" w:cs="Arial"/>
              </w:rPr>
            </w:pPr>
            <w:r w:rsidRPr="00AB1FAF">
              <w:rPr>
                <w:rFonts w:ascii="Arial" w:eastAsia="Arial" w:hAnsi="Arial" w:cs="Arial"/>
                <w:b/>
              </w:rPr>
              <w:t>Learning and Development Need</w:t>
            </w:r>
          </w:p>
        </w:tc>
        <w:tc>
          <w:tcPr>
            <w:tcW w:w="2271" w:type="dxa"/>
            <w:tcBorders>
              <w:top w:val="single" w:sz="6" w:space="0" w:color="000000"/>
              <w:bottom w:val="single" w:sz="6" w:space="0" w:color="000000"/>
            </w:tcBorders>
            <w:shd w:val="clear" w:color="auto" w:fill="EEECE1" w:themeFill="background2"/>
          </w:tcPr>
          <w:p w14:paraId="38FFE816" w14:textId="77777777" w:rsidR="00283DCB" w:rsidRPr="00AB1FAF" w:rsidRDefault="003B5868" w:rsidP="009032EA">
            <w:pPr>
              <w:jc w:val="both"/>
              <w:rPr>
                <w:rFonts w:ascii="Arial" w:hAnsi="Arial" w:cs="Arial"/>
              </w:rPr>
            </w:pPr>
            <w:r w:rsidRPr="00AB1FAF">
              <w:rPr>
                <w:rFonts w:ascii="Arial" w:eastAsia="Arial" w:hAnsi="Arial" w:cs="Arial"/>
                <w:b/>
              </w:rPr>
              <w:t>Type of development</w:t>
            </w:r>
          </w:p>
          <w:p w14:paraId="4C777061" w14:textId="77777777" w:rsidR="00283DCB" w:rsidRPr="00AB1FAF" w:rsidRDefault="00283DCB" w:rsidP="009032EA">
            <w:pPr>
              <w:jc w:val="both"/>
              <w:rPr>
                <w:rFonts w:ascii="Arial" w:eastAsia="Arial" w:hAnsi="Arial" w:cs="Arial"/>
                <w:b/>
              </w:rPr>
            </w:pPr>
          </w:p>
        </w:tc>
        <w:tc>
          <w:tcPr>
            <w:tcW w:w="1915" w:type="dxa"/>
            <w:tcBorders>
              <w:top w:val="single" w:sz="6" w:space="0" w:color="000000"/>
              <w:bottom w:val="single" w:sz="6" w:space="0" w:color="000000"/>
            </w:tcBorders>
            <w:shd w:val="clear" w:color="auto" w:fill="EEECE1" w:themeFill="background2"/>
          </w:tcPr>
          <w:p w14:paraId="1D1F11A8" w14:textId="77777777" w:rsidR="00283DCB" w:rsidRPr="00AB1FAF" w:rsidRDefault="003B5868" w:rsidP="009032EA">
            <w:pPr>
              <w:jc w:val="both"/>
              <w:rPr>
                <w:rFonts w:ascii="Arial" w:hAnsi="Arial" w:cs="Arial"/>
              </w:rPr>
            </w:pPr>
            <w:r w:rsidRPr="00AB1FAF">
              <w:rPr>
                <w:rFonts w:ascii="Arial" w:eastAsia="Arial" w:hAnsi="Arial" w:cs="Arial"/>
                <w:b/>
              </w:rPr>
              <w:t>Timescales</w:t>
            </w:r>
          </w:p>
        </w:tc>
        <w:tc>
          <w:tcPr>
            <w:tcW w:w="3475" w:type="dxa"/>
            <w:tcBorders>
              <w:top w:val="single" w:sz="6" w:space="0" w:color="000000"/>
              <w:left w:val="single" w:sz="6" w:space="0" w:color="000000"/>
              <w:bottom w:val="single" w:sz="6" w:space="0" w:color="000000"/>
              <w:right w:val="single" w:sz="6" w:space="0" w:color="000000"/>
            </w:tcBorders>
            <w:shd w:val="clear" w:color="auto" w:fill="EEECE1" w:themeFill="background2"/>
          </w:tcPr>
          <w:p w14:paraId="4BF51A65" w14:textId="77777777" w:rsidR="00283DCB" w:rsidRPr="00AB1FAF" w:rsidRDefault="003B5868" w:rsidP="009032EA">
            <w:pPr>
              <w:pStyle w:val="MacroText"/>
              <w:jc w:val="both"/>
              <w:rPr>
                <w:rFonts w:ascii="Arial" w:hAnsi="Arial" w:cs="Arial"/>
                <w:sz w:val="22"/>
                <w:szCs w:val="22"/>
              </w:rPr>
            </w:pPr>
            <w:r w:rsidRPr="00AB1FAF">
              <w:rPr>
                <w:rFonts w:ascii="Arial" w:eastAsia="Arial" w:hAnsi="Arial" w:cs="Arial"/>
                <w:b/>
                <w:kern w:val="0"/>
                <w:sz w:val="22"/>
                <w:szCs w:val="22"/>
              </w:rPr>
              <w:t>How will I achieve this goal?</w:t>
            </w:r>
          </w:p>
          <w:p w14:paraId="15026FA8" w14:textId="77777777" w:rsidR="00283DCB" w:rsidRPr="00AB1FAF" w:rsidRDefault="00283DCB" w:rsidP="009032EA">
            <w:pPr>
              <w:pStyle w:val="MacroText"/>
              <w:jc w:val="both"/>
              <w:rPr>
                <w:rFonts w:ascii="Arial" w:hAnsi="Arial" w:cs="Arial"/>
                <w:sz w:val="22"/>
                <w:szCs w:val="22"/>
              </w:rPr>
            </w:pPr>
          </w:p>
        </w:tc>
      </w:tr>
      <w:tr w:rsidR="00283DCB" w:rsidRPr="00AB1FAF" w14:paraId="6F1C3F95" w14:textId="77777777" w:rsidTr="006A1B6C">
        <w:trPr>
          <w:cantSplit/>
          <w:trHeight w:val="2573"/>
        </w:trPr>
        <w:tc>
          <w:tcPr>
            <w:tcW w:w="1861" w:type="dxa"/>
            <w:tcBorders>
              <w:top w:val="single" w:sz="6" w:space="0" w:color="000000"/>
              <w:left w:val="single" w:sz="6" w:space="0" w:color="000000"/>
              <w:bottom w:val="single" w:sz="6" w:space="0" w:color="000000"/>
            </w:tcBorders>
            <w:shd w:val="clear" w:color="auto" w:fill="EEECE1" w:themeFill="background2"/>
          </w:tcPr>
          <w:p w14:paraId="35EFF204" w14:textId="77777777" w:rsidR="00283DCB" w:rsidRPr="00AB1FAF" w:rsidRDefault="00283DCB" w:rsidP="009032EA">
            <w:pPr>
              <w:pStyle w:val="MacroText"/>
              <w:jc w:val="both"/>
              <w:rPr>
                <w:rFonts w:ascii="Arial" w:eastAsia="Arial" w:hAnsi="Arial" w:cs="Arial"/>
                <w:b/>
                <w:color w:val="000080"/>
                <w:kern w:val="0"/>
                <w:sz w:val="22"/>
                <w:szCs w:val="22"/>
                <w:lang w:val="en-US"/>
              </w:rPr>
            </w:pPr>
          </w:p>
          <w:p w14:paraId="5124574C" w14:textId="77777777" w:rsidR="00283DCB" w:rsidRPr="00AB1FAF" w:rsidRDefault="00283DCB" w:rsidP="009032EA">
            <w:pPr>
              <w:pStyle w:val="MacroText"/>
              <w:jc w:val="both"/>
              <w:rPr>
                <w:rFonts w:ascii="Arial" w:eastAsia="Arial" w:hAnsi="Arial" w:cs="Arial"/>
                <w:kern w:val="0"/>
                <w:sz w:val="22"/>
                <w:szCs w:val="22"/>
                <w:lang w:val="en-US"/>
              </w:rPr>
            </w:pPr>
          </w:p>
          <w:p w14:paraId="7A35E243" w14:textId="217A4FEC" w:rsidR="00283DCB" w:rsidRPr="00AB1FAF" w:rsidRDefault="003B5868" w:rsidP="009032EA">
            <w:pPr>
              <w:pStyle w:val="MacroText"/>
              <w:jc w:val="both"/>
              <w:rPr>
                <w:rFonts w:ascii="Arial" w:hAnsi="Arial" w:cs="Arial"/>
                <w:sz w:val="22"/>
                <w:szCs w:val="22"/>
              </w:rPr>
            </w:pPr>
            <w:r w:rsidRPr="00AB1FAF">
              <w:rPr>
                <w:rFonts w:ascii="Arial" w:eastAsia="Arial" w:hAnsi="Arial" w:cs="Arial"/>
                <w:kern w:val="0"/>
                <w:sz w:val="22"/>
                <w:szCs w:val="22"/>
                <w:lang w:val="en-US"/>
              </w:rPr>
              <w:t>I w</w:t>
            </w:r>
            <w:r w:rsidR="006A1B6C">
              <w:rPr>
                <w:rFonts w:ascii="Arial" w:eastAsia="Arial" w:hAnsi="Arial" w:cs="Arial"/>
                <w:kern w:val="0"/>
                <w:sz w:val="22"/>
                <w:szCs w:val="22"/>
                <w:lang w:val="en-US"/>
              </w:rPr>
              <w:t>ould like</w:t>
            </w:r>
            <w:r w:rsidRPr="00AB1FAF">
              <w:rPr>
                <w:rFonts w:ascii="Arial" w:eastAsia="Arial" w:hAnsi="Arial" w:cs="Arial"/>
                <w:kern w:val="0"/>
                <w:sz w:val="22"/>
                <w:szCs w:val="22"/>
                <w:lang w:val="en-US"/>
              </w:rPr>
              <w:t xml:space="preserve"> to develop communication skills </w:t>
            </w:r>
            <w:proofErr w:type="gramStart"/>
            <w:r w:rsidR="006A1B6C">
              <w:rPr>
                <w:rFonts w:ascii="Arial" w:eastAsia="Arial" w:hAnsi="Arial" w:cs="Arial"/>
                <w:kern w:val="0"/>
                <w:sz w:val="22"/>
                <w:szCs w:val="22"/>
                <w:lang w:val="en-US"/>
              </w:rPr>
              <w:t xml:space="preserve">and </w:t>
            </w:r>
            <w:r w:rsidRPr="00AB1FAF">
              <w:rPr>
                <w:rFonts w:ascii="Arial" w:eastAsia="Arial" w:hAnsi="Arial" w:cs="Arial"/>
                <w:kern w:val="0"/>
                <w:sz w:val="22"/>
                <w:szCs w:val="22"/>
                <w:lang w:val="en-US"/>
              </w:rPr>
              <w:t xml:space="preserve"> interact</w:t>
            </w:r>
            <w:proofErr w:type="gramEnd"/>
            <w:r w:rsidR="006A1B6C">
              <w:rPr>
                <w:rFonts w:ascii="Arial" w:eastAsia="Arial" w:hAnsi="Arial" w:cs="Arial"/>
                <w:kern w:val="0"/>
                <w:sz w:val="22"/>
                <w:szCs w:val="22"/>
                <w:lang w:val="en-US"/>
              </w:rPr>
              <w:t xml:space="preserve"> better</w:t>
            </w:r>
            <w:r w:rsidRPr="00AB1FAF">
              <w:rPr>
                <w:rFonts w:ascii="Arial" w:eastAsia="Arial" w:hAnsi="Arial" w:cs="Arial"/>
                <w:kern w:val="0"/>
                <w:sz w:val="22"/>
                <w:szCs w:val="22"/>
                <w:lang w:val="en-US"/>
              </w:rPr>
              <w:t xml:space="preserve"> with patients more effectively</w:t>
            </w:r>
          </w:p>
          <w:p w14:paraId="00361483" w14:textId="77777777" w:rsidR="00283DCB" w:rsidRPr="00AB1FAF" w:rsidRDefault="00283DCB" w:rsidP="009032EA">
            <w:pPr>
              <w:pStyle w:val="MacroText"/>
              <w:jc w:val="both"/>
              <w:rPr>
                <w:rFonts w:ascii="Arial" w:eastAsia="Arial" w:hAnsi="Arial" w:cs="Arial"/>
                <w:kern w:val="0"/>
                <w:sz w:val="22"/>
                <w:szCs w:val="22"/>
                <w:lang w:val="en-US"/>
              </w:rPr>
            </w:pPr>
          </w:p>
        </w:tc>
        <w:tc>
          <w:tcPr>
            <w:tcW w:w="2271" w:type="dxa"/>
            <w:tcBorders>
              <w:top w:val="single" w:sz="6" w:space="0" w:color="000000"/>
              <w:left w:val="single" w:sz="6" w:space="0" w:color="000000"/>
              <w:bottom w:val="single" w:sz="6" w:space="0" w:color="000000"/>
            </w:tcBorders>
            <w:shd w:val="clear" w:color="auto" w:fill="EEECE1" w:themeFill="background2"/>
          </w:tcPr>
          <w:p w14:paraId="35BD95EB" w14:textId="77777777" w:rsidR="00283DCB" w:rsidRPr="00AB1FAF" w:rsidRDefault="003B5868" w:rsidP="009032EA">
            <w:pPr>
              <w:jc w:val="both"/>
              <w:rPr>
                <w:rFonts w:ascii="Arial" w:hAnsi="Arial" w:cs="Arial"/>
              </w:rPr>
            </w:pPr>
            <w:r w:rsidRPr="00AB1FAF">
              <w:rPr>
                <w:rFonts w:ascii="Arial" w:eastAsia="Arial" w:hAnsi="Arial" w:cs="Arial"/>
              </w:rPr>
              <w:t>Skill Development</w:t>
            </w:r>
          </w:p>
        </w:tc>
        <w:tc>
          <w:tcPr>
            <w:tcW w:w="1915" w:type="dxa"/>
            <w:tcBorders>
              <w:top w:val="single" w:sz="6" w:space="0" w:color="000000"/>
              <w:left w:val="single" w:sz="6" w:space="0" w:color="000000"/>
              <w:bottom w:val="single" w:sz="6" w:space="0" w:color="000000"/>
            </w:tcBorders>
            <w:shd w:val="clear" w:color="auto" w:fill="EEECE1" w:themeFill="background2"/>
          </w:tcPr>
          <w:p w14:paraId="452D3848" w14:textId="77777777" w:rsidR="00283DCB" w:rsidRPr="00AB1FAF" w:rsidRDefault="003B5868" w:rsidP="009032EA">
            <w:pPr>
              <w:jc w:val="both"/>
              <w:rPr>
                <w:rFonts w:ascii="Arial" w:hAnsi="Arial" w:cs="Arial"/>
              </w:rPr>
            </w:pPr>
            <w:r w:rsidRPr="00AB1FAF">
              <w:rPr>
                <w:rFonts w:ascii="Arial" w:eastAsia="Arial" w:hAnsi="Arial" w:cs="Arial"/>
              </w:rPr>
              <w:t>2 weeks</w:t>
            </w:r>
          </w:p>
        </w:tc>
        <w:tc>
          <w:tcPr>
            <w:tcW w:w="3475" w:type="dxa"/>
            <w:tcBorders>
              <w:top w:val="single" w:sz="6" w:space="0" w:color="000000"/>
              <w:left w:val="single" w:sz="6" w:space="0" w:color="000000"/>
              <w:bottom w:val="single" w:sz="6" w:space="0" w:color="000000"/>
              <w:right w:val="single" w:sz="6" w:space="0" w:color="000000"/>
            </w:tcBorders>
            <w:shd w:val="clear" w:color="auto" w:fill="EEECE1" w:themeFill="background2"/>
          </w:tcPr>
          <w:p w14:paraId="72D4F732" w14:textId="77777777" w:rsidR="00283DCB" w:rsidRPr="00AB1FAF" w:rsidRDefault="003B5868" w:rsidP="009032EA">
            <w:pPr>
              <w:jc w:val="both"/>
              <w:rPr>
                <w:rFonts w:ascii="Arial" w:hAnsi="Arial" w:cs="Arial"/>
              </w:rPr>
            </w:pPr>
            <w:r w:rsidRPr="00AB1FAF">
              <w:rPr>
                <w:rFonts w:ascii="Arial" w:eastAsia="Arial" w:hAnsi="Arial" w:cs="Arial"/>
              </w:rPr>
              <w:t xml:space="preserve">I will learn concepts of cognitive behaviour of the elderly and interact with them more. I will take tips from peers regarding interaction with elderly. </w:t>
            </w:r>
          </w:p>
        </w:tc>
      </w:tr>
      <w:tr w:rsidR="00283DCB" w:rsidRPr="00AB1FAF" w14:paraId="6A32C3C2" w14:textId="77777777" w:rsidTr="006A1B6C">
        <w:trPr>
          <w:cantSplit/>
          <w:trHeight w:val="30"/>
        </w:trPr>
        <w:tc>
          <w:tcPr>
            <w:tcW w:w="1861" w:type="dxa"/>
            <w:tcBorders>
              <w:top w:val="single" w:sz="6" w:space="0" w:color="000000"/>
              <w:left w:val="single" w:sz="6" w:space="0" w:color="000000"/>
              <w:bottom w:val="single" w:sz="6" w:space="0" w:color="000000"/>
            </w:tcBorders>
            <w:shd w:val="clear" w:color="auto" w:fill="EEECE1" w:themeFill="background2"/>
          </w:tcPr>
          <w:p w14:paraId="29C0323D" w14:textId="77777777" w:rsidR="00283DCB" w:rsidRPr="00AB1FAF" w:rsidRDefault="00283DCB" w:rsidP="009032EA">
            <w:pPr>
              <w:pStyle w:val="MacroText"/>
              <w:jc w:val="both"/>
              <w:rPr>
                <w:rFonts w:ascii="Arial" w:eastAsia="Arial" w:hAnsi="Arial" w:cs="Arial"/>
                <w:kern w:val="0"/>
                <w:sz w:val="22"/>
                <w:szCs w:val="22"/>
                <w:lang w:val="en-US"/>
              </w:rPr>
            </w:pPr>
          </w:p>
          <w:p w14:paraId="4D54126B" w14:textId="3441D155" w:rsidR="00283DCB" w:rsidRPr="00AB1FAF" w:rsidRDefault="003B5868" w:rsidP="009032EA">
            <w:pPr>
              <w:pStyle w:val="MacroText"/>
              <w:jc w:val="both"/>
              <w:rPr>
                <w:rFonts w:ascii="Arial" w:hAnsi="Arial" w:cs="Arial"/>
                <w:sz w:val="22"/>
                <w:szCs w:val="22"/>
              </w:rPr>
            </w:pPr>
            <w:r w:rsidRPr="00AB1FAF">
              <w:rPr>
                <w:rFonts w:ascii="Arial" w:eastAsia="Arial" w:hAnsi="Arial" w:cs="Arial"/>
                <w:kern w:val="0"/>
                <w:sz w:val="22"/>
                <w:szCs w:val="22"/>
                <w:lang w:val="en-US"/>
              </w:rPr>
              <w:t>I want to develop knowledge</w:t>
            </w:r>
            <w:r w:rsidR="006A1B6C">
              <w:rPr>
                <w:rFonts w:ascii="Arial" w:eastAsia="Arial" w:hAnsi="Arial" w:cs="Arial"/>
                <w:kern w:val="0"/>
                <w:sz w:val="22"/>
                <w:szCs w:val="22"/>
                <w:lang w:val="en-US"/>
              </w:rPr>
              <w:t xml:space="preserve"> </w:t>
            </w:r>
            <w:r w:rsidRPr="00AB1FAF">
              <w:rPr>
                <w:rFonts w:ascii="Arial" w:eastAsia="Arial" w:hAnsi="Arial" w:cs="Arial"/>
                <w:kern w:val="0"/>
                <w:sz w:val="22"/>
                <w:szCs w:val="22"/>
                <w:lang w:val="en-US"/>
              </w:rPr>
              <w:t xml:space="preserve">in procedure setup for </w:t>
            </w:r>
            <w:r w:rsidR="006A1B6C">
              <w:rPr>
                <w:rFonts w:ascii="Arial" w:eastAsia="Arial" w:hAnsi="Arial" w:cs="Arial"/>
                <w:kern w:val="0"/>
                <w:sz w:val="22"/>
                <w:szCs w:val="22"/>
                <w:lang w:val="en-US"/>
              </w:rPr>
              <w:t xml:space="preserve">all </w:t>
            </w:r>
            <w:proofErr w:type="gramStart"/>
            <w:r w:rsidR="006A1B6C">
              <w:rPr>
                <w:rFonts w:ascii="Arial" w:eastAsia="Arial" w:hAnsi="Arial" w:cs="Arial"/>
                <w:kern w:val="0"/>
                <w:sz w:val="22"/>
                <w:szCs w:val="22"/>
                <w:lang w:val="en-US"/>
              </w:rPr>
              <w:t xml:space="preserve">nursing </w:t>
            </w:r>
            <w:r w:rsidRPr="00AB1FAF">
              <w:rPr>
                <w:rFonts w:ascii="Arial" w:eastAsia="Arial" w:hAnsi="Arial" w:cs="Arial"/>
                <w:kern w:val="0"/>
                <w:sz w:val="22"/>
                <w:szCs w:val="22"/>
                <w:lang w:val="en-US"/>
              </w:rPr>
              <w:t xml:space="preserve"> staff</w:t>
            </w:r>
            <w:proofErr w:type="gramEnd"/>
          </w:p>
          <w:p w14:paraId="2D537EEB" w14:textId="77777777" w:rsidR="00283DCB" w:rsidRPr="00AB1FAF" w:rsidRDefault="00283DCB" w:rsidP="009032EA">
            <w:pPr>
              <w:pStyle w:val="MacroText"/>
              <w:jc w:val="both"/>
              <w:rPr>
                <w:rFonts w:ascii="Arial" w:eastAsia="Arial" w:hAnsi="Arial" w:cs="Arial"/>
                <w:kern w:val="0"/>
                <w:sz w:val="22"/>
                <w:szCs w:val="22"/>
                <w:lang w:val="en-US"/>
              </w:rPr>
            </w:pPr>
          </w:p>
          <w:p w14:paraId="7738D45C" w14:textId="77777777" w:rsidR="00283DCB" w:rsidRPr="00AB1FAF" w:rsidRDefault="00283DCB" w:rsidP="009032EA">
            <w:pPr>
              <w:pStyle w:val="MacroText"/>
              <w:jc w:val="both"/>
              <w:rPr>
                <w:rFonts w:ascii="Arial" w:eastAsia="Arial" w:hAnsi="Arial" w:cs="Arial"/>
                <w:kern w:val="0"/>
                <w:sz w:val="22"/>
                <w:szCs w:val="22"/>
                <w:lang w:val="en-US"/>
              </w:rPr>
            </w:pPr>
          </w:p>
        </w:tc>
        <w:tc>
          <w:tcPr>
            <w:tcW w:w="2271" w:type="dxa"/>
            <w:tcBorders>
              <w:top w:val="single" w:sz="6" w:space="0" w:color="000000"/>
              <w:left w:val="single" w:sz="6" w:space="0" w:color="000000"/>
              <w:bottom w:val="single" w:sz="6" w:space="0" w:color="000000"/>
            </w:tcBorders>
            <w:shd w:val="clear" w:color="auto" w:fill="EEECE1" w:themeFill="background2"/>
          </w:tcPr>
          <w:p w14:paraId="5A37C934" w14:textId="77777777" w:rsidR="00283DCB" w:rsidRPr="00AB1FAF" w:rsidRDefault="003B5868" w:rsidP="009032EA">
            <w:pPr>
              <w:jc w:val="both"/>
              <w:rPr>
                <w:rFonts w:ascii="Arial" w:hAnsi="Arial" w:cs="Arial"/>
              </w:rPr>
            </w:pPr>
            <w:r w:rsidRPr="00AB1FAF">
              <w:rPr>
                <w:rFonts w:ascii="Arial" w:eastAsia="Arial" w:hAnsi="Arial" w:cs="Arial"/>
              </w:rPr>
              <w:t>Knowledge development</w:t>
            </w:r>
          </w:p>
        </w:tc>
        <w:tc>
          <w:tcPr>
            <w:tcW w:w="1915" w:type="dxa"/>
            <w:tcBorders>
              <w:top w:val="single" w:sz="6" w:space="0" w:color="000000"/>
              <w:left w:val="single" w:sz="6" w:space="0" w:color="000000"/>
              <w:bottom w:val="single" w:sz="6" w:space="0" w:color="000000"/>
            </w:tcBorders>
            <w:shd w:val="clear" w:color="auto" w:fill="EEECE1" w:themeFill="background2"/>
          </w:tcPr>
          <w:p w14:paraId="292EAC6E" w14:textId="77777777" w:rsidR="00283DCB" w:rsidRPr="00AB1FAF" w:rsidRDefault="003B5868" w:rsidP="009032EA">
            <w:pPr>
              <w:jc w:val="both"/>
              <w:rPr>
                <w:rFonts w:ascii="Arial" w:hAnsi="Arial" w:cs="Arial"/>
              </w:rPr>
            </w:pPr>
            <w:r w:rsidRPr="00AB1FAF">
              <w:rPr>
                <w:rFonts w:ascii="Arial" w:eastAsia="Arial" w:hAnsi="Arial" w:cs="Arial"/>
              </w:rPr>
              <w:t>1 week</w:t>
            </w:r>
          </w:p>
        </w:tc>
        <w:tc>
          <w:tcPr>
            <w:tcW w:w="3475" w:type="dxa"/>
            <w:tcBorders>
              <w:top w:val="single" w:sz="6" w:space="0" w:color="000000"/>
              <w:left w:val="single" w:sz="6" w:space="0" w:color="000000"/>
              <w:bottom w:val="single" w:sz="6" w:space="0" w:color="000000"/>
              <w:right w:val="single" w:sz="6" w:space="0" w:color="000000"/>
            </w:tcBorders>
            <w:shd w:val="clear" w:color="auto" w:fill="EEECE1" w:themeFill="background2"/>
          </w:tcPr>
          <w:p w14:paraId="7E99B7F2" w14:textId="77777777" w:rsidR="00283DCB" w:rsidRPr="00AB1FAF" w:rsidRDefault="003B5868" w:rsidP="009032EA">
            <w:pPr>
              <w:jc w:val="both"/>
              <w:rPr>
                <w:rFonts w:ascii="Arial" w:hAnsi="Arial" w:cs="Arial"/>
              </w:rPr>
            </w:pPr>
            <w:r w:rsidRPr="00AB1FAF">
              <w:rPr>
                <w:rFonts w:ascii="Arial" w:eastAsia="Arial" w:hAnsi="Arial" w:cs="Arial"/>
              </w:rPr>
              <w:t xml:space="preserve">I will attend nursing procedures for elderly patients and participate to learn methods. </w:t>
            </w:r>
          </w:p>
        </w:tc>
      </w:tr>
      <w:tr w:rsidR="00283DCB" w:rsidRPr="00AB1FAF" w14:paraId="4E339AAE" w14:textId="77777777" w:rsidTr="006A1B6C">
        <w:trPr>
          <w:cantSplit/>
          <w:trHeight w:val="30"/>
        </w:trPr>
        <w:tc>
          <w:tcPr>
            <w:tcW w:w="1861" w:type="dxa"/>
            <w:tcBorders>
              <w:top w:val="single" w:sz="6" w:space="0" w:color="000000"/>
              <w:left w:val="single" w:sz="6" w:space="0" w:color="000000"/>
              <w:bottom w:val="single" w:sz="4" w:space="0" w:color="auto"/>
            </w:tcBorders>
            <w:shd w:val="clear" w:color="auto" w:fill="EEECE1" w:themeFill="background2"/>
          </w:tcPr>
          <w:p w14:paraId="388CEBA1" w14:textId="77777777" w:rsidR="00283DCB" w:rsidRPr="00AB1FAF" w:rsidRDefault="00283DCB" w:rsidP="009032EA">
            <w:pPr>
              <w:pStyle w:val="MacroText"/>
              <w:jc w:val="both"/>
              <w:rPr>
                <w:rFonts w:ascii="Arial" w:eastAsia="Arial" w:hAnsi="Arial" w:cs="Arial"/>
                <w:kern w:val="0"/>
                <w:sz w:val="22"/>
                <w:szCs w:val="22"/>
                <w:lang w:val="en-US"/>
              </w:rPr>
            </w:pPr>
          </w:p>
          <w:p w14:paraId="11384686" w14:textId="33228C38" w:rsidR="00283DCB" w:rsidRPr="00AB1FAF" w:rsidRDefault="003B5868" w:rsidP="009032EA">
            <w:pPr>
              <w:pStyle w:val="MacroText"/>
              <w:jc w:val="both"/>
              <w:rPr>
                <w:rFonts w:ascii="Arial" w:hAnsi="Arial" w:cs="Arial"/>
                <w:sz w:val="22"/>
                <w:szCs w:val="22"/>
              </w:rPr>
            </w:pPr>
            <w:r w:rsidRPr="00AB1FAF">
              <w:rPr>
                <w:rFonts w:ascii="Arial" w:eastAsia="Arial" w:hAnsi="Arial" w:cs="Arial"/>
                <w:kern w:val="0"/>
                <w:sz w:val="22"/>
                <w:szCs w:val="22"/>
                <w:lang w:val="en-US"/>
              </w:rPr>
              <w:t xml:space="preserve">I </w:t>
            </w:r>
            <w:r w:rsidR="00604EBC">
              <w:rPr>
                <w:rFonts w:ascii="Arial" w:eastAsia="Arial" w:hAnsi="Arial" w:cs="Arial"/>
                <w:kern w:val="0"/>
                <w:sz w:val="22"/>
                <w:szCs w:val="22"/>
                <w:lang w:val="en-US"/>
              </w:rPr>
              <w:t xml:space="preserve">would </w:t>
            </w:r>
            <w:proofErr w:type="gramStart"/>
            <w:r w:rsidR="00604EBC">
              <w:rPr>
                <w:rFonts w:ascii="Arial" w:eastAsia="Arial" w:hAnsi="Arial" w:cs="Arial"/>
                <w:kern w:val="0"/>
                <w:sz w:val="22"/>
                <w:szCs w:val="22"/>
                <w:lang w:val="en-US"/>
              </w:rPr>
              <w:t xml:space="preserve">like </w:t>
            </w:r>
            <w:r w:rsidRPr="00AB1FAF">
              <w:rPr>
                <w:rFonts w:ascii="Arial" w:eastAsia="Arial" w:hAnsi="Arial" w:cs="Arial"/>
                <w:kern w:val="0"/>
                <w:sz w:val="22"/>
                <w:szCs w:val="22"/>
                <w:lang w:val="en-US"/>
              </w:rPr>
              <w:t xml:space="preserve"> to</w:t>
            </w:r>
            <w:proofErr w:type="gramEnd"/>
            <w:r w:rsidRPr="00AB1FAF">
              <w:rPr>
                <w:rFonts w:ascii="Arial" w:eastAsia="Arial" w:hAnsi="Arial" w:cs="Arial"/>
                <w:kern w:val="0"/>
                <w:sz w:val="22"/>
                <w:szCs w:val="22"/>
                <w:lang w:val="en-US"/>
              </w:rPr>
              <w:t xml:space="preserve"> develop</w:t>
            </w:r>
            <w:r w:rsidR="00604EBC">
              <w:rPr>
                <w:rFonts w:ascii="Arial" w:eastAsia="Arial" w:hAnsi="Arial" w:cs="Arial"/>
                <w:kern w:val="0"/>
                <w:sz w:val="22"/>
                <w:szCs w:val="22"/>
                <w:lang w:val="en-US"/>
              </w:rPr>
              <w:t xml:space="preserve"> my skills</w:t>
            </w:r>
            <w:r w:rsidRPr="00AB1FAF">
              <w:rPr>
                <w:rFonts w:ascii="Arial" w:eastAsia="Arial" w:hAnsi="Arial" w:cs="Arial"/>
                <w:kern w:val="0"/>
                <w:sz w:val="22"/>
                <w:szCs w:val="22"/>
                <w:lang w:val="en-US"/>
              </w:rPr>
              <w:t xml:space="preserve"> in care</w:t>
            </w:r>
            <w:r w:rsidR="00604EBC">
              <w:rPr>
                <w:rFonts w:ascii="Arial" w:eastAsia="Arial" w:hAnsi="Arial" w:cs="Arial"/>
                <w:kern w:val="0"/>
                <w:sz w:val="22"/>
                <w:szCs w:val="22"/>
                <w:lang w:val="en-US"/>
              </w:rPr>
              <w:t xml:space="preserve"> and </w:t>
            </w:r>
            <w:r w:rsidRPr="00AB1FAF">
              <w:rPr>
                <w:rFonts w:ascii="Arial" w:eastAsia="Arial" w:hAnsi="Arial" w:cs="Arial"/>
                <w:kern w:val="0"/>
                <w:sz w:val="22"/>
                <w:szCs w:val="22"/>
                <w:lang w:val="en-US"/>
              </w:rPr>
              <w:t xml:space="preserve"> giv</w:t>
            </w:r>
            <w:r w:rsidR="00604EBC">
              <w:rPr>
                <w:rFonts w:ascii="Arial" w:eastAsia="Arial" w:hAnsi="Arial" w:cs="Arial"/>
                <w:kern w:val="0"/>
                <w:sz w:val="22"/>
                <w:szCs w:val="22"/>
                <w:lang w:val="en-US"/>
              </w:rPr>
              <w:t>e they right care</w:t>
            </w:r>
            <w:r w:rsidRPr="00AB1FAF">
              <w:rPr>
                <w:rFonts w:ascii="Arial" w:eastAsia="Arial" w:hAnsi="Arial" w:cs="Arial"/>
                <w:kern w:val="0"/>
                <w:sz w:val="22"/>
                <w:szCs w:val="22"/>
                <w:lang w:val="en-US"/>
              </w:rPr>
              <w:t xml:space="preserve"> to  patient </w:t>
            </w:r>
            <w:r w:rsidR="00604EBC">
              <w:rPr>
                <w:rFonts w:ascii="Arial" w:eastAsia="Arial" w:hAnsi="Arial" w:cs="Arial"/>
                <w:kern w:val="0"/>
                <w:sz w:val="22"/>
                <w:szCs w:val="22"/>
                <w:lang w:val="en-US"/>
              </w:rPr>
              <w:t xml:space="preserve">where they </w:t>
            </w:r>
            <w:proofErr w:type="spellStart"/>
            <w:r w:rsidR="00604EBC">
              <w:rPr>
                <w:rFonts w:ascii="Arial" w:eastAsia="Arial" w:hAnsi="Arial" w:cs="Arial"/>
                <w:kern w:val="0"/>
                <w:sz w:val="22"/>
                <w:szCs w:val="22"/>
                <w:lang w:val="en-US"/>
              </w:rPr>
              <w:t>wont</w:t>
            </w:r>
            <w:proofErr w:type="spellEnd"/>
            <w:r w:rsidR="00604EBC">
              <w:rPr>
                <w:rFonts w:ascii="Arial" w:eastAsia="Arial" w:hAnsi="Arial" w:cs="Arial"/>
                <w:kern w:val="0"/>
                <w:sz w:val="22"/>
                <w:szCs w:val="22"/>
                <w:lang w:val="en-US"/>
              </w:rPr>
              <w:t xml:space="preserve"> have wait time</w:t>
            </w:r>
          </w:p>
          <w:p w14:paraId="36F63DA6" w14:textId="77777777" w:rsidR="00283DCB" w:rsidRPr="00AB1FAF" w:rsidRDefault="00283DCB" w:rsidP="009032EA">
            <w:pPr>
              <w:pStyle w:val="MacroText"/>
              <w:jc w:val="both"/>
              <w:rPr>
                <w:rFonts w:ascii="Arial" w:eastAsia="Arial" w:hAnsi="Arial" w:cs="Arial"/>
                <w:kern w:val="0"/>
                <w:sz w:val="22"/>
                <w:szCs w:val="22"/>
                <w:lang w:val="en-US"/>
              </w:rPr>
            </w:pPr>
          </w:p>
          <w:p w14:paraId="1FA7E146" w14:textId="77777777" w:rsidR="00283DCB" w:rsidRPr="00AB1FAF" w:rsidRDefault="00283DCB" w:rsidP="009032EA">
            <w:pPr>
              <w:pStyle w:val="MacroText"/>
              <w:jc w:val="both"/>
              <w:rPr>
                <w:rFonts w:ascii="Arial" w:eastAsia="Arial" w:hAnsi="Arial" w:cs="Arial"/>
                <w:kern w:val="0"/>
                <w:sz w:val="22"/>
                <w:szCs w:val="22"/>
                <w:lang w:val="en-US"/>
              </w:rPr>
            </w:pPr>
          </w:p>
        </w:tc>
        <w:tc>
          <w:tcPr>
            <w:tcW w:w="2271" w:type="dxa"/>
            <w:tcBorders>
              <w:top w:val="single" w:sz="6" w:space="0" w:color="000000"/>
              <w:left w:val="single" w:sz="6" w:space="0" w:color="000000"/>
              <w:bottom w:val="single" w:sz="4" w:space="0" w:color="auto"/>
            </w:tcBorders>
            <w:shd w:val="clear" w:color="auto" w:fill="EEECE1" w:themeFill="background2"/>
          </w:tcPr>
          <w:p w14:paraId="0679F75A" w14:textId="77777777" w:rsidR="00283DCB" w:rsidRPr="00AB1FAF" w:rsidRDefault="003B5868" w:rsidP="009032EA">
            <w:pPr>
              <w:jc w:val="both"/>
              <w:rPr>
                <w:rFonts w:ascii="Arial" w:hAnsi="Arial" w:cs="Arial"/>
              </w:rPr>
            </w:pPr>
            <w:r w:rsidRPr="00AB1FAF">
              <w:rPr>
                <w:rFonts w:ascii="Arial" w:eastAsia="Arial" w:hAnsi="Arial" w:cs="Arial"/>
              </w:rPr>
              <w:t>Skill Development</w:t>
            </w:r>
          </w:p>
        </w:tc>
        <w:tc>
          <w:tcPr>
            <w:tcW w:w="1915" w:type="dxa"/>
            <w:tcBorders>
              <w:top w:val="single" w:sz="6" w:space="0" w:color="000000"/>
              <w:left w:val="single" w:sz="6" w:space="0" w:color="000000"/>
              <w:bottom w:val="single" w:sz="4" w:space="0" w:color="auto"/>
            </w:tcBorders>
            <w:shd w:val="clear" w:color="auto" w:fill="EEECE1" w:themeFill="background2"/>
          </w:tcPr>
          <w:p w14:paraId="1012DEA9" w14:textId="77777777" w:rsidR="00283DCB" w:rsidRPr="00AB1FAF" w:rsidRDefault="003B5868" w:rsidP="009032EA">
            <w:pPr>
              <w:jc w:val="both"/>
              <w:rPr>
                <w:rFonts w:ascii="Arial" w:hAnsi="Arial" w:cs="Arial"/>
              </w:rPr>
            </w:pPr>
            <w:r w:rsidRPr="00AB1FAF">
              <w:rPr>
                <w:rFonts w:ascii="Arial" w:eastAsia="Arial" w:hAnsi="Arial" w:cs="Arial"/>
              </w:rPr>
              <w:t>1 week</w:t>
            </w:r>
          </w:p>
        </w:tc>
        <w:tc>
          <w:tcPr>
            <w:tcW w:w="3475" w:type="dxa"/>
            <w:tcBorders>
              <w:top w:val="single" w:sz="6" w:space="0" w:color="000000"/>
              <w:left w:val="single" w:sz="6" w:space="0" w:color="000000"/>
              <w:bottom w:val="single" w:sz="4" w:space="0" w:color="auto"/>
              <w:right w:val="single" w:sz="6" w:space="0" w:color="000000"/>
            </w:tcBorders>
            <w:shd w:val="clear" w:color="auto" w:fill="EEECE1" w:themeFill="background2"/>
          </w:tcPr>
          <w:p w14:paraId="3EF4BE41" w14:textId="22BF9EC4" w:rsidR="00283DCB" w:rsidRPr="00AB1FAF" w:rsidRDefault="003B5868" w:rsidP="009032EA">
            <w:pPr>
              <w:jc w:val="both"/>
              <w:rPr>
                <w:rFonts w:ascii="Arial" w:hAnsi="Arial" w:cs="Arial"/>
              </w:rPr>
            </w:pPr>
            <w:r w:rsidRPr="00AB1FAF">
              <w:rPr>
                <w:rFonts w:ascii="Arial" w:eastAsia="Arial" w:hAnsi="Arial" w:cs="Arial"/>
              </w:rPr>
              <w:t xml:space="preserve">I will </w:t>
            </w:r>
            <w:r w:rsidR="006A1B6C">
              <w:rPr>
                <w:rFonts w:ascii="Arial" w:eastAsia="Arial" w:hAnsi="Arial" w:cs="Arial"/>
              </w:rPr>
              <w:t>work closely with</w:t>
            </w:r>
            <w:r w:rsidRPr="00AB1FAF">
              <w:rPr>
                <w:rFonts w:ascii="Arial" w:eastAsia="Arial" w:hAnsi="Arial" w:cs="Arial"/>
              </w:rPr>
              <w:t xml:space="preserve"> </w:t>
            </w:r>
            <w:r w:rsidR="006A1B6C">
              <w:rPr>
                <w:rFonts w:ascii="Arial" w:eastAsia="Arial" w:hAnsi="Arial" w:cs="Arial"/>
              </w:rPr>
              <w:t xml:space="preserve">my colleagues and learn and get ideas on </w:t>
            </w:r>
            <w:proofErr w:type="gramStart"/>
            <w:r w:rsidR="006A1B6C">
              <w:rPr>
                <w:rFonts w:ascii="Arial" w:eastAsia="Arial" w:hAnsi="Arial" w:cs="Arial"/>
              </w:rPr>
              <w:t xml:space="preserve">how </w:t>
            </w:r>
            <w:r w:rsidRPr="00AB1FAF">
              <w:rPr>
                <w:rFonts w:ascii="Arial" w:eastAsia="Arial" w:hAnsi="Arial" w:cs="Arial"/>
              </w:rPr>
              <w:t xml:space="preserve"> to</w:t>
            </w:r>
            <w:proofErr w:type="gramEnd"/>
            <w:r w:rsidRPr="00AB1FAF">
              <w:rPr>
                <w:rFonts w:ascii="Arial" w:eastAsia="Arial" w:hAnsi="Arial" w:cs="Arial"/>
              </w:rPr>
              <w:t xml:space="preserve"> reduce patient </w:t>
            </w:r>
            <w:r w:rsidR="006A1B6C">
              <w:rPr>
                <w:rFonts w:ascii="Arial" w:eastAsia="Arial" w:hAnsi="Arial" w:cs="Arial"/>
              </w:rPr>
              <w:t xml:space="preserve">from </w:t>
            </w:r>
            <w:r w:rsidRPr="00AB1FAF">
              <w:rPr>
                <w:rFonts w:ascii="Arial" w:eastAsia="Arial" w:hAnsi="Arial" w:cs="Arial"/>
              </w:rPr>
              <w:t>wait</w:t>
            </w:r>
            <w:r w:rsidR="006A1B6C">
              <w:rPr>
                <w:rFonts w:ascii="Arial" w:eastAsia="Arial" w:hAnsi="Arial" w:cs="Arial"/>
              </w:rPr>
              <w:t>ing to long for appointments</w:t>
            </w:r>
            <w:r w:rsidRPr="00AB1FAF">
              <w:rPr>
                <w:rFonts w:ascii="Arial" w:eastAsia="Arial" w:hAnsi="Arial" w:cs="Arial"/>
              </w:rPr>
              <w:t xml:space="preserve"> time. </w:t>
            </w:r>
          </w:p>
        </w:tc>
      </w:tr>
    </w:tbl>
    <w:p w14:paraId="2CC1E199" w14:textId="77777777" w:rsidR="00283DCB" w:rsidRPr="00AB1FAF" w:rsidRDefault="00283DCB" w:rsidP="009032EA">
      <w:pPr>
        <w:spacing w:beforeAutospacing="1" w:afterAutospacing="1" w:line="240" w:lineRule="auto"/>
        <w:jc w:val="both"/>
        <w:rPr>
          <w:rFonts w:ascii="Arial" w:eastAsia="Times New Roman" w:hAnsi="Arial" w:cs="Arial"/>
          <w:color w:val="000000" w:themeColor="text1"/>
          <w:lang w:eastAsia="en-IN"/>
        </w:rPr>
      </w:pPr>
    </w:p>
    <w:p w14:paraId="24F88300" w14:textId="77777777" w:rsidR="00283DCB" w:rsidRPr="00AB1FAF" w:rsidRDefault="00283DCB" w:rsidP="009032EA">
      <w:pPr>
        <w:spacing w:beforeAutospacing="1" w:afterAutospacing="1" w:line="240" w:lineRule="auto"/>
        <w:jc w:val="both"/>
        <w:rPr>
          <w:rFonts w:ascii="Arial" w:eastAsia="Times New Roman" w:hAnsi="Arial" w:cs="Arial"/>
          <w:color w:val="000000" w:themeColor="text1"/>
          <w:lang w:eastAsia="en-IN"/>
        </w:rPr>
      </w:pPr>
    </w:p>
    <w:p w14:paraId="6CC6575C" w14:textId="77777777" w:rsidR="00283DCB" w:rsidRPr="00AB1FAF" w:rsidRDefault="00283DCB" w:rsidP="009032EA">
      <w:pPr>
        <w:jc w:val="both"/>
        <w:rPr>
          <w:rFonts w:ascii="Arial" w:hAnsi="Arial" w:cs="Arial"/>
        </w:rPr>
      </w:pPr>
    </w:p>
    <w:p w14:paraId="101265C0" w14:textId="77777777" w:rsidR="00283DCB" w:rsidRPr="00AB1FAF" w:rsidRDefault="00283DCB" w:rsidP="009032EA">
      <w:pPr>
        <w:jc w:val="both"/>
        <w:rPr>
          <w:rFonts w:ascii="Arial" w:hAnsi="Arial" w:cs="Arial"/>
          <w:color w:val="000000" w:themeColor="text1"/>
        </w:rPr>
      </w:pPr>
    </w:p>
    <w:p w14:paraId="2CD63E02" w14:textId="77777777" w:rsidR="00283DCB" w:rsidRPr="00AB1FAF" w:rsidRDefault="00283DCB" w:rsidP="009032EA">
      <w:pPr>
        <w:jc w:val="both"/>
        <w:rPr>
          <w:rFonts w:ascii="Arial" w:hAnsi="Arial" w:cs="Arial"/>
          <w:color w:val="000000" w:themeColor="text1"/>
        </w:rPr>
      </w:pPr>
    </w:p>
    <w:p w14:paraId="3215A29A" w14:textId="77777777" w:rsidR="00283DCB" w:rsidRPr="00AB1FAF" w:rsidRDefault="00283DCB" w:rsidP="009032EA">
      <w:pPr>
        <w:jc w:val="both"/>
        <w:rPr>
          <w:rFonts w:ascii="Arial" w:hAnsi="Arial" w:cs="Arial"/>
          <w:color w:val="000000" w:themeColor="text1"/>
        </w:rPr>
      </w:pPr>
    </w:p>
    <w:p w14:paraId="030BB98D" w14:textId="77777777" w:rsidR="00283DCB" w:rsidRPr="00AB1FAF" w:rsidRDefault="00283DCB" w:rsidP="009032EA">
      <w:pPr>
        <w:jc w:val="both"/>
        <w:rPr>
          <w:rFonts w:ascii="Arial" w:hAnsi="Arial" w:cs="Arial"/>
          <w:color w:val="000000" w:themeColor="text1"/>
        </w:rPr>
      </w:pPr>
    </w:p>
    <w:p w14:paraId="73DA1443" w14:textId="77777777" w:rsidR="00283DCB" w:rsidRPr="00AB1FAF" w:rsidRDefault="00283DCB" w:rsidP="009032EA">
      <w:pPr>
        <w:jc w:val="both"/>
        <w:rPr>
          <w:rFonts w:ascii="Arial" w:hAnsi="Arial" w:cs="Arial"/>
          <w:color w:val="000000" w:themeColor="text1"/>
        </w:rPr>
      </w:pPr>
    </w:p>
    <w:p w14:paraId="3D84BB01" w14:textId="5EE982D3" w:rsidR="00283DCB" w:rsidRPr="00AB1FAF" w:rsidRDefault="00283DCB" w:rsidP="009032EA">
      <w:pPr>
        <w:spacing w:beforeAutospacing="1" w:afterAutospacing="1" w:line="240" w:lineRule="auto"/>
        <w:jc w:val="both"/>
        <w:rPr>
          <w:rFonts w:ascii="Arial" w:eastAsia="Times New Roman" w:hAnsi="Arial" w:cs="Arial"/>
          <w:b/>
          <w:color w:val="000000" w:themeColor="text1"/>
          <w:lang w:eastAsia="en-IN"/>
        </w:rPr>
      </w:pPr>
    </w:p>
    <w:p w14:paraId="2806E8FC" w14:textId="77777777" w:rsidR="00283DCB" w:rsidRPr="00AB1FAF" w:rsidRDefault="003B5868" w:rsidP="009032EA">
      <w:pPr>
        <w:spacing w:beforeAutospacing="1" w:afterAutospacing="1" w:line="240" w:lineRule="auto"/>
        <w:jc w:val="both"/>
        <w:rPr>
          <w:rFonts w:ascii="Arial" w:hAnsi="Arial" w:cs="Arial"/>
        </w:rPr>
      </w:pPr>
      <w:r w:rsidRPr="00AB1FAF">
        <w:rPr>
          <w:rFonts w:ascii="Arial" w:eastAsia="Times New Roman" w:hAnsi="Arial" w:cs="Arial"/>
          <w:b/>
          <w:color w:val="000000" w:themeColor="text1"/>
          <w:lang w:eastAsia="en-IN"/>
        </w:rPr>
        <w:t>Learning and Development Strategies for Corporate</w:t>
      </w:r>
    </w:p>
    <w:p w14:paraId="2C24DA4C"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 </w:t>
      </w:r>
    </w:p>
    <w:p w14:paraId="1CD76BC8"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 xml:space="preserve">Learning and Development are always navigating the latest trends in training and strategies, approaching the technologies. Depending on the sectors of the leader and the mission of their organization. Learning and development is an important role in each and every organization which I will be assisting you in learning the facts, plans, and mission also will highlight evaluating different methods to improve performance and results. This session of training trends will capture the attention of learning and development leaders in a variety of aspects. The learning and Development (L&amp;D) profession prepares the people and organization for rapid growth and perpetual changes. Learning and Development give you tools and techniques to determine </w:t>
      </w:r>
      <w:proofErr w:type="gramStart"/>
      <w:r w:rsidRPr="00AB1FAF">
        <w:rPr>
          <w:rFonts w:ascii="Arial" w:eastAsia="Times New Roman" w:hAnsi="Arial" w:cs="Arial"/>
          <w:color w:val="000000" w:themeColor="text1"/>
          <w:lang w:eastAsia="en-IN"/>
        </w:rPr>
        <w:t>what's</w:t>
      </w:r>
      <w:proofErr w:type="gramEnd"/>
      <w:r w:rsidRPr="00AB1FAF">
        <w:rPr>
          <w:rFonts w:ascii="Arial" w:eastAsia="Times New Roman" w:hAnsi="Arial" w:cs="Arial"/>
          <w:color w:val="000000" w:themeColor="text1"/>
          <w:lang w:eastAsia="en-IN"/>
        </w:rPr>
        <w:t xml:space="preserve"> making the organization's performance slow down and fix the further issue the reason it plays a very important role in any organization. It is a role that has been adopted worldwide. Training and coaching employees dramatically improve the effectiveness and ultimately the performance of the employees. More than ever-ongoing training and development also coaching of employees for organizational growth and success in the business.</w:t>
      </w:r>
    </w:p>
    <w:p w14:paraId="0F4E86CA" w14:textId="4E7B3276" w:rsidR="00283DCB" w:rsidRDefault="003B5868"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r w:rsidRPr="00AB1FAF">
        <w:rPr>
          <w:rFonts w:ascii="Arial" w:eastAsia="Times New Roman" w:hAnsi="Arial" w:cs="Arial"/>
          <w:color w:val="000000" w:themeColor="text1"/>
          <w:shd w:val="clear" w:color="auto" w:fill="FFFFFF"/>
          <w:lang w:eastAsia="en-IN"/>
        </w:rPr>
        <w:t>Professional growth plans, while not a new approach to employee development, are rarely mandated as standard supervisory practice. This article offers a study of wide scale mandatory implementation of professional growth plans (PGPs) in Canadian school systems, as an approach to fostering continuous professional learning. Reported benefits include greater employee commitment to learning; increased employee focus on purposes for their own development; increased collegiality; and employees' sense of self</w:t>
      </w:r>
      <w:r w:rsidRPr="00AB1FAF">
        <w:rPr>
          <w:rFonts w:ascii="Cambria Math" w:eastAsia="Times New Roman" w:hAnsi="Cambria Math" w:cs="Cambria Math"/>
          <w:color w:val="000000" w:themeColor="text1"/>
          <w:shd w:val="clear" w:color="auto" w:fill="FFFFFF"/>
          <w:lang w:eastAsia="en-IN"/>
        </w:rPr>
        <w:t>‐</w:t>
      </w:r>
      <w:r w:rsidRPr="00AB1FAF">
        <w:rPr>
          <w:rFonts w:ascii="Arial" w:eastAsia="Times New Roman" w:hAnsi="Arial" w:cs="Arial"/>
          <w:color w:val="000000" w:themeColor="text1"/>
          <w:shd w:val="clear" w:color="auto" w:fill="FFFFFF"/>
          <w:lang w:eastAsia="en-IN"/>
        </w:rPr>
        <w:t>affirmation. Tensions over control and direction, between organizational desires to guide employee development and professionals' desires for autonomy, need to be worked through. But with sufficient employee</w:t>
      </w:r>
      <w:r w:rsidRPr="00AB1FAF">
        <w:rPr>
          <w:rFonts w:ascii="Cambria Math" w:eastAsia="Times New Roman" w:hAnsi="Cambria Math" w:cs="Cambria Math"/>
          <w:color w:val="000000" w:themeColor="text1"/>
          <w:shd w:val="clear" w:color="auto" w:fill="FFFFFF"/>
          <w:lang w:eastAsia="en-IN"/>
        </w:rPr>
        <w:t>‐</w:t>
      </w:r>
      <w:r w:rsidRPr="00AB1FAF">
        <w:rPr>
          <w:rFonts w:ascii="Arial" w:eastAsia="Times New Roman" w:hAnsi="Arial" w:cs="Arial"/>
          <w:color w:val="000000" w:themeColor="text1"/>
          <w:shd w:val="clear" w:color="auto" w:fill="FFFFFF"/>
          <w:lang w:eastAsia="en-IN"/>
        </w:rPr>
        <w:t xml:space="preserve">supervisor trust, dialogue, flexibility, and patience, the findings suggest that PGPs motivate dialogue and questioning that energizes collective learning and </w:t>
      </w:r>
    </w:p>
    <w:p w14:paraId="674BC4B0" w14:textId="60C57C63" w:rsidR="006A1B6C" w:rsidRDefault="006A1B6C"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1341C3C0" w14:textId="5CFF51CC" w:rsidR="006A1B6C" w:rsidRDefault="006A1B6C"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49F1F007" w14:textId="61920C1D" w:rsidR="006A1B6C" w:rsidRDefault="006A1B6C"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3AE7B0FE" w14:textId="657DCECC" w:rsidR="006A1B6C" w:rsidRDefault="006A1B6C"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26734FBD" w14:textId="30C6C128" w:rsidR="006A1B6C" w:rsidRDefault="006A1B6C"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53ECD78C" w14:textId="401602A8" w:rsidR="006A1B6C" w:rsidRDefault="006A1B6C"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2770B6FB" w14:textId="2A288DC2" w:rsidR="006A1B6C" w:rsidRDefault="006A1B6C"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70D30565" w14:textId="77777777" w:rsidR="006A1B6C" w:rsidRPr="00AB1FAF" w:rsidRDefault="006A1B6C" w:rsidP="009032EA">
      <w:pPr>
        <w:spacing w:beforeAutospacing="1" w:afterAutospacing="1" w:line="240" w:lineRule="auto"/>
        <w:jc w:val="both"/>
        <w:rPr>
          <w:rFonts w:ascii="Arial" w:eastAsia="Times New Roman" w:hAnsi="Arial" w:cs="Arial"/>
          <w:color w:val="000000" w:themeColor="text1"/>
          <w:lang w:eastAsia="en-IN"/>
        </w:rPr>
      </w:pPr>
    </w:p>
    <w:tbl>
      <w:tblPr>
        <w:tblW w:w="9304" w:type="dxa"/>
        <w:tblBorders>
          <w:top w:val="single" w:sz="8" w:space="0" w:color="D8D8D8"/>
          <w:left w:val="single" w:sz="8" w:space="0" w:color="D8D8D8"/>
          <w:bottom w:val="single" w:sz="8" w:space="0" w:color="D8D8D8"/>
          <w:right w:val="single" w:sz="8" w:space="0" w:color="D8D8D8"/>
          <w:insideH w:val="single" w:sz="8" w:space="0" w:color="D8D8D8"/>
          <w:insideV w:val="single" w:sz="8" w:space="0" w:color="D8D8D8"/>
        </w:tblBorders>
        <w:tblCellMar>
          <w:top w:w="63" w:type="dxa"/>
          <w:left w:w="53" w:type="dxa"/>
          <w:bottom w:w="63" w:type="dxa"/>
          <w:right w:w="125" w:type="dxa"/>
        </w:tblCellMar>
        <w:tblLook w:val="04A0" w:firstRow="1" w:lastRow="0" w:firstColumn="1" w:lastColumn="0" w:noHBand="0" w:noVBand="1"/>
      </w:tblPr>
      <w:tblGrid>
        <w:gridCol w:w="1484"/>
        <w:gridCol w:w="7820"/>
      </w:tblGrid>
      <w:tr w:rsidR="00283DCB" w:rsidRPr="00AB1FAF" w14:paraId="05245782" w14:textId="77777777">
        <w:tc>
          <w:tcPr>
            <w:tcW w:w="1484" w:type="dxa"/>
            <w:tcBorders>
              <w:top w:val="single" w:sz="8" w:space="0" w:color="D8D8D8"/>
              <w:left w:val="single" w:sz="8" w:space="0" w:color="D8D8D8"/>
              <w:bottom w:val="single" w:sz="8" w:space="0" w:color="D8D8D8"/>
              <w:right w:val="single" w:sz="8" w:space="0" w:color="D8D8D8"/>
            </w:tcBorders>
            <w:shd w:val="clear" w:color="auto" w:fill="FFFFFF"/>
            <w:vAlign w:val="center"/>
          </w:tcPr>
          <w:p w14:paraId="5295B086"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b/>
                <w:bCs/>
                <w:color w:val="000000" w:themeColor="text1"/>
                <w:lang w:eastAsia="en-IN"/>
              </w:rPr>
              <w:lastRenderedPageBreak/>
              <w:t>Concept</w:t>
            </w:r>
          </w:p>
        </w:tc>
        <w:tc>
          <w:tcPr>
            <w:tcW w:w="7819" w:type="dxa"/>
            <w:tcBorders>
              <w:top w:val="single" w:sz="8" w:space="0" w:color="D8D8D8"/>
              <w:bottom w:val="single" w:sz="8" w:space="0" w:color="D8D8D8"/>
              <w:right w:val="single" w:sz="8" w:space="0" w:color="D8D8D8"/>
            </w:tcBorders>
            <w:shd w:val="clear" w:color="auto" w:fill="FFFFFF"/>
            <w:vAlign w:val="center"/>
          </w:tcPr>
          <w:p w14:paraId="53A1E6E9"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b/>
                <w:bCs/>
                <w:color w:val="000000" w:themeColor="text1"/>
                <w:lang w:eastAsia="en-IN"/>
              </w:rPr>
              <w:t>Description</w:t>
            </w:r>
          </w:p>
        </w:tc>
      </w:tr>
      <w:tr w:rsidR="00283DCB" w:rsidRPr="00AB1FAF" w14:paraId="7980B59B" w14:textId="77777777">
        <w:tc>
          <w:tcPr>
            <w:tcW w:w="1484" w:type="dxa"/>
            <w:tcBorders>
              <w:left w:val="single" w:sz="8" w:space="0" w:color="D8D8D8"/>
              <w:bottom w:val="single" w:sz="8" w:space="0" w:color="D8D8D8"/>
              <w:right w:val="single" w:sz="8" w:space="0" w:color="D8D8D8"/>
            </w:tcBorders>
            <w:shd w:val="clear" w:color="auto" w:fill="FFFFFF"/>
            <w:vAlign w:val="center"/>
          </w:tcPr>
          <w:p w14:paraId="5E3DC80D"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Learning</w:t>
            </w:r>
          </w:p>
        </w:tc>
        <w:tc>
          <w:tcPr>
            <w:tcW w:w="7819" w:type="dxa"/>
            <w:tcBorders>
              <w:bottom w:val="single" w:sz="8" w:space="0" w:color="D8D8D8"/>
              <w:right w:val="single" w:sz="8" w:space="0" w:color="D8D8D8"/>
            </w:tcBorders>
            <w:shd w:val="clear" w:color="auto" w:fill="FFFFFF"/>
            <w:vAlign w:val="center"/>
          </w:tcPr>
          <w:p w14:paraId="033092E9"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The acquisition of knowledge, skills, or attitudes through experience, study, or teaching. Training, development, and education all involve learning.</w:t>
            </w:r>
          </w:p>
        </w:tc>
      </w:tr>
      <w:tr w:rsidR="00283DCB" w:rsidRPr="00AB1FAF" w14:paraId="13B378E0" w14:textId="77777777">
        <w:tc>
          <w:tcPr>
            <w:tcW w:w="1484" w:type="dxa"/>
            <w:tcBorders>
              <w:left w:val="single" w:sz="8" w:space="0" w:color="D8D8D8"/>
              <w:bottom w:val="single" w:sz="8" w:space="0" w:color="D8D8D8"/>
              <w:right w:val="single" w:sz="8" w:space="0" w:color="D8D8D8"/>
            </w:tcBorders>
            <w:shd w:val="clear" w:color="auto" w:fill="FFFFFF"/>
            <w:vAlign w:val="center"/>
          </w:tcPr>
          <w:p w14:paraId="59C3E7A8"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Training</w:t>
            </w:r>
          </w:p>
        </w:tc>
        <w:tc>
          <w:tcPr>
            <w:tcW w:w="7819" w:type="dxa"/>
            <w:tcBorders>
              <w:bottom w:val="single" w:sz="8" w:space="0" w:color="D8D8D8"/>
              <w:right w:val="single" w:sz="8" w:space="0" w:color="D8D8D8"/>
            </w:tcBorders>
            <w:shd w:val="clear" w:color="auto" w:fill="FFFFFF"/>
            <w:vAlign w:val="center"/>
          </w:tcPr>
          <w:p w14:paraId="4B9AFB9C"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Training is aimed at teaching immediately applicable knowledge, skills, and attitudes to be used in a specific job. Training may focus on delivering better performance in the current role or to overcome future changes. </w:t>
            </w:r>
          </w:p>
        </w:tc>
      </w:tr>
      <w:tr w:rsidR="00283DCB" w:rsidRPr="00AB1FAF" w14:paraId="2231DCBA" w14:textId="77777777">
        <w:tc>
          <w:tcPr>
            <w:tcW w:w="1484" w:type="dxa"/>
            <w:tcBorders>
              <w:left w:val="single" w:sz="8" w:space="0" w:color="D8D8D8"/>
              <w:bottom w:val="single" w:sz="8" w:space="0" w:color="D8D8D8"/>
              <w:right w:val="single" w:sz="8" w:space="0" w:color="D8D8D8"/>
            </w:tcBorders>
            <w:shd w:val="clear" w:color="auto" w:fill="FFFFFF"/>
            <w:vAlign w:val="center"/>
          </w:tcPr>
          <w:p w14:paraId="6730DDBF"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Development</w:t>
            </w:r>
          </w:p>
        </w:tc>
        <w:tc>
          <w:tcPr>
            <w:tcW w:w="7819" w:type="dxa"/>
            <w:tcBorders>
              <w:bottom w:val="single" w:sz="8" w:space="0" w:color="D8D8D8"/>
              <w:right w:val="single" w:sz="8" w:space="0" w:color="D8D8D8"/>
            </w:tcBorders>
            <w:shd w:val="clear" w:color="auto" w:fill="FFFFFF"/>
            <w:vAlign w:val="center"/>
          </w:tcPr>
          <w:p w14:paraId="58B7E750"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Development is aimed at the long term. It revolves around the broadening or deepening of knowledge. This has to fit within one’s personal development goals and the (future) goals of the organization. Development usually happens voluntarily.</w:t>
            </w:r>
          </w:p>
        </w:tc>
      </w:tr>
      <w:tr w:rsidR="00283DCB" w:rsidRPr="00AB1FAF" w14:paraId="22BFA5C7" w14:textId="77777777">
        <w:tc>
          <w:tcPr>
            <w:tcW w:w="1484" w:type="dxa"/>
            <w:tcBorders>
              <w:left w:val="single" w:sz="8" w:space="0" w:color="D8D8D8"/>
              <w:bottom w:val="single" w:sz="8" w:space="0" w:color="D8D8D8"/>
              <w:right w:val="single" w:sz="8" w:space="0" w:color="D8D8D8"/>
            </w:tcBorders>
            <w:shd w:val="clear" w:color="auto" w:fill="FFFFFF"/>
            <w:vAlign w:val="center"/>
          </w:tcPr>
          <w:p w14:paraId="6DED9E4A"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Education</w:t>
            </w:r>
          </w:p>
        </w:tc>
        <w:tc>
          <w:tcPr>
            <w:tcW w:w="7819" w:type="dxa"/>
            <w:tcBorders>
              <w:bottom w:val="single" w:sz="8" w:space="0" w:color="D8D8D8"/>
              <w:right w:val="single" w:sz="8" w:space="0" w:color="D8D8D8"/>
            </w:tcBorders>
            <w:shd w:val="clear" w:color="auto" w:fill="FFFFFF"/>
            <w:vAlign w:val="center"/>
          </w:tcPr>
          <w:p w14:paraId="4FDE6B1A" w14:textId="77777777" w:rsidR="00283DCB" w:rsidRPr="00AB1FAF" w:rsidRDefault="003B5868" w:rsidP="009032EA">
            <w:pPr>
              <w:spacing w:beforeAutospacing="1" w:after="0"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Education is a more formal way to broaden one’s knowledge. Education is often non-specific and applicable for a long time and is especially relevant when a person has little experience in a certain area.</w:t>
            </w:r>
          </w:p>
        </w:tc>
      </w:tr>
    </w:tbl>
    <w:p w14:paraId="396C710D" w14:textId="77777777" w:rsidR="006A1B6C" w:rsidRDefault="006A1B6C"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13B2F9A3" w14:textId="77777777" w:rsidR="006A1B6C" w:rsidRDefault="006A1B6C"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2D479B43" w14:textId="1039C7CF"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shd w:val="clear" w:color="auto" w:fill="FFFFFF"/>
          <w:lang w:eastAsia="en-IN"/>
        </w:rPr>
        <w:t xml:space="preserve">The first step is an analysis of the starting situations and prior knowledge to identify training needs. We </w:t>
      </w:r>
      <w:proofErr w:type="gramStart"/>
      <w:r w:rsidRPr="00AB1FAF">
        <w:rPr>
          <w:rFonts w:ascii="Arial" w:eastAsia="Times New Roman" w:hAnsi="Arial" w:cs="Arial"/>
          <w:color w:val="000000" w:themeColor="text1"/>
          <w:shd w:val="clear" w:color="auto" w:fill="FFFFFF"/>
          <w:lang w:eastAsia="en-IN"/>
        </w:rPr>
        <w:t>don’t</w:t>
      </w:r>
      <w:proofErr w:type="gramEnd"/>
      <w:r w:rsidRPr="00AB1FAF">
        <w:rPr>
          <w:rFonts w:ascii="Arial" w:eastAsia="Times New Roman" w:hAnsi="Arial" w:cs="Arial"/>
          <w:color w:val="000000" w:themeColor="text1"/>
          <w:shd w:val="clear" w:color="auto" w:fill="FFFFFF"/>
          <w:lang w:eastAsia="en-IN"/>
        </w:rPr>
        <w:t xml:space="preserve"> want employees to learn for the sake of learning. Otherwise, we would be happy to send them on a pottery course. Instead, we want employees to acquire new knowledge, skills, and attitudes that are relevant for their (future) function. This way learning is a way to create new business capabilities.</w:t>
      </w:r>
      <w:r w:rsidRPr="00AB1FAF">
        <w:rPr>
          <w:rFonts w:ascii="Arial" w:eastAsia="Times New Roman" w:hAnsi="Arial" w:cs="Arial"/>
          <w:color w:val="000000" w:themeColor="text1"/>
          <w:lang w:eastAsia="en-IN"/>
        </w:rPr>
        <w:t xml:space="preserve"> In other words, learning is a means to an end – it has a goal. Example goals could be the development of digital capabilities in an </w:t>
      </w:r>
      <w:proofErr w:type="spellStart"/>
      <w:r w:rsidRPr="00AB1FAF">
        <w:rPr>
          <w:rFonts w:ascii="Arial" w:eastAsia="Times New Roman" w:hAnsi="Arial" w:cs="Arial"/>
          <w:color w:val="000000" w:themeColor="text1"/>
          <w:lang w:eastAsia="en-IN"/>
        </w:rPr>
        <w:t>analog</w:t>
      </w:r>
      <w:proofErr w:type="spellEnd"/>
      <w:r w:rsidRPr="00AB1FAF">
        <w:rPr>
          <w:rFonts w:ascii="Arial" w:eastAsia="Times New Roman" w:hAnsi="Arial" w:cs="Arial"/>
          <w:color w:val="000000" w:themeColor="text1"/>
          <w:lang w:eastAsia="en-IN"/>
        </w:rPr>
        <w:t xml:space="preserve"> firm that needs to transform, building analytical capabilities to create more business value through analytics, or simply making sure that everyone gets their mandatory certification in time so they can continue to do their work published by in of the article by Author (Learning and Development: A Comprehensive Guide).</w:t>
      </w:r>
    </w:p>
    <w:p w14:paraId="2F1C1642"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shd w:val="clear" w:color="auto" w:fill="FFFFFF"/>
          <w:lang w:eastAsia="en-IN"/>
        </w:rPr>
        <w:t xml:space="preserve">There are traditional training methods which require an instructor or facilitator which also involves face to face interaction between trainees. Traditional training methods can also be organized into three broad categories; presentation methods, hands-on methods, and group building </w:t>
      </w:r>
      <w:proofErr w:type="gramStart"/>
      <w:r w:rsidRPr="00AB1FAF">
        <w:rPr>
          <w:rFonts w:ascii="Arial" w:eastAsia="Times New Roman" w:hAnsi="Arial" w:cs="Arial"/>
          <w:color w:val="000000" w:themeColor="text1"/>
          <w:shd w:val="clear" w:color="auto" w:fill="FFFFFF"/>
          <w:lang w:eastAsia="en-IN"/>
        </w:rPr>
        <w:t>methods.Training</w:t>
      </w:r>
      <w:proofErr w:type="gramEnd"/>
      <w:r w:rsidRPr="00AB1FAF">
        <w:rPr>
          <w:rFonts w:ascii="Arial" w:eastAsia="Times New Roman" w:hAnsi="Arial" w:cs="Arial"/>
          <w:color w:val="000000" w:themeColor="text1"/>
          <w:shd w:val="clear" w:color="auto" w:fill="FFFFFF"/>
          <w:lang w:eastAsia="en-IN"/>
        </w:rPr>
        <w:t xml:space="preserve"> is an important part of Human resource development. Training is the </w:t>
      </w:r>
      <w:proofErr w:type="gramStart"/>
      <w:r w:rsidRPr="00AB1FAF">
        <w:rPr>
          <w:rFonts w:ascii="Arial" w:eastAsia="Times New Roman" w:hAnsi="Arial" w:cs="Arial"/>
          <w:color w:val="000000" w:themeColor="text1"/>
          <w:shd w:val="clear" w:color="auto" w:fill="FFFFFF"/>
          <w:lang w:eastAsia="en-IN"/>
        </w:rPr>
        <w:t>short term</w:t>
      </w:r>
      <w:proofErr w:type="gramEnd"/>
      <w:r w:rsidRPr="00AB1FAF">
        <w:rPr>
          <w:rFonts w:ascii="Arial" w:eastAsia="Times New Roman" w:hAnsi="Arial" w:cs="Arial"/>
          <w:color w:val="000000" w:themeColor="text1"/>
          <w:shd w:val="clear" w:color="auto" w:fill="FFFFFF"/>
          <w:lang w:eastAsia="en-IN"/>
        </w:rPr>
        <w:t xml:space="preserve"> process where an employee of an organization gets trained briefly and develops the potential and skills to the fullest.</w:t>
      </w:r>
      <w:r w:rsidRPr="00AB1FAF">
        <w:rPr>
          <w:rFonts w:ascii="Arial" w:eastAsia="Times New Roman" w:hAnsi="Arial" w:cs="Arial"/>
          <w:color w:val="000000" w:themeColor="text1"/>
          <w:lang w:eastAsia="en-IN"/>
        </w:rPr>
        <w:t xml:space="preserve"> Frequent changes in technology and job design along with the increasing importance of learning and knowledge-based organizations; transform the training and development process into an increasingly important facet of human resource development. In this, both the line managers and trainees are made to learn and identify the training and development needs through needs assessments, and further, jobs/tasks are analyzed to determine and fix the training and development objectives. Thereafter, training and development programs (Nazi) redesigned while using innovation in different techniques or methods. Implementation is the most important activity followed by an evaluation of training and development programs. The training and development process includes a wide range of learning actions and therefore to develop an organization with a strategic focus, it becomes a model of a learning organization. To maintain and nurture such organizations, we require a strategic focus on the needs of learning, both for the employer and the employee. To create a win-win situation both for the organization and the employee, the employer must consider the learner (the employee) as a vital investment for the organization’s successful performance. In these organizations, a </w:t>
      </w:r>
      <w:r w:rsidRPr="00AB1FAF">
        <w:rPr>
          <w:rFonts w:ascii="Arial" w:eastAsia="Times New Roman" w:hAnsi="Arial" w:cs="Arial"/>
          <w:color w:val="000000" w:themeColor="text1"/>
          <w:lang w:eastAsia="en-IN"/>
        </w:rPr>
        <w:lastRenderedPageBreak/>
        <w:t>direct linkage between the organization’s mission and its learning culture, benefits both the employer and the employee, highlighting the positive associations of learning, motivation, and organizational performance. The learning organization, therefore, requires an environment that supports growth for individual capability and experience and, at the same time, increases business performance.</w:t>
      </w:r>
    </w:p>
    <w:p w14:paraId="638EAF4D" w14:textId="77777777" w:rsidR="00283DCB" w:rsidRPr="00AB1FAF" w:rsidRDefault="003B5868" w:rsidP="009032EA">
      <w:pPr>
        <w:spacing w:beforeAutospacing="1" w:afterAutospacing="1" w:line="240" w:lineRule="auto"/>
        <w:jc w:val="both"/>
        <w:rPr>
          <w:rFonts w:ascii="Arial" w:eastAsia="Times New Roman" w:hAnsi="Arial" w:cs="Arial"/>
          <w:color w:val="000000" w:themeColor="text1"/>
          <w:lang w:eastAsia="en-IN"/>
        </w:rPr>
      </w:pPr>
      <w:r w:rsidRPr="00AB1FAF">
        <w:rPr>
          <w:rFonts w:ascii="Arial" w:eastAsia="Times New Roman" w:hAnsi="Arial" w:cs="Arial"/>
          <w:color w:val="000000" w:themeColor="text1"/>
          <w:lang w:eastAsia="en-IN"/>
        </w:rPr>
        <w:t>Lean Six Sigma provides and methodology and is aligned to the leading professional certifications where you learn how to measure current performance to identify process issues and how to formulate solutions. </w:t>
      </w:r>
      <w:r w:rsidRPr="00AB1FAF">
        <w:rPr>
          <w:rFonts w:ascii="Arial" w:eastAsia="Times New Roman" w:hAnsi="Arial" w:cs="Arial"/>
          <w:color w:val="000000" w:themeColor="text1"/>
          <w:shd w:val="clear" w:color="auto" w:fill="FFFFFF"/>
          <w:lang w:eastAsia="en-IN"/>
        </w:rPr>
        <w:t>There are many approaches to learning and development and many types of activities that can be undertaken to learn. An awareness of these other types will broaden your possibilities for intentional learning and for designing training for yourself and others as published by Author (All about Training and Development (Learning and Development)).Learning and Development profession are high in demand due to their ability to use problem-solving techniques to reach business solutions and assuring quality control throughout the process.</w:t>
      </w:r>
    </w:p>
    <w:p w14:paraId="006D6F27" w14:textId="77777777" w:rsidR="00AB1FAF" w:rsidRDefault="00AB1FAF"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20B150A8" w14:textId="77777777" w:rsidR="00AB1FAF" w:rsidRDefault="00AB1FAF"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5AD0714E" w14:textId="77777777" w:rsidR="00AB1FAF" w:rsidRDefault="00AB1FAF" w:rsidP="009032EA">
      <w:pPr>
        <w:spacing w:beforeAutospacing="1" w:afterAutospacing="1" w:line="240" w:lineRule="auto"/>
        <w:jc w:val="both"/>
        <w:rPr>
          <w:rFonts w:ascii="Arial" w:eastAsia="Times New Roman" w:hAnsi="Arial" w:cs="Arial"/>
          <w:color w:val="000000" w:themeColor="text1"/>
          <w:shd w:val="clear" w:color="auto" w:fill="FFFFFF"/>
          <w:lang w:eastAsia="en-IN"/>
        </w:rPr>
      </w:pPr>
    </w:p>
    <w:p w14:paraId="73E80831" w14:textId="4D6FF32A" w:rsidR="00283DCB" w:rsidRPr="00AB1FAF" w:rsidRDefault="003B5868" w:rsidP="009032EA">
      <w:pPr>
        <w:spacing w:beforeAutospacing="1" w:afterAutospacing="1" w:line="240" w:lineRule="auto"/>
        <w:jc w:val="both"/>
        <w:rPr>
          <w:rFonts w:ascii="Arial" w:hAnsi="Arial" w:cs="Arial"/>
        </w:rPr>
      </w:pPr>
      <w:r w:rsidRPr="00AB1FAF">
        <w:rPr>
          <w:rFonts w:ascii="Arial" w:eastAsia="Times New Roman" w:hAnsi="Arial" w:cs="Arial"/>
          <w:color w:val="000000" w:themeColor="text1"/>
          <w:shd w:val="clear" w:color="auto" w:fill="FFFFFF"/>
          <w:lang w:eastAsia="en-IN"/>
        </w:rPr>
        <w:t> </w:t>
      </w:r>
      <w:r w:rsidRPr="00AB1FAF">
        <w:rPr>
          <w:rFonts w:ascii="Arial" w:eastAsia="Times New Roman" w:hAnsi="Arial" w:cs="Arial"/>
          <w:b/>
          <w:color w:val="000000"/>
          <w:lang w:eastAsia="en-IN"/>
        </w:rPr>
        <w:t>COURSE ASSESSMENT EXPERIENCE</w:t>
      </w:r>
    </w:p>
    <w:p w14:paraId="278F3D3C" w14:textId="77777777" w:rsidR="00283DCB" w:rsidRPr="00AB1FAF" w:rsidRDefault="003B5868" w:rsidP="009032EA">
      <w:pPr>
        <w:spacing w:beforeAutospacing="1" w:afterAutospacing="1" w:line="240" w:lineRule="auto"/>
        <w:jc w:val="both"/>
        <w:rPr>
          <w:rFonts w:ascii="Arial" w:eastAsia="Times New Roman" w:hAnsi="Arial" w:cs="Arial"/>
          <w:color w:val="000000"/>
          <w:lang w:eastAsia="en-IN"/>
        </w:rPr>
      </w:pPr>
      <w:r w:rsidRPr="00AB1FAF">
        <w:rPr>
          <w:rFonts w:ascii="Arial" w:eastAsia="Times New Roman" w:hAnsi="Arial" w:cs="Arial"/>
          <w:color w:val="000000"/>
          <w:lang w:eastAsia="en-IN"/>
        </w:rPr>
        <w:t> </w:t>
      </w:r>
    </w:p>
    <w:p w14:paraId="3D2CDCF8" w14:textId="77777777" w:rsidR="00283DCB" w:rsidRPr="00AB1FAF" w:rsidRDefault="003B5868" w:rsidP="009032EA">
      <w:pPr>
        <w:spacing w:beforeAutospacing="1" w:afterAutospacing="1" w:line="240" w:lineRule="auto"/>
        <w:jc w:val="both"/>
        <w:rPr>
          <w:rFonts w:ascii="Arial" w:eastAsia="Times New Roman" w:hAnsi="Arial" w:cs="Arial"/>
          <w:color w:val="000000"/>
          <w:lang w:eastAsia="en-IN"/>
        </w:rPr>
      </w:pPr>
      <w:r w:rsidRPr="00AB1FAF">
        <w:rPr>
          <w:rFonts w:ascii="Arial" w:eastAsia="Times New Roman" w:hAnsi="Arial" w:cs="Arial"/>
          <w:color w:val="000000"/>
          <w:lang w:eastAsia="en-IN"/>
        </w:rPr>
        <w:t xml:space="preserve">Assessments are an integral part of instructions in fact, diagnostic assessments are necessary for us students to plan and prepare for future instructions, identify achievements gaps and all the possibilities of learning abilities and disabilities. Many tips and knowledge </w:t>
      </w:r>
      <w:proofErr w:type="gramStart"/>
      <w:r w:rsidRPr="00AB1FAF">
        <w:rPr>
          <w:rFonts w:ascii="Arial" w:eastAsia="Times New Roman" w:hAnsi="Arial" w:cs="Arial"/>
          <w:color w:val="000000"/>
          <w:lang w:eastAsia="en-IN"/>
        </w:rPr>
        <w:t>has</w:t>
      </w:r>
      <w:proofErr w:type="gramEnd"/>
      <w:r w:rsidRPr="00AB1FAF">
        <w:rPr>
          <w:rFonts w:ascii="Arial" w:eastAsia="Times New Roman" w:hAnsi="Arial" w:cs="Arial"/>
          <w:color w:val="000000"/>
          <w:lang w:eastAsia="en-IN"/>
        </w:rPr>
        <w:t xml:space="preserve"> been provided by the teachers as a way of helping us to create and design proper assessments. There are a variety of tips being suggested by the teachers to implement the assessments into their course.</w:t>
      </w:r>
    </w:p>
    <w:p w14:paraId="7D25FC71" w14:textId="77777777" w:rsidR="00283DCB" w:rsidRPr="00AB1FAF" w:rsidRDefault="003B5868" w:rsidP="009032EA">
      <w:pPr>
        <w:spacing w:beforeAutospacing="1" w:afterAutospacing="1" w:line="240" w:lineRule="auto"/>
        <w:jc w:val="both"/>
        <w:rPr>
          <w:rFonts w:ascii="Arial" w:eastAsia="Times New Roman" w:hAnsi="Arial" w:cs="Arial"/>
          <w:color w:val="000000"/>
          <w:lang w:eastAsia="en-IN"/>
        </w:rPr>
      </w:pPr>
      <w:r w:rsidRPr="00AB1FAF">
        <w:rPr>
          <w:rFonts w:ascii="Arial" w:eastAsia="Times New Roman" w:hAnsi="Arial" w:cs="Arial"/>
          <w:color w:val="000000"/>
          <w:lang w:eastAsia="en-IN"/>
        </w:rPr>
        <w:t xml:space="preserve">I personally have followed and tried making a perfect portfolio for my assessment as portfolios are a great classroom assessment for us students. Let me explain the importance of having a portfolio done, as a portfolio measures our growth over longer periods of time just like assessments. The only reason why some of the teachers are behind us for working on our assignments and portfolios to keep a tab on our growth. Assessments and portfolios can also be used to access our skills and capability. Contents like essays, art, graphs, journaling, standardized test scores, and other classroom assessments are way helpful. Preparing the end number of Research and Reports, being familiar with many author's work personally, reading multiple articles to verify the truth and perfect results for your assessments. The assessments are meant for questioning oneself to work and realize what your interest and needs are looking for in the future aspects. I personally felt like keeping my thoughts and conclusions on assignments on how to and what to do and till what extend I have a piece of strong knowledge on the niche which I am looking to pursue in the future. Keeping my personal thoughts had made me enough confident about what I actually want and how deep I know about the plans and execution methods. Doing deep searches and articles made things clearer and briefer on my thought process explaining how things work. I </w:t>
      </w:r>
      <w:proofErr w:type="gramStart"/>
      <w:r w:rsidRPr="00AB1FAF">
        <w:rPr>
          <w:rFonts w:ascii="Arial" w:eastAsia="Times New Roman" w:hAnsi="Arial" w:cs="Arial"/>
          <w:color w:val="000000"/>
          <w:lang w:eastAsia="en-IN"/>
        </w:rPr>
        <w:t>wouldn’t</w:t>
      </w:r>
      <w:proofErr w:type="gramEnd"/>
      <w:r w:rsidRPr="00AB1FAF">
        <w:rPr>
          <w:rFonts w:ascii="Arial" w:eastAsia="Times New Roman" w:hAnsi="Arial" w:cs="Arial"/>
          <w:color w:val="000000"/>
          <w:lang w:eastAsia="en-IN"/>
        </w:rPr>
        <w:t xml:space="preserve"> have this much clarity and understanding without taking these tasks in my hands and doing my personal research on the assessments I have worked on for my personal </w:t>
      </w:r>
      <w:r w:rsidRPr="00AB1FAF">
        <w:rPr>
          <w:rFonts w:ascii="Arial" w:eastAsia="Times New Roman" w:hAnsi="Arial" w:cs="Arial"/>
          <w:color w:val="000000"/>
          <w:lang w:eastAsia="en-IN"/>
        </w:rPr>
        <w:lastRenderedPageBreak/>
        <w:t>interest also. Comparing things that are valid or not valid, keeping a tab on false information on particular websites or articles, knowingly understanding the truth behind the sources and false information available in the market; I had no idea about all this mishap. Once I did my own research, and after knowing the facts, I got to know any loopholes have to be taken care of and need severe attention to not being bluffed because of false information provided by some unknown sites. This made me learn to work on my research briefly and get the facts clear before proceeding with the information available everywhere, which was the best learning for me I would say. </w:t>
      </w:r>
    </w:p>
    <w:p w14:paraId="35527FE6" w14:textId="77777777" w:rsidR="00283DCB" w:rsidRPr="00AB1FAF" w:rsidRDefault="003B5868" w:rsidP="009032EA">
      <w:pPr>
        <w:spacing w:beforeAutospacing="1" w:afterAutospacing="1" w:line="240" w:lineRule="auto"/>
        <w:jc w:val="both"/>
        <w:rPr>
          <w:rFonts w:ascii="Arial" w:eastAsia="Times New Roman" w:hAnsi="Arial" w:cs="Arial"/>
          <w:color w:val="000000"/>
          <w:lang w:eastAsia="en-IN"/>
        </w:rPr>
      </w:pPr>
      <w:r w:rsidRPr="00AB1FAF">
        <w:rPr>
          <w:rFonts w:ascii="Arial" w:eastAsia="Times New Roman" w:hAnsi="Arial" w:cs="Arial"/>
          <w:color w:val="000000"/>
          <w:lang w:eastAsia="en-IN"/>
        </w:rPr>
        <w:t>Learning about new strategies for cutting down your personal thought to fit the truth that counts and how you can maximize what you really want to convey with the fewest words possible. Our personal statements as per our research and facts we got to know more about the happenings around. For each assessment I have reflected on my personal research and experience by talking about my tasks given to me and its process how it implies, and have briefly given my understanding on the based on my research and work standards, also by discussing the challenges and how to overcome them with brief knowledge.</w:t>
      </w:r>
    </w:p>
    <w:p w14:paraId="39017658" w14:textId="77777777" w:rsidR="00283DCB" w:rsidRPr="00AB1FAF" w:rsidRDefault="003B5868" w:rsidP="009032EA">
      <w:pPr>
        <w:spacing w:beforeAutospacing="1" w:afterAutospacing="1" w:line="240" w:lineRule="auto"/>
        <w:jc w:val="both"/>
        <w:rPr>
          <w:rFonts w:ascii="Arial" w:eastAsia="Times New Roman" w:hAnsi="Arial" w:cs="Arial"/>
          <w:color w:val="000000"/>
          <w:lang w:eastAsia="en-IN"/>
        </w:rPr>
      </w:pPr>
      <w:r w:rsidRPr="00AB1FAF">
        <w:rPr>
          <w:rFonts w:ascii="Arial" w:eastAsia="Times New Roman" w:hAnsi="Arial" w:cs="Arial"/>
          <w:color w:val="000000"/>
          <w:lang w:eastAsia="en-IN"/>
        </w:rPr>
        <w:t>Before starting the task I was very much nervous and blank to be honest, questions arising how will I be able to get these tasks done and do I have this much knowledge and understanding to pour my thoughts into words and put across the teachers. But this task not only gave me a platform but also making me familiar with my personal beliefs and thoughts across the tasks given and made me value my own understanding and looking after things for now and future as well. Have learned various strategies and research knowledge for completing the projects with lots o efforts and brainstorming sessions. I did the strong research and kept learning about new things available with comparing the facts and false provided information in the market this made me create my own thought process of clearly understanding things and how to execute on my own plans on my own terms and what creativity I can personally show in my work this genuinely helped me a lot to get clarity on my own knowledge and made I was confident about my own thought process. I have spent some genuinely valuable time by learning new strategies  like then personality pillar and writing styles which I was not earlier familiar with and also how best to reflect based on my experiences and knowledge in ways that shows my capability of extracting lesions and developing for the better as a result of it.</w:t>
      </w:r>
    </w:p>
    <w:p w14:paraId="0825D501" w14:textId="77777777" w:rsidR="00283DCB" w:rsidRPr="00AB1FAF" w:rsidRDefault="003B5868" w:rsidP="009032EA">
      <w:pPr>
        <w:spacing w:beforeAutospacing="1" w:afterAutospacing="1" w:line="240" w:lineRule="auto"/>
        <w:jc w:val="both"/>
        <w:rPr>
          <w:rFonts w:ascii="Arial" w:hAnsi="Arial" w:cs="Arial"/>
        </w:rPr>
      </w:pPr>
      <w:r w:rsidRPr="00AB1FAF">
        <w:rPr>
          <w:rFonts w:ascii="Arial" w:eastAsia="Times New Roman" w:hAnsi="Arial" w:cs="Arial"/>
          <w:color w:val="000000"/>
          <w:lang w:eastAsia="en-IN"/>
        </w:rPr>
        <w:t> </w:t>
      </w:r>
      <w:r w:rsidRPr="00AB1FAF">
        <w:rPr>
          <w:rFonts w:ascii="Arial" w:hAnsi="Arial" w:cs="Arial"/>
        </w:rPr>
        <w:br w:type="page"/>
      </w:r>
    </w:p>
    <w:p w14:paraId="2E694255" w14:textId="77777777" w:rsidR="00283DCB" w:rsidRPr="00AB1FAF" w:rsidRDefault="003B5868" w:rsidP="009032EA">
      <w:pPr>
        <w:spacing w:beforeAutospacing="1" w:afterAutospacing="1" w:line="240" w:lineRule="auto"/>
        <w:jc w:val="both"/>
        <w:rPr>
          <w:rFonts w:ascii="Arial" w:hAnsi="Arial" w:cs="Arial"/>
        </w:rPr>
      </w:pPr>
      <w:r w:rsidRPr="00AB1FAF">
        <w:rPr>
          <w:rFonts w:ascii="Arial" w:eastAsia="Arial" w:hAnsi="Arial" w:cs="Arial"/>
          <w:b/>
          <w:color w:val="000000"/>
          <w:lang w:eastAsia="ar-SA" w:bidi="en-IN"/>
        </w:rPr>
        <w:lastRenderedPageBreak/>
        <w:t>References</w:t>
      </w:r>
    </w:p>
    <w:p w14:paraId="17228ED9" w14:textId="77777777" w:rsidR="00283DCB" w:rsidRPr="00AB1FAF" w:rsidRDefault="003B5868" w:rsidP="009032EA">
      <w:pPr>
        <w:pStyle w:val="Bibliography"/>
        <w:jc w:val="both"/>
        <w:rPr>
          <w:rFonts w:ascii="Arial" w:hAnsi="Arial" w:cs="Arial"/>
          <w:lang w:val="en-US"/>
        </w:rPr>
      </w:pPr>
      <w:proofErr w:type="spellStart"/>
      <w:r w:rsidRPr="00AB1FAF">
        <w:rPr>
          <w:rFonts w:ascii="Arial" w:hAnsi="Arial" w:cs="Arial"/>
          <w:lang w:val="en-US"/>
        </w:rPr>
        <w:t>Dewanti</w:t>
      </w:r>
      <w:proofErr w:type="spellEnd"/>
      <w:r w:rsidRPr="00AB1FAF">
        <w:rPr>
          <w:rFonts w:ascii="Arial" w:hAnsi="Arial" w:cs="Arial"/>
          <w:lang w:val="en-US"/>
        </w:rPr>
        <w:t>, N., &amp;</w:t>
      </w:r>
      <w:proofErr w:type="spellStart"/>
      <w:r w:rsidRPr="00AB1FAF">
        <w:rPr>
          <w:rFonts w:ascii="Arial" w:hAnsi="Arial" w:cs="Arial"/>
          <w:lang w:val="en-US"/>
        </w:rPr>
        <w:t>Isbanah</w:t>
      </w:r>
      <w:proofErr w:type="spellEnd"/>
      <w:r w:rsidRPr="00AB1FAF">
        <w:rPr>
          <w:rFonts w:ascii="Arial" w:hAnsi="Arial" w:cs="Arial"/>
          <w:lang w:val="en-US"/>
        </w:rPr>
        <w:t xml:space="preserve">, Y. (2018). Determinants of the Financial </w:t>
      </w:r>
      <w:proofErr w:type="gramStart"/>
      <w:r w:rsidRPr="00AB1FAF">
        <w:rPr>
          <w:rFonts w:ascii="Arial" w:hAnsi="Arial" w:cs="Arial"/>
          <w:lang w:val="en-US"/>
        </w:rPr>
        <w:t>Literacy:.</w:t>
      </w:r>
      <w:proofErr w:type="gramEnd"/>
      <w:r w:rsidRPr="00AB1FAF">
        <w:rPr>
          <w:rFonts w:ascii="Arial" w:hAnsi="Arial" w:cs="Arial"/>
          <w:lang w:val="en-US"/>
        </w:rPr>
        <w:t xml:space="preserve"> (E.-I. 2461-0771, Ed.) </w:t>
      </w:r>
      <w:r w:rsidRPr="00AB1FAF">
        <w:rPr>
          <w:rFonts w:ascii="Arial" w:hAnsi="Arial" w:cs="Arial"/>
          <w:i/>
          <w:lang w:val="en-US"/>
        </w:rPr>
        <w:t xml:space="preserve">Google </w:t>
      </w:r>
      <w:proofErr w:type="spellStart"/>
      <w:r w:rsidRPr="00AB1FAF">
        <w:rPr>
          <w:rFonts w:ascii="Arial" w:hAnsi="Arial" w:cs="Arial"/>
          <w:i/>
          <w:lang w:val="en-US"/>
        </w:rPr>
        <w:t>Scholar|ETIKONOMI</w:t>
      </w:r>
      <w:proofErr w:type="spellEnd"/>
      <w:r w:rsidRPr="00AB1FAF">
        <w:rPr>
          <w:rFonts w:ascii="Arial" w:hAnsi="Arial" w:cs="Arial"/>
          <w:i/>
          <w:lang w:val="en-US"/>
        </w:rPr>
        <w:t>, Volume 17 (2)</w:t>
      </w:r>
      <w:r w:rsidRPr="00AB1FAF">
        <w:rPr>
          <w:rFonts w:ascii="Arial" w:hAnsi="Arial" w:cs="Arial"/>
          <w:lang w:val="en-US"/>
        </w:rPr>
        <w:t>, 285 - 296.</w:t>
      </w:r>
    </w:p>
    <w:p w14:paraId="23CED7C0" w14:textId="77777777" w:rsidR="00283DCB" w:rsidRPr="00AB1FAF" w:rsidRDefault="003B5868" w:rsidP="009032EA">
      <w:pPr>
        <w:pStyle w:val="Bibliography"/>
        <w:jc w:val="both"/>
        <w:rPr>
          <w:rFonts w:ascii="Arial" w:hAnsi="Arial" w:cs="Arial"/>
          <w:lang w:val="en-US"/>
        </w:rPr>
      </w:pPr>
      <w:r w:rsidRPr="00AB1FAF">
        <w:rPr>
          <w:rFonts w:ascii="Arial" w:hAnsi="Arial" w:cs="Arial"/>
          <w:lang w:val="en-US"/>
        </w:rPr>
        <w:t xml:space="preserve">Dick, T. P., &amp; Rallis, S. F. </w:t>
      </w:r>
      <w:proofErr w:type="gramStart"/>
      <w:r w:rsidRPr="00AB1FAF">
        <w:rPr>
          <w:rFonts w:ascii="Arial" w:hAnsi="Arial" w:cs="Arial"/>
          <w:lang w:val="en-US"/>
        </w:rPr>
        <w:t>Factors</w:t>
      </w:r>
      <w:proofErr w:type="gramEnd"/>
      <w:r w:rsidRPr="00AB1FAF">
        <w:rPr>
          <w:rFonts w:ascii="Arial" w:hAnsi="Arial" w:cs="Arial"/>
          <w:lang w:val="en-US"/>
        </w:rPr>
        <w:t xml:space="preserve"> and Influences on High School Students' Career Choices. </w:t>
      </w:r>
      <w:r w:rsidRPr="00AB1FAF">
        <w:rPr>
          <w:rFonts w:ascii="Arial" w:hAnsi="Arial" w:cs="Arial"/>
          <w:i/>
          <w:lang w:val="en-US"/>
        </w:rPr>
        <w:t>JSTOR, Vol 22</w:t>
      </w:r>
      <w:r w:rsidRPr="00AB1FAF">
        <w:rPr>
          <w:rFonts w:ascii="Arial" w:hAnsi="Arial" w:cs="Arial"/>
          <w:lang w:val="en-US"/>
        </w:rPr>
        <w:t>, 22 281-292.</w:t>
      </w:r>
    </w:p>
    <w:p w14:paraId="5137AE13" w14:textId="77777777" w:rsidR="00283DCB" w:rsidRPr="00AB1FAF" w:rsidRDefault="003B5868" w:rsidP="009032EA">
      <w:pPr>
        <w:pStyle w:val="Bibliography"/>
        <w:jc w:val="both"/>
        <w:rPr>
          <w:rFonts w:ascii="Arial" w:hAnsi="Arial" w:cs="Arial"/>
          <w:lang w:val="en-US"/>
        </w:rPr>
      </w:pPr>
      <w:proofErr w:type="spellStart"/>
      <w:r w:rsidRPr="00AB1FAF">
        <w:rPr>
          <w:rFonts w:ascii="Arial" w:hAnsi="Arial" w:cs="Arial"/>
          <w:lang w:val="en-US"/>
        </w:rPr>
        <w:t>Nyamwange</w:t>
      </w:r>
      <w:proofErr w:type="spellEnd"/>
      <w:r w:rsidRPr="00AB1FAF">
        <w:rPr>
          <w:rFonts w:ascii="Arial" w:hAnsi="Arial" w:cs="Arial"/>
          <w:lang w:val="en-US"/>
        </w:rPr>
        <w:t xml:space="preserve">, J. (2016). Journal of Education and Practice. </w:t>
      </w:r>
      <w:r w:rsidRPr="00AB1FAF">
        <w:rPr>
          <w:rFonts w:ascii="Arial" w:hAnsi="Arial" w:cs="Arial"/>
          <w:i/>
          <w:lang w:val="en-US"/>
        </w:rPr>
        <w:t>IISTE, Vol.4</w:t>
      </w:r>
      <w:r w:rsidRPr="00AB1FAF">
        <w:rPr>
          <w:rFonts w:ascii="Arial" w:hAnsi="Arial" w:cs="Arial"/>
          <w:lang w:val="en-US"/>
        </w:rPr>
        <w:t>, ISSN 2222-1735 (Paper) ISSN 2222-288X (Online).</w:t>
      </w:r>
    </w:p>
    <w:p w14:paraId="601DFA20" w14:textId="77777777" w:rsidR="00283DCB" w:rsidRPr="00AB1FAF" w:rsidRDefault="003B5868" w:rsidP="009032EA">
      <w:pPr>
        <w:pStyle w:val="Bibliography"/>
        <w:jc w:val="both"/>
        <w:rPr>
          <w:rFonts w:ascii="Arial" w:hAnsi="Arial" w:cs="Arial"/>
        </w:rPr>
      </w:pPr>
      <w:proofErr w:type="spellStart"/>
      <w:r w:rsidRPr="00AB1FAF">
        <w:rPr>
          <w:rFonts w:ascii="Arial" w:hAnsi="Arial" w:cs="Arial"/>
          <w:lang w:val="en-US"/>
        </w:rPr>
        <w:t>Vitco</w:t>
      </w:r>
      <w:proofErr w:type="spellEnd"/>
      <w:r w:rsidRPr="00AB1FAF">
        <w:rPr>
          <w:rFonts w:ascii="Arial" w:hAnsi="Arial" w:cs="Arial"/>
          <w:lang w:val="en-US"/>
        </w:rPr>
        <w:t>, K., Bernes, K. B., Magnusson, K., &amp;</w:t>
      </w:r>
      <w:proofErr w:type="spellStart"/>
      <w:r w:rsidRPr="00AB1FAF">
        <w:rPr>
          <w:rFonts w:ascii="Arial" w:hAnsi="Arial" w:cs="Arial"/>
          <w:lang w:val="en-US"/>
        </w:rPr>
        <w:t>Bardick</w:t>
      </w:r>
      <w:proofErr w:type="spellEnd"/>
      <w:r w:rsidRPr="00AB1FAF">
        <w:rPr>
          <w:rFonts w:ascii="Arial" w:hAnsi="Arial" w:cs="Arial"/>
          <w:lang w:val="en-US"/>
        </w:rPr>
        <w:t xml:space="preserve">, A. D. Senior high school career planning: What students want. </w:t>
      </w:r>
      <w:r w:rsidRPr="00AB1FAF">
        <w:rPr>
          <w:rFonts w:ascii="Arial" w:hAnsi="Arial" w:cs="Arial"/>
          <w:i/>
          <w:lang w:val="en-US"/>
        </w:rPr>
        <w:t xml:space="preserve">The </w:t>
      </w:r>
      <w:proofErr w:type="spellStart"/>
      <w:r w:rsidRPr="00AB1FAF">
        <w:rPr>
          <w:rFonts w:ascii="Arial" w:hAnsi="Arial" w:cs="Arial"/>
          <w:i/>
          <w:lang w:val="en-US"/>
        </w:rPr>
        <w:t>Journalof</w:t>
      </w:r>
      <w:proofErr w:type="spellEnd"/>
      <w:r w:rsidRPr="00AB1FAF">
        <w:rPr>
          <w:rFonts w:ascii="Arial" w:hAnsi="Arial" w:cs="Arial"/>
          <w:i/>
          <w:lang w:val="en-US"/>
        </w:rPr>
        <w:t xml:space="preserve"> Education Enquiry, Vol. 6</w:t>
      </w:r>
      <w:r w:rsidRPr="00AB1FAF">
        <w:rPr>
          <w:rFonts w:ascii="Arial" w:hAnsi="Arial" w:cs="Arial"/>
          <w:lang w:val="en-US"/>
        </w:rPr>
        <w:t>, No. 1.</w:t>
      </w:r>
    </w:p>
    <w:p w14:paraId="791174B0" w14:textId="77777777" w:rsidR="00283DCB" w:rsidRPr="00AB1FAF" w:rsidRDefault="003B5868" w:rsidP="009032EA">
      <w:pPr>
        <w:pStyle w:val="Bibliography"/>
        <w:jc w:val="both"/>
        <w:rPr>
          <w:rFonts w:ascii="Arial" w:hAnsi="Arial" w:cs="Arial"/>
          <w:lang w:val="en-US"/>
        </w:rPr>
      </w:pPr>
      <w:r w:rsidRPr="00AB1FAF">
        <w:rPr>
          <w:rFonts w:ascii="Arial" w:hAnsi="Arial" w:cs="Arial"/>
          <w:i/>
          <w:color w:val="000000"/>
          <w:lang w:val="en-US"/>
        </w:rPr>
        <w:t>All About Training and Development (Learning and Development)</w:t>
      </w:r>
      <w:r w:rsidRPr="00AB1FAF">
        <w:rPr>
          <w:rFonts w:ascii="Arial" w:hAnsi="Arial" w:cs="Arial"/>
          <w:color w:val="000000"/>
          <w:lang w:val="en-US"/>
        </w:rPr>
        <w:t>. (n.d.). Retrieved from www.managementhelo.org: https://managementhelp.org/training/</w:t>
      </w:r>
    </w:p>
    <w:p w14:paraId="2DB686B0" w14:textId="77777777" w:rsidR="00283DCB" w:rsidRPr="00AB1FAF" w:rsidRDefault="003B5868" w:rsidP="009032EA">
      <w:pPr>
        <w:pStyle w:val="Bibliography"/>
        <w:jc w:val="both"/>
        <w:rPr>
          <w:rFonts w:ascii="Arial" w:hAnsi="Arial" w:cs="Arial"/>
          <w:lang w:val="en-US"/>
        </w:rPr>
      </w:pPr>
      <w:r w:rsidRPr="00AB1FAF">
        <w:rPr>
          <w:rFonts w:ascii="Arial" w:hAnsi="Arial" w:cs="Arial"/>
          <w:color w:val="000000"/>
          <w:lang w:val="en-US"/>
        </w:rPr>
        <w:t xml:space="preserve">Fenwick, T. J. (n.d.). Professional growth plans: Possibilities and limitations of an </w:t>
      </w:r>
      <w:proofErr w:type="spellStart"/>
      <w:r w:rsidRPr="00AB1FAF">
        <w:rPr>
          <w:rFonts w:ascii="Arial" w:hAnsi="Arial" w:cs="Arial"/>
          <w:color w:val="000000"/>
          <w:lang w:val="en-US"/>
        </w:rPr>
        <w:t>organizationwide</w:t>
      </w:r>
      <w:proofErr w:type="spellEnd"/>
      <w:r w:rsidRPr="00AB1FAF">
        <w:rPr>
          <w:rFonts w:ascii="Arial" w:hAnsi="Arial" w:cs="Arial"/>
          <w:color w:val="000000"/>
          <w:lang w:val="en-US"/>
        </w:rPr>
        <w:t xml:space="preserve"> employee development strategy. </w:t>
      </w:r>
      <w:r w:rsidRPr="00AB1FAF">
        <w:rPr>
          <w:rFonts w:ascii="Arial" w:hAnsi="Arial" w:cs="Arial"/>
          <w:i/>
          <w:color w:val="000000"/>
          <w:lang w:val="en-US"/>
        </w:rPr>
        <w:t xml:space="preserve">Human Resource </w:t>
      </w:r>
      <w:proofErr w:type="spellStart"/>
      <w:r w:rsidRPr="00AB1FAF">
        <w:rPr>
          <w:rFonts w:ascii="Arial" w:hAnsi="Arial" w:cs="Arial"/>
          <w:i/>
          <w:color w:val="000000"/>
          <w:lang w:val="en-US"/>
        </w:rPr>
        <w:t>Dvelopment</w:t>
      </w:r>
      <w:proofErr w:type="spellEnd"/>
      <w:r w:rsidRPr="00AB1FAF">
        <w:rPr>
          <w:rFonts w:ascii="Arial" w:hAnsi="Arial" w:cs="Arial"/>
          <w:i/>
          <w:color w:val="000000"/>
          <w:lang w:val="en-US"/>
        </w:rPr>
        <w:t xml:space="preserve"> </w:t>
      </w:r>
      <w:proofErr w:type="gramStart"/>
      <w:r w:rsidRPr="00AB1FAF">
        <w:rPr>
          <w:rFonts w:ascii="Arial" w:hAnsi="Arial" w:cs="Arial"/>
          <w:i/>
          <w:color w:val="000000"/>
          <w:lang w:val="en-US"/>
        </w:rPr>
        <w:t>Quarterly</w:t>
      </w:r>
      <w:r w:rsidRPr="00AB1FAF">
        <w:rPr>
          <w:rFonts w:ascii="Arial" w:hAnsi="Arial" w:cs="Arial"/>
          <w:color w:val="000000"/>
          <w:lang w:val="en-US"/>
        </w:rPr>
        <w:t xml:space="preserve"> ,</w:t>
      </w:r>
      <w:proofErr w:type="gramEnd"/>
      <w:r w:rsidRPr="00AB1FAF">
        <w:rPr>
          <w:rFonts w:ascii="Arial" w:hAnsi="Arial" w:cs="Arial"/>
          <w:color w:val="000000"/>
          <w:lang w:val="en-US"/>
        </w:rPr>
        <w:t xml:space="preserve"> 59-77.</w:t>
      </w:r>
    </w:p>
    <w:p w14:paraId="4E59E66D" w14:textId="77777777" w:rsidR="00283DCB" w:rsidRPr="00AB1FAF" w:rsidRDefault="003B5868" w:rsidP="009032EA">
      <w:pPr>
        <w:pStyle w:val="Bibliography"/>
        <w:jc w:val="both"/>
        <w:rPr>
          <w:rFonts w:ascii="Arial" w:hAnsi="Arial" w:cs="Arial"/>
          <w:lang w:val="en-US"/>
        </w:rPr>
      </w:pPr>
      <w:r w:rsidRPr="00AB1FAF">
        <w:rPr>
          <w:rFonts w:ascii="Arial" w:hAnsi="Arial" w:cs="Arial"/>
          <w:color w:val="000000"/>
          <w:lang w:val="en-US"/>
        </w:rPr>
        <w:t xml:space="preserve">Learning and Development: A Comprehensive Guide. (n.d.). </w:t>
      </w:r>
      <w:r w:rsidRPr="00AB1FAF">
        <w:rPr>
          <w:rFonts w:ascii="Arial" w:hAnsi="Arial" w:cs="Arial"/>
          <w:i/>
          <w:color w:val="000000"/>
          <w:lang w:val="en-US"/>
        </w:rPr>
        <w:t xml:space="preserve">AIHR </w:t>
      </w:r>
      <w:proofErr w:type="gramStart"/>
      <w:r w:rsidRPr="00AB1FAF">
        <w:rPr>
          <w:rFonts w:ascii="Arial" w:hAnsi="Arial" w:cs="Arial"/>
          <w:i/>
          <w:color w:val="000000"/>
          <w:lang w:val="en-US"/>
        </w:rPr>
        <w:t>DIGITAL</w:t>
      </w:r>
      <w:r w:rsidRPr="00AB1FAF">
        <w:rPr>
          <w:rFonts w:ascii="Arial" w:hAnsi="Arial" w:cs="Arial"/>
          <w:color w:val="000000"/>
          <w:lang w:val="en-US"/>
        </w:rPr>
        <w:t xml:space="preserve"> .</w:t>
      </w:r>
      <w:proofErr w:type="gramEnd"/>
    </w:p>
    <w:p w14:paraId="69E9D14A" w14:textId="77777777" w:rsidR="00283DCB" w:rsidRPr="00AB1FAF" w:rsidRDefault="003B5868" w:rsidP="009032EA">
      <w:pPr>
        <w:jc w:val="both"/>
        <w:rPr>
          <w:rFonts w:ascii="Arial" w:hAnsi="Arial" w:cs="Arial"/>
          <w:lang w:val="en-US"/>
        </w:rPr>
      </w:pPr>
      <w:r w:rsidRPr="00AB1FAF">
        <w:rPr>
          <w:rFonts w:ascii="Arial" w:hAnsi="Arial" w:cs="Arial"/>
          <w:color w:val="000000"/>
          <w:lang w:val="en-US"/>
        </w:rPr>
        <w:t xml:space="preserve">Nazi, A. S. (n.d.). Training and Development Strategy and Its Role in. </w:t>
      </w:r>
      <w:r w:rsidRPr="00AB1FAF">
        <w:rPr>
          <w:rFonts w:ascii="Arial" w:hAnsi="Arial" w:cs="Arial"/>
          <w:i/>
          <w:color w:val="000000"/>
          <w:lang w:val="en-US"/>
        </w:rPr>
        <w:t xml:space="preserve">Google Scholar| Journal of Public Administration and </w:t>
      </w:r>
      <w:proofErr w:type="gramStart"/>
      <w:r w:rsidRPr="00AB1FAF">
        <w:rPr>
          <w:rFonts w:ascii="Arial" w:hAnsi="Arial" w:cs="Arial"/>
          <w:i/>
          <w:color w:val="000000"/>
          <w:lang w:val="en-US"/>
        </w:rPr>
        <w:t xml:space="preserve">Governance </w:t>
      </w:r>
      <w:r w:rsidRPr="00AB1FAF">
        <w:rPr>
          <w:rFonts w:ascii="Arial" w:hAnsi="Arial" w:cs="Arial"/>
          <w:color w:val="000000"/>
          <w:lang w:val="en-US"/>
        </w:rPr>
        <w:t>.</w:t>
      </w:r>
      <w:proofErr w:type="gramEnd"/>
    </w:p>
    <w:p w14:paraId="4A0F0116" w14:textId="77777777" w:rsidR="00283DCB" w:rsidRPr="00AB1FAF" w:rsidRDefault="00283DCB" w:rsidP="009032EA">
      <w:pPr>
        <w:spacing w:beforeAutospacing="1" w:afterAutospacing="1" w:line="240" w:lineRule="auto"/>
        <w:jc w:val="both"/>
        <w:rPr>
          <w:rFonts w:ascii="Arial" w:eastAsia="Times New Roman" w:hAnsi="Arial" w:cs="Arial"/>
          <w:b/>
          <w:color w:val="000000"/>
          <w:lang w:eastAsia="en-IN"/>
        </w:rPr>
      </w:pPr>
    </w:p>
    <w:p w14:paraId="3CA996D6" w14:textId="77777777" w:rsidR="00283DCB" w:rsidRPr="00AB1FAF" w:rsidRDefault="00283DCB" w:rsidP="009032EA">
      <w:pPr>
        <w:jc w:val="both"/>
        <w:rPr>
          <w:rFonts w:ascii="Arial" w:hAnsi="Arial" w:cs="Arial"/>
        </w:rPr>
      </w:pPr>
    </w:p>
    <w:p w14:paraId="510C7485" w14:textId="77777777" w:rsidR="00283DCB" w:rsidRPr="00AB1FAF" w:rsidRDefault="00283DCB" w:rsidP="009032EA">
      <w:pPr>
        <w:jc w:val="both"/>
        <w:rPr>
          <w:rFonts w:ascii="Arial" w:hAnsi="Arial" w:cs="Arial"/>
          <w:color w:val="000000" w:themeColor="text1"/>
        </w:rPr>
      </w:pPr>
    </w:p>
    <w:p w14:paraId="65DEF7EB" w14:textId="77777777" w:rsidR="00283DCB" w:rsidRPr="00AB1FAF" w:rsidRDefault="00283DCB" w:rsidP="009032EA">
      <w:pPr>
        <w:jc w:val="both"/>
        <w:rPr>
          <w:rFonts w:ascii="Arial" w:hAnsi="Arial" w:cs="Arial"/>
        </w:rPr>
      </w:pPr>
    </w:p>
    <w:sectPr w:rsidR="00283DCB" w:rsidRPr="00AB1FAF" w:rsidSect="008E7F25">
      <w:headerReference w:type="default" r:id="rId7"/>
      <w:pgSz w:w="11906" w:h="16838"/>
      <w:pgMar w:top="1440" w:right="1440" w:bottom="1440" w:left="1440"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A091D4" w14:textId="77777777" w:rsidR="00C90702" w:rsidRDefault="00C90702">
      <w:pPr>
        <w:spacing w:after="0" w:line="240" w:lineRule="auto"/>
      </w:pPr>
      <w:r>
        <w:separator/>
      </w:r>
    </w:p>
  </w:endnote>
  <w:endnote w:type="continuationSeparator" w:id="0">
    <w:p w14:paraId="34072175" w14:textId="77777777" w:rsidR="00C90702" w:rsidRDefault="00C90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B679A5" w14:textId="77777777" w:rsidR="00C90702" w:rsidRDefault="00C90702">
      <w:pPr>
        <w:spacing w:after="0" w:line="240" w:lineRule="auto"/>
      </w:pPr>
      <w:r>
        <w:separator/>
      </w:r>
    </w:p>
  </w:footnote>
  <w:footnote w:type="continuationSeparator" w:id="0">
    <w:p w14:paraId="14633EB1" w14:textId="77777777" w:rsidR="00C90702" w:rsidRDefault="00C90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8291048"/>
      <w:docPartObj>
        <w:docPartGallery w:val="Page Numbers (Top of Page)"/>
        <w:docPartUnique/>
      </w:docPartObj>
    </w:sdtPr>
    <w:sdtEndPr/>
    <w:sdtContent>
      <w:p w14:paraId="0957E9E0" w14:textId="77777777" w:rsidR="00283DCB" w:rsidRDefault="00283DCB">
        <w:pPr>
          <w:pStyle w:val="Header"/>
          <w:jc w:val="right"/>
        </w:pPr>
      </w:p>
      <w:p w14:paraId="0CB3DF84" w14:textId="77777777" w:rsidR="00283DCB" w:rsidRDefault="00C90702">
        <w:pPr>
          <w:spacing w:beforeAutospacing="1" w:afterAutospacing="1" w:line="240" w:lineRule="auto"/>
          <w:jc w:val="center"/>
          <w:rPr>
            <w:rFonts w:ascii="Arial" w:eastAsia="Times New Roman" w:hAnsi="Arial" w:cs="Arial"/>
            <w:b/>
            <w:color w:val="000000" w:themeColor="text1"/>
            <w:lang w:eastAsia="en-IN"/>
          </w:rPr>
        </w:pPr>
      </w:p>
    </w:sdtContent>
  </w:sdt>
  <w:p w14:paraId="6B9273B6" w14:textId="77777777" w:rsidR="00283DCB" w:rsidRDefault="00283D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3DCB"/>
    <w:rsid w:val="00087A14"/>
    <w:rsid w:val="00283DCB"/>
    <w:rsid w:val="003B5868"/>
    <w:rsid w:val="004B11BB"/>
    <w:rsid w:val="00604EBC"/>
    <w:rsid w:val="006A1B6C"/>
    <w:rsid w:val="008E7F25"/>
    <w:rsid w:val="009032EA"/>
    <w:rsid w:val="00AB1FAF"/>
    <w:rsid w:val="00AF0141"/>
    <w:rsid w:val="00C90702"/>
    <w:rsid w:val="00E36B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CC47F"/>
  <w15:docId w15:val="{68C6CBA6-B314-4D8A-B11A-038F2893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04B"/>
    <w:pPr>
      <w:spacing w:after="200" w:line="276" w:lineRule="auto"/>
    </w:pPr>
  </w:style>
  <w:style w:type="paragraph" w:styleId="Heading1">
    <w:name w:val="heading 1"/>
    <w:basedOn w:val="Normal"/>
    <w:next w:val="Normal"/>
    <w:link w:val="Heading1Char"/>
    <w:uiPriority w:val="9"/>
    <w:qFormat/>
    <w:rsid w:val="00952A3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DD03FD"/>
    <w:rPr>
      <w:rFonts w:ascii="Tahoma" w:hAnsi="Tahoma" w:cs="Tahoma"/>
      <w:sz w:val="16"/>
      <w:szCs w:val="16"/>
    </w:rPr>
  </w:style>
  <w:style w:type="character" w:customStyle="1" w:styleId="Heading1Char">
    <w:name w:val="Heading 1 Char"/>
    <w:basedOn w:val="DefaultParagraphFont"/>
    <w:link w:val="Heading1"/>
    <w:uiPriority w:val="9"/>
    <w:qFormat/>
    <w:rsid w:val="00952A3B"/>
    <w:rPr>
      <w:rFonts w:asciiTheme="majorHAnsi" w:eastAsiaTheme="majorEastAsia" w:hAnsiTheme="majorHAnsi" w:cstheme="majorBidi"/>
      <w:b/>
      <w:bCs/>
      <w:color w:val="365F91" w:themeColor="accent1" w:themeShade="BF"/>
      <w:sz w:val="28"/>
      <w:szCs w:val="28"/>
      <w:lang w:val="en-US" w:bidi="en-US"/>
    </w:rPr>
  </w:style>
  <w:style w:type="character" w:customStyle="1" w:styleId="HeaderChar">
    <w:name w:val="Header Char"/>
    <w:basedOn w:val="DefaultParagraphFont"/>
    <w:link w:val="Header"/>
    <w:uiPriority w:val="99"/>
    <w:qFormat/>
    <w:rsid w:val="00825791"/>
  </w:style>
  <w:style w:type="character" w:customStyle="1" w:styleId="FooterChar">
    <w:name w:val="Footer Char"/>
    <w:basedOn w:val="DefaultParagraphFont"/>
    <w:link w:val="Footer"/>
    <w:uiPriority w:val="99"/>
    <w:semiHidden/>
    <w:qFormat/>
    <w:rsid w:val="00825791"/>
  </w:style>
  <w:style w:type="paragraph" w:customStyle="1" w:styleId="Heading">
    <w:name w:val="Heading"/>
    <w:basedOn w:val="Normal"/>
    <w:next w:val="BodyText"/>
    <w:qFormat/>
    <w:rsid w:val="008E7F25"/>
    <w:pPr>
      <w:keepNext/>
      <w:spacing w:before="240" w:after="120"/>
    </w:pPr>
    <w:rPr>
      <w:rFonts w:ascii="Liberation Sans" w:eastAsia="Noto Sans CJK SC Regular" w:hAnsi="Liberation Sans" w:cs="Lohit Devanagari"/>
      <w:sz w:val="28"/>
      <w:szCs w:val="28"/>
    </w:rPr>
  </w:style>
  <w:style w:type="paragraph" w:styleId="BodyText">
    <w:name w:val="Body Text"/>
    <w:basedOn w:val="Normal"/>
    <w:rsid w:val="008E7F25"/>
    <w:pPr>
      <w:spacing w:after="140"/>
    </w:pPr>
  </w:style>
  <w:style w:type="paragraph" w:styleId="List">
    <w:name w:val="List"/>
    <w:basedOn w:val="BodyText"/>
    <w:rsid w:val="008E7F25"/>
    <w:rPr>
      <w:rFonts w:cs="Lohit Devanagari"/>
    </w:rPr>
  </w:style>
  <w:style w:type="paragraph" w:styleId="Caption">
    <w:name w:val="caption"/>
    <w:basedOn w:val="Normal"/>
    <w:qFormat/>
    <w:rsid w:val="008E7F25"/>
    <w:pPr>
      <w:suppressLineNumbers/>
      <w:spacing w:before="120" w:after="120"/>
    </w:pPr>
    <w:rPr>
      <w:rFonts w:cs="Lohit Devanagari"/>
      <w:i/>
      <w:iCs/>
      <w:sz w:val="24"/>
      <w:szCs w:val="24"/>
    </w:rPr>
  </w:style>
  <w:style w:type="paragraph" w:customStyle="1" w:styleId="Index">
    <w:name w:val="Index"/>
    <w:basedOn w:val="Normal"/>
    <w:qFormat/>
    <w:rsid w:val="008E7F25"/>
    <w:pPr>
      <w:suppressLineNumbers/>
    </w:pPr>
    <w:rPr>
      <w:rFonts w:cs="Lohit Devanagari"/>
    </w:rPr>
  </w:style>
  <w:style w:type="paragraph" w:styleId="BalloonText">
    <w:name w:val="Balloon Text"/>
    <w:basedOn w:val="Normal"/>
    <w:link w:val="BalloonTextChar"/>
    <w:uiPriority w:val="99"/>
    <w:semiHidden/>
    <w:unhideWhenUsed/>
    <w:qFormat/>
    <w:rsid w:val="00DD03FD"/>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F22733"/>
    <w:pPr>
      <w:spacing w:beforeAutospacing="1" w:afterAutospacing="1" w:line="240" w:lineRule="auto"/>
    </w:pPr>
    <w:rPr>
      <w:rFonts w:ascii="Times New Roman" w:eastAsia="Times New Roman" w:hAnsi="Times New Roman" w:cs="Times New Roman"/>
      <w:sz w:val="24"/>
      <w:szCs w:val="24"/>
      <w:lang w:eastAsia="en-IN"/>
    </w:rPr>
  </w:style>
  <w:style w:type="paragraph" w:styleId="Bibliography">
    <w:name w:val="Bibliography"/>
    <w:basedOn w:val="Normal"/>
    <w:next w:val="Normal"/>
    <w:uiPriority w:val="37"/>
    <w:unhideWhenUsed/>
    <w:qFormat/>
    <w:rsid w:val="00952A3B"/>
  </w:style>
  <w:style w:type="paragraph" w:styleId="Header">
    <w:name w:val="header"/>
    <w:basedOn w:val="Normal"/>
    <w:link w:val="HeaderChar"/>
    <w:uiPriority w:val="99"/>
    <w:unhideWhenUsed/>
    <w:rsid w:val="00825791"/>
    <w:pPr>
      <w:tabs>
        <w:tab w:val="center" w:pos="4513"/>
        <w:tab w:val="right" w:pos="9026"/>
      </w:tabs>
      <w:spacing w:after="0" w:line="240" w:lineRule="auto"/>
    </w:pPr>
  </w:style>
  <w:style w:type="paragraph" w:styleId="Footer">
    <w:name w:val="footer"/>
    <w:basedOn w:val="Normal"/>
    <w:link w:val="FooterChar"/>
    <w:uiPriority w:val="99"/>
    <w:semiHidden/>
    <w:unhideWhenUsed/>
    <w:rsid w:val="00825791"/>
    <w:pPr>
      <w:tabs>
        <w:tab w:val="center" w:pos="4513"/>
        <w:tab w:val="right" w:pos="9026"/>
      </w:tabs>
      <w:spacing w:after="0" w:line="240" w:lineRule="auto"/>
    </w:pPr>
  </w:style>
  <w:style w:type="paragraph" w:styleId="MacroText">
    <w:name w:val="macro"/>
    <w:qFormat/>
    <w:rsid w:val="008E7F25"/>
    <w:pPr>
      <w:tabs>
        <w:tab w:val="left" w:pos="480"/>
        <w:tab w:val="left" w:pos="960"/>
        <w:tab w:val="left" w:pos="1440"/>
        <w:tab w:val="left" w:pos="1920"/>
        <w:tab w:val="left" w:pos="2400"/>
        <w:tab w:val="left" w:pos="2880"/>
        <w:tab w:val="left" w:pos="3360"/>
        <w:tab w:val="left" w:pos="3840"/>
        <w:tab w:val="left" w:pos="4320"/>
      </w:tabs>
      <w:suppressAutoHyphens/>
    </w:pPr>
    <w:rPr>
      <w:rFonts w:ascii="Times New Roman" w:eastAsia="Times New Roman" w:hAnsi="Times New Roman" w:cs="Liberation Serif"/>
      <w:color w:val="000000"/>
      <w:kern w:val="2"/>
      <w:sz w:val="20"/>
      <w:szCs w:val="24"/>
      <w:lang w:val="en-GB"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Dic</b:Tag>
    <b:SourceType>JournalArticle</b:SourceType>
    <b:Guid>{002F4C7F-B52F-42AC-A87F-3DA720A7E898}</b:Guid>
    <b:LCID>0</b:LCID>
    <b:Author>
      <b:Author>
        <b:NameList>
          <b:Person>
            <b:Last>Dick</b:Last>
            <b:First>Thomas</b:First>
            <b:Middle>P</b:Middle>
          </b:Person>
          <b:Person>
            <b:Last>Rallis</b:Last>
            <b:First>Sharon</b:First>
            <b:Middle>F</b:Middle>
          </b:Person>
        </b:NameList>
      </b:Author>
    </b:Author>
    <b:Title>Factors and Influences on High School Students' Career Choices</b:Title>
    <b:JournalName>JSTOR</b:JournalName>
    <b:Pages>22 281-292</b:Pages>
    <b:Publisher>National Council of Teachers of Mathematics</b:Publisher>
    <b:Volume>Vol 22</b:Volume>
    <b:RefOrder>1</b:RefOrder>
  </b:Source>
  <b:Source>
    <b:Tag>Nya16</b:Tag>
    <b:SourceType>JournalArticle</b:SourceType>
    <b:Guid>{76428862-582E-4CB6-A080-E41BF6C41D1E}</b:Guid>
    <b:LCID>0</b:LCID>
    <b:Author>
      <b:Author>
        <b:NameList>
          <b:Person>
            <b:Last>Nyamwange</b:Last>
            <b:First>Josephine</b:First>
          </b:Person>
        </b:NameList>
      </b:Author>
    </b:Author>
    <b:Title>Journal of Education and Practice</b:Title>
    <b:JournalName>IISTE</b:JournalName>
    <b:Year>2016</b:Year>
    <b:Pages>ISSN 2222-1735 (Paper) ISSN 2222-288X (Online)</b:Pages>
    <b:Volume>Vol.4</b:Volume>
    <b:RefOrder>2</b:RefOrder>
  </b:Source>
  <b:Source>
    <b:Tag>Dew18</b:Tag>
    <b:SourceType>JournalArticle</b:SourceType>
    <b:Guid>{DFB0AD3C-D4B5-4D38-A160-D106CB5686D0}</b:Guid>
    <b:LCID>0</b:LCID>
    <b:Author>
      <b:Author>
        <b:NameList>
          <b:Person>
            <b:Last>Dewanti</b:Last>
            <b:First>N</b:First>
          </b:Person>
          <b:Person>
            <b:Last>Isbanah</b:Last>
            <b:First>Y</b:First>
          </b:Person>
        </b:NameList>
      </b:Author>
      <b:Editor>
        <b:NameList>
          <b:Person>
            <b:Last>2461-0771</b:Last>
            <b:First>E-ISSN:</b:First>
          </b:Person>
        </b:NameList>
      </b:Editor>
    </b:Author>
    <b:Title>Determinants of the Financial Literacy:</b:Title>
    <b:JournalName>Google Scholar|ETIKONOMI</b:JournalName>
    <b:Year>2018</b:Year>
    <b:Pages>285 - 296</b:Pages>
    <b:Publisher>P-ISSN: 1412-8969</b:Publisher>
    <b:Volume>Volume 17 (2)</b:Volume>
    <b:RefOrder>3</b:RefOrder>
  </b:Source>
  <b:Source>
    <b:Tag>Vit</b:Tag>
    <b:SourceType>JournalArticle</b:SourceType>
    <b:Guid>{725666A2-5D47-4841-8A66-CEDF83B1C949}</b:Guid>
    <b:LCID>0</b:LCID>
    <b:Author>
      <b:Author>
        <b:NameList>
          <b:Person>
            <b:Last>Vitco</b:Last>
            <b:First>Kim</b:First>
          </b:Person>
          <b:Person>
            <b:Last>Bernes</b:Last>
            <b:First>Kerry</b:First>
            <b:Middle>B</b:Middle>
          </b:Person>
          <b:Person>
            <b:Last>Magnusson</b:Last>
            <b:First>Kris</b:First>
          </b:Person>
          <b:Person>
            <b:Last>Bardick</b:Last>
            <b:First>Angela</b:First>
            <b:Middle>D</b:Middle>
          </b:Person>
        </b:NameList>
      </b:Author>
    </b:Author>
    <b:Title>Senior high school career planning: What students want</b:Title>
    <b:JournalName>The Journalof Education Enquiry</b:JournalName>
    <b:Pages>No. 1</b:Pages>
    <b:Volume>Vol. 6</b:Volume>
    <b:RefOrder>4</b:RefOrder>
  </b:Source>
  <b:Source>
    <b:Tag>Fen</b:Tag>
    <b:SourceType>JournalArticle</b:SourceType>
    <b:Guid>{0D7FCFC3-B3AC-43E2-8FF1-E5ACC073710D}</b:Guid>
    <b:LCID>0</b:LCID>
    <b:Author>
      <b:Author>
        <b:NameList>
          <b:Person>
            <b:Last>Fenwick</b:Last>
            <b:First>Tara</b:First>
            <b:Middle>J</b:Middle>
          </b:Person>
        </b:NameList>
      </b:Author>
    </b:Author>
    <b:Title>Professional growth plans: Possibilities and limitations of an organizationwide employee development strategy</b:Title>
    <b:JournalName>Human Resource Dvelopment Quarterly</b:JournalName>
    <b:Pages>59-77</b:Pages>
    <b:RefOrder>1</b:RefOrder>
  </b:Source>
  <b:Source>
    <b:Tag>Lea</b:Tag>
    <b:SourceType>JournalArticle</b:SourceType>
    <b:Guid>{147CF89C-E4EE-46E0-9E47-FC69DE2FFEFC}</b:Guid>
    <b:LCID>0</b:LCID>
    <b:Title>Learning and Development: A Comprehensive Guide</b:Title>
    <b:JournalName>AIHR DIGITAL</b:JournalName>
    <b:RefOrder>2</b:RefOrder>
  </b:Source>
  <b:Source>
    <b:Tag>Naz</b:Tag>
    <b:SourceType>JournalArticle</b:SourceType>
    <b:Guid>{C035CBB4-F83E-483A-BC41-327C434E7DC8}</b:Guid>
    <b:LCID>0</b:LCID>
    <b:Author>
      <b:Author>
        <b:NameList>
          <b:Person>
            <b:Last>Nazi</b:Last>
            <b:First>Abdus</b:First>
            <b:Middle>Sattar</b:Middle>
          </b:Person>
        </b:NameList>
      </b:Author>
    </b:Author>
    <b:Title>Training and Development Strategy and Its Role in</b:Title>
    <b:JournalName>Google Scholar| Journal of Public Administration and Governance </b:JournalName>
    <b:RefOrder>3</b:RefOrder>
  </b:Source>
  <b:Source>
    <b:Tag>All</b:Tag>
    <b:SourceType>InternetSite</b:SourceType>
    <b:Guid>{E4F47579-B64E-4D78-A2E7-70067C738BB9}</b:Guid>
    <b:LCID>0</b:LCID>
    <b:Title>All About Training and Development (Learning and Development)</b:Title>
    <b:InternetSiteTitle>www.managementhelo.org</b:InternetSiteTitle>
    <b:URL>https://managementhelp.org/training/</b:URL>
    <b:RefOrder>4</b:RefOrder>
  </b:Source>
</b:Sources>
</file>

<file path=customXml/itemProps1.xml><?xml version="1.0" encoding="utf-8"?>
<ds:datastoreItem xmlns:ds="http://schemas.openxmlformats.org/officeDocument/2006/customXml" ds:itemID="{E5CC3760-59E8-47A3-9628-0BADD3B0C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3099</Words>
  <Characters>17668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nsidique2020@outlook.com</cp:lastModifiedBy>
  <cp:revision>2</cp:revision>
  <dcterms:created xsi:type="dcterms:W3CDTF">2020-11-30T14:24:00Z</dcterms:created>
  <dcterms:modified xsi:type="dcterms:W3CDTF">2020-11-30T14:24:00Z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