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98FEA1" w14:textId="77777777" w:rsidR="003C56BA" w:rsidRDefault="003C56BA"/>
    <w:p w14:paraId="26D11922" w14:textId="77777777" w:rsidR="003C56BA" w:rsidRDefault="003C56BA"/>
    <w:p w14:paraId="15C012AE" w14:textId="77777777" w:rsidR="003C56BA" w:rsidRDefault="003C56BA"/>
    <w:p w14:paraId="0C81F608" w14:textId="77777777" w:rsidR="003C56BA" w:rsidRDefault="003C56BA"/>
    <w:p w14:paraId="65590F21" w14:textId="77777777" w:rsidR="003C56BA" w:rsidRDefault="003C56BA"/>
    <w:p w14:paraId="56E2C868" w14:textId="77777777" w:rsidR="003C56BA" w:rsidRPr="00C03C24" w:rsidRDefault="003C56BA">
      <w:pPr>
        <w:rPr>
          <w:b/>
          <w:bCs/>
          <w:sz w:val="28"/>
          <w:szCs w:val="28"/>
        </w:rPr>
      </w:pPr>
    </w:p>
    <w:p w14:paraId="391949AE" w14:textId="77777777" w:rsidR="00C03C24" w:rsidRPr="00C03C24" w:rsidRDefault="00C03C24" w:rsidP="00C03C24">
      <w:pPr>
        <w:rPr>
          <w:b/>
          <w:bCs/>
          <w:sz w:val="28"/>
          <w:szCs w:val="28"/>
        </w:rPr>
      </w:pPr>
      <w:r w:rsidRPr="00C03C24">
        <w:rPr>
          <w:b/>
          <w:bCs/>
          <w:sz w:val="28"/>
          <w:szCs w:val="28"/>
        </w:rPr>
        <w:t>Root Cause Analysis of the Shrewsbury and Telford Maternity Scandal: A Quality Management Perspective</w:t>
      </w:r>
    </w:p>
    <w:p w14:paraId="0D16E481" w14:textId="77777777" w:rsidR="003C56BA" w:rsidRDefault="003C56BA"/>
    <w:p w14:paraId="69177FBA" w14:textId="77777777" w:rsidR="003C56BA" w:rsidRDefault="003C56BA"/>
    <w:p w14:paraId="264DA35F" w14:textId="77777777" w:rsidR="003C56BA" w:rsidRDefault="003C56BA"/>
    <w:p w14:paraId="09D558D3" w14:textId="77777777" w:rsidR="00E8037D" w:rsidRDefault="00E8037D" w:rsidP="00E8037D">
      <w:pPr>
        <w:jc w:val="both"/>
        <w:rPr>
          <w:rFonts w:ascii="Arial" w:eastAsia="Arial" w:hAnsi="Arial" w:cs="Arial"/>
          <w:color w:val="000000" w:themeColor="text1"/>
        </w:rPr>
      </w:pPr>
      <w:r w:rsidRPr="5F41CCCF">
        <w:rPr>
          <w:rFonts w:ascii="Arial" w:eastAsia="Arial" w:hAnsi="Arial" w:cs="Arial"/>
          <w:b/>
          <w:bCs/>
          <w:color w:val="000000" w:themeColor="text1"/>
        </w:rPr>
        <w:t>Name</w:t>
      </w:r>
      <w:r w:rsidRPr="5F41CCCF">
        <w:rPr>
          <w:rFonts w:ascii="Arial" w:eastAsia="Arial" w:hAnsi="Arial" w:cs="Arial"/>
          <w:color w:val="000000" w:themeColor="text1"/>
        </w:rPr>
        <w:t>: Nabeela Begum</w:t>
      </w:r>
    </w:p>
    <w:p w14:paraId="58BD3C31" w14:textId="77777777" w:rsidR="00E8037D" w:rsidRDefault="00E8037D" w:rsidP="00E8037D">
      <w:pPr>
        <w:jc w:val="both"/>
        <w:rPr>
          <w:rFonts w:ascii="Arial" w:eastAsia="Arial" w:hAnsi="Arial" w:cs="Arial"/>
          <w:color w:val="000000" w:themeColor="text1"/>
        </w:rPr>
      </w:pPr>
      <w:r w:rsidRPr="5F41CCCF">
        <w:rPr>
          <w:rFonts w:ascii="Arial" w:eastAsia="Arial" w:hAnsi="Arial" w:cs="Arial"/>
          <w:b/>
          <w:bCs/>
          <w:color w:val="000000" w:themeColor="text1"/>
        </w:rPr>
        <w:t>Student Number</w:t>
      </w:r>
      <w:r w:rsidRPr="5F41CCCF">
        <w:rPr>
          <w:rFonts w:ascii="Arial" w:eastAsia="Arial" w:hAnsi="Arial" w:cs="Arial"/>
          <w:color w:val="000000" w:themeColor="text1"/>
        </w:rPr>
        <w:t>: 2216501</w:t>
      </w:r>
    </w:p>
    <w:p w14:paraId="6EBAFDB6" w14:textId="62B78215" w:rsidR="00E8037D" w:rsidRDefault="00E8037D" w:rsidP="00E8037D">
      <w:pPr>
        <w:jc w:val="both"/>
        <w:rPr>
          <w:rFonts w:ascii="Arial" w:eastAsia="Arial" w:hAnsi="Arial" w:cs="Arial"/>
          <w:color w:val="000000" w:themeColor="text1"/>
        </w:rPr>
      </w:pPr>
      <w:r w:rsidRPr="5F41CCCF">
        <w:rPr>
          <w:rFonts w:ascii="Arial" w:eastAsia="Arial" w:hAnsi="Arial" w:cs="Arial"/>
          <w:b/>
          <w:bCs/>
          <w:color w:val="000000" w:themeColor="text1"/>
        </w:rPr>
        <w:t>Module Code</w:t>
      </w:r>
      <w:r w:rsidRPr="5F41CCCF">
        <w:rPr>
          <w:rFonts w:ascii="Arial" w:eastAsia="Arial" w:hAnsi="Arial" w:cs="Arial"/>
          <w:color w:val="000000" w:themeColor="text1"/>
        </w:rPr>
        <w:t xml:space="preserve">: </w:t>
      </w:r>
      <w:r>
        <w:rPr>
          <w:rFonts w:ascii="Arial" w:eastAsia="Arial" w:hAnsi="Arial" w:cs="Arial"/>
          <w:color w:val="000000" w:themeColor="text1"/>
        </w:rPr>
        <w:t>LCHS700</w:t>
      </w:r>
      <w:r w:rsidR="00077AA5">
        <w:rPr>
          <w:rFonts w:ascii="Arial" w:eastAsia="Arial" w:hAnsi="Arial" w:cs="Arial"/>
          <w:color w:val="000000" w:themeColor="text1"/>
        </w:rPr>
        <w:t>6</w:t>
      </w:r>
    </w:p>
    <w:p w14:paraId="16A42E20" w14:textId="53588AE5" w:rsidR="00E8037D" w:rsidRDefault="00E8037D" w:rsidP="00E8037D">
      <w:pPr>
        <w:jc w:val="both"/>
        <w:rPr>
          <w:rFonts w:ascii="Arial" w:eastAsia="Arial" w:hAnsi="Arial" w:cs="Arial"/>
          <w:color w:val="000000" w:themeColor="text1"/>
        </w:rPr>
      </w:pPr>
      <w:r w:rsidRPr="5F41CCCF">
        <w:rPr>
          <w:rFonts w:ascii="Arial" w:eastAsia="Arial" w:hAnsi="Arial" w:cs="Arial"/>
          <w:b/>
          <w:bCs/>
          <w:color w:val="000000" w:themeColor="text1"/>
        </w:rPr>
        <w:t>Module</w:t>
      </w:r>
      <w:r w:rsidRPr="5F41CCCF">
        <w:rPr>
          <w:rFonts w:ascii="Arial" w:eastAsia="Arial" w:hAnsi="Arial" w:cs="Arial"/>
          <w:color w:val="000000" w:themeColor="text1"/>
        </w:rPr>
        <w:t>:</w:t>
      </w:r>
      <w:r w:rsidR="00077AA5">
        <w:rPr>
          <w:rFonts w:ascii="Arial" w:eastAsia="Arial" w:hAnsi="Arial" w:cs="Arial"/>
          <w:color w:val="000000" w:themeColor="text1"/>
        </w:rPr>
        <w:t xml:space="preserve"> Quality Assurance and Service Improvements</w:t>
      </w:r>
    </w:p>
    <w:p w14:paraId="338A309B" w14:textId="0EA9DAB6" w:rsidR="00E8037D" w:rsidRDefault="00E8037D" w:rsidP="00E8037D">
      <w:pPr>
        <w:jc w:val="both"/>
        <w:rPr>
          <w:rFonts w:ascii="Arial" w:eastAsia="Arial" w:hAnsi="Arial" w:cs="Arial"/>
          <w:color w:val="000000" w:themeColor="text1"/>
        </w:rPr>
      </w:pPr>
      <w:r w:rsidRPr="5F41CCCF">
        <w:rPr>
          <w:rFonts w:ascii="Arial" w:eastAsia="Arial" w:hAnsi="Arial" w:cs="Arial"/>
          <w:b/>
          <w:bCs/>
          <w:color w:val="000000" w:themeColor="text1"/>
        </w:rPr>
        <w:t>Assignment Title</w:t>
      </w:r>
      <w:r w:rsidRPr="5F41CCCF">
        <w:rPr>
          <w:rFonts w:ascii="Arial" w:eastAsia="Arial" w:hAnsi="Arial" w:cs="Arial"/>
          <w:color w:val="000000" w:themeColor="text1"/>
        </w:rPr>
        <w:t>: C</w:t>
      </w:r>
      <w:r w:rsidR="001B5EAE">
        <w:rPr>
          <w:rFonts w:ascii="Arial" w:eastAsia="Arial" w:hAnsi="Arial" w:cs="Arial"/>
          <w:color w:val="000000" w:themeColor="text1"/>
        </w:rPr>
        <w:t>omponent 2: Service Improvement Report</w:t>
      </w:r>
    </w:p>
    <w:p w14:paraId="57777FE0" w14:textId="77777777" w:rsidR="00E8037D" w:rsidRDefault="00E8037D" w:rsidP="00E8037D">
      <w:pPr>
        <w:jc w:val="both"/>
        <w:rPr>
          <w:rFonts w:ascii="Arial" w:eastAsia="Arial" w:hAnsi="Arial" w:cs="Arial"/>
          <w:color w:val="000000" w:themeColor="text1"/>
        </w:rPr>
      </w:pPr>
      <w:r w:rsidRPr="5F41CCCF">
        <w:rPr>
          <w:rFonts w:ascii="Arial" w:eastAsia="Arial" w:hAnsi="Arial" w:cs="Arial"/>
          <w:b/>
          <w:bCs/>
          <w:color w:val="000000" w:themeColor="text1"/>
        </w:rPr>
        <w:t>Lecturer Name</w:t>
      </w:r>
      <w:r w:rsidRPr="5F41CCCF">
        <w:rPr>
          <w:rFonts w:ascii="Arial" w:eastAsia="Arial" w:hAnsi="Arial" w:cs="Arial"/>
          <w:color w:val="000000" w:themeColor="text1"/>
        </w:rPr>
        <w:t xml:space="preserve">: </w:t>
      </w:r>
      <w:r>
        <w:rPr>
          <w:rFonts w:ascii="Arial" w:eastAsia="Arial" w:hAnsi="Arial" w:cs="Arial"/>
          <w:color w:val="000000" w:themeColor="text1"/>
        </w:rPr>
        <w:t>Dr Fahad Khan</w:t>
      </w:r>
    </w:p>
    <w:p w14:paraId="79257703" w14:textId="77777777" w:rsidR="003C56BA" w:rsidRDefault="003C56BA"/>
    <w:p w14:paraId="7E3E25D2" w14:textId="77777777" w:rsidR="003C56BA" w:rsidRDefault="003C56BA"/>
    <w:p w14:paraId="2DB509CC" w14:textId="77777777" w:rsidR="003C56BA" w:rsidRDefault="003C56BA"/>
    <w:p w14:paraId="2B8E63E0" w14:textId="77777777" w:rsidR="003C56BA" w:rsidRDefault="003C56BA"/>
    <w:p w14:paraId="0CEA92D6" w14:textId="77777777" w:rsidR="003C56BA" w:rsidRDefault="003C56BA"/>
    <w:p w14:paraId="46AF1FC0" w14:textId="77777777" w:rsidR="001915B1" w:rsidRDefault="001915B1"/>
    <w:p w14:paraId="211F5E7E" w14:textId="77777777" w:rsidR="003C56BA" w:rsidRDefault="003C56BA"/>
    <w:p w14:paraId="543F6DE2" w14:textId="77777777" w:rsidR="00816E85" w:rsidRDefault="00816E85"/>
    <w:p w14:paraId="37429798" w14:textId="77777777" w:rsidR="00816E85" w:rsidRDefault="00816E85"/>
    <w:p w14:paraId="74A79444" w14:textId="77777777" w:rsidR="00816E85" w:rsidRDefault="00816E85"/>
    <w:p w14:paraId="3CDD8AAB" w14:textId="77777777" w:rsidR="00E8037D" w:rsidRDefault="00E8037D"/>
    <w:p w14:paraId="756BCD1D" w14:textId="77777777" w:rsidR="003C56BA" w:rsidRPr="00C03C24" w:rsidRDefault="003C56BA">
      <w:pPr>
        <w:rPr>
          <w:rFonts w:ascii="Arial" w:hAnsi="Arial" w:cs="Arial"/>
        </w:rPr>
      </w:pPr>
    </w:p>
    <w:p w14:paraId="3B3E96F7" w14:textId="362EBBA7" w:rsidR="003C56BA" w:rsidRDefault="00760512">
      <w:pPr>
        <w:rPr>
          <w:rFonts w:ascii="Arial" w:hAnsi="Arial" w:cs="Arial"/>
        </w:rPr>
      </w:pPr>
      <w:r w:rsidRPr="00C03C24">
        <w:rPr>
          <w:rFonts w:ascii="Arial" w:hAnsi="Arial" w:cs="Arial"/>
        </w:rPr>
        <w:t>Contents Page</w:t>
      </w:r>
    </w:p>
    <w:p w14:paraId="757B7109" w14:textId="77777777" w:rsidR="00816E85" w:rsidRDefault="00816E85">
      <w:pPr>
        <w:rPr>
          <w:rFonts w:ascii="Arial" w:hAnsi="Arial" w:cs="Arial"/>
        </w:rPr>
      </w:pPr>
    </w:p>
    <w:p w14:paraId="20D24BC0" w14:textId="6810697B" w:rsidR="00816E85" w:rsidRPr="00902F45" w:rsidRDefault="00816E85" w:rsidP="009733F0">
      <w:pPr>
        <w:jc w:val="both"/>
        <w:rPr>
          <w:rFonts w:ascii="Arial" w:hAnsi="Arial" w:cs="Arial"/>
          <w:sz w:val="22"/>
          <w:szCs w:val="22"/>
        </w:rPr>
      </w:pPr>
      <w:r w:rsidRPr="00902F45">
        <w:rPr>
          <w:rFonts w:ascii="Arial" w:hAnsi="Arial" w:cs="Arial"/>
          <w:sz w:val="22"/>
          <w:szCs w:val="22"/>
        </w:rPr>
        <w:t>Introduction</w:t>
      </w:r>
      <w:r w:rsidR="00902F45">
        <w:rPr>
          <w:rFonts w:ascii="Arial" w:hAnsi="Arial" w:cs="Arial"/>
          <w:sz w:val="22"/>
          <w:szCs w:val="22"/>
        </w:rPr>
        <w:t>……………………………………………………………………</w:t>
      </w:r>
      <w:r w:rsidR="004552E1">
        <w:rPr>
          <w:rFonts w:ascii="Arial" w:hAnsi="Arial" w:cs="Arial"/>
          <w:sz w:val="22"/>
          <w:szCs w:val="22"/>
        </w:rPr>
        <w:t>...</w:t>
      </w:r>
      <w:r w:rsidR="00902F45">
        <w:rPr>
          <w:rFonts w:ascii="Arial" w:hAnsi="Arial" w:cs="Arial"/>
          <w:sz w:val="22"/>
          <w:szCs w:val="22"/>
        </w:rPr>
        <w:t>…..</w:t>
      </w:r>
      <w:r w:rsidR="004552E1">
        <w:rPr>
          <w:rFonts w:ascii="Arial" w:hAnsi="Arial" w:cs="Arial"/>
          <w:sz w:val="22"/>
          <w:szCs w:val="22"/>
        </w:rPr>
        <w:t>3</w:t>
      </w:r>
    </w:p>
    <w:p w14:paraId="0B4BF4E0" w14:textId="1F31BA3A" w:rsidR="00602F29" w:rsidRPr="00902F45" w:rsidRDefault="00602F29" w:rsidP="009733F0">
      <w:pPr>
        <w:jc w:val="both"/>
        <w:rPr>
          <w:rFonts w:ascii="Arial" w:hAnsi="Arial" w:cs="Arial"/>
          <w:sz w:val="22"/>
          <w:szCs w:val="22"/>
        </w:rPr>
      </w:pPr>
      <w:r w:rsidRPr="00902F45">
        <w:rPr>
          <w:rFonts w:ascii="Arial" w:hAnsi="Arial" w:cs="Arial"/>
          <w:sz w:val="22"/>
          <w:szCs w:val="22"/>
        </w:rPr>
        <w:t>Overview of the Quality Issue</w:t>
      </w:r>
      <w:r w:rsidR="00902F45">
        <w:rPr>
          <w:rFonts w:ascii="Arial" w:hAnsi="Arial" w:cs="Arial"/>
          <w:sz w:val="22"/>
          <w:szCs w:val="22"/>
        </w:rPr>
        <w:t>……………………………………………………..</w:t>
      </w:r>
      <w:r w:rsidR="004552E1">
        <w:rPr>
          <w:rFonts w:ascii="Arial" w:hAnsi="Arial" w:cs="Arial"/>
          <w:sz w:val="22"/>
          <w:szCs w:val="22"/>
        </w:rPr>
        <w:t>3</w:t>
      </w:r>
    </w:p>
    <w:p w14:paraId="5FEA86CB" w14:textId="004A92A4" w:rsidR="00AC4B7D" w:rsidRPr="00902F45" w:rsidRDefault="00AC4B7D" w:rsidP="009733F0">
      <w:pPr>
        <w:spacing w:line="360" w:lineRule="auto"/>
        <w:jc w:val="both"/>
        <w:rPr>
          <w:rFonts w:ascii="Arial" w:hAnsi="Arial" w:cs="Arial"/>
          <w:sz w:val="22"/>
          <w:szCs w:val="22"/>
        </w:rPr>
      </w:pPr>
      <w:r w:rsidRPr="00902F45">
        <w:rPr>
          <w:rFonts w:ascii="Arial" w:hAnsi="Arial" w:cs="Arial"/>
          <w:sz w:val="22"/>
          <w:szCs w:val="22"/>
        </w:rPr>
        <w:t>Application of the Donabedian Model</w:t>
      </w:r>
      <w:r w:rsidR="00902F45">
        <w:rPr>
          <w:rFonts w:ascii="Arial" w:hAnsi="Arial" w:cs="Arial"/>
          <w:sz w:val="22"/>
          <w:szCs w:val="22"/>
        </w:rPr>
        <w:t>…………………………………………</w:t>
      </w:r>
      <w:r w:rsidR="002F64FD">
        <w:rPr>
          <w:rFonts w:ascii="Arial" w:hAnsi="Arial" w:cs="Arial"/>
          <w:sz w:val="22"/>
          <w:szCs w:val="22"/>
        </w:rPr>
        <w:t>..</w:t>
      </w:r>
      <w:r w:rsidR="00902F45">
        <w:rPr>
          <w:rFonts w:ascii="Arial" w:hAnsi="Arial" w:cs="Arial"/>
          <w:sz w:val="22"/>
          <w:szCs w:val="22"/>
        </w:rPr>
        <w:t>..</w:t>
      </w:r>
      <w:r w:rsidR="004552E1">
        <w:rPr>
          <w:rFonts w:ascii="Arial" w:hAnsi="Arial" w:cs="Arial"/>
          <w:sz w:val="22"/>
          <w:szCs w:val="22"/>
        </w:rPr>
        <w:t>4</w:t>
      </w:r>
    </w:p>
    <w:p w14:paraId="14CE1C5B" w14:textId="0BA705FB" w:rsidR="00902F45" w:rsidRPr="00902F45" w:rsidRDefault="00AC4B7D" w:rsidP="009733F0">
      <w:pPr>
        <w:spacing w:line="360" w:lineRule="auto"/>
        <w:jc w:val="both"/>
        <w:rPr>
          <w:rFonts w:ascii="Arial" w:hAnsi="Arial" w:cs="Arial"/>
          <w:sz w:val="22"/>
          <w:szCs w:val="22"/>
        </w:rPr>
      </w:pPr>
      <w:r w:rsidRPr="00902F45">
        <w:rPr>
          <w:rFonts w:ascii="Arial" w:hAnsi="Arial" w:cs="Arial"/>
          <w:sz w:val="22"/>
          <w:szCs w:val="22"/>
        </w:rPr>
        <w:t>Root Cause Analysis Using the Fishbone Diagram</w:t>
      </w:r>
      <w:r w:rsidR="00902F45">
        <w:rPr>
          <w:rFonts w:ascii="Arial" w:hAnsi="Arial" w:cs="Arial"/>
          <w:sz w:val="22"/>
          <w:szCs w:val="22"/>
        </w:rPr>
        <w:t>…………………………</w:t>
      </w:r>
      <w:r w:rsidR="002F64FD">
        <w:rPr>
          <w:rFonts w:ascii="Arial" w:hAnsi="Arial" w:cs="Arial"/>
          <w:sz w:val="22"/>
          <w:szCs w:val="22"/>
        </w:rPr>
        <w:t>...</w:t>
      </w:r>
      <w:r w:rsidR="00902F45">
        <w:rPr>
          <w:rFonts w:ascii="Arial" w:hAnsi="Arial" w:cs="Arial"/>
          <w:sz w:val="22"/>
          <w:szCs w:val="22"/>
        </w:rPr>
        <w:t>..</w:t>
      </w:r>
      <w:r w:rsidR="004552E1">
        <w:rPr>
          <w:rFonts w:ascii="Arial" w:hAnsi="Arial" w:cs="Arial"/>
          <w:sz w:val="22"/>
          <w:szCs w:val="22"/>
        </w:rPr>
        <w:t>5</w:t>
      </w:r>
    </w:p>
    <w:p w14:paraId="4500ACD7" w14:textId="1755E44B" w:rsidR="00AC4B7D" w:rsidRPr="00902F45" w:rsidRDefault="00AC4B7D" w:rsidP="009733F0">
      <w:pPr>
        <w:spacing w:line="360" w:lineRule="auto"/>
        <w:jc w:val="both"/>
        <w:rPr>
          <w:rFonts w:ascii="Arial" w:hAnsi="Arial" w:cs="Arial"/>
          <w:sz w:val="22"/>
          <w:szCs w:val="22"/>
        </w:rPr>
      </w:pPr>
      <w:r w:rsidRPr="00902F45">
        <w:rPr>
          <w:rFonts w:ascii="Arial" w:hAnsi="Arial" w:cs="Arial"/>
          <w:sz w:val="22"/>
          <w:szCs w:val="22"/>
        </w:rPr>
        <w:t>The 5 W</w:t>
      </w:r>
      <w:r w:rsidR="00902F45">
        <w:rPr>
          <w:rFonts w:ascii="Arial" w:hAnsi="Arial" w:cs="Arial"/>
          <w:sz w:val="22"/>
          <w:szCs w:val="22"/>
        </w:rPr>
        <w:t>hys</w:t>
      </w:r>
      <w:r w:rsidRPr="00902F45">
        <w:rPr>
          <w:rFonts w:ascii="Arial" w:hAnsi="Arial" w:cs="Arial"/>
          <w:sz w:val="22"/>
          <w:szCs w:val="22"/>
        </w:rPr>
        <w:t xml:space="preserve"> </w:t>
      </w:r>
      <w:r w:rsidR="00902F45" w:rsidRPr="00902F45">
        <w:rPr>
          <w:rFonts w:ascii="Arial" w:hAnsi="Arial" w:cs="Arial"/>
          <w:sz w:val="22"/>
          <w:szCs w:val="22"/>
        </w:rPr>
        <w:t>Analysis</w:t>
      </w:r>
      <w:r w:rsidR="00902F45">
        <w:rPr>
          <w:rFonts w:ascii="Arial" w:hAnsi="Arial" w:cs="Arial"/>
          <w:sz w:val="22"/>
          <w:szCs w:val="22"/>
        </w:rPr>
        <w:t>……………………………………………………………….</w:t>
      </w:r>
      <w:r w:rsidR="004552E1">
        <w:rPr>
          <w:rFonts w:ascii="Arial" w:hAnsi="Arial" w:cs="Arial"/>
          <w:sz w:val="22"/>
          <w:szCs w:val="22"/>
        </w:rPr>
        <w:t>6</w:t>
      </w:r>
    </w:p>
    <w:p w14:paraId="0D4069FB" w14:textId="5523D4E8" w:rsidR="00AC1405" w:rsidRDefault="00AC1405" w:rsidP="009733F0">
      <w:pPr>
        <w:spacing w:line="360" w:lineRule="auto"/>
        <w:jc w:val="both"/>
        <w:rPr>
          <w:rFonts w:ascii="Arial" w:hAnsi="Arial" w:cs="Arial"/>
          <w:sz w:val="22"/>
          <w:szCs w:val="22"/>
        </w:rPr>
      </w:pPr>
      <w:r w:rsidRPr="00902F45">
        <w:rPr>
          <w:rFonts w:ascii="Arial" w:hAnsi="Arial" w:cs="Arial"/>
          <w:sz w:val="22"/>
          <w:szCs w:val="22"/>
        </w:rPr>
        <w:t xml:space="preserve">SWOT </w:t>
      </w:r>
      <w:r w:rsidR="00902F45" w:rsidRPr="00902F45">
        <w:rPr>
          <w:rFonts w:ascii="Arial" w:hAnsi="Arial" w:cs="Arial"/>
          <w:sz w:val="22"/>
          <w:szCs w:val="22"/>
        </w:rPr>
        <w:t>Analysis</w:t>
      </w:r>
      <w:r w:rsidR="00902F45">
        <w:rPr>
          <w:rFonts w:ascii="Arial" w:hAnsi="Arial" w:cs="Arial"/>
          <w:sz w:val="22"/>
          <w:szCs w:val="22"/>
        </w:rPr>
        <w:t>……………………………………………………………………..</w:t>
      </w:r>
      <w:r w:rsidR="004552E1">
        <w:rPr>
          <w:rFonts w:ascii="Arial" w:hAnsi="Arial" w:cs="Arial"/>
          <w:sz w:val="22"/>
          <w:szCs w:val="22"/>
        </w:rPr>
        <w:t>7</w:t>
      </w:r>
    </w:p>
    <w:p w14:paraId="6B534F3E" w14:textId="5AABA2F1" w:rsidR="00902F45" w:rsidRDefault="00902F45" w:rsidP="009733F0">
      <w:pPr>
        <w:spacing w:line="360" w:lineRule="auto"/>
        <w:jc w:val="both"/>
        <w:rPr>
          <w:rFonts w:ascii="Arial" w:hAnsi="Arial" w:cs="Arial"/>
          <w:sz w:val="22"/>
          <w:szCs w:val="22"/>
        </w:rPr>
      </w:pPr>
      <w:r>
        <w:rPr>
          <w:rFonts w:ascii="Arial" w:hAnsi="Arial" w:cs="Arial"/>
          <w:sz w:val="22"/>
          <w:szCs w:val="22"/>
        </w:rPr>
        <w:t>PDSA Cycle…………………………………………………………………………</w:t>
      </w:r>
      <w:r w:rsidR="004552E1">
        <w:rPr>
          <w:rFonts w:ascii="Arial" w:hAnsi="Arial" w:cs="Arial"/>
          <w:sz w:val="22"/>
          <w:szCs w:val="22"/>
        </w:rPr>
        <w:t>8</w:t>
      </w:r>
    </w:p>
    <w:p w14:paraId="17563744" w14:textId="0596EF84" w:rsidR="00902F45" w:rsidRDefault="00902F45" w:rsidP="009733F0">
      <w:pPr>
        <w:spacing w:line="360" w:lineRule="auto"/>
        <w:jc w:val="both"/>
        <w:rPr>
          <w:rFonts w:ascii="Arial" w:hAnsi="Arial" w:cs="Arial"/>
          <w:sz w:val="22"/>
          <w:szCs w:val="22"/>
        </w:rPr>
      </w:pPr>
      <w:r w:rsidRPr="00902F45">
        <w:rPr>
          <w:rFonts w:ascii="Arial" w:hAnsi="Arial" w:cs="Arial"/>
          <w:sz w:val="22"/>
          <w:szCs w:val="22"/>
        </w:rPr>
        <w:t xml:space="preserve">Kurt Lewin’s 3-Stage Model </w:t>
      </w:r>
      <w:r>
        <w:rPr>
          <w:rFonts w:ascii="Arial" w:hAnsi="Arial" w:cs="Arial"/>
          <w:sz w:val="22"/>
          <w:szCs w:val="22"/>
        </w:rPr>
        <w:t>………………………………………………………</w:t>
      </w:r>
      <w:r w:rsidR="004552E1">
        <w:rPr>
          <w:rFonts w:ascii="Arial" w:hAnsi="Arial" w:cs="Arial"/>
          <w:sz w:val="22"/>
          <w:szCs w:val="22"/>
        </w:rPr>
        <w:t>8</w:t>
      </w:r>
    </w:p>
    <w:p w14:paraId="7F0C28FF" w14:textId="48820FE4" w:rsidR="00902F45" w:rsidRDefault="00902F45" w:rsidP="009733F0">
      <w:pPr>
        <w:spacing w:line="360" w:lineRule="auto"/>
        <w:jc w:val="both"/>
        <w:rPr>
          <w:rFonts w:ascii="Arial" w:hAnsi="Arial" w:cs="Arial"/>
          <w:sz w:val="22"/>
          <w:szCs w:val="22"/>
        </w:rPr>
      </w:pPr>
      <w:r>
        <w:rPr>
          <w:rFonts w:ascii="Arial" w:hAnsi="Arial" w:cs="Arial"/>
          <w:sz w:val="22"/>
          <w:szCs w:val="22"/>
        </w:rPr>
        <w:t>Recommendations……………………………………………………………</w:t>
      </w:r>
      <w:r w:rsidR="002F64FD">
        <w:rPr>
          <w:rFonts w:ascii="Arial" w:hAnsi="Arial" w:cs="Arial"/>
          <w:sz w:val="22"/>
          <w:szCs w:val="22"/>
        </w:rPr>
        <w:t>.</w:t>
      </w:r>
      <w:r>
        <w:rPr>
          <w:rFonts w:ascii="Arial" w:hAnsi="Arial" w:cs="Arial"/>
          <w:sz w:val="22"/>
          <w:szCs w:val="22"/>
        </w:rPr>
        <w:t>..</w:t>
      </w:r>
      <w:r w:rsidR="002F64FD">
        <w:rPr>
          <w:rFonts w:ascii="Arial" w:hAnsi="Arial" w:cs="Arial"/>
          <w:sz w:val="22"/>
          <w:szCs w:val="22"/>
        </w:rPr>
        <w:t>9-10</w:t>
      </w:r>
    </w:p>
    <w:p w14:paraId="799CD559" w14:textId="199391D7" w:rsidR="00902F45" w:rsidRDefault="00902F45" w:rsidP="009733F0">
      <w:pPr>
        <w:spacing w:line="360" w:lineRule="auto"/>
        <w:jc w:val="both"/>
        <w:rPr>
          <w:rFonts w:ascii="Arial" w:hAnsi="Arial" w:cs="Arial"/>
          <w:sz w:val="22"/>
          <w:szCs w:val="22"/>
        </w:rPr>
      </w:pPr>
      <w:r>
        <w:rPr>
          <w:rFonts w:ascii="Arial" w:hAnsi="Arial" w:cs="Arial"/>
          <w:sz w:val="22"/>
          <w:szCs w:val="22"/>
        </w:rPr>
        <w:t>Benchmarking…………………………………………………………………</w:t>
      </w:r>
      <w:r w:rsidR="002F64FD">
        <w:rPr>
          <w:rFonts w:ascii="Arial" w:hAnsi="Arial" w:cs="Arial"/>
          <w:sz w:val="22"/>
          <w:szCs w:val="22"/>
        </w:rPr>
        <w:t>.</w:t>
      </w:r>
      <w:r>
        <w:rPr>
          <w:rFonts w:ascii="Arial" w:hAnsi="Arial" w:cs="Arial"/>
          <w:sz w:val="22"/>
          <w:szCs w:val="22"/>
        </w:rPr>
        <w:t>…..</w:t>
      </w:r>
      <w:r w:rsidR="004552E1">
        <w:rPr>
          <w:rFonts w:ascii="Arial" w:hAnsi="Arial" w:cs="Arial"/>
          <w:sz w:val="22"/>
          <w:szCs w:val="22"/>
        </w:rPr>
        <w:t>11</w:t>
      </w:r>
    </w:p>
    <w:p w14:paraId="15F2162C" w14:textId="4D4E9F66" w:rsidR="00902F45" w:rsidRDefault="00902F45" w:rsidP="009733F0">
      <w:pPr>
        <w:spacing w:line="360" w:lineRule="auto"/>
        <w:jc w:val="both"/>
        <w:rPr>
          <w:rFonts w:ascii="Arial" w:hAnsi="Arial" w:cs="Arial"/>
          <w:sz w:val="22"/>
          <w:szCs w:val="22"/>
        </w:rPr>
      </w:pPr>
      <w:r>
        <w:rPr>
          <w:rFonts w:ascii="Arial" w:hAnsi="Arial" w:cs="Arial"/>
          <w:sz w:val="22"/>
          <w:szCs w:val="22"/>
        </w:rPr>
        <w:t>Conclusion………………………………………………………………………</w:t>
      </w:r>
      <w:r w:rsidR="002F64FD">
        <w:rPr>
          <w:rFonts w:ascii="Arial" w:hAnsi="Arial" w:cs="Arial"/>
          <w:sz w:val="22"/>
          <w:szCs w:val="22"/>
        </w:rPr>
        <w:t>.</w:t>
      </w:r>
      <w:r>
        <w:rPr>
          <w:rFonts w:ascii="Arial" w:hAnsi="Arial" w:cs="Arial"/>
          <w:sz w:val="22"/>
          <w:szCs w:val="22"/>
        </w:rPr>
        <w:t>…</w:t>
      </w:r>
      <w:r w:rsidR="004552E1">
        <w:rPr>
          <w:rFonts w:ascii="Arial" w:hAnsi="Arial" w:cs="Arial"/>
          <w:sz w:val="22"/>
          <w:szCs w:val="22"/>
        </w:rPr>
        <w:t>12</w:t>
      </w:r>
    </w:p>
    <w:p w14:paraId="59F4C9B0" w14:textId="40A874BF" w:rsidR="00902F45" w:rsidRDefault="00902F45" w:rsidP="009733F0">
      <w:pPr>
        <w:spacing w:line="360" w:lineRule="auto"/>
        <w:jc w:val="both"/>
        <w:rPr>
          <w:rFonts w:ascii="Arial" w:hAnsi="Arial" w:cs="Arial"/>
          <w:sz w:val="22"/>
          <w:szCs w:val="22"/>
        </w:rPr>
      </w:pPr>
      <w:r>
        <w:rPr>
          <w:rFonts w:ascii="Arial" w:hAnsi="Arial" w:cs="Arial"/>
          <w:sz w:val="22"/>
          <w:szCs w:val="22"/>
        </w:rPr>
        <w:t>Reference List………………………………………………………………</w:t>
      </w:r>
      <w:r w:rsidR="002F64FD">
        <w:rPr>
          <w:rFonts w:ascii="Arial" w:hAnsi="Arial" w:cs="Arial"/>
          <w:sz w:val="22"/>
          <w:szCs w:val="22"/>
        </w:rPr>
        <w:t>.</w:t>
      </w:r>
      <w:r>
        <w:rPr>
          <w:rFonts w:ascii="Arial" w:hAnsi="Arial" w:cs="Arial"/>
          <w:sz w:val="22"/>
          <w:szCs w:val="22"/>
        </w:rPr>
        <w:t>…</w:t>
      </w:r>
      <w:r w:rsidR="004552E1">
        <w:rPr>
          <w:rFonts w:ascii="Arial" w:hAnsi="Arial" w:cs="Arial"/>
          <w:sz w:val="22"/>
          <w:szCs w:val="22"/>
        </w:rPr>
        <w:t>13-15</w:t>
      </w:r>
    </w:p>
    <w:p w14:paraId="081186DC" w14:textId="77777777" w:rsidR="00902F45" w:rsidRPr="00902F45" w:rsidRDefault="00902F45" w:rsidP="00902F45">
      <w:pPr>
        <w:spacing w:line="360" w:lineRule="auto"/>
        <w:jc w:val="both"/>
        <w:rPr>
          <w:rFonts w:ascii="Arial" w:hAnsi="Arial" w:cs="Arial"/>
          <w:sz w:val="22"/>
          <w:szCs w:val="22"/>
        </w:rPr>
      </w:pPr>
    </w:p>
    <w:p w14:paraId="4018ED59" w14:textId="77777777" w:rsidR="00902F45" w:rsidRDefault="00902F45" w:rsidP="00AC4B7D">
      <w:pPr>
        <w:spacing w:line="360" w:lineRule="auto"/>
        <w:jc w:val="both"/>
        <w:rPr>
          <w:rFonts w:ascii="Arial" w:hAnsi="Arial" w:cs="Arial"/>
          <w:sz w:val="22"/>
          <w:szCs w:val="22"/>
        </w:rPr>
      </w:pPr>
    </w:p>
    <w:p w14:paraId="727F1BEC" w14:textId="77777777" w:rsidR="00902F45" w:rsidRPr="00902F45" w:rsidRDefault="00902F45" w:rsidP="00AC4B7D">
      <w:pPr>
        <w:spacing w:line="360" w:lineRule="auto"/>
        <w:jc w:val="both"/>
        <w:rPr>
          <w:rFonts w:ascii="Arial" w:hAnsi="Arial" w:cs="Arial"/>
          <w:sz w:val="22"/>
          <w:szCs w:val="22"/>
        </w:rPr>
      </w:pPr>
    </w:p>
    <w:p w14:paraId="2ADE5EF8" w14:textId="77777777" w:rsidR="00AC1405" w:rsidRPr="00AC4B7D" w:rsidRDefault="00AC1405" w:rsidP="00AC4B7D">
      <w:pPr>
        <w:spacing w:line="360" w:lineRule="auto"/>
        <w:jc w:val="both"/>
        <w:rPr>
          <w:rFonts w:ascii="Arial" w:hAnsi="Arial" w:cs="Arial"/>
        </w:rPr>
      </w:pPr>
    </w:p>
    <w:p w14:paraId="4A0FEC56" w14:textId="77777777" w:rsidR="00AC4B7D" w:rsidRDefault="00AC4B7D">
      <w:pPr>
        <w:rPr>
          <w:rFonts w:ascii="Arial" w:hAnsi="Arial" w:cs="Arial"/>
        </w:rPr>
      </w:pPr>
    </w:p>
    <w:p w14:paraId="46309F00" w14:textId="77777777" w:rsidR="00602F29" w:rsidRDefault="00602F29">
      <w:pPr>
        <w:rPr>
          <w:rFonts w:ascii="Arial" w:hAnsi="Arial" w:cs="Arial"/>
        </w:rPr>
      </w:pPr>
    </w:p>
    <w:p w14:paraId="414591DF" w14:textId="77777777" w:rsidR="00816E85" w:rsidRDefault="00816E85">
      <w:pPr>
        <w:rPr>
          <w:rFonts w:ascii="Arial" w:hAnsi="Arial" w:cs="Arial"/>
        </w:rPr>
      </w:pPr>
    </w:p>
    <w:p w14:paraId="13F34D5D" w14:textId="77777777" w:rsidR="001915B1" w:rsidRDefault="001915B1">
      <w:pPr>
        <w:rPr>
          <w:rFonts w:ascii="Arial" w:hAnsi="Arial" w:cs="Arial"/>
        </w:rPr>
      </w:pPr>
    </w:p>
    <w:p w14:paraId="2569216B" w14:textId="77777777" w:rsidR="001915B1" w:rsidRPr="00C03C24" w:rsidRDefault="001915B1">
      <w:pPr>
        <w:rPr>
          <w:rFonts w:ascii="Arial" w:hAnsi="Arial" w:cs="Arial"/>
        </w:rPr>
      </w:pPr>
    </w:p>
    <w:p w14:paraId="075CD14A" w14:textId="77777777" w:rsidR="003C56BA" w:rsidRDefault="003C56BA"/>
    <w:p w14:paraId="39E7BF13" w14:textId="77777777" w:rsidR="003C56BA" w:rsidRDefault="003C56BA"/>
    <w:p w14:paraId="67BC2D0D" w14:textId="77777777" w:rsidR="00C03C24" w:rsidRDefault="00C03C24"/>
    <w:p w14:paraId="7F4A6CDE" w14:textId="6024F0DD" w:rsidR="00855231" w:rsidRPr="00C15766" w:rsidRDefault="000E0EDE" w:rsidP="00C15766">
      <w:pPr>
        <w:pStyle w:val="ListParagraph"/>
        <w:numPr>
          <w:ilvl w:val="0"/>
          <w:numId w:val="10"/>
        </w:numPr>
        <w:spacing w:line="360" w:lineRule="auto"/>
        <w:jc w:val="both"/>
        <w:rPr>
          <w:rFonts w:ascii="Arial" w:hAnsi="Arial" w:cs="Arial"/>
          <w:sz w:val="22"/>
          <w:szCs w:val="22"/>
        </w:rPr>
      </w:pPr>
      <w:r w:rsidRPr="00C15766">
        <w:rPr>
          <w:rFonts w:ascii="Arial" w:hAnsi="Arial" w:cs="Arial"/>
          <w:b/>
          <w:bCs/>
          <w:sz w:val="22"/>
          <w:szCs w:val="22"/>
        </w:rPr>
        <w:lastRenderedPageBreak/>
        <w:t xml:space="preserve">Introduction </w:t>
      </w:r>
    </w:p>
    <w:p w14:paraId="7149F58B" w14:textId="1BF1FC3A" w:rsidR="0094611D" w:rsidRPr="0094611D" w:rsidRDefault="0094611D" w:rsidP="00322082">
      <w:pPr>
        <w:spacing w:line="360" w:lineRule="auto"/>
        <w:jc w:val="both"/>
        <w:rPr>
          <w:rFonts w:ascii="Arial" w:hAnsi="Arial" w:cs="Arial"/>
          <w:sz w:val="22"/>
          <w:szCs w:val="22"/>
        </w:rPr>
      </w:pPr>
      <w:r w:rsidRPr="0094611D">
        <w:rPr>
          <w:rFonts w:ascii="Arial" w:hAnsi="Arial" w:cs="Arial"/>
          <w:sz w:val="22"/>
          <w:szCs w:val="22"/>
        </w:rPr>
        <w:t>Quality improvement in health and social care is essential to ensure patient safety, clinical effectiveness, and positive health outcomes. The Shrewsbury and Telford Hospital NHS Trust maternity scandal represents one of the most significant healthcare failures in the history of the National Health Service. The independent Ockenden Review examined maternity services between 2000 and 2019, reviewing nearly 1,500 families’ experiences and identifying systemic failures in care delivery, leadership, governance, and organisational culture</w:t>
      </w:r>
      <w:r w:rsidR="001A5FD0" w:rsidRPr="00322082">
        <w:rPr>
          <w:rFonts w:ascii="Arial" w:hAnsi="Arial" w:cs="Arial"/>
          <w:sz w:val="22"/>
          <w:szCs w:val="22"/>
        </w:rPr>
        <w:t xml:space="preserve"> that resulted</w:t>
      </w:r>
      <w:r w:rsidRPr="0094611D">
        <w:rPr>
          <w:rFonts w:ascii="Arial" w:hAnsi="Arial" w:cs="Arial"/>
          <w:sz w:val="22"/>
          <w:szCs w:val="22"/>
        </w:rPr>
        <w:t xml:space="preserve"> in avoidable maternal and neonatal harm (NHS, 2019; Ockenden, 2022).</w:t>
      </w:r>
    </w:p>
    <w:p w14:paraId="3D5DC956" w14:textId="58D89E40" w:rsidR="0094611D" w:rsidRPr="0094611D" w:rsidRDefault="0094611D" w:rsidP="00322082">
      <w:pPr>
        <w:spacing w:line="360" w:lineRule="auto"/>
        <w:jc w:val="both"/>
        <w:rPr>
          <w:rFonts w:ascii="Arial" w:hAnsi="Arial" w:cs="Arial"/>
          <w:sz w:val="22"/>
          <w:szCs w:val="22"/>
        </w:rPr>
      </w:pPr>
      <w:r w:rsidRPr="0094611D">
        <w:rPr>
          <w:rFonts w:ascii="Arial" w:hAnsi="Arial" w:cs="Arial"/>
          <w:sz w:val="22"/>
          <w:szCs w:val="22"/>
        </w:rPr>
        <w:t xml:space="preserve">The report found that at least 201 babies and nine mothers may have survived with appropriate care, alongside numerous cases of long-term disability. These outcomes reflect deep-rooted systemic failures, including ineffective incident investigation, poor organisational learning, and failure to listen to patients and families (Care Quality Commission, 2025; Francis, 2013). Such issues align with </w:t>
      </w:r>
      <w:r w:rsidR="00673F3C" w:rsidRPr="00322082">
        <w:rPr>
          <w:rFonts w:ascii="Arial" w:hAnsi="Arial" w:cs="Arial"/>
          <w:sz w:val="22"/>
          <w:szCs w:val="22"/>
        </w:rPr>
        <w:t>broader challenges in healthcare quality management, particularly regarding</w:t>
      </w:r>
      <w:r w:rsidRPr="0094611D">
        <w:rPr>
          <w:rFonts w:ascii="Arial" w:hAnsi="Arial" w:cs="Arial"/>
          <w:sz w:val="22"/>
          <w:szCs w:val="22"/>
        </w:rPr>
        <w:t xml:space="preserve"> patient safety culture and governance.</w:t>
      </w:r>
    </w:p>
    <w:p w14:paraId="5201BB30" w14:textId="5B7A53B4" w:rsidR="0094611D" w:rsidRPr="0094611D" w:rsidRDefault="0094611D" w:rsidP="00322082">
      <w:pPr>
        <w:spacing w:line="360" w:lineRule="auto"/>
        <w:jc w:val="both"/>
        <w:rPr>
          <w:rFonts w:ascii="Arial" w:hAnsi="Arial" w:cs="Arial"/>
          <w:sz w:val="22"/>
          <w:szCs w:val="22"/>
        </w:rPr>
      </w:pPr>
      <w:r w:rsidRPr="0094611D">
        <w:rPr>
          <w:rFonts w:ascii="Arial" w:hAnsi="Arial" w:cs="Arial"/>
          <w:sz w:val="22"/>
          <w:szCs w:val="22"/>
        </w:rPr>
        <w:t xml:space="preserve">This report critically analyses the root causes of these failures using established quality improvement frameworks, including the Fishbone (Ishikawa) diagram, the 5 Whys technique, and the Donabedian model. These approaches enable a structured examination of systemic, process, and organisational factors influencing care quality. In addition, a SWOT analysis is </w:t>
      </w:r>
      <w:r w:rsidR="00673F3C" w:rsidRPr="00322082">
        <w:rPr>
          <w:rFonts w:ascii="Arial" w:hAnsi="Arial" w:cs="Arial"/>
          <w:sz w:val="22"/>
          <w:szCs w:val="22"/>
        </w:rPr>
        <w:t>conducted to assess the organisation's</w:t>
      </w:r>
      <w:r w:rsidRPr="0094611D">
        <w:rPr>
          <w:rFonts w:ascii="Arial" w:hAnsi="Arial" w:cs="Arial"/>
          <w:sz w:val="22"/>
          <w:szCs w:val="22"/>
        </w:rPr>
        <w:t xml:space="preserve"> capacity for improvement. The report also develops evidence-based recommendations informed by quality improvement methodologies, including Plan-Do-Study-Act (PDSA) cycles, to support sustainable improvements in patient safety, governance, and organisational culture.</w:t>
      </w:r>
    </w:p>
    <w:p w14:paraId="5E6B9915" w14:textId="77777777" w:rsidR="00855231" w:rsidRPr="00322082" w:rsidRDefault="00855231" w:rsidP="00322082">
      <w:pPr>
        <w:spacing w:line="360" w:lineRule="auto"/>
        <w:jc w:val="both"/>
        <w:rPr>
          <w:rFonts w:ascii="Arial" w:hAnsi="Arial" w:cs="Arial"/>
          <w:sz w:val="22"/>
          <w:szCs w:val="22"/>
        </w:rPr>
      </w:pPr>
    </w:p>
    <w:p w14:paraId="07574928" w14:textId="77777777" w:rsidR="001B7EE8" w:rsidRPr="00C15766" w:rsidRDefault="001B7EE8" w:rsidP="00C15766">
      <w:pPr>
        <w:pStyle w:val="ListParagraph"/>
        <w:numPr>
          <w:ilvl w:val="0"/>
          <w:numId w:val="10"/>
        </w:numPr>
        <w:spacing w:line="360" w:lineRule="auto"/>
        <w:jc w:val="both"/>
        <w:rPr>
          <w:rFonts w:ascii="Arial" w:hAnsi="Arial" w:cs="Arial"/>
          <w:b/>
          <w:bCs/>
          <w:sz w:val="22"/>
          <w:szCs w:val="22"/>
        </w:rPr>
      </w:pPr>
      <w:r w:rsidRPr="00C15766">
        <w:rPr>
          <w:rFonts w:ascii="Arial" w:hAnsi="Arial" w:cs="Arial"/>
          <w:b/>
          <w:bCs/>
          <w:sz w:val="22"/>
          <w:szCs w:val="22"/>
        </w:rPr>
        <w:t>Overview of the Quality Issue</w:t>
      </w:r>
    </w:p>
    <w:p w14:paraId="4AD82749" w14:textId="77777777" w:rsidR="0057378D" w:rsidRPr="0057378D" w:rsidRDefault="0057378D" w:rsidP="00322082">
      <w:pPr>
        <w:spacing w:line="360" w:lineRule="auto"/>
        <w:jc w:val="both"/>
        <w:rPr>
          <w:rFonts w:ascii="Arial" w:hAnsi="Arial" w:cs="Arial"/>
          <w:sz w:val="22"/>
          <w:szCs w:val="22"/>
        </w:rPr>
      </w:pPr>
      <w:r w:rsidRPr="0057378D">
        <w:rPr>
          <w:rFonts w:ascii="Arial" w:hAnsi="Arial" w:cs="Arial"/>
          <w:sz w:val="22"/>
          <w:szCs w:val="22"/>
        </w:rPr>
        <w:t xml:space="preserve">The Shrewsbury and Telford maternity scandal represents a significant and prolonged failure of healthcare quality management within the NHS. The Ockenden Review identified repeated clinical errors, poor decision-making, and systemic organisational failures spanning nearly two decades (Ockenden, 2022; RCOG, 2017). Key issues included the prioritisation of “normal birth” over patient safety, failure to escalate care in high-risk situations, inadequate </w:t>
      </w:r>
      <w:proofErr w:type="spellStart"/>
      <w:r w:rsidRPr="0057378D">
        <w:rPr>
          <w:rFonts w:ascii="Arial" w:hAnsi="Arial" w:cs="Arial"/>
          <w:sz w:val="22"/>
          <w:szCs w:val="22"/>
        </w:rPr>
        <w:t>fetal</w:t>
      </w:r>
      <w:proofErr w:type="spellEnd"/>
      <w:r w:rsidRPr="0057378D">
        <w:rPr>
          <w:rFonts w:ascii="Arial" w:hAnsi="Arial" w:cs="Arial"/>
          <w:sz w:val="22"/>
          <w:szCs w:val="22"/>
        </w:rPr>
        <w:t xml:space="preserve"> monitoring, and poor clinical judgement. These failures demonstrate clear deviation from established clinical guidelines and evidence-based practice (NICE, 2021; Renfrew et al., 2014).</w:t>
      </w:r>
    </w:p>
    <w:p w14:paraId="61680637" w14:textId="36A4B2AF" w:rsidR="0057378D" w:rsidRPr="0057378D" w:rsidRDefault="0057378D" w:rsidP="00322082">
      <w:pPr>
        <w:spacing w:line="360" w:lineRule="auto"/>
        <w:jc w:val="both"/>
        <w:rPr>
          <w:rFonts w:ascii="Arial" w:hAnsi="Arial" w:cs="Arial"/>
          <w:sz w:val="22"/>
          <w:szCs w:val="22"/>
        </w:rPr>
      </w:pPr>
      <w:r w:rsidRPr="0057378D">
        <w:rPr>
          <w:rFonts w:ascii="Arial" w:hAnsi="Arial" w:cs="Arial"/>
          <w:sz w:val="22"/>
          <w:szCs w:val="22"/>
        </w:rPr>
        <w:t xml:space="preserve">The scale of harm was substantial, with over 1,500 cases of substandard care identified, providing strong quantitative evidence of systemic failure (Ockenden, 2022). Qualitative data, </w:t>
      </w:r>
      <w:r w:rsidRPr="0057378D">
        <w:rPr>
          <w:rFonts w:ascii="Arial" w:hAnsi="Arial" w:cs="Arial"/>
          <w:sz w:val="22"/>
          <w:szCs w:val="22"/>
        </w:rPr>
        <w:lastRenderedPageBreak/>
        <w:t>including patient testimonies and staff accounts, further highlighted poor communication, failure to listen to concerns, and a culture resistant to learning. Key stakeholders affected include patients and families, healthcare professionals working within unsafe systems, and organisations responsible for governance and oversight</w:t>
      </w:r>
      <w:r w:rsidR="002A611F" w:rsidRPr="00322082">
        <w:rPr>
          <w:rFonts w:ascii="Arial" w:hAnsi="Arial" w:cs="Arial"/>
          <w:sz w:val="22"/>
          <w:szCs w:val="22"/>
        </w:rPr>
        <w:t xml:space="preserve"> (NICE, 2022)</w:t>
      </w:r>
      <w:r w:rsidRPr="0057378D">
        <w:rPr>
          <w:rFonts w:ascii="Arial" w:hAnsi="Arial" w:cs="Arial"/>
          <w:sz w:val="22"/>
          <w:szCs w:val="22"/>
        </w:rPr>
        <w:t>.</w:t>
      </w:r>
    </w:p>
    <w:p w14:paraId="6EC35EFE" w14:textId="0F909B8D" w:rsidR="0057378D" w:rsidRPr="0057378D" w:rsidRDefault="0057378D" w:rsidP="00322082">
      <w:pPr>
        <w:spacing w:line="360" w:lineRule="auto"/>
        <w:jc w:val="both"/>
        <w:rPr>
          <w:rFonts w:ascii="Arial" w:hAnsi="Arial" w:cs="Arial"/>
          <w:sz w:val="22"/>
          <w:szCs w:val="22"/>
        </w:rPr>
      </w:pPr>
      <w:r w:rsidRPr="0057378D">
        <w:rPr>
          <w:rFonts w:ascii="Arial" w:hAnsi="Arial" w:cs="Arial"/>
          <w:sz w:val="22"/>
          <w:szCs w:val="22"/>
        </w:rPr>
        <w:t>The risks associated with these failures included delayed escalation, mismanagement of high-risk pregnancies, and increased maternal and neonatal morbidity and mortality. These issues were not isolated incidents but were deeply embedded within organisational systems, driven by ineffective leadership, lack of accountability, and a culture resistant to change (NHS England, 2019;</w:t>
      </w:r>
      <w:r w:rsidR="00610566" w:rsidRPr="00322082">
        <w:rPr>
          <w:rFonts w:ascii="Arial" w:hAnsi="Arial" w:cs="Arial"/>
          <w:sz w:val="22"/>
          <w:szCs w:val="22"/>
        </w:rPr>
        <w:t xml:space="preserve"> Care Quality Commission, 2025</w:t>
      </w:r>
      <w:r w:rsidRPr="0057378D">
        <w:rPr>
          <w:rFonts w:ascii="Arial" w:hAnsi="Arial" w:cs="Arial"/>
          <w:sz w:val="22"/>
          <w:szCs w:val="22"/>
        </w:rPr>
        <w:t>). This aligns with wider patient safety literature, which emphasises that adverse outcomes often arise from complex system failures rather than individual error</w:t>
      </w:r>
      <w:r w:rsidR="00C61DD1" w:rsidRPr="00322082">
        <w:rPr>
          <w:rFonts w:ascii="Arial" w:hAnsi="Arial" w:cs="Arial"/>
          <w:sz w:val="22"/>
          <w:szCs w:val="22"/>
        </w:rPr>
        <w:t xml:space="preserve">. </w:t>
      </w:r>
    </w:p>
    <w:p w14:paraId="58202F82" w14:textId="3E6EE315" w:rsidR="0057378D" w:rsidRPr="0057378D" w:rsidRDefault="0057378D" w:rsidP="00322082">
      <w:pPr>
        <w:spacing w:line="360" w:lineRule="auto"/>
        <w:jc w:val="both"/>
        <w:rPr>
          <w:rFonts w:ascii="Arial" w:hAnsi="Arial" w:cs="Arial"/>
          <w:sz w:val="22"/>
          <w:szCs w:val="22"/>
        </w:rPr>
      </w:pPr>
      <w:r w:rsidRPr="0057378D">
        <w:rPr>
          <w:rFonts w:ascii="Arial" w:hAnsi="Arial" w:cs="Arial"/>
          <w:sz w:val="22"/>
          <w:szCs w:val="22"/>
        </w:rPr>
        <w:t>These failures directly conflict with NHS strategic priorities, including the NHS Patient Safety Strategy and national maternity initiatives such as Better Births, which promote safe, personalised, and evidence-based care</w:t>
      </w:r>
      <w:r w:rsidR="00814305" w:rsidRPr="00322082">
        <w:rPr>
          <w:rFonts w:ascii="Arial" w:hAnsi="Arial" w:cs="Arial"/>
          <w:sz w:val="22"/>
          <w:szCs w:val="22"/>
        </w:rPr>
        <w:t xml:space="preserve"> (NHS, </w:t>
      </w:r>
      <w:r w:rsidR="004E173B" w:rsidRPr="00322082">
        <w:rPr>
          <w:rFonts w:ascii="Arial" w:hAnsi="Arial" w:cs="Arial"/>
          <w:sz w:val="22"/>
          <w:szCs w:val="22"/>
        </w:rPr>
        <w:t>2023)</w:t>
      </w:r>
      <w:r w:rsidRPr="0057378D">
        <w:rPr>
          <w:rFonts w:ascii="Arial" w:hAnsi="Arial" w:cs="Arial"/>
          <w:sz w:val="22"/>
          <w:szCs w:val="22"/>
        </w:rPr>
        <w:t>. This highlights a significant gap between expected standards and actual practice, reinforcing the urgent need for systemic quality improvement within NHS maternity services.</w:t>
      </w:r>
    </w:p>
    <w:p w14:paraId="20A6BD2A" w14:textId="77777777" w:rsidR="00D04D03" w:rsidRDefault="00D04D03" w:rsidP="00322082">
      <w:pPr>
        <w:spacing w:line="360" w:lineRule="auto"/>
        <w:jc w:val="both"/>
        <w:rPr>
          <w:rFonts w:ascii="Arial" w:hAnsi="Arial" w:cs="Arial"/>
          <w:sz w:val="22"/>
          <w:szCs w:val="22"/>
        </w:rPr>
      </w:pPr>
    </w:p>
    <w:p w14:paraId="52BBF348" w14:textId="383692B3" w:rsidR="00CC6B4B" w:rsidRPr="00902F45" w:rsidRDefault="00CC6B4B" w:rsidP="00C15766">
      <w:pPr>
        <w:pStyle w:val="ListParagraph"/>
        <w:numPr>
          <w:ilvl w:val="0"/>
          <w:numId w:val="10"/>
        </w:numPr>
        <w:spacing w:line="360" w:lineRule="auto"/>
        <w:jc w:val="both"/>
        <w:rPr>
          <w:rFonts w:ascii="Arial" w:hAnsi="Arial" w:cs="Arial"/>
          <w:b/>
          <w:bCs/>
          <w:sz w:val="22"/>
          <w:szCs w:val="22"/>
        </w:rPr>
      </w:pPr>
      <w:r w:rsidRPr="00902F45">
        <w:rPr>
          <w:rFonts w:ascii="Arial" w:hAnsi="Arial" w:cs="Arial"/>
          <w:b/>
          <w:bCs/>
          <w:sz w:val="22"/>
          <w:szCs w:val="22"/>
        </w:rPr>
        <w:t>Application of the Donabedian Model</w:t>
      </w:r>
    </w:p>
    <w:p w14:paraId="78E016B8" w14:textId="56F898E4" w:rsidR="00CC6B4B" w:rsidRPr="00580EAC" w:rsidRDefault="00CC6B4B" w:rsidP="00322082">
      <w:pPr>
        <w:spacing w:line="360" w:lineRule="auto"/>
        <w:jc w:val="both"/>
        <w:rPr>
          <w:rFonts w:ascii="Arial" w:hAnsi="Arial" w:cs="Arial"/>
          <w:sz w:val="22"/>
          <w:szCs w:val="22"/>
        </w:rPr>
      </w:pPr>
      <w:r w:rsidRPr="00580EAC">
        <w:rPr>
          <w:rFonts w:ascii="Arial" w:hAnsi="Arial" w:cs="Arial"/>
          <w:sz w:val="22"/>
          <w:szCs w:val="22"/>
        </w:rPr>
        <w:t>The Donabedian model (1988) provides a framework for evaluating healthcare quality through its structure, process, and outcome components. Applying this model to the Shrewsbury and Telford case highlights the interconnected nature of organisational systems and patient outcomes.</w:t>
      </w:r>
      <w:r w:rsidR="00C61DD1" w:rsidRPr="00322082">
        <w:rPr>
          <w:rFonts w:ascii="Arial" w:hAnsi="Arial" w:cs="Arial"/>
          <w:sz w:val="22"/>
          <w:szCs w:val="22"/>
        </w:rPr>
        <w:t xml:space="preserve"> </w:t>
      </w:r>
      <w:r w:rsidRPr="00580EAC">
        <w:rPr>
          <w:rFonts w:ascii="Arial" w:hAnsi="Arial" w:cs="Arial"/>
          <w:sz w:val="22"/>
          <w:szCs w:val="22"/>
        </w:rPr>
        <w:t>Structural deficiencies, including inadequate staffing, poor leadership, ineffective governance systems, and weak adherence to organisational policies, significantly compromised safe care delivery</w:t>
      </w:r>
      <w:r w:rsidR="00CD0858" w:rsidRPr="00322082">
        <w:rPr>
          <w:rFonts w:ascii="Arial" w:hAnsi="Arial" w:cs="Arial"/>
          <w:sz w:val="22"/>
          <w:szCs w:val="22"/>
        </w:rPr>
        <w:t xml:space="preserve"> (</w:t>
      </w:r>
      <w:r w:rsidR="00E11965" w:rsidRPr="00322082">
        <w:rPr>
          <w:rFonts w:ascii="Arial" w:hAnsi="Arial" w:cs="Arial"/>
          <w:sz w:val="22"/>
          <w:szCs w:val="22"/>
        </w:rPr>
        <w:t>WHO, 2016)</w:t>
      </w:r>
      <w:r w:rsidRPr="00580EAC">
        <w:rPr>
          <w:rFonts w:ascii="Arial" w:hAnsi="Arial" w:cs="Arial"/>
          <w:sz w:val="22"/>
          <w:szCs w:val="22"/>
        </w:rPr>
        <w:t>. Evidence suggests that organisational structure has a direct impact on the quality of care delivered (Donabedian, 1988; Aiken et al., 2014). These structural weaknesses directly influenced clinical processes, which were characterised by poor monitoring, delayed escalation, ineffective communication, and failure to follow established clinical pathways.</w:t>
      </w:r>
    </w:p>
    <w:p w14:paraId="47D49C96" w14:textId="0A863770" w:rsidR="00CC6B4B" w:rsidRPr="00580EAC" w:rsidRDefault="00CC6B4B" w:rsidP="00322082">
      <w:pPr>
        <w:spacing w:line="360" w:lineRule="auto"/>
        <w:jc w:val="both"/>
        <w:rPr>
          <w:rFonts w:ascii="Arial" w:hAnsi="Arial" w:cs="Arial"/>
          <w:sz w:val="22"/>
          <w:szCs w:val="22"/>
        </w:rPr>
      </w:pPr>
      <w:r w:rsidRPr="00580EAC">
        <w:rPr>
          <w:rFonts w:ascii="Arial" w:hAnsi="Arial" w:cs="Arial"/>
          <w:sz w:val="22"/>
          <w:szCs w:val="22"/>
        </w:rPr>
        <w:t xml:space="preserve">A clear gap existed between national standards and actual clinical practice, particularly </w:t>
      </w:r>
      <w:r w:rsidR="005C40BE" w:rsidRPr="00322082">
        <w:rPr>
          <w:rFonts w:ascii="Arial" w:hAnsi="Arial" w:cs="Arial"/>
          <w:sz w:val="22"/>
          <w:szCs w:val="22"/>
        </w:rPr>
        <w:t>regarding</w:t>
      </w:r>
      <w:r w:rsidRPr="00580EAC">
        <w:rPr>
          <w:rFonts w:ascii="Arial" w:hAnsi="Arial" w:cs="Arial"/>
          <w:sz w:val="22"/>
          <w:szCs w:val="22"/>
        </w:rPr>
        <w:t xml:space="preserve"> NICE (2021) guidelines and national maternity safety frameworks, which were not consistently implemented. This deviation from evidence-based practice significantly undermined </w:t>
      </w:r>
      <w:r w:rsidR="005C40BE" w:rsidRPr="00322082">
        <w:rPr>
          <w:rFonts w:ascii="Arial" w:hAnsi="Arial" w:cs="Arial"/>
          <w:sz w:val="22"/>
          <w:szCs w:val="22"/>
        </w:rPr>
        <w:t>the quality of care</w:t>
      </w:r>
      <w:r w:rsidRPr="00580EAC">
        <w:rPr>
          <w:rFonts w:ascii="Arial" w:hAnsi="Arial" w:cs="Arial"/>
          <w:sz w:val="22"/>
          <w:szCs w:val="22"/>
        </w:rPr>
        <w:t>. Research indicates that adherence to clinical guidelines is essential for improving patient outcomes and reducing variability in care (Chen et al., 2024).</w:t>
      </w:r>
    </w:p>
    <w:p w14:paraId="4287F731" w14:textId="7ADA251A" w:rsidR="00CC6B4B" w:rsidRPr="00580EAC" w:rsidRDefault="00CC6B4B" w:rsidP="00322082">
      <w:pPr>
        <w:spacing w:line="360" w:lineRule="auto"/>
        <w:jc w:val="both"/>
        <w:rPr>
          <w:rFonts w:ascii="Arial" w:hAnsi="Arial" w:cs="Arial"/>
          <w:sz w:val="22"/>
          <w:szCs w:val="22"/>
        </w:rPr>
      </w:pPr>
      <w:r w:rsidRPr="00580EAC">
        <w:rPr>
          <w:rFonts w:ascii="Arial" w:hAnsi="Arial" w:cs="Arial"/>
          <w:sz w:val="22"/>
          <w:szCs w:val="22"/>
        </w:rPr>
        <w:lastRenderedPageBreak/>
        <w:t>The measurable outcomes of these failures were severe, including increased rates of maternal and neonatal mortality, avoidable harm, and poor patient experiences. These outcomes demonstrate how deficiencies in both structure and process directly contributed to adverse patient outcomes</w:t>
      </w:r>
      <w:r w:rsidR="00E36348" w:rsidRPr="00322082">
        <w:rPr>
          <w:rFonts w:ascii="Arial" w:hAnsi="Arial" w:cs="Arial"/>
          <w:sz w:val="22"/>
          <w:szCs w:val="22"/>
        </w:rPr>
        <w:t xml:space="preserve"> (</w:t>
      </w:r>
      <w:r w:rsidR="00391E44" w:rsidRPr="00322082">
        <w:rPr>
          <w:rFonts w:ascii="Arial" w:hAnsi="Arial" w:cs="Arial"/>
          <w:sz w:val="22"/>
          <w:szCs w:val="22"/>
        </w:rPr>
        <w:t>NS Res</w:t>
      </w:r>
      <w:r w:rsidR="00383C95" w:rsidRPr="00322082">
        <w:rPr>
          <w:rFonts w:ascii="Arial" w:hAnsi="Arial" w:cs="Arial"/>
          <w:sz w:val="22"/>
          <w:szCs w:val="22"/>
        </w:rPr>
        <w:t>olution, 2023)</w:t>
      </w:r>
      <w:r w:rsidRPr="00580EAC">
        <w:rPr>
          <w:rFonts w:ascii="Arial" w:hAnsi="Arial" w:cs="Arial"/>
          <w:sz w:val="22"/>
          <w:szCs w:val="22"/>
        </w:rPr>
        <w:t>. Leadership and governance failures were central across all three domains, influencing resource allocation, shaping clinical processes, and ultimately impacting patient safety outcomes.</w:t>
      </w:r>
    </w:p>
    <w:p w14:paraId="60F1830A" w14:textId="6D513ACF" w:rsidR="004C4590" w:rsidRDefault="00CC6B4B" w:rsidP="00322082">
      <w:pPr>
        <w:spacing w:line="360" w:lineRule="auto"/>
        <w:jc w:val="both"/>
        <w:rPr>
          <w:rFonts w:ascii="Arial" w:hAnsi="Arial" w:cs="Arial"/>
          <w:sz w:val="22"/>
          <w:szCs w:val="22"/>
        </w:rPr>
      </w:pPr>
      <w:r w:rsidRPr="00580EAC">
        <w:rPr>
          <w:rFonts w:ascii="Arial" w:hAnsi="Arial" w:cs="Arial"/>
          <w:sz w:val="22"/>
          <w:szCs w:val="22"/>
        </w:rPr>
        <w:t>While the Donabedian model effectively demonstrates the relationship between organisational systems and patient outcomes, it has limitations. Its linear structure may not fully capture the complexity of healthcare systems, where interactions between factors are dynamic and multifaceted (Tossaint-Schoenmakers et al., 2021). Nevertheless, it remains a valuable framework for evaluating healthcare quality when used alongside more diagnostic tools.</w:t>
      </w:r>
    </w:p>
    <w:p w14:paraId="1567FC7B" w14:textId="77777777" w:rsidR="00D04D03" w:rsidRPr="00322082" w:rsidRDefault="00D04D03" w:rsidP="00322082">
      <w:pPr>
        <w:spacing w:line="360" w:lineRule="auto"/>
        <w:jc w:val="both"/>
        <w:rPr>
          <w:rFonts w:ascii="Arial" w:hAnsi="Arial" w:cs="Arial"/>
          <w:sz w:val="22"/>
          <w:szCs w:val="22"/>
        </w:rPr>
      </w:pPr>
    </w:p>
    <w:p w14:paraId="54BD9AB5" w14:textId="77777777" w:rsidR="001B7EE8" w:rsidRPr="00C15766" w:rsidRDefault="001B7EE8" w:rsidP="00C15766">
      <w:pPr>
        <w:pStyle w:val="ListParagraph"/>
        <w:numPr>
          <w:ilvl w:val="0"/>
          <w:numId w:val="10"/>
        </w:numPr>
        <w:spacing w:line="360" w:lineRule="auto"/>
        <w:jc w:val="both"/>
        <w:rPr>
          <w:rFonts w:ascii="Arial" w:hAnsi="Arial" w:cs="Arial"/>
          <w:b/>
          <w:bCs/>
          <w:sz w:val="22"/>
          <w:szCs w:val="22"/>
        </w:rPr>
      </w:pPr>
      <w:r w:rsidRPr="00C15766">
        <w:rPr>
          <w:rFonts w:ascii="Arial" w:hAnsi="Arial" w:cs="Arial"/>
          <w:b/>
          <w:bCs/>
          <w:sz w:val="22"/>
          <w:szCs w:val="22"/>
        </w:rPr>
        <w:t>Root Cause Analysis Using the Fishbone Diagram</w:t>
      </w:r>
    </w:p>
    <w:p w14:paraId="1AE911DE" w14:textId="27D7A02B" w:rsidR="00212D7D" w:rsidRPr="00322082" w:rsidRDefault="00212D7D" w:rsidP="00322082">
      <w:pPr>
        <w:spacing w:line="360" w:lineRule="auto"/>
        <w:jc w:val="both"/>
        <w:rPr>
          <w:rFonts w:ascii="Arial" w:hAnsi="Arial" w:cs="Arial"/>
          <w:sz w:val="22"/>
          <w:szCs w:val="22"/>
        </w:rPr>
      </w:pPr>
      <w:r w:rsidRPr="00322082">
        <w:rPr>
          <w:rFonts w:ascii="Arial" w:hAnsi="Arial" w:cs="Arial"/>
          <w:sz w:val="22"/>
          <w:szCs w:val="22"/>
        </w:rPr>
        <w:t>The Fishbone (Ishikawa) diagram provides a structured approach to identifying root causes by categorising contributing factors across key domains (Ishikawa, 1985). In the Shrewsbury and Telford case, this framework highlights multifactorial causes underpinning poor maternity outcomes.</w:t>
      </w:r>
    </w:p>
    <w:p w14:paraId="469BA993" w14:textId="6A875ADA" w:rsidR="007C350A" w:rsidRPr="007C350A" w:rsidRDefault="007C350A" w:rsidP="00322082">
      <w:pPr>
        <w:spacing w:line="360" w:lineRule="auto"/>
        <w:jc w:val="both"/>
        <w:rPr>
          <w:rFonts w:ascii="Arial" w:hAnsi="Arial" w:cs="Arial"/>
          <w:sz w:val="22"/>
          <w:szCs w:val="22"/>
        </w:rPr>
      </w:pPr>
      <w:r w:rsidRPr="007C350A">
        <w:rPr>
          <w:rFonts w:ascii="Arial" w:hAnsi="Arial" w:cs="Arial"/>
          <w:sz w:val="22"/>
          <w:szCs w:val="22"/>
        </w:rPr>
        <w:t>Key issues were evident across several domains. Staffing and competence failures included inadequate training, poor clinical judgement, and failure to recognise and escalate deterioration, compounded by workforce shortages and poor skill mix (Dixon-Woods et al., 2014; Ockenden, 2022). Process failures involved inconsistent monitoring, delays in emergency interventions, and poor adherence to evidence-based guidelines, reflecting breakdowns in clinical governance (NICE, 2021). Organisational culture was characterised by blame, lack of psychological safety, and resistance to change, discouraging staff from raising concerns and limiting learning (Edmondson, 2004; Mannion and Davies, 2018). Resource limitations, including inadequate equipment and poor documentation systems, further increased the risk of clinical error (</w:t>
      </w:r>
      <w:proofErr w:type="spellStart"/>
      <w:r w:rsidRPr="007C350A">
        <w:rPr>
          <w:rFonts w:ascii="Arial" w:hAnsi="Arial" w:cs="Arial"/>
          <w:sz w:val="22"/>
          <w:szCs w:val="22"/>
        </w:rPr>
        <w:t>Carayon</w:t>
      </w:r>
      <w:proofErr w:type="spellEnd"/>
      <w:r w:rsidRPr="007C350A">
        <w:rPr>
          <w:rFonts w:ascii="Arial" w:hAnsi="Arial" w:cs="Arial"/>
          <w:sz w:val="22"/>
          <w:szCs w:val="22"/>
        </w:rPr>
        <w:t xml:space="preserve"> et al., 2014). Leadership and governance failures, including weak oversight and </w:t>
      </w:r>
      <w:r w:rsidR="00BE752B" w:rsidRPr="00322082">
        <w:rPr>
          <w:rFonts w:ascii="Arial" w:hAnsi="Arial" w:cs="Arial"/>
          <w:sz w:val="22"/>
          <w:szCs w:val="22"/>
        </w:rPr>
        <w:t xml:space="preserve">a </w:t>
      </w:r>
      <w:r w:rsidRPr="007C350A">
        <w:rPr>
          <w:rFonts w:ascii="Arial" w:hAnsi="Arial" w:cs="Arial"/>
          <w:sz w:val="22"/>
          <w:szCs w:val="22"/>
        </w:rPr>
        <w:t>lack of accountability, allowed unsafe practices to persist (West et al., 2014).</w:t>
      </w:r>
    </w:p>
    <w:p w14:paraId="5CC54078" w14:textId="6181E2B7" w:rsidR="007C350A" w:rsidRPr="007C350A" w:rsidRDefault="007C350A" w:rsidP="00322082">
      <w:pPr>
        <w:spacing w:line="360" w:lineRule="auto"/>
        <w:jc w:val="both"/>
        <w:rPr>
          <w:rFonts w:ascii="Arial" w:hAnsi="Arial" w:cs="Arial"/>
          <w:sz w:val="22"/>
          <w:szCs w:val="22"/>
        </w:rPr>
      </w:pPr>
      <w:r w:rsidRPr="007C350A">
        <w:rPr>
          <w:rFonts w:ascii="Arial" w:hAnsi="Arial" w:cs="Arial"/>
          <w:sz w:val="22"/>
          <w:szCs w:val="22"/>
        </w:rPr>
        <w:t>Across these domains, the most significant and recurrent factors were poor leadership, ineffective governance, and a dysfunctional organisational culture, which influenced and reinforced failures in staffing, processes, and resource utilisation</w:t>
      </w:r>
      <w:r w:rsidR="00023279" w:rsidRPr="00322082">
        <w:rPr>
          <w:rFonts w:ascii="Arial" w:hAnsi="Arial" w:cs="Arial"/>
          <w:sz w:val="22"/>
          <w:szCs w:val="22"/>
        </w:rPr>
        <w:t xml:space="preserve"> (</w:t>
      </w:r>
      <w:r w:rsidR="00023279" w:rsidRPr="007C350A">
        <w:rPr>
          <w:rFonts w:ascii="Arial" w:hAnsi="Arial" w:cs="Arial"/>
          <w:sz w:val="22"/>
          <w:szCs w:val="22"/>
        </w:rPr>
        <w:t>Griffiths et al., 2016</w:t>
      </w:r>
      <w:r w:rsidR="00023279" w:rsidRPr="00322082">
        <w:rPr>
          <w:rFonts w:ascii="Arial" w:hAnsi="Arial" w:cs="Arial"/>
          <w:sz w:val="22"/>
          <w:szCs w:val="22"/>
        </w:rPr>
        <w:t>)</w:t>
      </w:r>
      <w:r w:rsidRPr="007C350A">
        <w:rPr>
          <w:rFonts w:ascii="Arial" w:hAnsi="Arial" w:cs="Arial"/>
          <w:sz w:val="22"/>
          <w:szCs w:val="22"/>
        </w:rPr>
        <w:t>. These factors are interdependent, as leadership weaknesses contributed to process failures and workforce issues, ultimately resulting in adverse patient outcomes.</w:t>
      </w:r>
    </w:p>
    <w:p w14:paraId="16473428" w14:textId="77777777" w:rsidR="007C350A" w:rsidRPr="00322082" w:rsidRDefault="007C350A" w:rsidP="00322082">
      <w:pPr>
        <w:spacing w:line="360" w:lineRule="auto"/>
        <w:jc w:val="both"/>
        <w:rPr>
          <w:rFonts w:ascii="Arial" w:hAnsi="Arial" w:cs="Arial"/>
          <w:sz w:val="22"/>
          <w:szCs w:val="22"/>
        </w:rPr>
      </w:pPr>
      <w:r w:rsidRPr="007C350A">
        <w:rPr>
          <w:rFonts w:ascii="Arial" w:hAnsi="Arial" w:cs="Arial"/>
          <w:sz w:val="22"/>
          <w:szCs w:val="22"/>
        </w:rPr>
        <w:lastRenderedPageBreak/>
        <w:t>These root causes can be verified through incident reports, clinical audits, staff surveys, and patient feedback data, as highlighted in the Ockenden Review. However, their identification may be influenced by assumptions, including hindsight bias and the tendency to prioritise systemic over individual factors. Therefore, a balanced, evidence-informed approach is required to ensure accurate analysis.</w:t>
      </w:r>
    </w:p>
    <w:p w14:paraId="4AA4673F" w14:textId="2632DEB9" w:rsidR="008412DD" w:rsidRPr="00322082" w:rsidRDefault="00D23ACC" w:rsidP="00322082">
      <w:pPr>
        <w:spacing w:line="360" w:lineRule="auto"/>
        <w:jc w:val="both"/>
        <w:rPr>
          <w:rFonts w:ascii="Arial" w:hAnsi="Arial" w:cs="Arial"/>
          <w:sz w:val="22"/>
          <w:szCs w:val="22"/>
        </w:rPr>
      </w:pPr>
      <w:r w:rsidRPr="00322082">
        <w:rPr>
          <w:rFonts w:ascii="Arial" w:hAnsi="Arial" w:cs="Arial"/>
          <w:noProof/>
          <w:sz w:val="22"/>
          <w:szCs w:val="22"/>
        </w:rPr>
        <w:drawing>
          <wp:inline distT="0" distB="0" distL="0" distR="0" wp14:anchorId="7AFADDE5" wp14:editId="3A2D7D1C">
            <wp:extent cx="5473700" cy="3361055"/>
            <wp:effectExtent l="0" t="0" r="0" b="0"/>
            <wp:docPr id="168747515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487211" cy="3369351"/>
                    </a:xfrm>
                    <a:prstGeom prst="rect">
                      <a:avLst/>
                    </a:prstGeom>
                    <a:noFill/>
                  </pic:spPr>
                </pic:pic>
              </a:graphicData>
            </a:graphic>
          </wp:inline>
        </w:drawing>
      </w:r>
    </w:p>
    <w:p w14:paraId="6B2DCBA2" w14:textId="0D5DD832" w:rsidR="00984575" w:rsidRPr="00984575" w:rsidRDefault="00173AA9" w:rsidP="00322082">
      <w:pPr>
        <w:spacing w:line="360" w:lineRule="auto"/>
        <w:jc w:val="both"/>
        <w:rPr>
          <w:rFonts w:ascii="Arial" w:hAnsi="Arial" w:cs="Arial"/>
          <w:sz w:val="22"/>
          <w:szCs w:val="22"/>
        </w:rPr>
      </w:pPr>
      <w:r w:rsidRPr="00322082">
        <w:rPr>
          <w:rFonts w:ascii="Arial" w:hAnsi="Arial" w:cs="Arial"/>
          <w:sz w:val="22"/>
          <w:szCs w:val="22"/>
        </w:rPr>
        <w:t>Figure 1. Fishbone diagram showing key root causes of poor maternity outcomes in the Shrewsbury and Telford case.</w:t>
      </w:r>
    </w:p>
    <w:p w14:paraId="56E9EB01" w14:textId="77777777" w:rsidR="00984575" w:rsidRPr="00D016B0" w:rsidRDefault="00984575" w:rsidP="00D016B0">
      <w:pPr>
        <w:pStyle w:val="ListParagraph"/>
        <w:numPr>
          <w:ilvl w:val="0"/>
          <w:numId w:val="10"/>
        </w:numPr>
        <w:spacing w:line="360" w:lineRule="auto"/>
        <w:jc w:val="both"/>
        <w:rPr>
          <w:rFonts w:ascii="Arial" w:hAnsi="Arial" w:cs="Arial"/>
          <w:sz w:val="22"/>
          <w:szCs w:val="22"/>
        </w:rPr>
      </w:pPr>
      <w:r w:rsidRPr="00D016B0">
        <w:rPr>
          <w:rFonts w:ascii="Arial" w:hAnsi="Arial" w:cs="Arial"/>
          <w:b/>
          <w:bCs/>
          <w:sz w:val="22"/>
          <w:szCs w:val="22"/>
        </w:rPr>
        <w:t>The 5 Whys Analysis</w:t>
      </w:r>
    </w:p>
    <w:p w14:paraId="66E96798" w14:textId="77777777" w:rsidR="00984575" w:rsidRPr="00984575" w:rsidRDefault="00984575" w:rsidP="00322082">
      <w:pPr>
        <w:spacing w:line="360" w:lineRule="auto"/>
        <w:jc w:val="both"/>
        <w:rPr>
          <w:rFonts w:ascii="Arial" w:hAnsi="Arial" w:cs="Arial"/>
          <w:sz w:val="22"/>
          <w:szCs w:val="22"/>
        </w:rPr>
      </w:pPr>
      <w:r w:rsidRPr="00984575">
        <w:rPr>
          <w:rFonts w:ascii="Arial" w:hAnsi="Arial" w:cs="Arial"/>
          <w:sz w:val="22"/>
          <w:szCs w:val="22"/>
        </w:rPr>
        <w:t>The 5 Whys technique provides a complementary approach to root cause analysis by using iterative questioning to explore underlying causes. In this case, the immediate cause of harm, poor clinical care and delayed interventions, can be traced back to deeper systemic issues, including inadequate training, poor decision-making, and failure to escalate care (</w:t>
      </w:r>
      <w:proofErr w:type="spellStart"/>
      <w:r w:rsidRPr="00984575">
        <w:rPr>
          <w:rFonts w:ascii="Arial" w:hAnsi="Arial" w:cs="Arial"/>
          <w:sz w:val="22"/>
          <w:szCs w:val="22"/>
        </w:rPr>
        <w:t>Gangidi</w:t>
      </w:r>
      <w:proofErr w:type="spellEnd"/>
      <w:r w:rsidRPr="00984575">
        <w:rPr>
          <w:rFonts w:ascii="Arial" w:hAnsi="Arial" w:cs="Arial"/>
          <w:sz w:val="22"/>
          <w:szCs w:val="22"/>
        </w:rPr>
        <w:t>, 2018). These failures were not addressed due to ineffective incident investigation processes and a lack of organisational learning.</w:t>
      </w:r>
    </w:p>
    <w:p w14:paraId="23381114" w14:textId="77777777" w:rsidR="00984575" w:rsidRPr="00984575" w:rsidRDefault="00984575" w:rsidP="00322082">
      <w:pPr>
        <w:spacing w:line="360" w:lineRule="auto"/>
        <w:jc w:val="both"/>
        <w:rPr>
          <w:rFonts w:ascii="Arial" w:hAnsi="Arial" w:cs="Arial"/>
          <w:sz w:val="22"/>
          <w:szCs w:val="22"/>
        </w:rPr>
      </w:pPr>
      <w:r w:rsidRPr="00984575">
        <w:rPr>
          <w:rFonts w:ascii="Arial" w:hAnsi="Arial" w:cs="Arial"/>
          <w:sz w:val="22"/>
          <w:szCs w:val="22"/>
        </w:rPr>
        <w:t>The absence of learning reflects a broader failure in safety systems, as organisations that do not effectively learn from incidents are more likely to repeat errors (Vincent, 2010). A defensive organisational culture and weak governance systems further reinforced this. Ultimately, these issues were sustained by ineffective leadership and a lack of accountability mechanisms, demonstrating how root causes can be traced back to systemic organisational failures.</w:t>
      </w:r>
    </w:p>
    <w:p w14:paraId="13A1E2F2" w14:textId="2F69DCDE" w:rsidR="00AA732F" w:rsidRPr="00322082" w:rsidRDefault="00984575" w:rsidP="00322082">
      <w:pPr>
        <w:spacing w:line="360" w:lineRule="auto"/>
        <w:jc w:val="both"/>
        <w:rPr>
          <w:rFonts w:ascii="Arial" w:hAnsi="Arial" w:cs="Arial"/>
          <w:sz w:val="22"/>
          <w:szCs w:val="22"/>
        </w:rPr>
      </w:pPr>
      <w:r w:rsidRPr="00984575">
        <w:rPr>
          <w:rFonts w:ascii="Arial" w:hAnsi="Arial" w:cs="Arial"/>
          <w:sz w:val="22"/>
          <w:szCs w:val="22"/>
        </w:rPr>
        <w:lastRenderedPageBreak/>
        <w:t>However, while the 5 Whys technique provides clarity, it is inherently linear and may oversimplify complex healthcare systems. Healthcare delivery involves multiple interacting factors, and focusing on a single causal pathway may obscure important relationships between variables (Braithwaite et al., 2017; Reid and Smyth</w:t>
      </w:r>
      <w:r w:rsidRPr="00984575">
        <w:rPr>
          <w:rFonts w:ascii="Cambria Math" w:hAnsi="Cambria Math" w:cs="Cambria Math"/>
          <w:sz w:val="22"/>
          <w:szCs w:val="22"/>
        </w:rPr>
        <w:t>‐</w:t>
      </w:r>
      <w:r w:rsidRPr="00984575">
        <w:rPr>
          <w:rFonts w:ascii="Arial" w:hAnsi="Arial" w:cs="Arial"/>
          <w:sz w:val="22"/>
          <w:szCs w:val="22"/>
        </w:rPr>
        <w:t>Renshaw, 2012). In contrast, broader systems-based approaches are better suited to capturing this complexity. Therefore, while the 5 Whys is useful, it should be applied alongside other frameworks to ensure a more comprehensive analysis.</w:t>
      </w:r>
    </w:p>
    <w:p w14:paraId="67ACDAFC" w14:textId="77777777" w:rsidR="001B7EE8" w:rsidRPr="00D016B0" w:rsidRDefault="001B7EE8" w:rsidP="00D016B0">
      <w:pPr>
        <w:pStyle w:val="ListParagraph"/>
        <w:numPr>
          <w:ilvl w:val="0"/>
          <w:numId w:val="10"/>
        </w:numPr>
        <w:spacing w:line="360" w:lineRule="auto"/>
        <w:jc w:val="both"/>
        <w:rPr>
          <w:rFonts w:ascii="Arial" w:hAnsi="Arial" w:cs="Arial"/>
          <w:b/>
          <w:bCs/>
          <w:sz w:val="22"/>
          <w:szCs w:val="22"/>
        </w:rPr>
      </w:pPr>
      <w:r w:rsidRPr="00D016B0">
        <w:rPr>
          <w:rFonts w:ascii="Arial" w:hAnsi="Arial" w:cs="Arial"/>
          <w:b/>
          <w:bCs/>
          <w:sz w:val="22"/>
          <w:szCs w:val="22"/>
        </w:rPr>
        <w:t>SWOT Analysis</w:t>
      </w:r>
    </w:p>
    <w:p w14:paraId="413B9F3F" w14:textId="77777777" w:rsidR="008523A2" w:rsidRPr="008523A2" w:rsidRDefault="008523A2" w:rsidP="00322082">
      <w:pPr>
        <w:spacing w:line="360" w:lineRule="auto"/>
        <w:jc w:val="both"/>
        <w:rPr>
          <w:rFonts w:ascii="Arial" w:hAnsi="Arial" w:cs="Arial"/>
          <w:sz w:val="22"/>
          <w:szCs w:val="22"/>
        </w:rPr>
      </w:pPr>
      <w:r w:rsidRPr="008523A2">
        <w:rPr>
          <w:rFonts w:ascii="Arial" w:hAnsi="Arial" w:cs="Arial"/>
          <w:sz w:val="22"/>
          <w:szCs w:val="22"/>
        </w:rPr>
        <w:t>The SWOT analysis of the Shrewsbury and Telford maternity services reveals a complex and deeply embedded set of organisational challenges, highlighting both structural capabilities and systemic failings. While strengths such as a committed frontline workforce and the existence of national, evidence-based frameworks, including NICE guidelines, provide a theoretical foundation for safe and effective care, these strengths were not effectively operationalised in practice (NICE, 2021). This disconnect reflects a well-documented issue in healthcare, where the presence of guidelines alone does not guarantee quality improvement without strong implementation and governance mechanisms (</w:t>
      </w:r>
      <w:proofErr w:type="spellStart"/>
      <w:r w:rsidRPr="008523A2">
        <w:rPr>
          <w:rFonts w:ascii="Arial" w:hAnsi="Arial" w:cs="Arial"/>
          <w:sz w:val="22"/>
          <w:szCs w:val="22"/>
        </w:rPr>
        <w:t>Benzaghta</w:t>
      </w:r>
      <w:proofErr w:type="spellEnd"/>
      <w:r w:rsidRPr="008523A2">
        <w:rPr>
          <w:rFonts w:ascii="Arial" w:hAnsi="Arial" w:cs="Arial"/>
          <w:sz w:val="22"/>
          <w:szCs w:val="22"/>
        </w:rPr>
        <w:t xml:space="preserve"> et al., 2021).</w:t>
      </w:r>
    </w:p>
    <w:p w14:paraId="27591C1D" w14:textId="77777777" w:rsidR="008523A2" w:rsidRPr="008523A2" w:rsidRDefault="008523A2" w:rsidP="00322082">
      <w:pPr>
        <w:spacing w:line="360" w:lineRule="auto"/>
        <w:jc w:val="both"/>
        <w:rPr>
          <w:rFonts w:ascii="Arial" w:hAnsi="Arial" w:cs="Arial"/>
          <w:sz w:val="22"/>
          <w:szCs w:val="22"/>
        </w:rPr>
      </w:pPr>
      <w:r w:rsidRPr="008523A2">
        <w:rPr>
          <w:rFonts w:ascii="Arial" w:hAnsi="Arial" w:cs="Arial"/>
          <w:sz w:val="22"/>
          <w:szCs w:val="22"/>
        </w:rPr>
        <w:t>The weaknesses identified, particularly poor leadership, ineffective governance, and a lack of accountability and organisational learning, were not merely contributory factors but central drivers of failure. These issues align with findings from major healthcare inquiries, which consistently highlight leadership and culture as critical determinants of patient safety (Francis, 2013; Mannion and Davies, 2018). Furthermore, inadequate communication and teamwork indicate a breakdown in multidisciplinary collaboration, which is essential for safe maternity care (Renfrew et al., 2014). Such weaknesses reflect systemic dysfunction rather than isolated deficiencies, reinforcing the argument that failures were organisational in nature (Reason, 2000).</w:t>
      </w:r>
    </w:p>
    <w:p w14:paraId="2098516A" w14:textId="7D2B659D" w:rsidR="008523A2" w:rsidRPr="008523A2" w:rsidRDefault="008523A2" w:rsidP="00322082">
      <w:pPr>
        <w:spacing w:line="360" w:lineRule="auto"/>
        <w:jc w:val="both"/>
        <w:rPr>
          <w:rFonts w:ascii="Arial" w:hAnsi="Arial" w:cs="Arial"/>
          <w:sz w:val="22"/>
          <w:szCs w:val="22"/>
        </w:rPr>
      </w:pPr>
      <w:r w:rsidRPr="008523A2">
        <w:rPr>
          <w:rFonts w:ascii="Arial" w:hAnsi="Arial" w:cs="Arial"/>
          <w:sz w:val="22"/>
          <w:szCs w:val="22"/>
        </w:rPr>
        <w:t xml:space="preserve">Despite these limitations, the analysis identifies important opportunities for improvement, including </w:t>
      </w:r>
      <w:r w:rsidR="00862823" w:rsidRPr="00322082">
        <w:rPr>
          <w:rFonts w:ascii="Arial" w:hAnsi="Arial" w:cs="Arial"/>
          <w:sz w:val="22"/>
          <w:szCs w:val="22"/>
        </w:rPr>
        <w:t>implementing national safety standards, increasing the use of digital monitoring systems, and strengthening</w:t>
      </w:r>
      <w:r w:rsidRPr="008523A2">
        <w:rPr>
          <w:rFonts w:ascii="Arial" w:hAnsi="Arial" w:cs="Arial"/>
          <w:sz w:val="22"/>
          <w:szCs w:val="22"/>
        </w:rPr>
        <w:t xml:space="preserve"> multidisciplinary teamwork (RCOG, 2022). However, the realisation of these opportunities is contingent upon addressing underlying cultural and leadership issues, as technical solutions alone are insufficient without organisational transformation (Braithwaite et al., 2017).</w:t>
      </w:r>
    </w:p>
    <w:p w14:paraId="0E7810EC" w14:textId="6DE0DECA" w:rsidR="008523A2" w:rsidRPr="008523A2" w:rsidRDefault="008523A2" w:rsidP="00322082">
      <w:pPr>
        <w:spacing w:line="360" w:lineRule="auto"/>
        <w:jc w:val="both"/>
        <w:rPr>
          <w:rFonts w:ascii="Arial" w:hAnsi="Arial" w:cs="Arial"/>
          <w:sz w:val="22"/>
          <w:szCs w:val="22"/>
        </w:rPr>
      </w:pPr>
      <w:r w:rsidRPr="008523A2">
        <w:rPr>
          <w:rFonts w:ascii="Arial" w:hAnsi="Arial" w:cs="Arial"/>
          <w:sz w:val="22"/>
          <w:szCs w:val="22"/>
        </w:rPr>
        <w:t>These opportunities must also be considered alongside significant external threats, including workforce shortages, resistance to organisational change, and increasing system-wide pressures within the NHS</w:t>
      </w:r>
      <w:r w:rsidR="00F80CF5" w:rsidRPr="00322082">
        <w:rPr>
          <w:rFonts w:ascii="Arial" w:hAnsi="Arial" w:cs="Arial"/>
          <w:sz w:val="22"/>
          <w:szCs w:val="22"/>
        </w:rPr>
        <w:t xml:space="preserve"> (</w:t>
      </w:r>
      <w:r w:rsidR="007D7D52" w:rsidRPr="00322082">
        <w:rPr>
          <w:rFonts w:ascii="Arial" w:hAnsi="Arial" w:cs="Arial"/>
          <w:sz w:val="22"/>
          <w:szCs w:val="22"/>
        </w:rPr>
        <w:t>NHS, 2023)</w:t>
      </w:r>
      <w:r w:rsidRPr="008523A2">
        <w:rPr>
          <w:rFonts w:ascii="Arial" w:hAnsi="Arial" w:cs="Arial"/>
          <w:sz w:val="22"/>
          <w:szCs w:val="22"/>
        </w:rPr>
        <w:t xml:space="preserve">. Workforce constraints have been consistently </w:t>
      </w:r>
      <w:r w:rsidRPr="008523A2">
        <w:rPr>
          <w:rFonts w:ascii="Arial" w:hAnsi="Arial" w:cs="Arial"/>
          <w:sz w:val="22"/>
          <w:szCs w:val="22"/>
        </w:rPr>
        <w:lastRenderedPageBreak/>
        <w:t>associated with poorer patient outcomes and increased risk of adverse events (Aiken et al., 2014), while entrenched cultural resistance can undermine improvement initiatives</w:t>
      </w:r>
      <w:r w:rsidR="007D7D52" w:rsidRPr="00322082">
        <w:rPr>
          <w:rFonts w:ascii="Arial" w:hAnsi="Arial" w:cs="Arial"/>
          <w:sz w:val="22"/>
          <w:szCs w:val="22"/>
        </w:rPr>
        <w:t>.</w:t>
      </w:r>
    </w:p>
    <w:p w14:paraId="51D1AD15" w14:textId="548595E5" w:rsidR="00397F82" w:rsidRPr="00322082" w:rsidRDefault="008523A2" w:rsidP="00322082">
      <w:pPr>
        <w:spacing w:line="360" w:lineRule="auto"/>
        <w:jc w:val="both"/>
        <w:rPr>
          <w:rFonts w:ascii="Arial" w:hAnsi="Arial" w:cs="Arial"/>
          <w:sz w:val="22"/>
          <w:szCs w:val="22"/>
        </w:rPr>
      </w:pPr>
      <w:r w:rsidRPr="008523A2">
        <w:rPr>
          <w:rFonts w:ascii="Arial" w:hAnsi="Arial" w:cs="Arial"/>
          <w:sz w:val="22"/>
          <w:szCs w:val="22"/>
        </w:rPr>
        <w:t>Overall, this SWOT analysis demonstrates that while strengths and opportunities exist, they are significantly outweighed by entrenched weaknesses and external pressures. Leadership failures and organisational culture emerge as the most influential and urgent factors requiring prioritisation, as they underpin and exacerbate challenges across all domains</w:t>
      </w:r>
      <w:r w:rsidR="007D7D52" w:rsidRPr="00322082">
        <w:rPr>
          <w:rFonts w:ascii="Arial" w:hAnsi="Arial" w:cs="Arial"/>
          <w:sz w:val="22"/>
          <w:szCs w:val="22"/>
        </w:rPr>
        <w:t xml:space="preserve"> </w:t>
      </w:r>
      <w:r w:rsidR="007D7D52" w:rsidRPr="008523A2">
        <w:rPr>
          <w:rFonts w:ascii="Arial" w:hAnsi="Arial" w:cs="Arial"/>
          <w:sz w:val="22"/>
          <w:szCs w:val="22"/>
        </w:rPr>
        <w:t>(The King’s Fund, 2017)</w:t>
      </w:r>
      <w:r w:rsidRPr="008523A2">
        <w:rPr>
          <w:rFonts w:ascii="Arial" w:hAnsi="Arial" w:cs="Arial"/>
          <w:sz w:val="22"/>
          <w:szCs w:val="22"/>
        </w:rPr>
        <w:t>. Addressing these core issues should therefore be central to action planning, as improvements in governance and culture are likely to have the greatest impact on patient safety, staff engagement, and service quality</w:t>
      </w:r>
      <w:r w:rsidR="007D7D52" w:rsidRPr="00322082">
        <w:rPr>
          <w:rFonts w:ascii="Arial" w:hAnsi="Arial" w:cs="Arial"/>
          <w:sz w:val="22"/>
          <w:szCs w:val="22"/>
        </w:rPr>
        <w:t>.</w:t>
      </w:r>
    </w:p>
    <w:p w14:paraId="4EF992B4" w14:textId="15AD9973" w:rsidR="0069764A" w:rsidRPr="00D016B0" w:rsidRDefault="003847AE" w:rsidP="00D016B0">
      <w:pPr>
        <w:pStyle w:val="ListParagraph"/>
        <w:numPr>
          <w:ilvl w:val="0"/>
          <w:numId w:val="10"/>
        </w:numPr>
        <w:spacing w:line="360" w:lineRule="auto"/>
        <w:jc w:val="both"/>
        <w:rPr>
          <w:rFonts w:ascii="Arial" w:hAnsi="Arial" w:cs="Arial"/>
          <w:b/>
          <w:bCs/>
          <w:sz w:val="22"/>
          <w:szCs w:val="22"/>
        </w:rPr>
      </w:pPr>
      <w:r w:rsidRPr="00D016B0">
        <w:rPr>
          <w:rFonts w:ascii="Arial" w:hAnsi="Arial" w:cs="Arial"/>
          <w:b/>
          <w:bCs/>
          <w:sz w:val="22"/>
          <w:szCs w:val="22"/>
        </w:rPr>
        <w:t>PDSA Cycle</w:t>
      </w:r>
    </w:p>
    <w:p w14:paraId="370F45EB" w14:textId="5A4692B9" w:rsidR="00DA3945" w:rsidRPr="00DA3945" w:rsidRDefault="00DA3945" w:rsidP="00322082">
      <w:pPr>
        <w:spacing w:line="360" w:lineRule="auto"/>
        <w:jc w:val="both"/>
        <w:rPr>
          <w:rFonts w:ascii="Arial" w:hAnsi="Arial" w:cs="Arial"/>
          <w:sz w:val="22"/>
          <w:szCs w:val="22"/>
        </w:rPr>
      </w:pPr>
      <w:r w:rsidRPr="00DA3945">
        <w:rPr>
          <w:rFonts w:ascii="Arial" w:hAnsi="Arial" w:cs="Arial"/>
          <w:sz w:val="22"/>
          <w:szCs w:val="22"/>
        </w:rPr>
        <w:t xml:space="preserve">The proposed recommendations can be operationalised </w:t>
      </w:r>
      <w:r w:rsidR="00C52DFC" w:rsidRPr="00322082">
        <w:rPr>
          <w:rFonts w:ascii="Arial" w:hAnsi="Arial" w:cs="Arial"/>
          <w:sz w:val="22"/>
          <w:szCs w:val="22"/>
        </w:rPr>
        <w:t>through the Plan-Do-Study-Act (PDSA) cycle to support structured,</w:t>
      </w:r>
      <w:r w:rsidRPr="00DA3945">
        <w:rPr>
          <w:rFonts w:ascii="Arial" w:hAnsi="Arial" w:cs="Arial"/>
          <w:sz w:val="22"/>
          <w:szCs w:val="22"/>
        </w:rPr>
        <w:t xml:space="preserve"> continuous quality improvement. In the planning phase, a specific intervention should be identified, such as </w:t>
      </w:r>
      <w:r w:rsidR="00C52DFC" w:rsidRPr="00322082">
        <w:rPr>
          <w:rFonts w:ascii="Arial" w:hAnsi="Arial" w:cs="Arial"/>
          <w:sz w:val="22"/>
          <w:szCs w:val="22"/>
        </w:rPr>
        <w:t>implementing standardised escalation protocols and simulation-based training to recognise</w:t>
      </w:r>
      <w:r w:rsidRPr="00DA3945">
        <w:rPr>
          <w:rFonts w:ascii="Arial" w:hAnsi="Arial" w:cs="Arial"/>
          <w:sz w:val="22"/>
          <w:szCs w:val="22"/>
        </w:rPr>
        <w:t xml:space="preserve"> maternal deterioration</w:t>
      </w:r>
      <w:r w:rsidR="00B8530B" w:rsidRPr="00322082">
        <w:rPr>
          <w:rFonts w:ascii="Arial" w:hAnsi="Arial" w:cs="Arial"/>
          <w:sz w:val="22"/>
          <w:szCs w:val="22"/>
        </w:rPr>
        <w:t xml:space="preserve"> (Moser et al., 2020)</w:t>
      </w:r>
      <w:r w:rsidR="00B8530B" w:rsidRPr="00F94E97">
        <w:rPr>
          <w:rFonts w:ascii="Arial" w:hAnsi="Arial" w:cs="Arial"/>
          <w:sz w:val="22"/>
          <w:szCs w:val="22"/>
        </w:rPr>
        <w:t>.</w:t>
      </w:r>
      <w:r w:rsidR="00FE3336">
        <w:rPr>
          <w:rFonts w:ascii="Arial" w:hAnsi="Arial" w:cs="Arial"/>
          <w:sz w:val="22"/>
          <w:szCs w:val="22"/>
        </w:rPr>
        <w:t xml:space="preserve"> </w:t>
      </w:r>
      <w:r w:rsidRPr="00DA3945">
        <w:rPr>
          <w:rFonts w:ascii="Arial" w:hAnsi="Arial" w:cs="Arial"/>
          <w:sz w:val="22"/>
          <w:szCs w:val="22"/>
        </w:rPr>
        <w:t>Key outcome and process indicators should include incident reporting rates, response times to clinical deterioration, and compliance with escalation guidelines.</w:t>
      </w:r>
    </w:p>
    <w:p w14:paraId="5FFA1E3D" w14:textId="705C191C" w:rsidR="00DA3945" w:rsidRPr="00DA3945" w:rsidRDefault="00DA3945" w:rsidP="00322082">
      <w:pPr>
        <w:spacing w:line="360" w:lineRule="auto"/>
        <w:jc w:val="both"/>
        <w:rPr>
          <w:rFonts w:ascii="Arial" w:hAnsi="Arial" w:cs="Arial"/>
          <w:sz w:val="22"/>
          <w:szCs w:val="22"/>
        </w:rPr>
      </w:pPr>
      <w:r w:rsidRPr="00DA3945">
        <w:rPr>
          <w:rFonts w:ascii="Arial" w:hAnsi="Arial" w:cs="Arial"/>
          <w:sz w:val="22"/>
          <w:szCs w:val="22"/>
        </w:rPr>
        <w:t>During the implementation (Do) phase, these interventions should be introduced on a small scale within selected maternity units, with data collected through clinical audits, incident reporting systems, and electronic patient records. In the study phase, both quantitative and qualitative data should be analysed, including patient safety outcomes, staff compliance rates, and feedback gathered through staff surveys and patient experience reports</w:t>
      </w:r>
      <w:r w:rsidR="003A7537" w:rsidRPr="00322082">
        <w:rPr>
          <w:rFonts w:ascii="Arial" w:hAnsi="Arial" w:cs="Arial"/>
          <w:sz w:val="22"/>
          <w:szCs w:val="22"/>
        </w:rPr>
        <w:t xml:space="preserve"> (CQC, </w:t>
      </w:r>
      <w:r w:rsidR="003373DD" w:rsidRPr="00322082">
        <w:rPr>
          <w:rFonts w:ascii="Arial" w:hAnsi="Arial" w:cs="Arial"/>
          <w:sz w:val="22"/>
          <w:szCs w:val="22"/>
        </w:rPr>
        <w:t>2024)</w:t>
      </w:r>
      <w:r w:rsidRPr="00DA3945">
        <w:rPr>
          <w:rFonts w:ascii="Arial" w:hAnsi="Arial" w:cs="Arial"/>
          <w:sz w:val="22"/>
          <w:szCs w:val="22"/>
        </w:rPr>
        <w:t>. This ensures that both clinical effectiveness and experiential factors are evaluated.</w:t>
      </w:r>
    </w:p>
    <w:p w14:paraId="1966EA25" w14:textId="4A4DC6F2" w:rsidR="00DA3945" w:rsidRPr="00322082" w:rsidRDefault="00DA3945" w:rsidP="00322082">
      <w:pPr>
        <w:spacing w:line="360" w:lineRule="auto"/>
        <w:jc w:val="both"/>
        <w:rPr>
          <w:rFonts w:ascii="Arial" w:hAnsi="Arial" w:cs="Arial"/>
          <w:sz w:val="22"/>
          <w:szCs w:val="22"/>
        </w:rPr>
      </w:pPr>
      <w:r w:rsidRPr="00DA3945">
        <w:rPr>
          <w:rFonts w:ascii="Arial" w:hAnsi="Arial" w:cs="Arial"/>
          <w:sz w:val="22"/>
          <w:szCs w:val="22"/>
        </w:rPr>
        <w:t>In the act phase, findings from the evaluation should inform necessary adaptations, such as refining training programmes, improving communication pathways, or adjusting protocols to address identified gaps. Successful interventions can then be scaled across the wider organisation</w:t>
      </w:r>
      <w:r w:rsidR="003373DD" w:rsidRPr="00322082">
        <w:rPr>
          <w:rFonts w:ascii="Arial" w:hAnsi="Arial" w:cs="Arial"/>
          <w:sz w:val="22"/>
          <w:szCs w:val="22"/>
        </w:rPr>
        <w:t xml:space="preserve"> </w:t>
      </w:r>
      <w:r w:rsidR="003373DD" w:rsidRPr="00DA3945">
        <w:rPr>
          <w:rFonts w:ascii="Arial" w:hAnsi="Arial" w:cs="Arial"/>
          <w:sz w:val="22"/>
          <w:szCs w:val="22"/>
        </w:rPr>
        <w:t>(Taylor et al., 2014)</w:t>
      </w:r>
      <w:r w:rsidRPr="00DA3945">
        <w:rPr>
          <w:rFonts w:ascii="Arial" w:hAnsi="Arial" w:cs="Arial"/>
          <w:sz w:val="22"/>
          <w:szCs w:val="22"/>
        </w:rPr>
        <w:t>. Importantly, learning from each cycle should inform subsequent PDSA cycles, creating a continuous feedback loop that supports ongoing improvement and sustainability of safer maternity care practices.</w:t>
      </w:r>
    </w:p>
    <w:p w14:paraId="215DF4B2" w14:textId="316C56E5" w:rsidR="00D80ECF" w:rsidRPr="00D016B0" w:rsidRDefault="00EE58B4" w:rsidP="00D016B0">
      <w:pPr>
        <w:pStyle w:val="ListParagraph"/>
        <w:numPr>
          <w:ilvl w:val="0"/>
          <w:numId w:val="10"/>
        </w:numPr>
        <w:spacing w:line="360" w:lineRule="auto"/>
        <w:jc w:val="both"/>
        <w:rPr>
          <w:rFonts w:ascii="Arial" w:hAnsi="Arial" w:cs="Arial"/>
          <w:b/>
          <w:bCs/>
          <w:sz w:val="22"/>
          <w:szCs w:val="22"/>
        </w:rPr>
      </w:pPr>
      <w:r w:rsidRPr="00D016B0">
        <w:rPr>
          <w:rFonts w:ascii="Arial" w:hAnsi="Arial" w:cs="Arial"/>
          <w:b/>
          <w:bCs/>
          <w:sz w:val="22"/>
          <w:szCs w:val="22"/>
        </w:rPr>
        <w:t xml:space="preserve">Kurt Lewin’s 3-Stage Model </w:t>
      </w:r>
    </w:p>
    <w:p w14:paraId="1E984E17" w14:textId="07319C15" w:rsidR="005D0906" w:rsidRPr="005D0906" w:rsidRDefault="005D0906" w:rsidP="00322082">
      <w:pPr>
        <w:spacing w:line="360" w:lineRule="auto"/>
        <w:jc w:val="both"/>
        <w:rPr>
          <w:rFonts w:ascii="Arial" w:hAnsi="Arial" w:cs="Arial"/>
          <w:sz w:val="22"/>
          <w:szCs w:val="22"/>
        </w:rPr>
      </w:pPr>
      <w:r w:rsidRPr="005D0906">
        <w:rPr>
          <w:rFonts w:ascii="Arial" w:hAnsi="Arial" w:cs="Arial"/>
          <w:sz w:val="22"/>
          <w:szCs w:val="22"/>
        </w:rPr>
        <w:t>To support implementation, Lewin’s three-stage model provides a practical</w:t>
      </w:r>
      <w:r w:rsidRPr="00322082">
        <w:rPr>
          <w:rFonts w:ascii="Arial" w:hAnsi="Arial" w:cs="Arial"/>
          <w:sz w:val="22"/>
          <w:szCs w:val="22"/>
        </w:rPr>
        <w:t>, theoretically grounded framework for organisational change, well-suited</w:t>
      </w:r>
      <w:r w:rsidRPr="005D0906">
        <w:rPr>
          <w:rFonts w:ascii="Arial" w:hAnsi="Arial" w:cs="Arial"/>
          <w:sz w:val="22"/>
          <w:szCs w:val="22"/>
        </w:rPr>
        <w:t xml:space="preserve"> to the systemic and cultural failures identified in the Shrewsbury and Telford case. The first stage, unfreezing, involves creating urgency by highlighting the severity of failures identified in the Ockenden Review</w:t>
      </w:r>
      <w:r w:rsidR="00834B8B" w:rsidRPr="00322082">
        <w:rPr>
          <w:rFonts w:ascii="Arial" w:hAnsi="Arial" w:cs="Arial"/>
          <w:sz w:val="22"/>
          <w:szCs w:val="22"/>
        </w:rPr>
        <w:t xml:space="preserve"> (2022)</w:t>
      </w:r>
      <w:r w:rsidRPr="005D0906">
        <w:rPr>
          <w:rFonts w:ascii="Arial" w:hAnsi="Arial" w:cs="Arial"/>
          <w:sz w:val="22"/>
          <w:szCs w:val="22"/>
        </w:rPr>
        <w:t xml:space="preserve">, including avoidable maternal and neonatal harm. This challenges existing norms and </w:t>
      </w:r>
      <w:r w:rsidRPr="005D0906">
        <w:rPr>
          <w:rFonts w:ascii="Arial" w:hAnsi="Arial" w:cs="Arial"/>
          <w:sz w:val="22"/>
          <w:szCs w:val="22"/>
        </w:rPr>
        <w:lastRenderedPageBreak/>
        <w:t>the embedded blame culture. A guiding coalition of senior clinical leaders, midwives, obstetricians, and governance teams should drive change, with leadership playing a key role in fostering readiness and engagement (</w:t>
      </w:r>
      <w:r w:rsidR="0064343C" w:rsidRPr="00322082">
        <w:rPr>
          <w:rFonts w:ascii="Arial" w:hAnsi="Arial" w:cs="Arial"/>
          <w:sz w:val="22"/>
          <w:szCs w:val="22"/>
        </w:rPr>
        <w:t>Roşca, 2020</w:t>
      </w:r>
      <w:r w:rsidRPr="005D0906">
        <w:rPr>
          <w:rFonts w:ascii="Arial" w:hAnsi="Arial" w:cs="Arial"/>
          <w:sz w:val="22"/>
          <w:szCs w:val="22"/>
        </w:rPr>
        <w:t>).</w:t>
      </w:r>
    </w:p>
    <w:p w14:paraId="53F8941B" w14:textId="228C5311" w:rsidR="005D0906" w:rsidRPr="005D0906" w:rsidRDefault="005D0906" w:rsidP="00322082">
      <w:pPr>
        <w:spacing w:line="360" w:lineRule="auto"/>
        <w:jc w:val="both"/>
        <w:rPr>
          <w:rFonts w:ascii="Arial" w:hAnsi="Arial" w:cs="Arial"/>
          <w:sz w:val="22"/>
          <w:szCs w:val="22"/>
        </w:rPr>
      </w:pPr>
      <w:r w:rsidRPr="005D0906">
        <w:rPr>
          <w:rFonts w:ascii="Arial" w:hAnsi="Arial" w:cs="Arial"/>
          <w:sz w:val="22"/>
          <w:szCs w:val="22"/>
        </w:rPr>
        <w:t>The second stage, change, focuses on implementing improvements such as structured clinical protocols, enhanced training, improved communication, and embedding a just culture. Clear communication through briefings and training is essential to support staff engagement and adoption</w:t>
      </w:r>
      <w:r w:rsidR="00AB4D2F" w:rsidRPr="00322082">
        <w:rPr>
          <w:rFonts w:ascii="Arial" w:hAnsi="Arial" w:cs="Arial"/>
          <w:sz w:val="22"/>
          <w:szCs w:val="22"/>
        </w:rPr>
        <w:t xml:space="preserve"> </w:t>
      </w:r>
      <w:r w:rsidR="00AB4D2F" w:rsidRPr="005D0906">
        <w:rPr>
          <w:rFonts w:ascii="Arial" w:hAnsi="Arial" w:cs="Arial"/>
          <w:sz w:val="22"/>
          <w:szCs w:val="22"/>
        </w:rPr>
        <w:t>(West et al., 2014)</w:t>
      </w:r>
      <w:r w:rsidRPr="005D0906">
        <w:rPr>
          <w:rFonts w:ascii="Arial" w:hAnsi="Arial" w:cs="Arial"/>
          <w:sz w:val="22"/>
          <w:szCs w:val="22"/>
        </w:rPr>
        <w:t xml:space="preserve">. However, resistance may arise </w:t>
      </w:r>
      <w:r w:rsidRPr="00322082">
        <w:rPr>
          <w:rFonts w:ascii="Arial" w:hAnsi="Arial" w:cs="Arial"/>
          <w:sz w:val="22"/>
          <w:szCs w:val="22"/>
        </w:rPr>
        <w:t>from entrenched behaviours, fear of blame, or workload pressures, and</w:t>
      </w:r>
      <w:r w:rsidRPr="005D0906">
        <w:rPr>
          <w:rFonts w:ascii="Arial" w:hAnsi="Arial" w:cs="Arial"/>
          <w:sz w:val="22"/>
          <w:szCs w:val="22"/>
        </w:rPr>
        <w:t xml:space="preserve"> should be addressed through supportive leadership, clear communication, and staff involvement.</w:t>
      </w:r>
    </w:p>
    <w:p w14:paraId="6CA1CB2B" w14:textId="728C499B" w:rsidR="004835B3" w:rsidRDefault="005D0906" w:rsidP="00322082">
      <w:pPr>
        <w:spacing w:line="360" w:lineRule="auto"/>
        <w:jc w:val="both"/>
        <w:rPr>
          <w:rFonts w:ascii="Arial" w:hAnsi="Arial" w:cs="Arial"/>
          <w:sz w:val="22"/>
          <w:szCs w:val="22"/>
        </w:rPr>
      </w:pPr>
      <w:r w:rsidRPr="005D0906">
        <w:rPr>
          <w:rFonts w:ascii="Arial" w:hAnsi="Arial" w:cs="Arial"/>
          <w:sz w:val="22"/>
          <w:szCs w:val="22"/>
        </w:rPr>
        <w:t>The final stage, refreezing, ensures sustainability by embedding changes into organisational culture and systems. This includes reinforcing behaviours through policy, ongoing training, audits, and feedback mechanisms aligned with national standards such as NICE guidelines</w:t>
      </w:r>
      <w:r w:rsidR="008B562E" w:rsidRPr="00322082">
        <w:rPr>
          <w:rFonts w:ascii="Arial" w:hAnsi="Arial" w:cs="Arial"/>
          <w:sz w:val="22"/>
          <w:szCs w:val="22"/>
        </w:rPr>
        <w:t xml:space="preserve"> (NICE, </w:t>
      </w:r>
      <w:r w:rsidR="00E35E83" w:rsidRPr="00322082">
        <w:rPr>
          <w:rFonts w:ascii="Arial" w:hAnsi="Arial" w:cs="Arial"/>
          <w:sz w:val="22"/>
          <w:szCs w:val="22"/>
        </w:rPr>
        <w:t>2021)</w:t>
      </w:r>
      <w:r w:rsidRPr="005D0906">
        <w:rPr>
          <w:rFonts w:ascii="Arial" w:hAnsi="Arial" w:cs="Arial"/>
          <w:sz w:val="22"/>
          <w:szCs w:val="22"/>
        </w:rPr>
        <w:t>. These measures support long-term improvement and reduce the risk of reverting to unsafe practices. Overall, Lewin’s model provides a structured approach to achieving sustainable quality improvement.</w:t>
      </w:r>
    </w:p>
    <w:p w14:paraId="51899F74" w14:textId="77777777" w:rsidR="00350F2C" w:rsidRPr="00DA3945" w:rsidRDefault="00350F2C" w:rsidP="00322082">
      <w:pPr>
        <w:spacing w:line="360" w:lineRule="auto"/>
        <w:jc w:val="both"/>
        <w:rPr>
          <w:rFonts w:ascii="Arial" w:hAnsi="Arial" w:cs="Arial"/>
          <w:sz w:val="22"/>
          <w:szCs w:val="22"/>
        </w:rPr>
      </w:pPr>
    </w:p>
    <w:p w14:paraId="2A690178" w14:textId="368D86A7" w:rsidR="000E0EDE" w:rsidRPr="00D016B0" w:rsidRDefault="000E0EDE" w:rsidP="00D016B0">
      <w:pPr>
        <w:pStyle w:val="ListParagraph"/>
        <w:numPr>
          <w:ilvl w:val="0"/>
          <w:numId w:val="10"/>
        </w:numPr>
        <w:spacing w:line="360" w:lineRule="auto"/>
        <w:jc w:val="both"/>
        <w:rPr>
          <w:rFonts w:ascii="Arial" w:hAnsi="Arial" w:cs="Arial"/>
          <w:b/>
          <w:bCs/>
          <w:sz w:val="22"/>
          <w:szCs w:val="22"/>
        </w:rPr>
      </w:pPr>
      <w:r w:rsidRPr="00D016B0">
        <w:rPr>
          <w:rFonts w:ascii="Arial" w:hAnsi="Arial" w:cs="Arial"/>
          <w:b/>
          <w:bCs/>
          <w:sz w:val="22"/>
          <w:szCs w:val="22"/>
        </w:rPr>
        <w:t xml:space="preserve">Recommendations </w:t>
      </w:r>
    </w:p>
    <w:p w14:paraId="09991AB0" w14:textId="3BA866C7" w:rsidR="00F94E97" w:rsidRPr="00F94E97" w:rsidRDefault="00F94E97" w:rsidP="00322082">
      <w:pPr>
        <w:spacing w:line="360" w:lineRule="auto"/>
        <w:jc w:val="both"/>
        <w:rPr>
          <w:rFonts w:ascii="Arial" w:hAnsi="Arial" w:cs="Arial"/>
          <w:sz w:val="22"/>
          <w:szCs w:val="22"/>
        </w:rPr>
      </w:pPr>
      <w:r w:rsidRPr="00F94E97">
        <w:rPr>
          <w:rFonts w:ascii="Arial" w:hAnsi="Arial" w:cs="Arial"/>
          <w:sz w:val="22"/>
          <w:szCs w:val="22"/>
        </w:rPr>
        <w:t>Effective service improvement within maternity care requires a multifaceted approach that addresses the systemic, cultural, and organisational failures identified in the Shrewsbury and Telford case. The findings from the root cause analysis highlight the urgent need for strengthened leadership, improved safety culture, enhanced clinical competence, and robust governance systems. These recommendations are informed by quality improvement methodologies</w:t>
      </w:r>
      <w:r w:rsidR="00273F3F" w:rsidRPr="00322082">
        <w:rPr>
          <w:rFonts w:ascii="Arial" w:hAnsi="Arial" w:cs="Arial"/>
          <w:sz w:val="22"/>
          <w:szCs w:val="22"/>
        </w:rPr>
        <w:t xml:space="preserve">, supported by evidence-based practice, and </w:t>
      </w:r>
      <w:r w:rsidR="00D8757C" w:rsidRPr="00322082">
        <w:rPr>
          <w:rFonts w:ascii="Arial" w:hAnsi="Arial" w:cs="Arial"/>
          <w:sz w:val="22"/>
          <w:szCs w:val="22"/>
        </w:rPr>
        <w:t>aligned with</w:t>
      </w:r>
      <w:r w:rsidRPr="00F94E97">
        <w:rPr>
          <w:rFonts w:ascii="Arial" w:hAnsi="Arial" w:cs="Arial"/>
          <w:sz w:val="22"/>
          <w:szCs w:val="22"/>
        </w:rPr>
        <w:t xml:space="preserve"> the Plan-Do-Study-Act (PDSA) cycle to ensure structured and sustainable implementation.</w:t>
      </w:r>
    </w:p>
    <w:p w14:paraId="08022455" w14:textId="1BCA7D92" w:rsidR="00720236" w:rsidRPr="00F94E97" w:rsidRDefault="00F94E97" w:rsidP="00322082">
      <w:pPr>
        <w:spacing w:line="360" w:lineRule="auto"/>
        <w:jc w:val="both"/>
        <w:rPr>
          <w:rFonts w:ascii="Arial" w:hAnsi="Arial" w:cs="Arial"/>
          <w:sz w:val="22"/>
          <w:szCs w:val="22"/>
        </w:rPr>
      </w:pPr>
      <w:r w:rsidRPr="00F94E97">
        <w:rPr>
          <w:rFonts w:ascii="Arial" w:hAnsi="Arial" w:cs="Arial"/>
          <w:sz w:val="22"/>
          <w:szCs w:val="22"/>
        </w:rPr>
        <w:t xml:space="preserve">A key priority is the strengthening of leadership and governance structures within healthcare organisations. Effective leadership plays a critical role in shaping organisational culture, ensuring accountability, and promoting patient safety (West et al., 2014). In the planning phase, governance gaps and leadership failures identified in the Ockenden Review should be clearly defined, </w:t>
      </w:r>
      <w:r w:rsidR="000950B6" w:rsidRPr="00322082">
        <w:rPr>
          <w:rFonts w:ascii="Arial" w:hAnsi="Arial" w:cs="Arial"/>
          <w:sz w:val="22"/>
          <w:szCs w:val="22"/>
        </w:rPr>
        <w:t>along with measurable indicators such as incident-escalation</w:t>
      </w:r>
      <w:r w:rsidRPr="00F94E97">
        <w:rPr>
          <w:rFonts w:ascii="Arial" w:hAnsi="Arial" w:cs="Arial"/>
          <w:sz w:val="22"/>
          <w:szCs w:val="22"/>
        </w:rPr>
        <w:t xml:space="preserve"> compliance and audit outcomes. During the implementation phase, clear governance frameworks and leadership development programmes should be introduced to define roles, responsibilities, and accountability mechanisms (NHS Resolution, 2023). In the study phase, organisational performance should be evaluated through audits and leadership assessments. The act phase </w:t>
      </w:r>
      <w:r w:rsidRPr="00F94E97">
        <w:rPr>
          <w:rFonts w:ascii="Arial" w:hAnsi="Arial" w:cs="Arial"/>
          <w:sz w:val="22"/>
          <w:szCs w:val="22"/>
        </w:rPr>
        <w:lastRenderedPageBreak/>
        <w:t>should refine governance structures based on findings, ensuring continuous improvement and sustained oversight.</w:t>
      </w:r>
    </w:p>
    <w:p w14:paraId="3B8B1090" w14:textId="77777777" w:rsidR="00F94E97" w:rsidRPr="00F94E97" w:rsidRDefault="00F94E97" w:rsidP="00322082">
      <w:pPr>
        <w:spacing w:line="360" w:lineRule="auto"/>
        <w:jc w:val="both"/>
        <w:rPr>
          <w:rFonts w:ascii="Arial" w:hAnsi="Arial" w:cs="Arial"/>
          <w:sz w:val="22"/>
          <w:szCs w:val="22"/>
        </w:rPr>
      </w:pPr>
      <w:r w:rsidRPr="00F94E97">
        <w:rPr>
          <w:rFonts w:ascii="Arial" w:hAnsi="Arial" w:cs="Arial"/>
          <w:sz w:val="22"/>
          <w:szCs w:val="22"/>
        </w:rPr>
        <w:t>Improving organisational safety culture is equally essential. A positive safety culture encourages openness, transparency, and continuous learning, enabling staff to report concerns without fear of blame or retribution. The presence of a blame culture within the Trust significantly hindered learning and contributed to repeated failures (West et al., 2017). In the planning phase, cultural barriers and reporting gaps should be identified through staff surveys and incident data. During implementation, a “just culture” approach should be introduced, supported by structured incident reporting systems and reflective practice (Reason, 2000). In the study phase, staff engagement, reporting rates, and feedback should be analysed to assess cultural change. The act phase should focus on embedding psychological safety and refining systems to ensure ongoing openness and learning (Edmondson, 2004).</w:t>
      </w:r>
    </w:p>
    <w:p w14:paraId="610728B8" w14:textId="77777777" w:rsidR="00F94E97" w:rsidRPr="00F94E97" w:rsidRDefault="00F94E97" w:rsidP="00322082">
      <w:pPr>
        <w:spacing w:line="360" w:lineRule="auto"/>
        <w:jc w:val="both"/>
        <w:rPr>
          <w:rFonts w:ascii="Arial" w:hAnsi="Arial" w:cs="Arial"/>
          <w:sz w:val="22"/>
          <w:szCs w:val="22"/>
        </w:rPr>
      </w:pPr>
      <w:r w:rsidRPr="00F94E97">
        <w:rPr>
          <w:rFonts w:ascii="Arial" w:hAnsi="Arial" w:cs="Arial"/>
          <w:sz w:val="22"/>
          <w:szCs w:val="22"/>
        </w:rPr>
        <w:t>Enhancing clinical training and competence is another fundamental recommendation. The Ockenden Review identified significant gaps in clinical knowledge and decision-making, particularly in recognising and responding to complications during labour. In the planning phase, training needs should be identified based on incident reviews and competency assessments. During implementation, regular simulation-based training and multidisciplinary education programmes should be introduced to improve clinical skills and teamwork (Renfrew et al., 2014). In the study phase, outcomes such as staff competence, response times, and patient safety indicators should be evaluated. The act phase should refine training programmes based on feedback and performance data, ensuring continuous development of clinical competence (WHO, 2021).</w:t>
      </w:r>
    </w:p>
    <w:p w14:paraId="6AB214D3" w14:textId="77777777" w:rsidR="00F94E97" w:rsidRPr="00F94E97" w:rsidRDefault="00F94E97" w:rsidP="00322082">
      <w:pPr>
        <w:spacing w:line="360" w:lineRule="auto"/>
        <w:jc w:val="both"/>
        <w:rPr>
          <w:rFonts w:ascii="Arial" w:hAnsi="Arial" w:cs="Arial"/>
          <w:sz w:val="22"/>
          <w:szCs w:val="22"/>
        </w:rPr>
      </w:pPr>
      <w:r w:rsidRPr="00F94E97">
        <w:rPr>
          <w:rFonts w:ascii="Arial" w:hAnsi="Arial" w:cs="Arial"/>
          <w:sz w:val="22"/>
          <w:szCs w:val="22"/>
        </w:rPr>
        <w:t>Standardising clinical processes and ensuring adherence to evidence-based guidelines are critical for reducing variation in care and improving outcomes. The failure to consistently implement NICE (2022) guidelines was a key contributing factor in this case. In the planning phase, inconsistencies in clinical pathways should be identified, and clear protocols established. During implementation, standardised procedures and checklists should be introduced, supported by digital systems to enhance compliance (HQIP, 2022). In the study phase, adherence to guidelines and clinical outcomes should be monitored through audits and performance data. The act phase should involve refining protocols and addressing barriers to compliance to ensure sustained improvement.</w:t>
      </w:r>
    </w:p>
    <w:p w14:paraId="4CD5D7C4" w14:textId="2E042A92" w:rsidR="00F94E97" w:rsidRPr="00F94E97" w:rsidRDefault="00F94E97" w:rsidP="00322082">
      <w:pPr>
        <w:spacing w:line="360" w:lineRule="auto"/>
        <w:jc w:val="both"/>
        <w:rPr>
          <w:rFonts w:ascii="Arial" w:hAnsi="Arial" w:cs="Arial"/>
          <w:sz w:val="22"/>
          <w:szCs w:val="22"/>
        </w:rPr>
      </w:pPr>
      <w:r w:rsidRPr="00F94E97">
        <w:rPr>
          <w:rFonts w:ascii="Arial" w:hAnsi="Arial" w:cs="Arial"/>
          <w:sz w:val="22"/>
          <w:szCs w:val="22"/>
        </w:rPr>
        <w:t xml:space="preserve">Patient-centred care must also be prioritised as a core component of service improvement. The failure to listen to patients and families was a recurring theme in the Ockenden Review (2022), highlighting the need for greater patient involvement in care delivery. In the planning phase, gaps in patient engagement should be identified through </w:t>
      </w:r>
      <w:r w:rsidR="000950B6" w:rsidRPr="00322082">
        <w:rPr>
          <w:rFonts w:ascii="Arial" w:hAnsi="Arial" w:cs="Arial"/>
          <w:sz w:val="22"/>
          <w:szCs w:val="22"/>
        </w:rPr>
        <w:t>complaint</w:t>
      </w:r>
      <w:r w:rsidRPr="00F94E97">
        <w:rPr>
          <w:rFonts w:ascii="Arial" w:hAnsi="Arial" w:cs="Arial"/>
          <w:sz w:val="22"/>
          <w:szCs w:val="22"/>
        </w:rPr>
        <w:t xml:space="preserve"> data and patient </w:t>
      </w:r>
      <w:r w:rsidRPr="00F94E97">
        <w:rPr>
          <w:rFonts w:ascii="Arial" w:hAnsi="Arial" w:cs="Arial"/>
          <w:sz w:val="22"/>
          <w:szCs w:val="22"/>
        </w:rPr>
        <w:lastRenderedPageBreak/>
        <w:t>feedback. During implementation, structured feedback mechanisms, such as surveys and patient involvement initiatives, should be strengthened (NHS, 2023). In the study phase, patient satisfaction and experience data should be analysed to assess improvement. The act phase should refine engagement strategies to ensure that patient voices are consistently integrated into service development.</w:t>
      </w:r>
    </w:p>
    <w:p w14:paraId="42C3505F" w14:textId="77777777" w:rsidR="00F94E97" w:rsidRPr="00F94E97" w:rsidRDefault="00F94E97" w:rsidP="00322082">
      <w:pPr>
        <w:spacing w:line="360" w:lineRule="auto"/>
        <w:jc w:val="both"/>
        <w:rPr>
          <w:rFonts w:ascii="Arial" w:hAnsi="Arial" w:cs="Arial"/>
          <w:sz w:val="22"/>
          <w:szCs w:val="22"/>
        </w:rPr>
      </w:pPr>
      <w:r w:rsidRPr="00F94E97">
        <w:rPr>
          <w:rFonts w:ascii="Arial" w:hAnsi="Arial" w:cs="Arial"/>
          <w:sz w:val="22"/>
          <w:szCs w:val="22"/>
        </w:rPr>
        <w:t>Workforce planning is another critical area for improvement. Staffing shortages and an inadequate skill mix were significant contributors to the failures observed in this case. In the planning phase, workforce gaps and skill mix issues should be identified using staffing data and service demand analysis. During implementation, strategic workforce planning and investment in training should be prioritised to improve staffing levels and retention (Department of Health and Social Care, 2022). In the study phase, workforce metrics, including staffing ratios and staff wellbeing indicators, should be evaluated. The act phase should refine workforce strategies to ensure sustainability and alignment with service needs (Tossaint-Schoenmakers et al., 2021; Aiken et al., 2014).</w:t>
      </w:r>
    </w:p>
    <w:p w14:paraId="62FF610F" w14:textId="5380CC93" w:rsidR="00F94E97" w:rsidRPr="00350F2C" w:rsidRDefault="00F94E97" w:rsidP="00322082">
      <w:pPr>
        <w:spacing w:line="360" w:lineRule="auto"/>
        <w:jc w:val="both"/>
        <w:rPr>
          <w:rFonts w:ascii="Arial" w:hAnsi="Arial" w:cs="Arial"/>
          <w:sz w:val="22"/>
          <w:szCs w:val="22"/>
        </w:rPr>
      </w:pPr>
      <w:r w:rsidRPr="00F94E97">
        <w:rPr>
          <w:rFonts w:ascii="Arial" w:hAnsi="Arial" w:cs="Arial"/>
          <w:sz w:val="22"/>
          <w:szCs w:val="22"/>
        </w:rPr>
        <w:t>Finally, the integration of digital innovation offers significant opportunities to improve patient safety and the quality of care. Digital technologies, such as electronic health records and real-time monitoring systems, can enhance communication, improve documentation, and support clinical decision-making (</w:t>
      </w:r>
      <w:proofErr w:type="spellStart"/>
      <w:r w:rsidRPr="00F94E97">
        <w:rPr>
          <w:rFonts w:ascii="Arial" w:hAnsi="Arial" w:cs="Arial"/>
          <w:sz w:val="22"/>
          <w:szCs w:val="22"/>
        </w:rPr>
        <w:t>Carayon</w:t>
      </w:r>
      <w:proofErr w:type="spellEnd"/>
      <w:r w:rsidRPr="00F94E97">
        <w:rPr>
          <w:rFonts w:ascii="Arial" w:hAnsi="Arial" w:cs="Arial"/>
          <w:sz w:val="22"/>
          <w:szCs w:val="22"/>
        </w:rPr>
        <w:t xml:space="preserve"> et al., 2014; WHO, 2016). In the planning phase, gaps in digital infrastructure and data systems should be identified. During implementation, digital tools should be introduced to support clinical decision-making and data collection. In the study phase, system performance, data accuracy, and user engagement should be evaluated</w:t>
      </w:r>
      <w:r w:rsidR="00176363" w:rsidRPr="00322082">
        <w:rPr>
          <w:rFonts w:ascii="Arial" w:hAnsi="Arial" w:cs="Arial"/>
          <w:sz w:val="22"/>
          <w:szCs w:val="22"/>
        </w:rPr>
        <w:t xml:space="preserve"> (</w:t>
      </w:r>
      <w:r w:rsidR="00CB0D2C" w:rsidRPr="00322082">
        <w:rPr>
          <w:rFonts w:ascii="Arial" w:hAnsi="Arial" w:cs="Arial"/>
          <w:sz w:val="22"/>
          <w:szCs w:val="22"/>
        </w:rPr>
        <w:t>Moser</w:t>
      </w:r>
      <w:r w:rsidR="00EF226A" w:rsidRPr="00322082">
        <w:rPr>
          <w:rFonts w:ascii="Arial" w:hAnsi="Arial" w:cs="Arial"/>
          <w:sz w:val="22"/>
          <w:szCs w:val="22"/>
        </w:rPr>
        <w:t xml:space="preserve"> et al., 2020)</w:t>
      </w:r>
      <w:r w:rsidRPr="00F94E97">
        <w:rPr>
          <w:rFonts w:ascii="Arial" w:hAnsi="Arial" w:cs="Arial"/>
          <w:sz w:val="22"/>
          <w:szCs w:val="22"/>
        </w:rPr>
        <w:t>. The act phase should refine digital systems and ensure integration into clinical workflows to maximise effectiveness and sustainability.</w:t>
      </w:r>
    </w:p>
    <w:p w14:paraId="6B97EAC8" w14:textId="0F350D6E" w:rsidR="00325F85" w:rsidRPr="00D016B0" w:rsidRDefault="003F3BD3" w:rsidP="00D016B0">
      <w:pPr>
        <w:pStyle w:val="ListParagraph"/>
        <w:numPr>
          <w:ilvl w:val="0"/>
          <w:numId w:val="10"/>
        </w:numPr>
        <w:spacing w:line="360" w:lineRule="auto"/>
        <w:jc w:val="both"/>
        <w:rPr>
          <w:rFonts w:ascii="Arial" w:hAnsi="Arial" w:cs="Arial"/>
          <w:b/>
          <w:bCs/>
          <w:sz w:val="22"/>
          <w:szCs w:val="22"/>
        </w:rPr>
      </w:pPr>
      <w:r w:rsidRPr="00D016B0">
        <w:rPr>
          <w:rFonts w:ascii="Arial" w:hAnsi="Arial" w:cs="Arial"/>
          <w:b/>
          <w:bCs/>
          <w:sz w:val="22"/>
          <w:szCs w:val="22"/>
        </w:rPr>
        <w:t>Benchmarking</w:t>
      </w:r>
    </w:p>
    <w:p w14:paraId="07D3C785" w14:textId="1AD61041" w:rsidR="003F3BD3" w:rsidRPr="003F3BD3" w:rsidRDefault="003F3BD3" w:rsidP="00322082">
      <w:pPr>
        <w:spacing w:line="360" w:lineRule="auto"/>
        <w:jc w:val="both"/>
        <w:rPr>
          <w:rFonts w:ascii="Arial" w:hAnsi="Arial" w:cs="Arial"/>
          <w:sz w:val="22"/>
          <w:szCs w:val="22"/>
        </w:rPr>
      </w:pPr>
      <w:r w:rsidRPr="003F3BD3">
        <w:rPr>
          <w:rFonts w:ascii="Arial" w:hAnsi="Arial" w:cs="Arial"/>
          <w:sz w:val="22"/>
          <w:szCs w:val="22"/>
        </w:rPr>
        <w:t xml:space="preserve">Benchmarking against national standards is essential </w:t>
      </w:r>
      <w:r w:rsidR="000950B6" w:rsidRPr="00322082">
        <w:rPr>
          <w:rFonts w:ascii="Arial" w:hAnsi="Arial" w:cs="Arial"/>
          <w:sz w:val="22"/>
          <w:szCs w:val="22"/>
        </w:rPr>
        <w:t>for evaluating current performance and guiding</w:t>
      </w:r>
      <w:r w:rsidRPr="003F3BD3">
        <w:rPr>
          <w:rFonts w:ascii="Arial" w:hAnsi="Arial" w:cs="Arial"/>
          <w:sz w:val="22"/>
          <w:szCs w:val="22"/>
        </w:rPr>
        <w:t xml:space="preserve"> improvement. The findings from the Ockenden Review can be compared with national maternity safety standards, including NICE guidelines and NHS England’s </w:t>
      </w:r>
      <w:r w:rsidRPr="003F3BD3">
        <w:rPr>
          <w:rFonts w:ascii="Arial" w:hAnsi="Arial" w:cs="Arial"/>
          <w:i/>
          <w:iCs/>
          <w:sz w:val="22"/>
          <w:szCs w:val="22"/>
        </w:rPr>
        <w:t>Better Births</w:t>
      </w:r>
      <w:r w:rsidRPr="003F3BD3">
        <w:rPr>
          <w:rFonts w:ascii="Arial" w:hAnsi="Arial" w:cs="Arial"/>
          <w:sz w:val="22"/>
          <w:szCs w:val="22"/>
        </w:rPr>
        <w:t xml:space="preserve"> framework, which emphasise personalised care, improved safety, and continuity of care</w:t>
      </w:r>
      <w:r w:rsidR="00834B8B" w:rsidRPr="00322082">
        <w:rPr>
          <w:rFonts w:ascii="Arial" w:hAnsi="Arial" w:cs="Arial"/>
          <w:sz w:val="22"/>
          <w:szCs w:val="22"/>
        </w:rPr>
        <w:t xml:space="preserve"> (NHS, 20</w:t>
      </w:r>
      <w:r w:rsidR="008D4FDE" w:rsidRPr="00322082">
        <w:rPr>
          <w:rFonts w:ascii="Arial" w:hAnsi="Arial" w:cs="Arial"/>
          <w:sz w:val="22"/>
          <w:szCs w:val="22"/>
        </w:rPr>
        <w:t>19</w:t>
      </w:r>
      <w:r w:rsidR="00834B8B" w:rsidRPr="00322082">
        <w:rPr>
          <w:rFonts w:ascii="Arial" w:hAnsi="Arial" w:cs="Arial"/>
          <w:sz w:val="22"/>
          <w:szCs w:val="22"/>
        </w:rPr>
        <w:t>)</w:t>
      </w:r>
      <w:r w:rsidRPr="003F3BD3">
        <w:rPr>
          <w:rFonts w:ascii="Arial" w:hAnsi="Arial" w:cs="Arial"/>
          <w:sz w:val="22"/>
          <w:szCs w:val="22"/>
        </w:rPr>
        <w:t xml:space="preserve">. In addition, high-performing trusts, such as those recognised through NHS maternity safety programmes and Care Quality Commission (CQC) ratings, </w:t>
      </w:r>
      <w:r w:rsidR="000950B6" w:rsidRPr="00322082">
        <w:rPr>
          <w:rFonts w:ascii="Arial" w:hAnsi="Arial" w:cs="Arial"/>
          <w:sz w:val="22"/>
          <w:szCs w:val="22"/>
        </w:rPr>
        <w:t>exemplify</w:t>
      </w:r>
      <w:r w:rsidRPr="003F3BD3">
        <w:rPr>
          <w:rFonts w:ascii="Arial" w:hAnsi="Arial" w:cs="Arial"/>
          <w:sz w:val="22"/>
          <w:szCs w:val="22"/>
        </w:rPr>
        <w:t xml:space="preserve"> best practice, particularly in areas such as effective clinical governance, strong safety culture, and multidisciplinary collaboration</w:t>
      </w:r>
      <w:r w:rsidR="008D4FDE" w:rsidRPr="00322082">
        <w:rPr>
          <w:rFonts w:ascii="Arial" w:hAnsi="Arial" w:cs="Arial"/>
          <w:sz w:val="22"/>
          <w:szCs w:val="22"/>
        </w:rPr>
        <w:t xml:space="preserve"> (CQC, </w:t>
      </w:r>
      <w:r w:rsidR="004C5F92" w:rsidRPr="00322082">
        <w:rPr>
          <w:rFonts w:ascii="Arial" w:hAnsi="Arial" w:cs="Arial"/>
          <w:sz w:val="22"/>
          <w:szCs w:val="22"/>
        </w:rPr>
        <w:t>2025)</w:t>
      </w:r>
      <w:r w:rsidRPr="003F3BD3">
        <w:rPr>
          <w:rFonts w:ascii="Arial" w:hAnsi="Arial" w:cs="Arial"/>
          <w:sz w:val="22"/>
          <w:szCs w:val="22"/>
        </w:rPr>
        <w:t>.</w:t>
      </w:r>
    </w:p>
    <w:p w14:paraId="6299DE8E" w14:textId="14ADB3BD" w:rsidR="003F3BD3" w:rsidRPr="003F3BD3" w:rsidRDefault="003F3BD3" w:rsidP="00322082">
      <w:pPr>
        <w:spacing w:line="360" w:lineRule="auto"/>
        <w:jc w:val="both"/>
        <w:rPr>
          <w:rFonts w:ascii="Arial" w:hAnsi="Arial" w:cs="Arial"/>
          <w:sz w:val="22"/>
          <w:szCs w:val="22"/>
        </w:rPr>
      </w:pPr>
      <w:r w:rsidRPr="003F3BD3">
        <w:rPr>
          <w:rFonts w:ascii="Arial" w:hAnsi="Arial" w:cs="Arial"/>
          <w:sz w:val="22"/>
          <w:szCs w:val="22"/>
        </w:rPr>
        <w:t>The proposed improvements align with these external benchmarks by focusing on enhanced escalation protocols, improved staff training, and strengthened governance systems, all of which are key priorities within national maternity safety strategies</w:t>
      </w:r>
      <w:r w:rsidR="00B9107F" w:rsidRPr="00322082">
        <w:rPr>
          <w:rFonts w:ascii="Arial" w:hAnsi="Arial" w:cs="Arial"/>
          <w:sz w:val="22"/>
          <w:szCs w:val="22"/>
        </w:rPr>
        <w:t xml:space="preserve"> (RCOG, 2022</w:t>
      </w:r>
      <w:r w:rsidR="00A52978" w:rsidRPr="00322082">
        <w:rPr>
          <w:rFonts w:ascii="Arial" w:hAnsi="Arial" w:cs="Arial"/>
          <w:sz w:val="22"/>
          <w:szCs w:val="22"/>
        </w:rPr>
        <w:t>; NHS, 2025</w:t>
      </w:r>
      <w:r w:rsidR="00B9107F" w:rsidRPr="00322082">
        <w:rPr>
          <w:rFonts w:ascii="Arial" w:hAnsi="Arial" w:cs="Arial"/>
          <w:sz w:val="22"/>
          <w:szCs w:val="22"/>
        </w:rPr>
        <w:t>)</w:t>
      </w:r>
      <w:r w:rsidRPr="003F3BD3">
        <w:rPr>
          <w:rFonts w:ascii="Arial" w:hAnsi="Arial" w:cs="Arial"/>
          <w:sz w:val="22"/>
          <w:szCs w:val="22"/>
        </w:rPr>
        <w:t xml:space="preserve">. </w:t>
      </w:r>
      <w:r w:rsidRPr="003F3BD3">
        <w:rPr>
          <w:rFonts w:ascii="Arial" w:hAnsi="Arial" w:cs="Arial"/>
          <w:sz w:val="22"/>
          <w:szCs w:val="22"/>
        </w:rPr>
        <w:lastRenderedPageBreak/>
        <w:t xml:space="preserve">Lessons from high-performing organisations highlight the importance of proactive leadership, </w:t>
      </w:r>
      <w:r w:rsidR="000950B6" w:rsidRPr="00322082">
        <w:rPr>
          <w:rFonts w:ascii="Arial" w:hAnsi="Arial" w:cs="Arial"/>
          <w:sz w:val="22"/>
          <w:szCs w:val="22"/>
        </w:rPr>
        <w:t>ongoing staff engagement, and robust incident-reporting systems for</w:t>
      </w:r>
      <w:r w:rsidRPr="003F3BD3">
        <w:rPr>
          <w:rFonts w:ascii="Arial" w:hAnsi="Arial" w:cs="Arial"/>
          <w:sz w:val="22"/>
          <w:szCs w:val="22"/>
        </w:rPr>
        <w:t xml:space="preserve"> achieving sustained improvements in patient safety.</w:t>
      </w:r>
    </w:p>
    <w:p w14:paraId="20DEB0DD" w14:textId="658ED782" w:rsidR="000E0EDE" w:rsidRPr="00322082" w:rsidRDefault="003F3BD3" w:rsidP="00322082">
      <w:pPr>
        <w:spacing w:line="360" w:lineRule="auto"/>
        <w:jc w:val="both"/>
        <w:rPr>
          <w:rFonts w:ascii="Arial" w:hAnsi="Arial" w:cs="Arial"/>
          <w:sz w:val="22"/>
          <w:szCs w:val="22"/>
        </w:rPr>
      </w:pPr>
      <w:r w:rsidRPr="003F3BD3">
        <w:rPr>
          <w:rFonts w:ascii="Arial" w:hAnsi="Arial" w:cs="Arial"/>
          <w:sz w:val="22"/>
          <w:szCs w:val="22"/>
        </w:rPr>
        <w:t>Benchmarking data can be used to monitor ongoing improvement by comparing local performance indicators, such as incident rates, response times, and patient outcomes, against national averages and targets. This enables organisations to identify performance gaps, track progress, and ensure accountability. However, limitations exist when comparing across organisations due to contextual differences, including variations in workforce capacity, resource availability, and patient demographics</w:t>
      </w:r>
      <w:r w:rsidR="00C91EEF" w:rsidRPr="00322082">
        <w:rPr>
          <w:rFonts w:ascii="Arial" w:hAnsi="Arial" w:cs="Arial"/>
          <w:sz w:val="22"/>
          <w:szCs w:val="22"/>
        </w:rPr>
        <w:t xml:space="preserve"> (</w:t>
      </w:r>
      <w:r w:rsidR="00C91EEF" w:rsidRPr="00322082">
        <w:rPr>
          <w:rFonts w:ascii="Arial" w:hAnsi="Arial" w:cs="Arial"/>
          <w:sz w:val="22"/>
          <w:szCs w:val="22"/>
          <w:lang w:val="en-US"/>
        </w:rPr>
        <w:t>Healthcare Quality Improvement Partnership, 2022).</w:t>
      </w:r>
      <w:r w:rsidRPr="003F3BD3">
        <w:rPr>
          <w:rFonts w:ascii="Arial" w:hAnsi="Arial" w:cs="Arial"/>
          <w:sz w:val="22"/>
          <w:szCs w:val="22"/>
        </w:rPr>
        <w:t xml:space="preserve"> Therefore, while benchmarking provides valuable insight, it must be interpreted alongside local context to ensure meaningful and appropriate application.</w:t>
      </w:r>
    </w:p>
    <w:p w14:paraId="1A33E02F" w14:textId="7538D852" w:rsidR="000E0EDE" w:rsidRPr="00D016B0" w:rsidRDefault="000E0EDE" w:rsidP="00D016B0">
      <w:pPr>
        <w:pStyle w:val="ListParagraph"/>
        <w:numPr>
          <w:ilvl w:val="0"/>
          <w:numId w:val="10"/>
        </w:numPr>
        <w:spacing w:line="360" w:lineRule="auto"/>
        <w:jc w:val="both"/>
        <w:rPr>
          <w:rFonts w:ascii="Arial" w:hAnsi="Arial" w:cs="Arial"/>
          <w:b/>
          <w:bCs/>
          <w:sz w:val="22"/>
          <w:szCs w:val="22"/>
        </w:rPr>
      </w:pPr>
      <w:r w:rsidRPr="00D016B0">
        <w:rPr>
          <w:rFonts w:ascii="Arial" w:hAnsi="Arial" w:cs="Arial"/>
          <w:b/>
          <w:bCs/>
          <w:sz w:val="22"/>
          <w:szCs w:val="22"/>
        </w:rPr>
        <w:t xml:space="preserve">Conclusion </w:t>
      </w:r>
    </w:p>
    <w:p w14:paraId="3A95D5AC" w14:textId="77777777" w:rsidR="00E80D3D" w:rsidRPr="00E80D3D" w:rsidRDefault="00E80D3D" w:rsidP="00322082">
      <w:pPr>
        <w:spacing w:line="360" w:lineRule="auto"/>
        <w:jc w:val="both"/>
        <w:rPr>
          <w:rFonts w:ascii="Arial" w:hAnsi="Arial" w:cs="Arial"/>
          <w:sz w:val="22"/>
          <w:szCs w:val="22"/>
        </w:rPr>
      </w:pPr>
      <w:r w:rsidRPr="00E80D3D">
        <w:rPr>
          <w:rFonts w:ascii="Arial" w:hAnsi="Arial" w:cs="Arial"/>
          <w:sz w:val="22"/>
          <w:szCs w:val="22"/>
        </w:rPr>
        <w:t>The Shrewsbury and Telford maternity scandal represents a profound failure of healthcare quality management, demonstrating that harm resulted not from isolated clinical errors but from systemic issues in leadership, organisational culture, clinical processes, and governance. The application of frameworks, including the Fishbone diagram, 5 Whys, Donabedian model, and SWOT analysis, highlights the complexity of healthcare systems and the need for an integrated approach to quality improvement, linking structural, process, and cultural factors to patient outcomes.</w:t>
      </w:r>
    </w:p>
    <w:p w14:paraId="2132FC9B" w14:textId="77777777" w:rsidR="00E80D3D" w:rsidRPr="00E80D3D" w:rsidRDefault="00E80D3D" w:rsidP="00322082">
      <w:pPr>
        <w:spacing w:line="360" w:lineRule="auto"/>
        <w:jc w:val="both"/>
        <w:rPr>
          <w:rFonts w:ascii="Arial" w:hAnsi="Arial" w:cs="Arial"/>
          <w:sz w:val="22"/>
          <w:szCs w:val="22"/>
        </w:rPr>
      </w:pPr>
      <w:r w:rsidRPr="00E80D3D">
        <w:rPr>
          <w:rFonts w:ascii="Arial" w:hAnsi="Arial" w:cs="Arial"/>
          <w:sz w:val="22"/>
          <w:szCs w:val="22"/>
        </w:rPr>
        <w:t>The implications are significant: patients experienced avoidable harm and loss of trust, staff faced reduced psychological safety and engagement, and system performance was undermined by ineffective governance. The recommendations emphasise strengthening leadership, safety culture, clinical training, and patient-centred care, supported by structured methodologies such as PDSA cycles to enable implementation, evaluation, and continuous refinement. Sustaining and scaling improvement requires strong leadership commitment, ongoing monitoring, and alignment with national standards.</w:t>
      </w:r>
    </w:p>
    <w:p w14:paraId="41E90915" w14:textId="60007FCC" w:rsidR="00760512" w:rsidRDefault="00E80D3D" w:rsidP="00350F2C">
      <w:pPr>
        <w:spacing w:line="360" w:lineRule="auto"/>
        <w:jc w:val="both"/>
        <w:rPr>
          <w:rFonts w:ascii="Arial" w:hAnsi="Arial" w:cs="Arial"/>
          <w:sz w:val="22"/>
          <w:szCs w:val="22"/>
        </w:rPr>
      </w:pPr>
      <w:r w:rsidRPr="00E80D3D">
        <w:rPr>
          <w:rFonts w:ascii="Arial" w:hAnsi="Arial" w:cs="Arial"/>
          <w:sz w:val="22"/>
          <w:szCs w:val="22"/>
        </w:rPr>
        <w:t>Key leadership lessons include the importance of accountability, transparency, and effective communication in fostering a culture of learning and patient safety. Further research and evaluation are needed to assess the long-term impact of interventions, particularly in relation to organisational culture, workforce development, and patient outcomes, ensuring improvements remain sustainable and responsive to evolving healthcare challenges</w:t>
      </w:r>
      <w:r w:rsidR="00350F2C">
        <w:rPr>
          <w:rFonts w:ascii="Arial" w:hAnsi="Arial" w:cs="Arial"/>
          <w:sz w:val="22"/>
          <w:szCs w:val="22"/>
        </w:rPr>
        <w:t>.</w:t>
      </w:r>
    </w:p>
    <w:p w14:paraId="238996F1" w14:textId="77777777" w:rsidR="00D04D03" w:rsidRDefault="00D04D03" w:rsidP="00350F2C">
      <w:pPr>
        <w:spacing w:line="360" w:lineRule="auto"/>
        <w:jc w:val="both"/>
        <w:rPr>
          <w:rFonts w:ascii="Arial" w:hAnsi="Arial" w:cs="Arial"/>
          <w:sz w:val="22"/>
          <w:szCs w:val="22"/>
        </w:rPr>
      </w:pPr>
    </w:p>
    <w:p w14:paraId="2046C933" w14:textId="77777777" w:rsidR="00D04D03" w:rsidRPr="00350F2C" w:rsidRDefault="00D04D03" w:rsidP="00350F2C">
      <w:pPr>
        <w:spacing w:line="360" w:lineRule="auto"/>
        <w:jc w:val="both"/>
        <w:rPr>
          <w:rFonts w:ascii="Arial" w:hAnsi="Arial" w:cs="Arial"/>
          <w:sz w:val="22"/>
          <w:szCs w:val="22"/>
        </w:rPr>
      </w:pPr>
    </w:p>
    <w:p w14:paraId="09872300" w14:textId="2D0EA1AC" w:rsidR="000E0EDE" w:rsidRPr="00D016B0" w:rsidRDefault="000E0EDE" w:rsidP="00D016B0">
      <w:pPr>
        <w:pStyle w:val="ListParagraph"/>
        <w:numPr>
          <w:ilvl w:val="0"/>
          <w:numId w:val="10"/>
        </w:numPr>
        <w:rPr>
          <w:rFonts w:ascii="Arial" w:hAnsi="Arial" w:cs="Arial"/>
          <w:b/>
          <w:bCs/>
          <w:sz w:val="22"/>
          <w:szCs w:val="22"/>
        </w:rPr>
      </w:pPr>
      <w:r w:rsidRPr="00D016B0">
        <w:rPr>
          <w:rFonts w:ascii="Arial" w:hAnsi="Arial" w:cs="Arial"/>
          <w:b/>
          <w:bCs/>
          <w:sz w:val="22"/>
          <w:szCs w:val="22"/>
        </w:rPr>
        <w:lastRenderedPageBreak/>
        <w:t xml:space="preserve">Reference List </w:t>
      </w:r>
    </w:p>
    <w:p w14:paraId="466A25DA" w14:textId="77777777" w:rsidR="00350F2C" w:rsidRPr="0085312D" w:rsidRDefault="00350F2C" w:rsidP="0085312D">
      <w:pPr>
        <w:spacing w:line="276" w:lineRule="auto"/>
        <w:rPr>
          <w:rFonts w:ascii="Arial" w:hAnsi="Arial" w:cs="Arial"/>
          <w:sz w:val="22"/>
          <w:szCs w:val="22"/>
        </w:rPr>
      </w:pPr>
      <w:r w:rsidRPr="0085312D">
        <w:rPr>
          <w:rFonts w:ascii="Arial" w:hAnsi="Arial" w:cs="Arial"/>
          <w:sz w:val="22"/>
          <w:szCs w:val="22"/>
        </w:rPr>
        <w:t xml:space="preserve">Aiken, L.H., Sloane, D.M., Bruyneel, L., Van den Heede, K. and Sermeus, W. (2014) ‘Nurse staffing and education and hospital mortality in nine European countries’, </w:t>
      </w:r>
      <w:r w:rsidRPr="0085312D">
        <w:rPr>
          <w:rFonts w:ascii="Arial" w:hAnsi="Arial" w:cs="Arial"/>
          <w:i/>
          <w:iCs/>
          <w:sz w:val="22"/>
          <w:szCs w:val="22"/>
        </w:rPr>
        <w:t>The Lancet</w:t>
      </w:r>
      <w:r w:rsidRPr="0085312D">
        <w:rPr>
          <w:rFonts w:ascii="Arial" w:hAnsi="Arial" w:cs="Arial"/>
          <w:sz w:val="22"/>
          <w:szCs w:val="22"/>
        </w:rPr>
        <w:t>, 383(9931), pp. 1824–1830. Available at: https://doi.org/10.1016/S0140-6736(13)62631-8</w:t>
      </w:r>
    </w:p>
    <w:p w14:paraId="713AFE46" w14:textId="2A06C4D1" w:rsidR="00350F2C" w:rsidRPr="0085312D" w:rsidRDefault="00350F2C" w:rsidP="0085312D">
      <w:pPr>
        <w:spacing w:line="276" w:lineRule="auto"/>
        <w:rPr>
          <w:rFonts w:ascii="Arial" w:hAnsi="Arial" w:cs="Arial"/>
          <w:sz w:val="22"/>
          <w:szCs w:val="22"/>
          <w:lang w:val="fr-FR"/>
        </w:rPr>
      </w:pPr>
      <w:r w:rsidRPr="0085312D">
        <w:rPr>
          <w:rFonts w:ascii="Arial" w:hAnsi="Arial" w:cs="Arial"/>
          <w:sz w:val="22"/>
          <w:szCs w:val="22"/>
        </w:rPr>
        <w:t xml:space="preserve">Braithwaite, J., </w:t>
      </w:r>
      <w:proofErr w:type="spellStart"/>
      <w:r w:rsidRPr="0085312D">
        <w:rPr>
          <w:rFonts w:ascii="Arial" w:hAnsi="Arial" w:cs="Arial"/>
          <w:sz w:val="22"/>
          <w:szCs w:val="22"/>
        </w:rPr>
        <w:t>Churruca</w:t>
      </w:r>
      <w:proofErr w:type="spellEnd"/>
      <w:r w:rsidRPr="0085312D">
        <w:rPr>
          <w:rFonts w:ascii="Arial" w:hAnsi="Arial" w:cs="Arial"/>
          <w:sz w:val="22"/>
          <w:szCs w:val="22"/>
        </w:rPr>
        <w:t xml:space="preserve">, K., Ellis, L.A. and Long, J.C. (2017) ‘Complexity science in healthcare – aspirations, approaches, applications and accomplishments’, </w:t>
      </w:r>
      <w:r w:rsidRPr="0085312D">
        <w:rPr>
          <w:rFonts w:ascii="Arial" w:hAnsi="Arial" w:cs="Arial"/>
          <w:i/>
          <w:iCs/>
          <w:sz w:val="22"/>
          <w:szCs w:val="22"/>
        </w:rPr>
        <w:t>BMJ Quality &amp; Safety</w:t>
      </w:r>
      <w:r w:rsidRPr="0085312D">
        <w:rPr>
          <w:rFonts w:ascii="Arial" w:hAnsi="Arial" w:cs="Arial"/>
          <w:sz w:val="22"/>
          <w:szCs w:val="22"/>
        </w:rPr>
        <w:t xml:space="preserve">, 26(10), pp. 789–793. </w:t>
      </w:r>
    </w:p>
    <w:p w14:paraId="7F39BAB6" w14:textId="77777777" w:rsidR="00350F2C" w:rsidRPr="0085312D" w:rsidRDefault="00350F2C" w:rsidP="0085312D">
      <w:pPr>
        <w:spacing w:line="276" w:lineRule="auto"/>
        <w:rPr>
          <w:rFonts w:ascii="Arial" w:hAnsi="Arial" w:cs="Arial"/>
          <w:sz w:val="22"/>
          <w:szCs w:val="22"/>
        </w:rPr>
      </w:pPr>
      <w:proofErr w:type="spellStart"/>
      <w:r w:rsidRPr="0085312D">
        <w:rPr>
          <w:rFonts w:ascii="Arial" w:hAnsi="Arial" w:cs="Arial"/>
          <w:sz w:val="22"/>
          <w:szCs w:val="22"/>
          <w:lang w:val="it-IT"/>
        </w:rPr>
        <w:t>Benzaghta</w:t>
      </w:r>
      <w:proofErr w:type="spellEnd"/>
      <w:r w:rsidRPr="0085312D">
        <w:rPr>
          <w:rFonts w:ascii="Arial" w:hAnsi="Arial" w:cs="Arial"/>
          <w:sz w:val="22"/>
          <w:szCs w:val="22"/>
          <w:lang w:val="it-IT"/>
        </w:rPr>
        <w:t xml:space="preserve">, M.A. </w:t>
      </w:r>
      <w:r w:rsidRPr="0085312D">
        <w:rPr>
          <w:rFonts w:ascii="Arial" w:hAnsi="Arial" w:cs="Arial"/>
          <w:i/>
          <w:iCs/>
          <w:sz w:val="22"/>
          <w:szCs w:val="22"/>
          <w:lang w:val="it-IT"/>
        </w:rPr>
        <w:t>et al.</w:t>
      </w:r>
      <w:r w:rsidRPr="0085312D">
        <w:rPr>
          <w:rFonts w:ascii="Arial" w:hAnsi="Arial" w:cs="Arial"/>
          <w:sz w:val="22"/>
          <w:szCs w:val="22"/>
          <w:lang w:val="it-IT"/>
        </w:rPr>
        <w:t xml:space="preserve"> </w:t>
      </w:r>
      <w:r w:rsidRPr="0085312D">
        <w:rPr>
          <w:rFonts w:ascii="Arial" w:hAnsi="Arial" w:cs="Arial"/>
          <w:sz w:val="22"/>
          <w:szCs w:val="22"/>
        </w:rPr>
        <w:t xml:space="preserve">(2021) 'SWOT analysis applications: An integrative literature review,' </w:t>
      </w:r>
      <w:r w:rsidRPr="0085312D">
        <w:rPr>
          <w:rFonts w:ascii="Arial" w:hAnsi="Arial" w:cs="Arial"/>
          <w:i/>
          <w:iCs/>
          <w:sz w:val="22"/>
          <w:szCs w:val="22"/>
        </w:rPr>
        <w:t>Journal of Global Business Insights</w:t>
      </w:r>
      <w:r w:rsidRPr="0085312D">
        <w:rPr>
          <w:rFonts w:ascii="Arial" w:hAnsi="Arial" w:cs="Arial"/>
          <w:sz w:val="22"/>
          <w:szCs w:val="22"/>
        </w:rPr>
        <w:t>, (1), pp. 55–73. https://doi.org/10.5038/2640-6489.6.1.1148.</w:t>
      </w:r>
    </w:p>
    <w:p w14:paraId="64BCDEE9" w14:textId="77777777" w:rsidR="00350F2C" w:rsidRPr="0085312D" w:rsidRDefault="00350F2C" w:rsidP="0085312D">
      <w:pPr>
        <w:spacing w:line="276" w:lineRule="auto"/>
        <w:rPr>
          <w:rFonts w:ascii="Arial" w:hAnsi="Arial" w:cs="Arial"/>
          <w:sz w:val="22"/>
          <w:szCs w:val="22"/>
        </w:rPr>
      </w:pPr>
      <w:r w:rsidRPr="0085312D">
        <w:rPr>
          <w:rFonts w:ascii="Arial" w:hAnsi="Arial" w:cs="Arial"/>
          <w:sz w:val="22"/>
          <w:szCs w:val="22"/>
          <w:lang w:val="fr-FR"/>
        </w:rPr>
        <w:t xml:space="preserve">Chen, C.-C. </w:t>
      </w:r>
      <w:r w:rsidRPr="0085312D">
        <w:rPr>
          <w:rFonts w:ascii="Arial" w:hAnsi="Arial" w:cs="Arial"/>
          <w:i/>
          <w:iCs/>
          <w:sz w:val="22"/>
          <w:szCs w:val="22"/>
          <w:lang w:val="fr-FR"/>
        </w:rPr>
        <w:t>et al.</w:t>
      </w:r>
      <w:r w:rsidRPr="0085312D">
        <w:rPr>
          <w:rFonts w:ascii="Arial" w:hAnsi="Arial" w:cs="Arial"/>
          <w:sz w:val="22"/>
          <w:szCs w:val="22"/>
          <w:lang w:val="fr-FR"/>
        </w:rPr>
        <w:t xml:space="preserve"> </w:t>
      </w:r>
      <w:r w:rsidRPr="0085312D">
        <w:rPr>
          <w:rFonts w:ascii="Arial" w:hAnsi="Arial" w:cs="Arial"/>
          <w:sz w:val="22"/>
          <w:szCs w:val="22"/>
        </w:rPr>
        <w:t xml:space="preserve">(2024) 'The delivery model of perceived medical service quality based on Donabedian’s framework,' </w:t>
      </w:r>
      <w:r w:rsidRPr="0085312D">
        <w:rPr>
          <w:rFonts w:ascii="Arial" w:hAnsi="Arial" w:cs="Arial"/>
          <w:i/>
          <w:iCs/>
          <w:sz w:val="22"/>
          <w:szCs w:val="22"/>
        </w:rPr>
        <w:t>Journal for Healthcare Quality</w:t>
      </w:r>
      <w:r w:rsidRPr="0085312D">
        <w:rPr>
          <w:rFonts w:ascii="Arial" w:hAnsi="Arial" w:cs="Arial"/>
          <w:sz w:val="22"/>
          <w:szCs w:val="22"/>
        </w:rPr>
        <w:t>, 46(3), pp. 150–159. https://doi.org/10.1097/jhq.0000000000000420.</w:t>
      </w:r>
    </w:p>
    <w:p w14:paraId="3CC08828" w14:textId="441CC105" w:rsidR="00350F2C" w:rsidRPr="0085312D" w:rsidRDefault="00350F2C" w:rsidP="0085312D">
      <w:pPr>
        <w:spacing w:line="276" w:lineRule="auto"/>
        <w:rPr>
          <w:rFonts w:ascii="Arial" w:hAnsi="Arial" w:cs="Arial"/>
          <w:sz w:val="22"/>
          <w:szCs w:val="22"/>
        </w:rPr>
      </w:pPr>
      <w:r w:rsidRPr="0085312D">
        <w:rPr>
          <w:rFonts w:ascii="Arial" w:hAnsi="Arial" w:cs="Arial"/>
          <w:sz w:val="22"/>
          <w:szCs w:val="22"/>
        </w:rPr>
        <w:t xml:space="preserve">Care Quality Commission (CQC) (2022) </w:t>
      </w:r>
      <w:r w:rsidRPr="0085312D">
        <w:rPr>
          <w:rFonts w:ascii="Arial" w:hAnsi="Arial" w:cs="Arial"/>
          <w:i/>
          <w:iCs/>
          <w:sz w:val="22"/>
          <w:szCs w:val="22"/>
        </w:rPr>
        <w:t>Maternity services inspection report</w:t>
      </w:r>
      <w:r w:rsidRPr="0085312D">
        <w:rPr>
          <w:rFonts w:ascii="Arial" w:hAnsi="Arial" w:cs="Arial"/>
          <w:sz w:val="22"/>
          <w:szCs w:val="22"/>
        </w:rPr>
        <w:t xml:space="preserve">. Available at: </w:t>
      </w:r>
      <w:hyperlink r:id="rId8" w:tgtFrame="_new" w:history="1">
        <w:r w:rsidRPr="0085312D">
          <w:rPr>
            <w:rStyle w:val="Hyperlink"/>
            <w:rFonts w:ascii="Arial" w:hAnsi="Arial" w:cs="Arial"/>
            <w:sz w:val="22"/>
            <w:szCs w:val="22"/>
          </w:rPr>
          <w:t>https://www.cqc.org.uk</w:t>
        </w:r>
      </w:hyperlink>
      <w:r w:rsidR="00722D40" w:rsidRPr="0085312D">
        <w:rPr>
          <w:rFonts w:ascii="Arial" w:hAnsi="Arial" w:cs="Arial"/>
          <w:sz w:val="22"/>
          <w:szCs w:val="22"/>
        </w:rPr>
        <w:t xml:space="preserve"> (Accessed: 19 March 2026).</w:t>
      </w:r>
    </w:p>
    <w:p w14:paraId="41343582" w14:textId="1E25C113" w:rsidR="00350F2C" w:rsidRPr="0085312D" w:rsidRDefault="00350F2C" w:rsidP="0085312D">
      <w:pPr>
        <w:spacing w:line="276" w:lineRule="auto"/>
        <w:rPr>
          <w:rFonts w:ascii="Arial" w:hAnsi="Arial" w:cs="Arial"/>
          <w:sz w:val="22"/>
          <w:szCs w:val="22"/>
        </w:rPr>
      </w:pPr>
      <w:proofErr w:type="spellStart"/>
      <w:r w:rsidRPr="0085312D">
        <w:rPr>
          <w:rFonts w:ascii="Arial" w:hAnsi="Arial" w:cs="Arial"/>
          <w:sz w:val="22"/>
          <w:szCs w:val="22"/>
        </w:rPr>
        <w:t>Carayon</w:t>
      </w:r>
      <w:proofErr w:type="spellEnd"/>
      <w:r w:rsidRPr="0085312D">
        <w:rPr>
          <w:rFonts w:ascii="Arial" w:hAnsi="Arial" w:cs="Arial"/>
          <w:sz w:val="22"/>
          <w:szCs w:val="22"/>
        </w:rPr>
        <w:t xml:space="preserve">, P., </w:t>
      </w:r>
      <w:proofErr w:type="spellStart"/>
      <w:r w:rsidRPr="0085312D">
        <w:rPr>
          <w:rFonts w:ascii="Arial" w:hAnsi="Arial" w:cs="Arial"/>
          <w:sz w:val="22"/>
          <w:szCs w:val="22"/>
        </w:rPr>
        <w:t>Wetterneck</w:t>
      </w:r>
      <w:proofErr w:type="spellEnd"/>
      <w:r w:rsidRPr="0085312D">
        <w:rPr>
          <w:rFonts w:ascii="Arial" w:hAnsi="Arial" w:cs="Arial"/>
          <w:sz w:val="22"/>
          <w:szCs w:val="22"/>
        </w:rPr>
        <w:t xml:space="preserve">, T.B., Rivera-Rodriguez, A.J., Hundt, A.S., </w:t>
      </w:r>
      <w:proofErr w:type="spellStart"/>
      <w:r w:rsidRPr="0085312D">
        <w:rPr>
          <w:rFonts w:ascii="Arial" w:hAnsi="Arial" w:cs="Arial"/>
          <w:sz w:val="22"/>
          <w:szCs w:val="22"/>
        </w:rPr>
        <w:t>Hoonakker</w:t>
      </w:r>
      <w:proofErr w:type="spellEnd"/>
      <w:r w:rsidRPr="0085312D">
        <w:rPr>
          <w:rFonts w:ascii="Arial" w:hAnsi="Arial" w:cs="Arial"/>
          <w:sz w:val="22"/>
          <w:szCs w:val="22"/>
        </w:rPr>
        <w:t xml:space="preserve">, P., Holden, R. and </w:t>
      </w:r>
      <w:proofErr w:type="spellStart"/>
      <w:r w:rsidRPr="0085312D">
        <w:rPr>
          <w:rFonts w:ascii="Arial" w:hAnsi="Arial" w:cs="Arial"/>
          <w:sz w:val="22"/>
          <w:szCs w:val="22"/>
        </w:rPr>
        <w:t>Gurses</w:t>
      </w:r>
      <w:proofErr w:type="spellEnd"/>
      <w:r w:rsidRPr="0085312D">
        <w:rPr>
          <w:rFonts w:ascii="Arial" w:hAnsi="Arial" w:cs="Arial"/>
          <w:sz w:val="22"/>
          <w:szCs w:val="22"/>
        </w:rPr>
        <w:t xml:space="preserve">, A.P. (2014) ‘Human factors systems approach to healthcare quality and patient safety’, </w:t>
      </w:r>
      <w:r w:rsidRPr="0085312D">
        <w:rPr>
          <w:rFonts w:ascii="Arial" w:hAnsi="Arial" w:cs="Arial"/>
          <w:i/>
          <w:iCs/>
          <w:sz w:val="22"/>
          <w:szCs w:val="22"/>
        </w:rPr>
        <w:t>Applied Ergonomics</w:t>
      </w:r>
      <w:r w:rsidRPr="0085312D">
        <w:rPr>
          <w:rFonts w:ascii="Arial" w:hAnsi="Arial" w:cs="Arial"/>
          <w:sz w:val="22"/>
          <w:szCs w:val="22"/>
        </w:rPr>
        <w:t xml:space="preserve">, 45(1), pp. 14–25. </w:t>
      </w:r>
    </w:p>
    <w:p w14:paraId="0AF580F0" w14:textId="77777777" w:rsidR="00350F2C" w:rsidRPr="0085312D" w:rsidRDefault="00350F2C" w:rsidP="0085312D">
      <w:pPr>
        <w:spacing w:line="276" w:lineRule="auto"/>
        <w:rPr>
          <w:rFonts w:ascii="Arial" w:hAnsi="Arial" w:cs="Arial"/>
          <w:sz w:val="22"/>
          <w:szCs w:val="22"/>
        </w:rPr>
      </w:pPr>
      <w:r w:rsidRPr="0085312D">
        <w:rPr>
          <w:rFonts w:ascii="Arial" w:hAnsi="Arial" w:cs="Arial"/>
          <w:sz w:val="22"/>
          <w:szCs w:val="22"/>
        </w:rPr>
        <w:t xml:space="preserve">Care Quality Commission (CQC) (2024) </w:t>
      </w:r>
      <w:r w:rsidRPr="0085312D">
        <w:rPr>
          <w:rFonts w:ascii="Arial" w:hAnsi="Arial" w:cs="Arial"/>
          <w:i/>
          <w:iCs/>
          <w:sz w:val="22"/>
          <w:szCs w:val="22"/>
        </w:rPr>
        <w:t>National review of maternity services in England 2022 to 2024</w:t>
      </w:r>
      <w:r w:rsidRPr="0085312D">
        <w:rPr>
          <w:rFonts w:ascii="Arial" w:hAnsi="Arial" w:cs="Arial"/>
          <w:sz w:val="22"/>
          <w:szCs w:val="22"/>
        </w:rPr>
        <w:t xml:space="preserve">. Available at: </w:t>
      </w:r>
      <w:hyperlink r:id="rId9" w:history="1">
        <w:r w:rsidRPr="0085312D">
          <w:rPr>
            <w:rStyle w:val="Hyperlink"/>
            <w:rFonts w:ascii="Arial" w:hAnsi="Arial" w:cs="Arial"/>
            <w:sz w:val="22"/>
            <w:szCs w:val="22"/>
          </w:rPr>
          <w:t>https://www.cqc.org.uk/node/10661/book_pdf_print</w:t>
        </w:r>
      </w:hyperlink>
      <w:r w:rsidRPr="0085312D">
        <w:rPr>
          <w:rFonts w:ascii="Arial" w:hAnsi="Arial" w:cs="Arial"/>
          <w:sz w:val="22"/>
          <w:szCs w:val="22"/>
        </w:rPr>
        <w:t xml:space="preserve"> (Accessed: 3 February 2026). </w:t>
      </w:r>
    </w:p>
    <w:p w14:paraId="07604052" w14:textId="77777777" w:rsidR="00350F2C" w:rsidRPr="0085312D" w:rsidRDefault="00350F2C" w:rsidP="0085312D">
      <w:pPr>
        <w:spacing w:line="276" w:lineRule="auto"/>
        <w:rPr>
          <w:rFonts w:ascii="Arial" w:hAnsi="Arial" w:cs="Arial"/>
          <w:sz w:val="22"/>
          <w:szCs w:val="22"/>
        </w:rPr>
      </w:pPr>
      <w:r w:rsidRPr="0085312D">
        <w:rPr>
          <w:rFonts w:ascii="Arial" w:hAnsi="Arial" w:cs="Arial"/>
          <w:sz w:val="22"/>
          <w:szCs w:val="22"/>
        </w:rPr>
        <w:t xml:space="preserve">Care Quality Commission (CQC) (2025) </w:t>
      </w:r>
      <w:r w:rsidRPr="0085312D">
        <w:rPr>
          <w:rFonts w:ascii="Arial" w:hAnsi="Arial" w:cs="Arial"/>
          <w:i/>
          <w:iCs/>
          <w:sz w:val="22"/>
          <w:szCs w:val="22"/>
        </w:rPr>
        <w:t>Maternity services survey 2019</w:t>
      </w:r>
      <w:r w:rsidRPr="0085312D">
        <w:rPr>
          <w:rFonts w:ascii="Arial" w:hAnsi="Arial" w:cs="Arial"/>
          <w:sz w:val="22"/>
          <w:szCs w:val="22"/>
        </w:rPr>
        <w:t xml:space="preserve">. Available at: </w:t>
      </w:r>
      <w:hyperlink r:id="rId10" w:history="1">
        <w:r w:rsidRPr="0085312D">
          <w:rPr>
            <w:rStyle w:val="Hyperlink"/>
            <w:rFonts w:ascii="Arial" w:hAnsi="Arial" w:cs="Arial"/>
            <w:sz w:val="22"/>
            <w:szCs w:val="22"/>
          </w:rPr>
          <w:t>https://www.cqc.org.uk/publications/surveys/maternity-survey</w:t>
        </w:r>
      </w:hyperlink>
      <w:r w:rsidRPr="0085312D">
        <w:rPr>
          <w:rFonts w:ascii="Arial" w:hAnsi="Arial" w:cs="Arial"/>
          <w:sz w:val="22"/>
          <w:szCs w:val="22"/>
        </w:rPr>
        <w:t xml:space="preserve"> (Accessed: 8 February 2026).</w:t>
      </w:r>
    </w:p>
    <w:p w14:paraId="1290480F" w14:textId="77777777" w:rsidR="00350F2C" w:rsidRPr="0085312D" w:rsidRDefault="00350F2C" w:rsidP="0085312D">
      <w:pPr>
        <w:spacing w:line="276" w:lineRule="auto"/>
        <w:rPr>
          <w:rFonts w:ascii="Arial" w:hAnsi="Arial" w:cs="Arial"/>
          <w:sz w:val="22"/>
          <w:szCs w:val="22"/>
        </w:rPr>
      </w:pPr>
      <w:r w:rsidRPr="0085312D">
        <w:rPr>
          <w:rFonts w:ascii="Arial" w:hAnsi="Arial" w:cs="Arial"/>
          <w:sz w:val="22"/>
          <w:szCs w:val="22"/>
        </w:rPr>
        <w:t xml:space="preserve">Dixon-Woods, M., Baker, R., Charles, K., Dawson, J., </w:t>
      </w:r>
      <w:proofErr w:type="spellStart"/>
      <w:r w:rsidRPr="0085312D">
        <w:rPr>
          <w:rFonts w:ascii="Arial" w:hAnsi="Arial" w:cs="Arial"/>
          <w:sz w:val="22"/>
          <w:szCs w:val="22"/>
        </w:rPr>
        <w:t>Jerzembek</w:t>
      </w:r>
      <w:proofErr w:type="spellEnd"/>
      <w:r w:rsidRPr="0085312D">
        <w:rPr>
          <w:rFonts w:ascii="Arial" w:hAnsi="Arial" w:cs="Arial"/>
          <w:sz w:val="22"/>
          <w:szCs w:val="22"/>
        </w:rPr>
        <w:t xml:space="preserve">, G., Martin, G., McCarthy, I., McKee, L., Minion, J., </w:t>
      </w:r>
      <w:proofErr w:type="spellStart"/>
      <w:r w:rsidRPr="0085312D">
        <w:rPr>
          <w:rFonts w:ascii="Arial" w:hAnsi="Arial" w:cs="Arial"/>
          <w:sz w:val="22"/>
          <w:szCs w:val="22"/>
        </w:rPr>
        <w:t>Ozieranski</w:t>
      </w:r>
      <w:proofErr w:type="spellEnd"/>
      <w:r w:rsidRPr="0085312D">
        <w:rPr>
          <w:rFonts w:ascii="Arial" w:hAnsi="Arial" w:cs="Arial"/>
          <w:sz w:val="22"/>
          <w:szCs w:val="22"/>
        </w:rPr>
        <w:t xml:space="preserve">, P., Willars, J., Wilkie, P. and West, M. (2014) ‘Culture and behaviour in the English National Health Service: overview of lessons from a large multimethod study’, </w:t>
      </w:r>
      <w:r w:rsidRPr="0085312D">
        <w:rPr>
          <w:rFonts w:ascii="Arial" w:hAnsi="Arial" w:cs="Arial"/>
          <w:i/>
          <w:iCs/>
          <w:sz w:val="22"/>
          <w:szCs w:val="22"/>
        </w:rPr>
        <w:t>BMJ Quality &amp; Safety</w:t>
      </w:r>
      <w:r w:rsidRPr="0085312D">
        <w:rPr>
          <w:rFonts w:ascii="Arial" w:hAnsi="Arial" w:cs="Arial"/>
          <w:sz w:val="22"/>
          <w:szCs w:val="22"/>
        </w:rPr>
        <w:t xml:space="preserve">, 23(2), pp. 106–115. </w:t>
      </w:r>
    </w:p>
    <w:p w14:paraId="442918C1" w14:textId="7EAE9780" w:rsidR="00350F2C" w:rsidRPr="0085312D" w:rsidRDefault="00350F2C" w:rsidP="0085312D">
      <w:pPr>
        <w:spacing w:line="276" w:lineRule="auto"/>
        <w:rPr>
          <w:rFonts w:ascii="Arial" w:hAnsi="Arial" w:cs="Arial"/>
          <w:sz w:val="22"/>
          <w:szCs w:val="22"/>
        </w:rPr>
      </w:pPr>
      <w:r w:rsidRPr="0085312D">
        <w:rPr>
          <w:rFonts w:ascii="Arial" w:hAnsi="Arial" w:cs="Arial"/>
          <w:sz w:val="22"/>
          <w:szCs w:val="22"/>
        </w:rPr>
        <w:t xml:space="preserve">Department of Health and Social Care (2022) </w:t>
      </w:r>
      <w:r w:rsidRPr="0085312D">
        <w:rPr>
          <w:rFonts w:ascii="Arial" w:hAnsi="Arial" w:cs="Arial"/>
          <w:i/>
          <w:iCs/>
          <w:sz w:val="22"/>
          <w:szCs w:val="22"/>
        </w:rPr>
        <w:t>Final report of the Ockenden Review</w:t>
      </w:r>
      <w:r w:rsidRPr="0085312D">
        <w:rPr>
          <w:rFonts w:ascii="Arial" w:hAnsi="Arial" w:cs="Arial"/>
          <w:sz w:val="22"/>
          <w:szCs w:val="22"/>
        </w:rPr>
        <w:t xml:space="preserve">. Available at: </w:t>
      </w:r>
      <w:hyperlink r:id="rId11" w:tgtFrame="_new" w:history="1">
        <w:r w:rsidRPr="0085312D">
          <w:rPr>
            <w:rStyle w:val="Hyperlink"/>
            <w:rFonts w:ascii="Arial" w:hAnsi="Arial" w:cs="Arial"/>
            <w:sz w:val="22"/>
            <w:szCs w:val="22"/>
          </w:rPr>
          <w:t>https://www.gov.uk/government/publications/final-report-of-the-ockenden-review</w:t>
        </w:r>
      </w:hyperlink>
      <w:r w:rsidR="00163077" w:rsidRPr="0085312D">
        <w:rPr>
          <w:rFonts w:ascii="Arial" w:hAnsi="Arial" w:cs="Arial"/>
          <w:sz w:val="22"/>
          <w:szCs w:val="22"/>
        </w:rPr>
        <w:t xml:space="preserve"> (Accessed 18 March 2026). </w:t>
      </w:r>
    </w:p>
    <w:p w14:paraId="77A76B84" w14:textId="0AF701B0" w:rsidR="00350F2C" w:rsidRPr="0085312D" w:rsidRDefault="00350F2C" w:rsidP="0085312D">
      <w:pPr>
        <w:spacing w:line="276" w:lineRule="auto"/>
        <w:rPr>
          <w:rFonts w:ascii="Arial" w:hAnsi="Arial" w:cs="Arial"/>
          <w:sz w:val="22"/>
          <w:szCs w:val="22"/>
        </w:rPr>
      </w:pPr>
      <w:r w:rsidRPr="0085312D">
        <w:rPr>
          <w:rFonts w:ascii="Arial" w:hAnsi="Arial" w:cs="Arial"/>
          <w:sz w:val="22"/>
          <w:szCs w:val="22"/>
        </w:rPr>
        <w:t xml:space="preserve">Donabedian, A. (1988) ‘The quality of care: How can it be assessed?’, </w:t>
      </w:r>
      <w:r w:rsidRPr="0085312D">
        <w:rPr>
          <w:rFonts w:ascii="Arial" w:hAnsi="Arial" w:cs="Arial"/>
          <w:i/>
          <w:iCs/>
          <w:sz w:val="22"/>
          <w:szCs w:val="22"/>
        </w:rPr>
        <w:t>JAMA</w:t>
      </w:r>
      <w:r w:rsidRPr="0085312D">
        <w:rPr>
          <w:rFonts w:ascii="Arial" w:hAnsi="Arial" w:cs="Arial"/>
          <w:sz w:val="22"/>
          <w:szCs w:val="22"/>
        </w:rPr>
        <w:t xml:space="preserve">, 260(12), pp. 1743–1748. </w:t>
      </w:r>
    </w:p>
    <w:p w14:paraId="35B5D45A" w14:textId="4E8466B0" w:rsidR="00350F2C" w:rsidRPr="0085312D" w:rsidRDefault="00350F2C" w:rsidP="0085312D">
      <w:pPr>
        <w:spacing w:line="276" w:lineRule="auto"/>
        <w:rPr>
          <w:rFonts w:ascii="Arial" w:hAnsi="Arial" w:cs="Arial"/>
          <w:sz w:val="22"/>
          <w:szCs w:val="22"/>
        </w:rPr>
      </w:pPr>
      <w:r w:rsidRPr="0085312D">
        <w:rPr>
          <w:rFonts w:ascii="Arial" w:hAnsi="Arial" w:cs="Arial"/>
          <w:sz w:val="22"/>
          <w:szCs w:val="22"/>
        </w:rPr>
        <w:t xml:space="preserve">Edmondson, A.C. (2004) ‘Learning from failure in healthcare: frequent opportunities, pervasive barriers’, </w:t>
      </w:r>
      <w:r w:rsidRPr="0085312D">
        <w:rPr>
          <w:rFonts w:ascii="Arial" w:hAnsi="Arial" w:cs="Arial"/>
          <w:i/>
          <w:iCs/>
          <w:sz w:val="22"/>
          <w:szCs w:val="22"/>
        </w:rPr>
        <w:t>Quality and Safety in Health Care</w:t>
      </w:r>
      <w:r w:rsidRPr="0085312D">
        <w:rPr>
          <w:rFonts w:ascii="Arial" w:hAnsi="Arial" w:cs="Arial"/>
          <w:sz w:val="22"/>
          <w:szCs w:val="22"/>
        </w:rPr>
        <w:t>, 13(</w:t>
      </w:r>
      <w:proofErr w:type="spellStart"/>
      <w:r w:rsidRPr="0085312D">
        <w:rPr>
          <w:rFonts w:ascii="Arial" w:hAnsi="Arial" w:cs="Arial"/>
          <w:sz w:val="22"/>
          <w:szCs w:val="22"/>
        </w:rPr>
        <w:t>Suppl</w:t>
      </w:r>
      <w:proofErr w:type="spellEnd"/>
      <w:r w:rsidRPr="0085312D">
        <w:rPr>
          <w:rFonts w:ascii="Arial" w:hAnsi="Arial" w:cs="Arial"/>
          <w:sz w:val="22"/>
          <w:szCs w:val="22"/>
        </w:rPr>
        <w:t xml:space="preserve"> 2), pp. ii3–ii9. </w:t>
      </w:r>
    </w:p>
    <w:p w14:paraId="1BA03F90" w14:textId="77777777" w:rsidR="00350F2C" w:rsidRPr="0085312D" w:rsidRDefault="00350F2C" w:rsidP="0085312D">
      <w:pPr>
        <w:spacing w:line="276" w:lineRule="auto"/>
        <w:rPr>
          <w:rFonts w:ascii="Arial" w:hAnsi="Arial" w:cs="Arial"/>
          <w:sz w:val="22"/>
          <w:szCs w:val="22"/>
        </w:rPr>
      </w:pPr>
      <w:r w:rsidRPr="0085312D">
        <w:rPr>
          <w:rFonts w:ascii="Arial" w:hAnsi="Arial" w:cs="Arial"/>
          <w:sz w:val="22"/>
          <w:szCs w:val="22"/>
        </w:rPr>
        <w:t xml:space="preserve">Francis, R. (2013) </w:t>
      </w:r>
      <w:r w:rsidRPr="0085312D">
        <w:rPr>
          <w:rFonts w:ascii="Arial" w:hAnsi="Arial" w:cs="Arial"/>
          <w:i/>
          <w:iCs/>
          <w:sz w:val="22"/>
          <w:szCs w:val="22"/>
        </w:rPr>
        <w:t>Report of the Mid Staffordshire NHS Foundation Trust Public Inquiry</w:t>
      </w:r>
      <w:r w:rsidRPr="0085312D">
        <w:rPr>
          <w:rFonts w:ascii="Arial" w:hAnsi="Arial" w:cs="Arial"/>
          <w:sz w:val="22"/>
          <w:szCs w:val="22"/>
        </w:rPr>
        <w:t xml:space="preserve">. Available at: </w:t>
      </w:r>
      <w:hyperlink r:id="rId12" w:history="1">
        <w:r w:rsidRPr="0085312D">
          <w:rPr>
            <w:rStyle w:val="Hyperlink"/>
            <w:rFonts w:ascii="Arial" w:hAnsi="Arial" w:cs="Arial"/>
            <w:sz w:val="22"/>
            <w:szCs w:val="22"/>
          </w:rPr>
          <w:t>https://assets.publishing.service.gov.uk/media/5a7ba0faed915d13110607c8/0947.pdf</w:t>
        </w:r>
      </w:hyperlink>
      <w:r w:rsidRPr="0085312D">
        <w:rPr>
          <w:rFonts w:ascii="Arial" w:hAnsi="Arial" w:cs="Arial"/>
          <w:sz w:val="22"/>
          <w:szCs w:val="22"/>
          <w:u w:val="single"/>
        </w:rPr>
        <w:t xml:space="preserve"> </w:t>
      </w:r>
      <w:r w:rsidRPr="0085312D">
        <w:rPr>
          <w:rFonts w:ascii="Arial" w:hAnsi="Arial" w:cs="Arial"/>
          <w:sz w:val="22"/>
          <w:szCs w:val="22"/>
        </w:rPr>
        <w:t xml:space="preserve">(Accessed: 6 February 2026). </w:t>
      </w:r>
    </w:p>
    <w:p w14:paraId="6DB339FF" w14:textId="48645F4E" w:rsidR="00350F2C" w:rsidRPr="0085312D" w:rsidRDefault="00350F2C" w:rsidP="0085312D">
      <w:pPr>
        <w:spacing w:line="276" w:lineRule="auto"/>
        <w:rPr>
          <w:rFonts w:ascii="Arial" w:hAnsi="Arial" w:cs="Arial"/>
          <w:sz w:val="22"/>
          <w:szCs w:val="22"/>
        </w:rPr>
      </w:pPr>
      <w:r w:rsidRPr="0085312D">
        <w:rPr>
          <w:rFonts w:ascii="Arial" w:hAnsi="Arial" w:cs="Arial"/>
          <w:sz w:val="22"/>
          <w:szCs w:val="22"/>
        </w:rPr>
        <w:lastRenderedPageBreak/>
        <w:t xml:space="preserve">Griffiths, P., Ball, J., Drennan, J., </w:t>
      </w:r>
      <w:proofErr w:type="spellStart"/>
      <w:r w:rsidRPr="0085312D">
        <w:rPr>
          <w:rFonts w:ascii="Arial" w:hAnsi="Arial" w:cs="Arial"/>
          <w:sz w:val="22"/>
          <w:szCs w:val="22"/>
        </w:rPr>
        <w:t>Dall’Ora</w:t>
      </w:r>
      <w:proofErr w:type="spellEnd"/>
      <w:r w:rsidRPr="0085312D">
        <w:rPr>
          <w:rFonts w:ascii="Arial" w:hAnsi="Arial" w:cs="Arial"/>
          <w:sz w:val="22"/>
          <w:szCs w:val="22"/>
        </w:rPr>
        <w:t xml:space="preserve">, C., Jones, J. and Maruotti, A. (2016) ‘Nurse staffing and patient outcomes: Strengths and limitations of the evidence’, </w:t>
      </w:r>
      <w:r w:rsidRPr="0085312D">
        <w:rPr>
          <w:rFonts w:ascii="Arial" w:hAnsi="Arial" w:cs="Arial"/>
          <w:i/>
          <w:iCs/>
          <w:sz w:val="22"/>
          <w:szCs w:val="22"/>
        </w:rPr>
        <w:t>International Journal of Nursing Studies</w:t>
      </w:r>
      <w:r w:rsidRPr="0085312D">
        <w:rPr>
          <w:rFonts w:ascii="Arial" w:hAnsi="Arial" w:cs="Arial"/>
          <w:sz w:val="22"/>
          <w:szCs w:val="22"/>
        </w:rPr>
        <w:t xml:space="preserve">, 63, pp. 213–225. </w:t>
      </w:r>
    </w:p>
    <w:p w14:paraId="0FC4DECE" w14:textId="77777777" w:rsidR="00350F2C" w:rsidRPr="0085312D" w:rsidRDefault="00350F2C" w:rsidP="0085312D">
      <w:pPr>
        <w:spacing w:line="276" w:lineRule="auto"/>
        <w:rPr>
          <w:rFonts w:ascii="Arial" w:hAnsi="Arial" w:cs="Arial"/>
          <w:sz w:val="22"/>
          <w:szCs w:val="22"/>
        </w:rPr>
      </w:pPr>
      <w:proofErr w:type="spellStart"/>
      <w:r w:rsidRPr="0085312D">
        <w:rPr>
          <w:rFonts w:ascii="Arial" w:hAnsi="Arial" w:cs="Arial"/>
          <w:sz w:val="22"/>
          <w:szCs w:val="22"/>
        </w:rPr>
        <w:t>Gangidi</w:t>
      </w:r>
      <w:proofErr w:type="spellEnd"/>
      <w:r w:rsidRPr="0085312D">
        <w:rPr>
          <w:rFonts w:ascii="Arial" w:hAnsi="Arial" w:cs="Arial"/>
          <w:sz w:val="22"/>
          <w:szCs w:val="22"/>
        </w:rPr>
        <w:t xml:space="preserve">, P. (2018) 'A systematic approach to root cause analysis using 3 × 5 why’s technique,' </w:t>
      </w:r>
      <w:r w:rsidRPr="0085312D">
        <w:rPr>
          <w:rFonts w:ascii="Arial" w:hAnsi="Arial" w:cs="Arial"/>
          <w:i/>
          <w:iCs/>
          <w:sz w:val="22"/>
          <w:szCs w:val="22"/>
        </w:rPr>
        <w:t>International Journal of Lean Six Sigma</w:t>
      </w:r>
      <w:r w:rsidRPr="0085312D">
        <w:rPr>
          <w:rFonts w:ascii="Arial" w:hAnsi="Arial" w:cs="Arial"/>
          <w:sz w:val="22"/>
          <w:szCs w:val="22"/>
        </w:rPr>
        <w:t>, 10(1), pp. 295–310. https://doi.org/10.1108/ijlss-10-2017-0114.</w:t>
      </w:r>
    </w:p>
    <w:p w14:paraId="0EA43F5C" w14:textId="4DA9065B" w:rsidR="00350F2C" w:rsidRPr="0085312D" w:rsidRDefault="00350F2C" w:rsidP="0085312D">
      <w:pPr>
        <w:spacing w:line="276" w:lineRule="auto"/>
        <w:rPr>
          <w:rFonts w:ascii="Arial" w:hAnsi="Arial" w:cs="Arial"/>
          <w:sz w:val="22"/>
          <w:szCs w:val="22"/>
        </w:rPr>
      </w:pPr>
      <w:r w:rsidRPr="0085312D">
        <w:rPr>
          <w:rFonts w:ascii="Arial" w:hAnsi="Arial" w:cs="Arial"/>
          <w:sz w:val="22"/>
          <w:szCs w:val="22"/>
        </w:rPr>
        <w:t xml:space="preserve">Helms, M.M. and Nixon, J. (2010) ‘Exploring SWOT analysis – where are we now?’, </w:t>
      </w:r>
      <w:r w:rsidRPr="0085312D">
        <w:rPr>
          <w:rFonts w:ascii="Arial" w:hAnsi="Arial" w:cs="Arial"/>
          <w:i/>
          <w:iCs/>
          <w:sz w:val="22"/>
          <w:szCs w:val="22"/>
        </w:rPr>
        <w:t>Journal of Strategy and Management</w:t>
      </w:r>
      <w:r w:rsidRPr="0085312D">
        <w:rPr>
          <w:rFonts w:ascii="Arial" w:hAnsi="Arial" w:cs="Arial"/>
          <w:sz w:val="22"/>
          <w:szCs w:val="22"/>
        </w:rPr>
        <w:t xml:space="preserve">, 3(3), pp. 215–251. </w:t>
      </w:r>
    </w:p>
    <w:p w14:paraId="4E1F5A94" w14:textId="77777777" w:rsidR="00350F2C" w:rsidRPr="0085312D" w:rsidRDefault="00350F2C" w:rsidP="0085312D">
      <w:pPr>
        <w:spacing w:line="276" w:lineRule="auto"/>
        <w:rPr>
          <w:rFonts w:ascii="Arial" w:hAnsi="Arial" w:cs="Arial"/>
          <w:sz w:val="22"/>
          <w:szCs w:val="22"/>
        </w:rPr>
      </w:pPr>
      <w:r w:rsidRPr="0085312D">
        <w:rPr>
          <w:rFonts w:ascii="Arial" w:hAnsi="Arial" w:cs="Arial"/>
          <w:sz w:val="22"/>
          <w:szCs w:val="22"/>
        </w:rPr>
        <w:t xml:space="preserve">Healthcare Quality Improvement Partnership (HQIP) (2022) </w:t>
      </w:r>
      <w:r w:rsidRPr="0085312D">
        <w:rPr>
          <w:rFonts w:ascii="Arial" w:hAnsi="Arial" w:cs="Arial"/>
          <w:i/>
          <w:iCs/>
          <w:sz w:val="22"/>
          <w:szCs w:val="22"/>
        </w:rPr>
        <w:t xml:space="preserve">National Clinical Audit and Patient Outcomes Programme (NCAPOP). </w:t>
      </w:r>
      <w:r w:rsidRPr="0085312D">
        <w:rPr>
          <w:rFonts w:ascii="Arial" w:hAnsi="Arial" w:cs="Arial"/>
          <w:sz w:val="22"/>
          <w:szCs w:val="22"/>
        </w:rPr>
        <w:t xml:space="preserve">Available at: </w:t>
      </w:r>
      <w:hyperlink r:id="rId13" w:history="1">
        <w:r w:rsidRPr="0085312D">
          <w:rPr>
            <w:rStyle w:val="Hyperlink"/>
            <w:rFonts w:ascii="Arial" w:hAnsi="Arial" w:cs="Arial"/>
            <w:sz w:val="22"/>
            <w:szCs w:val="22"/>
          </w:rPr>
          <w:t>https://www.hqip.org.uk/national-programmes/</w:t>
        </w:r>
      </w:hyperlink>
      <w:r w:rsidRPr="0085312D">
        <w:rPr>
          <w:rFonts w:ascii="Arial" w:hAnsi="Arial" w:cs="Arial"/>
          <w:sz w:val="22"/>
          <w:szCs w:val="22"/>
          <w:u w:val="single"/>
        </w:rPr>
        <w:t xml:space="preserve"> </w:t>
      </w:r>
      <w:r w:rsidRPr="0085312D">
        <w:rPr>
          <w:rFonts w:ascii="Arial" w:hAnsi="Arial" w:cs="Arial"/>
          <w:sz w:val="22"/>
          <w:szCs w:val="22"/>
        </w:rPr>
        <w:t>(Accessed: 3 February 2026).</w:t>
      </w:r>
    </w:p>
    <w:p w14:paraId="23E2B569" w14:textId="77777777" w:rsidR="00350F2C" w:rsidRPr="0085312D" w:rsidRDefault="00350F2C" w:rsidP="0085312D">
      <w:pPr>
        <w:spacing w:line="276" w:lineRule="auto"/>
        <w:rPr>
          <w:rFonts w:ascii="Arial" w:hAnsi="Arial" w:cs="Arial"/>
          <w:sz w:val="22"/>
          <w:szCs w:val="22"/>
        </w:rPr>
      </w:pPr>
      <w:r w:rsidRPr="0085312D">
        <w:rPr>
          <w:rFonts w:ascii="Arial" w:hAnsi="Arial" w:cs="Arial"/>
          <w:sz w:val="22"/>
          <w:szCs w:val="22"/>
        </w:rPr>
        <w:t xml:space="preserve">Ishikawa, K. (1985) </w:t>
      </w:r>
      <w:r w:rsidRPr="0085312D">
        <w:rPr>
          <w:rFonts w:ascii="Arial" w:hAnsi="Arial" w:cs="Arial"/>
          <w:i/>
          <w:iCs/>
          <w:sz w:val="22"/>
          <w:szCs w:val="22"/>
        </w:rPr>
        <w:t>Guide to Quality Control</w:t>
      </w:r>
      <w:r w:rsidRPr="0085312D">
        <w:rPr>
          <w:rFonts w:ascii="Arial" w:hAnsi="Arial" w:cs="Arial"/>
          <w:sz w:val="22"/>
          <w:szCs w:val="22"/>
        </w:rPr>
        <w:t>. Tokyo: Asian Productivity Organisation.</w:t>
      </w:r>
    </w:p>
    <w:p w14:paraId="4B564839" w14:textId="6686DC07" w:rsidR="00350F2C" w:rsidRPr="0085312D" w:rsidRDefault="00350F2C" w:rsidP="0085312D">
      <w:pPr>
        <w:spacing w:line="276" w:lineRule="auto"/>
        <w:rPr>
          <w:rFonts w:ascii="Arial" w:hAnsi="Arial" w:cs="Arial"/>
          <w:sz w:val="22"/>
          <w:szCs w:val="22"/>
        </w:rPr>
      </w:pPr>
      <w:r w:rsidRPr="0085312D">
        <w:rPr>
          <w:rFonts w:ascii="Arial" w:hAnsi="Arial" w:cs="Arial"/>
          <w:sz w:val="22"/>
          <w:szCs w:val="22"/>
        </w:rPr>
        <w:t xml:space="preserve">Kirkup, B. (2015) </w:t>
      </w:r>
      <w:r w:rsidRPr="0085312D">
        <w:rPr>
          <w:rFonts w:ascii="Arial" w:hAnsi="Arial" w:cs="Arial"/>
          <w:i/>
          <w:iCs/>
          <w:sz w:val="22"/>
          <w:szCs w:val="22"/>
        </w:rPr>
        <w:t>The Report of the Morecambe Bay Investigation</w:t>
      </w:r>
      <w:r w:rsidRPr="0085312D">
        <w:rPr>
          <w:rFonts w:ascii="Arial" w:hAnsi="Arial" w:cs="Arial"/>
          <w:sz w:val="22"/>
          <w:szCs w:val="22"/>
        </w:rPr>
        <w:t xml:space="preserve">. Available at: </w:t>
      </w:r>
      <w:hyperlink r:id="rId14" w:tgtFrame="_new" w:history="1">
        <w:r w:rsidRPr="0085312D">
          <w:rPr>
            <w:rStyle w:val="Hyperlink"/>
            <w:rFonts w:ascii="Arial" w:hAnsi="Arial" w:cs="Arial"/>
            <w:sz w:val="22"/>
            <w:szCs w:val="22"/>
          </w:rPr>
          <w:t>https://www.gov.uk/government/publications/morecambe-bay-investigation-report</w:t>
        </w:r>
      </w:hyperlink>
      <w:r w:rsidR="00D7748E" w:rsidRPr="0085312D">
        <w:rPr>
          <w:rFonts w:ascii="Arial" w:hAnsi="Arial" w:cs="Arial"/>
          <w:sz w:val="22"/>
          <w:szCs w:val="22"/>
        </w:rPr>
        <w:t xml:space="preserve"> (Accessed: 18 M</w:t>
      </w:r>
      <w:r w:rsidR="00AA68FF">
        <w:rPr>
          <w:rFonts w:ascii="Arial" w:hAnsi="Arial" w:cs="Arial"/>
          <w:sz w:val="22"/>
          <w:szCs w:val="22"/>
        </w:rPr>
        <w:t>ar</w:t>
      </w:r>
      <w:r w:rsidR="00D7748E" w:rsidRPr="0085312D">
        <w:rPr>
          <w:rFonts w:ascii="Arial" w:hAnsi="Arial" w:cs="Arial"/>
          <w:sz w:val="22"/>
          <w:szCs w:val="22"/>
        </w:rPr>
        <w:t>ch 2026).</w:t>
      </w:r>
    </w:p>
    <w:p w14:paraId="481D8CB2" w14:textId="77777777" w:rsidR="00350F2C" w:rsidRPr="0085312D" w:rsidRDefault="00350F2C" w:rsidP="0085312D">
      <w:pPr>
        <w:spacing w:line="276" w:lineRule="auto"/>
        <w:rPr>
          <w:rFonts w:ascii="Arial" w:hAnsi="Arial" w:cs="Arial"/>
          <w:sz w:val="22"/>
          <w:szCs w:val="22"/>
        </w:rPr>
      </w:pPr>
      <w:proofErr w:type="spellStart"/>
      <w:r w:rsidRPr="0085312D">
        <w:rPr>
          <w:rFonts w:ascii="Arial" w:hAnsi="Arial" w:cs="Arial"/>
          <w:sz w:val="22"/>
          <w:szCs w:val="22"/>
          <w:lang w:val="pl-PL"/>
        </w:rPr>
        <w:t>Katowa-Mukwato</w:t>
      </w:r>
      <w:proofErr w:type="spellEnd"/>
      <w:r w:rsidRPr="0085312D">
        <w:rPr>
          <w:rFonts w:ascii="Arial" w:hAnsi="Arial" w:cs="Arial"/>
          <w:sz w:val="22"/>
          <w:szCs w:val="22"/>
          <w:lang w:val="pl-PL"/>
        </w:rPr>
        <w:t xml:space="preserve">, P. </w:t>
      </w:r>
      <w:r w:rsidRPr="0085312D">
        <w:rPr>
          <w:rFonts w:ascii="Arial" w:hAnsi="Arial" w:cs="Arial"/>
          <w:i/>
          <w:iCs/>
          <w:sz w:val="22"/>
          <w:szCs w:val="22"/>
          <w:lang w:val="pl-PL"/>
        </w:rPr>
        <w:t>et al.</w:t>
      </w:r>
      <w:r w:rsidRPr="0085312D">
        <w:rPr>
          <w:rFonts w:ascii="Arial" w:hAnsi="Arial" w:cs="Arial"/>
          <w:sz w:val="22"/>
          <w:szCs w:val="22"/>
          <w:lang w:val="pl-PL"/>
        </w:rPr>
        <w:t xml:space="preserve"> </w:t>
      </w:r>
      <w:r w:rsidRPr="0085312D">
        <w:rPr>
          <w:rFonts w:ascii="Arial" w:hAnsi="Arial" w:cs="Arial"/>
          <w:sz w:val="22"/>
          <w:szCs w:val="22"/>
        </w:rPr>
        <w:t xml:space="preserve">(2020) 'Implementing Evidence Based Practice nursing using the PDSA model: Process, lessons and implications,' </w:t>
      </w:r>
      <w:r w:rsidRPr="0085312D">
        <w:rPr>
          <w:rFonts w:ascii="Arial" w:hAnsi="Arial" w:cs="Arial"/>
          <w:i/>
          <w:iCs/>
          <w:sz w:val="22"/>
          <w:szCs w:val="22"/>
        </w:rPr>
        <w:t>International Journal of Africa Nursing Sciences</w:t>
      </w:r>
      <w:r w:rsidRPr="0085312D">
        <w:rPr>
          <w:rFonts w:ascii="Arial" w:hAnsi="Arial" w:cs="Arial"/>
          <w:sz w:val="22"/>
          <w:szCs w:val="22"/>
        </w:rPr>
        <w:t>, 14, p. 100261. https://doi.org/10.1016/j.ijans.2020.100261.</w:t>
      </w:r>
    </w:p>
    <w:p w14:paraId="30AB6846" w14:textId="4DB2D8E5" w:rsidR="00350F2C" w:rsidRPr="0085312D" w:rsidRDefault="00350F2C" w:rsidP="0085312D">
      <w:pPr>
        <w:spacing w:line="276" w:lineRule="auto"/>
        <w:rPr>
          <w:rFonts w:ascii="Arial" w:hAnsi="Arial" w:cs="Arial"/>
          <w:sz w:val="22"/>
          <w:szCs w:val="22"/>
          <w:lang w:val="fr-FR"/>
        </w:rPr>
      </w:pPr>
      <w:r w:rsidRPr="0085312D">
        <w:rPr>
          <w:rFonts w:ascii="Arial" w:hAnsi="Arial" w:cs="Arial"/>
          <w:sz w:val="22"/>
          <w:szCs w:val="22"/>
        </w:rPr>
        <w:t xml:space="preserve">Mannion, R. and Davies, H.T.O. (2018) ‘Understanding organisational culture for healthcare quality improvement’, </w:t>
      </w:r>
      <w:r w:rsidRPr="0085312D">
        <w:rPr>
          <w:rFonts w:ascii="Arial" w:hAnsi="Arial" w:cs="Arial"/>
          <w:i/>
          <w:iCs/>
          <w:sz w:val="22"/>
          <w:szCs w:val="22"/>
        </w:rPr>
        <w:t>BMJ</w:t>
      </w:r>
      <w:r w:rsidRPr="0085312D">
        <w:rPr>
          <w:rFonts w:ascii="Arial" w:hAnsi="Arial" w:cs="Arial"/>
          <w:sz w:val="22"/>
          <w:szCs w:val="22"/>
        </w:rPr>
        <w:t xml:space="preserve">, 363, k4907. </w:t>
      </w:r>
    </w:p>
    <w:p w14:paraId="77E2686C" w14:textId="2F60ED30" w:rsidR="00350F2C" w:rsidRPr="0085312D" w:rsidRDefault="00350F2C" w:rsidP="0085312D">
      <w:pPr>
        <w:spacing w:line="276" w:lineRule="auto"/>
        <w:rPr>
          <w:rFonts w:ascii="Arial" w:hAnsi="Arial" w:cs="Arial"/>
          <w:sz w:val="22"/>
          <w:szCs w:val="22"/>
        </w:rPr>
      </w:pPr>
      <w:r w:rsidRPr="004552E1">
        <w:rPr>
          <w:rFonts w:ascii="Arial" w:hAnsi="Arial" w:cs="Arial"/>
          <w:sz w:val="22"/>
          <w:szCs w:val="22"/>
        </w:rPr>
        <w:t xml:space="preserve">Moser, T. </w:t>
      </w:r>
      <w:r w:rsidRPr="004552E1">
        <w:rPr>
          <w:rFonts w:ascii="Arial" w:hAnsi="Arial" w:cs="Arial"/>
          <w:i/>
          <w:iCs/>
          <w:sz w:val="22"/>
          <w:szCs w:val="22"/>
        </w:rPr>
        <w:t>et al.</w:t>
      </w:r>
      <w:r w:rsidRPr="004552E1">
        <w:rPr>
          <w:rFonts w:ascii="Arial" w:hAnsi="Arial" w:cs="Arial"/>
          <w:sz w:val="22"/>
          <w:szCs w:val="22"/>
        </w:rPr>
        <w:t xml:space="preserve"> </w:t>
      </w:r>
      <w:r w:rsidRPr="0085312D">
        <w:rPr>
          <w:rFonts w:ascii="Arial" w:hAnsi="Arial" w:cs="Arial"/>
          <w:sz w:val="22"/>
          <w:szCs w:val="22"/>
        </w:rPr>
        <w:t xml:space="preserve">(2020) 'Workflow improvement and the use of PDSA cycles: an exploration using screening, brief intervention, and referral to Treatment (SBIRT) integration,' </w:t>
      </w:r>
      <w:r w:rsidRPr="0085312D">
        <w:rPr>
          <w:rFonts w:ascii="Arial" w:hAnsi="Arial" w:cs="Arial"/>
          <w:i/>
          <w:iCs/>
          <w:sz w:val="22"/>
          <w:szCs w:val="22"/>
        </w:rPr>
        <w:t>Quality Management in Health Care</w:t>
      </w:r>
      <w:r w:rsidRPr="0085312D">
        <w:rPr>
          <w:rFonts w:ascii="Arial" w:hAnsi="Arial" w:cs="Arial"/>
          <w:sz w:val="22"/>
          <w:szCs w:val="22"/>
        </w:rPr>
        <w:t xml:space="preserve">, 29(2), pp. 100–108. https://doi.org/10.1097/qmh.0000000000000245.National Institute for Health and Care Excellence (NICE) (2022) </w:t>
      </w:r>
      <w:proofErr w:type="spellStart"/>
      <w:r w:rsidRPr="0085312D">
        <w:rPr>
          <w:rFonts w:ascii="Arial" w:hAnsi="Arial" w:cs="Arial"/>
          <w:i/>
          <w:iCs/>
          <w:sz w:val="22"/>
          <w:szCs w:val="22"/>
        </w:rPr>
        <w:t>Fetal</w:t>
      </w:r>
      <w:proofErr w:type="spellEnd"/>
      <w:r w:rsidRPr="0085312D">
        <w:rPr>
          <w:rFonts w:ascii="Arial" w:hAnsi="Arial" w:cs="Arial"/>
          <w:i/>
          <w:iCs/>
          <w:sz w:val="22"/>
          <w:szCs w:val="22"/>
        </w:rPr>
        <w:t xml:space="preserve"> monitoring in labour (NG229)</w:t>
      </w:r>
      <w:r w:rsidRPr="0085312D">
        <w:rPr>
          <w:rFonts w:ascii="Arial" w:hAnsi="Arial" w:cs="Arial"/>
          <w:sz w:val="22"/>
          <w:szCs w:val="22"/>
        </w:rPr>
        <w:t xml:space="preserve">. Available at: </w:t>
      </w:r>
      <w:hyperlink r:id="rId15" w:history="1">
        <w:r w:rsidRPr="0085312D">
          <w:rPr>
            <w:rStyle w:val="Hyperlink"/>
            <w:rFonts w:ascii="Arial" w:hAnsi="Arial" w:cs="Arial"/>
            <w:sz w:val="22"/>
            <w:szCs w:val="22"/>
          </w:rPr>
          <w:t>https://www.nice.org.uk/guidance/ng229/resources/fetal-monitoring-in-labour-pdf-66143844065221</w:t>
        </w:r>
      </w:hyperlink>
      <w:r w:rsidRPr="0085312D">
        <w:rPr>
          <w:rFonts w:ascii="Arial" w:hAnsi="Arial" w:cs="Arial"/>
          <w:sz w:val="22"/>
          <w:szCs w:val="22"/>
          <w:u w:val="single"/>
        </w:rPr>
        <w:t xml:space="preserve"> </w:t>
      </w:r>
      <w:r w:rsidRPr="0085312D">
        <w:rPr>
          <w:rFonts w:ascii="Arial" w:hAnsi="Arial" w:cs="Arial"/>
          <w:sz w:val="22"/>
          <w:szCs w:val="22"/>
        </w:rPr>
        <w:t xml:space="preserve">(Accessed: 7 February 2026). </w:t>
      </w:r>
    </w:p>
    <w:p w14:paraId="43CD023A" w14:textId="77777777" w:rsidR="00350F2C" w:rsidRPr="0085312D" w:rsidRDefault="00350F2C" w:rsidP="0085312D">
      <w:pPr>
        <w:spacing w:line="276" w:lineRule="auto"/>
        <w:rPr>
          <w:rFonts w:ascii="Arial" w:hAnsi="Arial" w:cs="Arial"/>
          <w:sz w:val="22"/>
          <w:szCs w:val="22"/>
        </w:rPr>
      </w:pPr>
      <w:r w:rsidRPr="0085312D">
        <w:rPr>
          <w:rFonts w:ascii="Arial" w:hAnsi="Arial" w:cs="Arial"/>
          <w:sz w:val="22"/>
          <w:szCs w:val="22"/>
        </w:rPr>
        <w:t xml:space="preserve">NHS England (2023) </w:t>
      </w:r>
      <w:r w:rsidRPr="0085312D">
        <w:rPr>
          <w:rFonts w:ascii="Arial" w:hAnsi="Arial" w:cs="Arial"/>
          <w:i/>
          <w:iCs/>
          <w:sz w:val="22"/>
          <w:szCs w:val="22"/>
        </w:rPr>
        <w:t>Three-Year Delivery Plan for Maternity and Neonatal Services</w:t>
      </w:r>
      <w:r w:rsidRPr="0085312D">
        <w:rPr>
          <w:rFonts w:ascii="Arial" w:hAnsi="Arial" w:cs="Arial"/>
          <w:sz w:val="22"/>
          <w:szCs w:val="22"/>
        </w:rPr>
        <w:t xml:space="preserve">. Available at: </w:t>
      </w:r>
      <w:hyperlink r:id="rId16" w:history="1">
        <w:r w:rsidRPr="0085312D">
          <w:rPr>
            <w:rStyle w:val="Hyperlink"/>
            <w:rFonts w:ascii="Arial" w:hAnsi="Arial" w:cs="Arial"/>
            <w:sz w:val="22"/>
            <w:szCs w:val="22"/>
          </w:rPr>
          <w:t>https://www.england.nhs.uk/publication/three-year-delivery-plan-for-maternity-and-neonatal-services/</w:t>
        </w:r>
      </w:hyperlink>
      <w:r w:rsidRPr="0085312D">
        <w:rPr>
          <w:rFonts w:ascii="Arial" w:hAnsi="Arial" w:cs="Arial"/>
          <w:sz w:val="22"/>
          <w:szCs w:val="22"/>
        </w:rPr>
        <w:t xml:space="preserve"> (Accessed: 6 February 2026).</w:t>
      </w:r>
    </w:p>
    <w:p w14:paraId="2ADB42D0" w14:textId="77777777" w:rsidR="00350F2C" w:rsidRPr="0085312D" w:rsidRDefault="00350F2C" w:rsidP="0085312D">
      <w:pPr>
        <w:spacing w:line="276" w:lineRule="auto"/>
        <w:rPr>
          <w:rFonts w:ascii="Arial" w:hAnsi="Arial" w:cs="Arial"/>
          <w:sz w:val="22"/>
          <w:szCs w:val="22"/>
        </w:rPr>
      </w:pPr>
      <w:r w:rsidRPr="0085312D">
        <w:rPr>
          <w:rFonts w:ascii="Arial" w:hAnsi="Arial" w:cs="Arial"/>
          <w:sz w:val="22"/>
          <w:szCs w:val="22"/>
        </w:rPr>
        <w:t xml:space="preserve">NHS England (2019) </w:t>
      </w:r>
      <w:r w:rsidRPr="0085312D">
        <w:rPr>
          <w:rFonts w:ascii="Arial" w:hAnsi="Arial" w:cs="Arial"/>
          <w:i/>
          <w:iCs/>
          <w:sz w:val="22"/>
          <w:szCs w:val="22"/>
        </w:rPr>
        <w:t>Saving Babies’ Lives Care Bundle Version Two (SBLCBv2)</w:t>
      </w:r>
      <w:r w:rsidRPr="0085312D">
        <w:rPr>
          <w:rFonts w:ascii="Arial" w:hAnsi="Arial" w:cs="Arial"/>
          <w:sz w:val="22"/>
          <w:szCs w:val="22"/>
        </w:rPr>
        <w:t xml:space="preserve">. Available at: </w:t>
      </w:r>
      <w:hyperlink r:id="rId17" w:history="1">
        <w:r w:rsidRPr="0085312D">
          <w:rPr>
            <w:rStyle w:val="Hyperlink"/>
            <w:rFonts w:ascii="Arial" w:hAnsi="Arial" w:cs="Arial"/>
            <w:sz w:val="22"/>
            <w:szCs w:val="22"/>
          </w:rPr>
          <w:t>https://www.england.nhs.uk/wp-content/uploads/2019/03/Saving-Babies-Lives-Care-Bundle-Version-Two-Updated-Final-Version.pdf</w:t>
        </w:r>
      </w:hyperlink>
      <w:r w:rsidRPr="0085312D">
        <w:rPr>
          <w:rFonts w:ascii="Arial" w:hAnsi="Arial" w:cs="Arial"/>
          <w:sz w:val="22"/>
          <w:szCs w:val="22"/>
          <w:u w:val="single"/>
        </w:rPr>
        <w:t xml:space="preserve"> </w:t>
      </w:r>
      <w:r w:rsidRPr="0085312D">
        <w:rPr>
          <w:rFonts w:ascii="Arial" w:hAnsi="Arial" w:cs="Arial"/>
          <w:sz w:val="22"/>
          <w:szCs w:val="22"/>
        </w:rPr>
        <w:t>(Accessed: 8 February 2026).</w:t>
      </w:r>
    </w:p>
    <w:p w14:paraId="389EF3F0" w14:textId="77777777" w:rsidR="00350F2C" w:rsidRPr="0085312D" w:rsidRDefault="00350F2C" w:rsidP="0085312D">
      <w:pPr>
        <w:spacing w:line="276" w:lineRule="auto"/>
        <w:rPr>
          <w:rFonts w:ascii="Arial" w:hAnsi="Arial" w:cs="Arial"/>
          <w:sz w:val="22"/>
          <w:szCs w:val="22"/>
        </w:rPr>
      </w:pPr>
      <w:r w:rsidRPr="0085312D">
        <w:rPr>
          <w:rFonts w:ascii="Arial" w:hAnsi="Arial" w:cs="Arial"/>
          <w:sz w:val="22"/>
          <w:szCs w:val="22"/>
        </w:rPr>
        <w:t xml:space="preserve">National Institute for Health and Care Excellence (NICE) (2021) </w:t>
      </w:r>
      <w:r w:rsidRPr="0085312D">
        <w:rPr>
          <w:rFonts w:ascii="Arial" w:hAnsi="Arial" w:cs="Arial"/>
          <w:i/>
          <w:iCs/>
          <w:sz w:val="22"/>
          <w:szCs w:val="22"/>
        </w:rPr>
        <w:t>Safe staffing for maternity services</w:t>
      </w:r>
      <w:r w:rsidRPr="0085312D">
        <w:rPr>
          <w:rFonts w:ascii="Arial" w:hAnsi="Arial" w:cs="Arial"/>
          <w:sz w:val="22"/>
          <w:szCs w:val="22"/>
        </w:rPr>
        <w:t>. Available at: https://www.nice.org.uk/about/what-we-do/our-programmes/nice-guidance/safe-staffing (Accessed: 6 February 2026).</w:t>
      </w:r>
    </w:p>
    <w:p w14:paraId="450117E0" w14:textId="77777777" w:rsidR="00350F2C" w:rsidRPr="0085312D" w:rsidRDefault="00350F2C" w:rsidP="0085312D">
      <w:pPr>
        <w:spacing w:line="276" w:lineRule="auto"/>
        <w:rPr>
          <w:rFonts w:ascii="Arial" w:hAnsi="Arial" w:cs="Arial"/>
          <w:sz w:val="22"/>
          <w:szCs w:val="22"/>
        </w:rPr>
      </w:pPr>
      <w:r w:rsidRPr="0085312D">
        <w:rPr>
          <w:rFonts w:ascii="Arial" w:hAnsi="Arial" w:cs="Arial"/>
          <w:sz w:val="22"/>
          <w:szCs w:val="22"/>
        </w:rPr>
        <w:t xml:space="preserve">NHS Resolution (2023) </w:t>
      </w:r>
      <w:r w:rsidRPr="0085312D">
        <w:rPr>
          <w:rFonts w:ascii="Arial" w:hAnsi="Arial" w:cs="Arial"/>
          <w:i/>
          <w:iCs/>
          <w:sz w:val="22"/>
          <w:szCs w:val="22"/>
        </w:rPr>
        <w:t>Learning from avoidable harm in maternity services</w:t>
      </w:r>
      <w:r w:rsidRPr="0085312D">
        <w:rPr>
          <w:rFonts w:ascii="Arial" w:hAnsi="Arial" w:cs="Arial"/>
          <w:sz w:val="22"/>
          <w:szCs w:val="22"/>
        </w:rPr>
        <w:t xml:space="preserve">. London: NHS Resolution. Available at: </w:t>
      </w:r>
      <w:hyperlink r:id="rId18" w:history="1">
        <w:r w:rsidRPr="0085312D">
          <w:rPr>
            <w:rStyle w:val="Hyperlink"/>
            <w:rFonts w:ascii="Arial" w:hAnsi="Arial" w:cs="Arial"/>
            <w:sz w:val="22"/>
            <w:szCs w:val="22"/>
          </w:rPr>
          <w:t>https://resolution.nhs.uk/resources/learning-from-avoidable-harm-in-maternity-services/</w:t>
        </w:r>
      </w:hyperlink>
      <w:r w:rsidRPr="0085312D">
        <w:rPr>
          <w:rFonts w:ascii="Arial" w:hAnsi="Arial" w:cs="Arial"/>
          <w:sz w:val="22"/>
          <w:szCs w:val="22"/>
          <w:u w:val="single"/>
        </w:rPr>
        <w:t xml:space="preserve"> </w:t>
      </w:r>
      <w:r w:rsidRPr="0085312D">
        <w:rPr>
          <w:rFonts w:ascii="Arial" w:hAnsi="Arial" w:cs="Arial"/>
          <w:sz w:val="22"/>
          <w:szCs w:val="22"/>
        </w:rPr>
        <w:t>(Accessed: 10 February 2026).</w:t>
      </w:r>
    </w:p>
    <w:p w14:paraId="55FDD679" w14:textId="77777777" w:rsidR="00350F2C" w:rsidRPr="0085312D" w:rsidRDefault="00350F2C" w:rsidP="0085312D">
      <w:pPr>
        <w:spacing w:line="276" w:lineRule="auto"/>
        <w:rPr>
          <w:rFonts w:ascii="Arial" w:hAnsi="Arial" w:cs="Arial"/>
          <w:sz w:val="22"/>
          <w:szCs w:val="22"/>
        </w:rPr>
      </w:pPr>
      <w:r w:rsidRPr="0085312D">
        <w:rPr>
          <w:rFonts w:ascii="Arial" w:hAnsi="Arial" w:cs="Arial"/>
          <w:sz w:val="22"/>
          <w:szCs w:val="22"/>
        </w:rPr>
        <w:lastRenderedPageBreak/>
        <w:t xml:space="preserve">Ockenden, D. (2022) </w:t>
      </w:r>
      <w:r w:rsidRPr="0085312D">
        <w:rPr>
          <w:rFonts w:ascii="Arial" w:hAnsi="Arial" w:cs="Arial"/>
          <w:i/>
          <w:iCs/>
          <w:sz w:val="22"/>
          <w:szCs w:val="22"/>
        </w:rPr>
        <w:t>Final report of the Ockenden review: findings, conclusions and essential actions from the independent review of maternity services at the Shrewsbury and Telford Hospital NHS Trust</w:t>
      </w:r>
      <w:r w:rsidRPr="0085312D">
        <w:rPr>
          <w:rFonts w:ascii="Arial" w:hAnsi="Arial" w:cs="Arial"/>
          <w:sz w:val="22"/>
          <w:szCs w:val="22"/>
        </w:rPr>
        <w:t xml:space="preserve">. Available at: </w:t>
      </w:r>
      <w:hyperlink r:id="rId19" w:history="1">
        <w:r w:rsidRPr="0085312D">
          <w:rPr>
            <w:rStyle w:val="Hyperlink"/>
            <w:rFonts w:ascii="Arial" w:hAnsi="Arial" w:cs="Arial"/>
            <w:sz w:val="22"/>
            <w:szCs w:val="22"/>
          </w:rPr>
          <w:t>https://www.gov.uk/government/publications/final-report-of-the-ockenden-review</w:t>
        </w:r>
      </w:hyperlink>
      <w:r w:rsidRPr="0085312D">
        <w:rPr>
          <w:rFonts w:ascii="Arial" w:hAnsi="Arial" w:cs="Arial"/>
          <w:sz w:val="22"/>
          <w:szCs w:val="22"/>
          <w:u w:val="single"/>
        </w:rPr>
        <w:t xml:space="preserve"> </w:t>
      </w:r>
      <w:r w:rsidRPr="0085312D">
        <w:rPr>
          <w:rFonts w:ascii="Arial" w:hAnsi="Arial" w:cs="Arial"/>
          <w:sz w:val="22"/>
          <w:szCs w:val="22"/>
        </w:rPr>
        <w:t xml:space="preserve">(Accessed: 2 February 2026). </w:t>
      </w:r>
    </w:p>
    <w:p w14:paraId="0619C198" w14:textId="2C1042AC" w:rsidR="00350F2C" w:rsidRPr="0085312D" w:rsidRDefault="00350F2C" w:rsidP="0085312D">
      <w:pPr>
        <w:spacing w:line="276" w:lineRule="auto"/>
        <w:rPr>
          <w:rFonts w:ascii="Arial" w:hAnsi="Arial" w:cs="Arial"/>
          <w:sz w:val="22"/>
          <w:szCs w:val="22"/>
        </w:rPr>
      </w:pPr>
      <w:r w:rsidRPr="0085312D">
        <w:rPr>
          <w:rFonts w:ascii="Arial" w:hAnsi="Arial" w:cs="Arial"/>
          <w:sz w:val="22"/>
          <w:szCs w:val="22"/>
        </w:rPr>
        <w:t xml:space="preserve">Renfrew, M.J., McFadden, A., Bastos, M.H., Campbell, J., Channon, A.A., Cheung, N.F. and Declercq, E. (2014) ‘Midwifery and quality care: findings from a new evidence-informed framework’, </w:t>
      </w:r>
      <w:r w:rsidRPr="0085312D">
        <w:rPr>
          <w:rFonts w:ascii="Arial" w:hAnsi="Arial" w:cs="Arial"/>
          <w:i/>
          <w:iCs/>
          <w:sz w:val="22"/>
          <w:szCs w:val="22"/>
        </w:rPr>
        <w:t>The Lancet</w:t>
      </w:r>
      <w:r w:rsidRPr="0085312D">
        <w:rPr>
          <w:rFonts w:ascii="Arial" w:hAnsi="Arial" w:cs="Arial"/>
          <w:sz w:val="22"/>
          <w:szCs w:val="22"/>
        </w:rPr>
        <w:t xml:space="preserve">, 384(9948), pp. 1129–1145. </w:t>
      </w:r>
    </w:p>
    <w:p w14:paraId="25248B55" w14:textId="77777777" w:rsidR="00350F2C" w:rsidRPr="0085312D" w:rsidRDefault="00350F2C" w:rsidP="0085312D">
      <w:pPr>
        <w:spacing w:line="276" w:lineRule="auto"/>
        <w:rPr>
          <w:rFonts w:ascii="Arial" w:hAnsi="Arial" w:cs="Arial"/>
          <w:sz w:val="22"/>
          <w:szCs w:val="22"/>
        </w:rPr>
      </w:pPr>
      <w:r w:rsidRPr="0085312D">
        <w:rPr>
          <w:rFonts w:ascii="Arial" w:hAnsi="Arial" w:cs="Arial"/>
          <w:sz w:val="22"/>
          <w:szCs w:val="22"/>
        </w:rPr>
        <w:t>Reid, I. and Smyth</w:t>
      </w:r>
      <w:r w:rsidRPr="0085312D">
        <w:rPr>
          <w:rFonts w:ascii="Cambria Math" w:hAnsi="Cambria Math" w:cs="Cambria Math"/>
          <w:sz w:val="22"/>
          <w:szCs w:val="22"/>
        </w:rPr>
        <w:t>‐</w:t>
      </w:r>
      <w:r w:rsidRPr="0085312D">
        <w:rPr>
          <w:rFonts w:ascii="Arial" w:hAnsi="Arial" w:cs="Arial"/>
          <w:sz w:val="22"/>
          <w:szCs w:val="22"/>
        </w:rPr>
        <w:t xml:space="preserve">Renshaw, J. (2012) 'Exploring the fundamentals of root cause analysis: Are we asking the right questions in defining the problem?,' </w:t>
      </w:r>
      <w:r w:rsidRPr="0085312D">
        <w:rPr>
          <w:rFonts w:ascii="Arial" w:hAnsi="Arial" w:cs="Arial"/>
          <w:i/>
          <w:iCs/>
          <w:sz w:val="22"/>
          <w:szCs w:val="22"/>
        </w:rPr>
        <w:t>Quality and Reliability Engineering International</w:t>
      </w:r>
      <w:r w:rsidRPr="0085312D">
        <w:rPr>
          <w:rFonts w:ascii="Arial" w:hAnsi="Arial" w:cs="Arial"/>
          <w:sz w:val="22"/>
          <w:szCs w:val="22"/>
        </w:rPr>
        <w:t>, 28(5), pp. 535–545. https://doi.org/10.1002/qre.1435.</w:t>
      </w:r>
    </w:p>
    <w:p w14:paraId="06020EAE" w14:textId="77777777" w:rsidR="00350F2C" w:rsidRPr="0085312D" w:rsidRDefault="00350F2C" w:rsidP="0085312D">
      <w:pPr>
        <w:spacing w:line="276" w:lineRule="auto"/>
        <w:rPr>
          <w:rFonts w:ascii="Arial" w:hAnsi="Arial" w:cs="Arial"/>
          <w:sz w:val="22"/>
          <w:szCs w:val="22"/>
        </w:rPr>
      </w:pPr>
      <w:r w:rsidRPr="0085312D">
        <w:rPr>
          <w:rFonts w:ascii="Arial" w:hAnsi="Arial" w:cs="Arial"/>
          <w:sz w:val="22"/>
          <w:szCs w:val="22"/>
        </w:rPr>
        <w:t xml:space="preserve">Reason, J. (2000) ‘Human error: models and management’, </w:t>
      </w:r>
      <w:r w:rsidRPr="0085312D">
        <w:rPr>
          <w:rFonts w:ascii="Arial" w:hAnsi="Arial" w:cs="Arial"/>
          <w:i/>
          <w:iCs/>
          <w:sz w:val="22"/>
          <w:szCs w:val="22"/>
        </w:rPr>
        <w:t>BMJ</w:t>
      </w:r>
      <w:r w:rsidRPr="0085312D">
        <w:rPr>
          <w:rFonts w:ascii="Arial" w:hAnsi="Arial" w:cs="Arial"/>
          <w:sz w:val="22"/>
          <w:szCs w:val="22"/>
        </w:rPr>
        <w:t xml:space="preserve">, 320(7237), pp. 768–770. Available at: </w:t>
      </w:r>
      <w:hyperlink r:id="rId20" w:history="1">
        <w:r w:rsidRPr="0085312D">
          <w:rPr>
            <w:rStyle w:val="Hyperlink"/>
            <w:rFonts w:ascii="Arial" w:hAnsi="Arial" w:cs="Arial"/>
            <w:sz w:val="22"/>
            <w:szCs w:val="22"/>
          </w:rPr>
          <w:t>https://doi.org/10.1136/bmj.320.7237.768</w:t>
        </w:r>
      </w:hyperlink>
      <w:r w:rsidRPr="0085312D">
        <w:rPr>
          <w:rFonts w:ascii="Arial" w:hAnsi="Arial" w:cs="Arial"/>
          <w:sz w:val="22"/>
          <w:szCs w:val="22"/>
          <w:u w:val="single"/>
        </w:rPr>
        <w:t xml:space="preserve"> </w:t>
      </w:r>
      <w:r w:rsidRPr="0085312D">
        <w:rPr>
          <w:rFonts w:ascii="Arial" w:hAnsi="Arial" w:cs="Arial"/>
          <w:sz w:val="22"/>
          <w:szCs w:val="22"/>
        </w:rPr>
        <w:t xml:space="preserve">(Accessed: 2 February 2026). </w:t>
      </w:r>
    </w:p>
    <w:p w14:paraId="17F9D1AD" w14:textId="77777777" w:rsidR="00350F2C" w:rsidRPr="0085312D" w:rsidRDefault="00350F2C" w:rsidP="0085312D">
      <w:pPr>
        <w:spacing w:line="276" w:lineRule="auto"/>
        <w:rPr>
          <w:rFonts w:ascii="Arial" w:hAnsi="Arial" w:cs="Arial"/>
          <w:sz w:val="22"/>
          <w:szCs w:val="22"/>
        </w:rPr>
      </w:pPr>
      <w:r w:rsidRPr="0085312D">
        <w:rPr>
          <w:rFonts w:ascii="Arial" w:hAnsi="Arial" w:cs="Arial"/>
          <w:sz w:val="22"/>
          <w:szCs w:val="22"/>
        </w:rPr>
        <w:t xml:space="preserve">Royal College of Obstetricians and Gynaecologists (RCOG) (2017) </w:t>
      </w:r>
      <w:r w:rsidRPr="0085312D">
        <w:rPr>
          <w:rFonts w:ascii="Arial" w:hAnsi="Arial" w:cs="Arial"/>
          <w:i/>
          <w:iCs/>
          <w:sz w:val="22"/>
          <w:szCs w:val="22"/>
        </w:rPr>
        <w:t>Each Baby Counts: full report 2015</w:t>
      </w:r>
      <w:r w:rsidRPr="0085312D">
        <w:rPr>
          <w:rFonts w:ascii="Arial" w:hAnsi="Arial" w:cs="Arial"/>
          <w:sz w:val="22"/>
          <w:szCs w:val="22"/>
        </w:rPr>
        <w:t xml:space="preserve">. Available at: </w:t>
      </w:r>
      <w:hyperlink r:id="rId21" w:history="1">
        <w:r w:rsidRPr="0085312D">
          <w:rPr>
            <w:rStyle w:val="Hyperlink"/>
            <w:rFonts w:ascii="Arial" w:hAnsi="Arial" w:cs="Arial"/>
            <w:sz w:val="22"/>
            <w:szCs w:val="22"/>
          </w:rPr>
          <w:t>https://www.rcog.org.uk/media/3fopwy41/each-baby-counts-2015-full-report.pdf</w:t>
        </w:r>
      </w:hyperlink>
      <w:r w:rsidRPr="0085312D">
        <w:rPr>
          <w:rFonts w:ascii="Arial" w:hAnsi="Arial" w:cs="Arial"/>
          <w:sz w:val="22"/>
          <w:szCs w:val="22"/>
          <w:u w:val="single"/>
        </w:rPr>
        <w:t xml:space="preserve"> </w:t>
      </w:r>
      <w:r w:rsidRPr="0085312D">
        <w:rPr>
          <w:rFonts w:ascii="Arial" w:hAnsi="Arial" w:cs="Arial"/>
          <w:sz w:val="22"/>
          <w:szCs w:val="22"/>
        </w:rPr>
        <w:t xml:space="preserve">(Accessed: 4 February 2026). </w:t>
      </w:r>
    </w:p>
    <w:p w14:paraId="65ED909E" w14:textId="77777777" w:rsidR="00350F2C" w:rsidRPr="0085312D" w:rsidRDefault="00350F2C" w:rsidP="0085312D">
      <w:pPr>
        <w:spacing w:line="276" w:lineRule="auto"/>
        <w:rPr>
          <w:rFonts w:ascii="Arial" w:hAnsi="Arial" w:cs="Arial"/>
          <w:sz w:val="22"/>
          <w:szCs w:val="22"/>
        </w:rPr>
      </w:pPr>
      <w:r w:rsidRPr="0085312D">
        <w:rPr>
          <w:rFonts w:ascii="Arial" w:hAnsi="Arial" w:cs="Arial"/>
          <w:sz w:val="22"/>
          <w:szCs w:val="22"/>
        </w:rPr>
        <w:t xml:space="preserve">Royal College of Obstetricians and Gynaecologists (RCOG) (2022) </w:t>
      </w:r>
      <w:r w:rsidRPr="0085312D">
        <w:rPr>
          <w:rFonts w:ascii="Arial" w:hAnsi="Arial" w:cs="Arial"/>
          <w:i/>
          <w:iCs/>
          <w:sz w:val="22"/>
          <w:szCs w:val="22"/>
        </w:rPr>
        <w:t>Improving safety and quality in maternity services</w:t>
      </w:r>
      <w:r w:rsidRPr="0085312D">
        <w:rPr>
          <w:rFonts w:ascii="Arial" w:hAnsi="Arial" w:cs="Arial"/>
          <w:sz w:val="22"/>
          <w:szCs w:val="22"/>
        </w:rPr>
        <w:t>. Available at: https://www.rcog.org.uk/guidance/browse-all-guidance/other-guidelines-and-reports/improving-safety-and-quality-in-maternity-services/ (Accessed: 8 February 2026).</w:t>
      </w:r>
    </w:p>
    <w:p w14:paraId="65D1F522" w14:textId="77777777" w:rsidR="00350F2C" w:rsidRPr="0085312D" w:rsidRDefault="00350F2C" w:rsidP="0085312D">
      <w:pPr>
        <w:spacing w:line="276" w:lineRule="auto"/>
        <w:rPr>
          <w:rFonts w:ascii="Arial" w:hAnsi="Arial" w:cs="Arial"/>
          <w:sz w:val="22"/>
          <w:szCs w:val="22"/>
        </w:rPr>
      </w:pPr>
      <w:r w:rsidRPr="0085312D">
        <w:rPr>
          <w:rFonts w:ascii="Arial" w:hAnsi="Arial" w:cs="Arial"/>
          <w:sz w:val="22"/>
          <w:szCs w:val="22"/>
        </w:rPr>
        <w:t xml:space="preserve">Roşca, V.I. (2020) 'Implications of Lewin’s field theory on social change,' </w:t>
      </w:r>
      <w:r w:rsidRPr="0085312D">
        <w:rPr>
          <w:rFonts w:ascii="Arial" w:hAnsi="Arial" w:cs="Arial"/>
          <w:i/>
          <w:iCs/>
          <w:sz w:val="22"/>
          <w:szCs w:val="22"/>
        </w:rPr>
        <w:t>Proceedings of the ... International Conference on Business Excellence</w:t>
      </w:r>
      <w:r w:rsidRPr="0085312D">
        <w:rPr>
          <w:rFonts w:ascii="Arial" w:hAnsi="Arial" w:cs="Arial"/>
          <w:sz w:val="22"/>
          <w:szCs w:val="22"/>
        </w:rPr>
        <w:t>, 14(1), pp. 617–625. https://doi.org/10.2478/picbe-2020-0058.</w:t>
      </w:r>
    </w:p>
    <w:p w14:paraId="42B5FD3B" w14:textId="77777777" w:rsidR="00350F2C" w:rsidRPr="0085312D" w:rsidRDefault="00350F2C" w:rsidP="0085312D">
      <w:pPr>
        <w:spacing w:line="276" w:lineRule="auto"/>
        <w:rPr>
          <w:rFonts w:ascii="Arial" w:hAnsi="Arial" w:cs="Arial"/>
          <w:sz w:val="22"/>
          <w:szCs w:val="22"/>
        </w:rPr>
      </w:pPr>
      <w:proofErr w:type="spellStart"/>
      <w:r w:rsidRPr="0085312D">
        <w:rPr>
          <w:rFonts w:ascii="Arial" w:hAnsi="Arial" w:cs="Arial"/>
          <w:sz w:val="22"/>
          <w:szCs w:val="22"/>
          <w:lang w:val="nl-NL"/>
        </w:rPr>
        <w:t>Tossaint</w:t>
      </w:r>
      <w:proofErr w:type="spellEnd"/>
      <w:r w:rsidRPr="0085312D">
        <w:rPr>
          <w:rFonts w:ascii="Arial" w:hAnsi="Arial" w:cs="Arial"/>
          <w:sz w:val="22"/>
          <w:szCs w:val="22"/>
          <w:lang w:val="nl-NL"/>
        </w:rPr>
        <w:t xml:space="preserve">-Schoenmakers, R. </w:t>
      </w:r>
      <w:r w:rsidRPr="0085312D">
        <w:rPr>
          <w:rFonts w:ascii="Arial" w:hAnsi="Arial" w:cs="Arial"/>
          <w:i/>
          <w:iCs/>
          <w:sz w:val="22"/>
          <w:szCs w:val="22"/>
          <w:lang w:val="nl-NL"/>
        </w:rPr>
        <w:t>et al.</w:t>
      </w:r>
      <w:r w:rsidRPr="0085312D">
        <w:rPr>
          <w:rFonts w:ascii="Arial" w:hAnsi="Arial" w:cs="Arial"/>
          <w:sz w:val="22"/>
          <w:szCs w:val="22"/>
          <w:lang w:val="nl-NL"/>
        </w:rPr>
        <w:t xml:space="preserve"> </w:t>
      </w:r>
      <w:r w:rsidRPr="0085312D">
        <w:rPr>
          <w:rFonts w:ascii="Arial" w:hAnsi="Arial" w:cs="Arial"/>
          <w:sz w:val="22"/>
          <w:szCs w:val="22"/>
        </w:rPr>
        <w:t xml:space="preserve">(2021) 'The Challenge of Integrating eHealth into Health Care: Systematic Literature review of the Donabedian Model of Structure, Process, and Outcome,' </w:t>
      </w:r>
      <w:r w:rsidRPr="0085312D">
        <w:rPr>
          <w:rFonts w:ascii="Arial" w:hAnsi="Arial" w:cs="Arial"/>
          <w:i/>
          <w:iCs/>
          <w:sz w:val="22"/>
          <w:szCs w:val="22"/>
        </w:rPr>
        <w:t>Journal of Medical Internet Research</w:t>
      </w:r>
      <w:r w:rsidRPr="0085312D">
        <w:rPr>
          <w:rFonts w:ascii="Arial" w:hAnsi="Arial" w:cs="Arial"/>
          <w:sz w:val="22"/>
          <w:szCs w:val="22"/>
        </w:rPr>
        <w:t>, 23(5), p. e27180. https://doi.org/10.2196/27180.</w:t>
      </w:r>
    </w:p>
    <w:p w14:paraId="5AC09F24" w14:textId="77777777" w:rsidR="00350F2C" w:rsidRPr="0085312D" w:rsidRDefault="00350F2C" w:rsidP="0085312D">
      <w:pPr>
        <w:spacing w:line="276" w:lineRule="auto"/>
        <w:rPr>
          <w:rFonts w:ascii="Arial" w:hAnsi="Arial" w:cs="Arial"/>
          <w:sz w:val="22"/>
          <w:szCs w:val="22"/>
        </w:rPr>
      </w:pPr>
      <w:r w:rsidRPr="0085312D">
        <w:rPr>
          <w:rFonts w:ascii="Arial" w:hAnsi="Arial" w:cs="Arial"/>
          <w:sz w:val="22"/>
          <w:szCs w:val="22"/>
        </w:rPr>
        <w:t xml:space="preserve">Vincent, C. (2010) </w:t>
      </w:r>
      <w:r w:rsidRPr="0085312D">
        <w:rPr>
          <w:rFonts w:ascii="Arial" w:hAnsi="Arial" w:cs="Arial"/>
          <w:i/>
          <w:iCs/>
          <w:sz w:val="22"/>
          <w:szCs w:val="22"/>
        </w:rPr>
        <w:t>Patient Safety</w:t>
      </w:r>
      <w:r w:rsidRPr="0085312D">
        <w:rPr>
          <w:rFonts w:ascii="Arial" w:hAnsi="Arial" w:cs="Arial"/>
          <w:sz w:val="22"/>
          <w:szCs w:val="22"/>
        </w:rPr>
        <w:t xml:space="preserve">. 2nd </w:t>
      </w:r>
      <w:proofErr w:type="spellStart"/>
      <w:r w:rsidRPr="0085312D">
        <w:rPr>
          <w:rFonts w:ascii="Arial" w:hAnsi="Arial" w:cs="Arial"/>
          <w:sz w:val="22"/>
          <w:szCs w:val="22"/>
        </w:rPr>
        <w:t>edn</w:t>
      </w:r>
      <w:proofErr w:type="spellEnd"/>
      <w:r w:rsidRPr="0085312D">
        <w:rPr>
          <w:rFonts w:ascii="Arial" w:hAnsi="Arial" w:cs="Arial"/>
          <w:sz w:val="22"/>
          <w:szCs w:val="22"/>
        </w:rPr>
        <w:t>. Oxford: Wiley-Blackwell.</w:t>
      </w:r>
    </w:p>
    <w:p w14:paraId="2AA618B2" w14:textId="1522B2E5" w:rsidR="00350F2C" w:rsidRPr="0085312D" w:rsidRDefault="00350F2C" w:rsidP="0085312D">
      <w:pPr>
        <w:spacing w:line="276" w:lineRule="auto"/>
        <w:rPr>
          <w:rFonts w:ascii="Arial" w:hAnsi="Arial" w:cs="Arial"/>
          <w:sz w:val="22"/>
          <w:szCs w:val="22"/>
        </w:rPr>
      </w:pPr>
      <w:r w:rsidRPr="0085312D">
        <w:rPr>
          <w:rFonts w:ascii="Arial" w:hAnsi="Arial" w:cs="Arial"/>
          <w:sz w:val="22"/>
          <w:szCs w:val="22"/>
        </w:rPr>
        <w:t xml:space="preserve">West, M.A., Eckert, R., Steward, K. and Pasmore, B. (2014) </w:t>
      </w:r>
      <w:r w:rsidRPr="0085312D">
        <w:rPr>
          <w:rFonts w:ascii="Arial" w:hAnsi="Arial" w:cs="Arial"/>
          <w:i/>
          <w:iCs/>
          <w:sz w:val="22"/>
          <w:szCs w:val="22"/>
        </w:rPr>
        <w:t>Developing collective leadership for healthcare</w:t>
      </w:r>
      <w:r w:rsidRPr="0085312D">
        <w:rPr>
          <w:rFonts w:ascii="Arial" w:hAnsi="Arial" w:cs="Arial"/>
          <w:sz w:val="22"/>
          <w:szCs w:val="22"/>
        </w:rPr>
        <w:t xml:space="preserve">. Available at: </w:t>
      </w:r>
      <w:hyperlink r:id="rId22" w:tgtFrame="_new" w:history="1">
        <w:r w:rsidRPr="0085312D">
          <w:rPr>
            <w:rStyle w:val="Hyperlink"/>
            <w:rFonts w:ascii="Arial" w:hAnsi="Arial" w:cs="Arial"/>
            <w:sz w:val="22"/>
            <w:szCs w:val="22"/>
          </w:rPr>
          <w:t>https://www.kingsfund.org.uk</w:t>
        </w:r>
      </w:hyperlink>
      <w:r w:rsidR="00D7748E" w:rsidRPr="0085312D">
        <w:rPr>
          <w:rFonts w:ascii="Arial" w:hAnsi="Arial" w:cs="Arial"/>
          <w:sz w:val="22"/>
          <w:szCs w:val="22"/>
        </w:rPr>
        <w:t xml:space="preserve"> (</w:t>
      </w:r>
      <w:r w:rsidR="0085312D" w:rsidRPr="0085312D">
        <w:rPr>
          <w:rFonts w:ascii="Arial" w:hAnsi="Arial" w:cs="Arial"/>
          <w:sz w:val="22"/>
          <w:szCs w:val="22"/>
        </w:rPr>
        <w:t>Accessed 15 March 2026).</w:t>
      </w:r>
    </w:p>
    <w:p w14:paraId="410E3EBA" w14:textId="781CD014" w:rsidR="00350F2C" w:rsidRPr="0085312D" w:rsidRDefault="00350F2C" w:rsidP="0085312D">
      <w:pPr>
        <w:spacing w:line="276" w:lineRule="auto"/>
        <w:rPr>
          <w:rFonts w:ascii="Arial" w:hAnsi="Arial" w:cs="Arial"/>
          <w:sz w:val="22"/>
          <w:szCs w:val="22"/>
        </w:rPr>
      </w:pPr>
      <w:r w:rsidRPr="0085312D">
        <w:rPr>
          <w:rFonts w:ascii="Arial" w:hAnsi="Arial" w:cs="Arial"/>
          <w:sz w:val="22"/>
          <w:szCs w:val="22"/>
        </w:rPr>
        <w:t xml:space="preserve">World Health Organisation (WHO) (2016) </w:t>
      </w:r>
      <w:r w:rsidRPr="0085312D">
        <w:rPr>
          <w:rFonts w:ascii="Arial" w:hAnsi="Arial" w:cs="Arial"/>
          <w:i/>
          <w:iCs/>
          <w:sz w:val="22"/>
          <w:szCs w:val="22"/>
        </w:rPr>
        <w:t>Standards for improving quality of maternal and newborn care</w:t>
      </w:r>
      <w:r w:rsidRPr="0085312D">
        <w:rPr>
          <w:rFonts w:ascii="Arial" w:hAnsi="Arial" w:cs="Arial"/>
          <w:sz w:val="22"/>
          <w:szCs w:val="22"/>
        </w:rPr>
        <w:t xml:space="preserve">. Available at: </w:t>
      </w:r>
      <w:hyperlink r:id="rId23" w:tgtFrame="_new" w:history="1">
        <w:r w:rsidRPr="0085312D">
          <w:rPr>
            <w:rStyle w:val="Hyperlink"/>
            <w:rFonts w:ascii="Arial" w:hAnsi="Arial" w:cs="Arial"/>
            <w:sz w:val="22"/>
            <w:szCs w:val="22"/>
          </w:rPr>
          <w:t>https://www.who.int</w:t>
        </w:r>
      </w:hyperlink>
      <w:r w:rsidR="0085312D" w:rsidRPr="0085312D">
        <w:rPr>
          <w:rFonts w:ascii="Arial" w:hAnsi="Arial" w:cs="Arial"/>
          <w:sz w:val="22"/>
          <w:szCs w:val="22"/>
        </w:rPr>
        <w:t xml:space="preserve"> (Accessed: 18 March 2026). </w:t>
      </w:r>
    </w:p>
    <w:p w14:paraId="5A894C25" w14:textId="77777777" w:rsidR="00350F2C" w:rsidRPr="0085312D" w:rsidRDefault="00350F2C" w:rsidP="0085312D">
      <w:pPr>
        <w:spacing w:line="276" w:lineRule="auto"/>
        <w:rPr>
          <w:rFonts w:ascii="Arial" w:hAnsi="Arial" w:cs="Arial"/>
          <w:sz w:val="22"/>
          <w:szCs w:val="22"/>
        </w:rPr>
      </w:pPr>
      <w:r w:rsidRPr="0085312D">
        <w:rPr>
          <w:rFonts w:ascii="Arial" w:hAnsi="Arial" w:cs="Arial"/>
          <w:sz w:val="22"/>
          <w:szCs w:val="22"/>
        </w:rPr>
        <w:t xml:space="preserve">West, M., Eckert, R., Collins, B. and Chowla, R. (2017) </w:t>
      </w:r>
      <w:r w:rsidRPr="0085312D">
        <w:rPr>
          <w:rFonts w:ascii="Arial" w:hAnsi="Arial" w:cs="Arial"/>
          <w:i/>
          <w:iCs/>
          <w:sz w:val="22"/>
          <w:szCs w:val="22"/>
        </w:rPr>
        <w:t>Caring to change: how compassionate leadership can stimulate innovation in health care</w:t>
      </w:r>
      <w:r w:rsidRPr="0085312D">
        <w:rPr>
          <w:rFonts w:ascii="Arial" w:hAnsi="Arial" w:cs="Arial"/>
          <w:sz w:val="22"/>
          <w:szCs w:val="22"/>
        </w:rPr>
        <w:t xml:space="preserve">. London: The King’s Fund. Available at: </w:t>
      </w:r>
      <w:hyperlink r:id="rId24" w:history="1">
        <w:r w:rsidRPr="0085312D">
          <w:rPr>
            <w:rStyle w:val="Hyperlink"/>
            <w:rFonts w:ascii="Arial" w:hAnsi="Arial" w:cs="Arial"/>
            <w:sz w:val="22"/>
            <w:szCs w:val="22"/>
          </w:rPr>
          <w:t>https://www.kingsfund.org.uk/insight-and-analysis/reports/caring-change</w:t>
        </w:r>
      </w:hyperlink>
      <w:r w:rsidRPr="0085312D">
        <w:rPr>
          <w:rFonts w:ascii="Arial" w:hAnsi="Arial" w:cs="Arial"/>
          <w:sz w:val="22"/>
          <w:szCs w:val="22"/>
          <w:u w:val="single"/>
        </w:rPr>
        <w:t xml:space="preserve"> </w:t>
      </w:r>
      <w:r w:rsidRPr="0085312D">
        <w:rPr>
          <w:rFonts w:ascii="Arial" w:hAnsi="Arial" w:cs="Arial"/>
          <w:sz w:val="22"/>
          <w:szCs w:val="22"/>
        </w:rPr>
        <w:t xml:space="preserve">(Accessed: 8 February 2026). </w:t>
      </w:r>
    </w:p>
    <w:p w14:paraId="603B1AD4" w14:textId="20D6923F" w:rsidR="00350F2C" w:rsidRPr="0085312D" w:rsidRDefault="00350F2C" w:rsidP="0085312D">
      <w:pPr>
        <w:spacing w:line="276" w:lineRule="auto"/>
        <w:rPr>
          <w:rFonts w:ascii="Arial" w:hAnsi="Arial" w:cs="Arial"/>
          <w:sz w:val="22"/>
          <w:szCs w:val="22"/>
        </w:rPr>
      </w:pPr>
      <w:r w:rsidRPr="0085312D">
        <w:rPr>
          <w:rFonts w:ascii="Arial" w:hAnsi="Arial" w:cs="Arial"/>
          <w:sz w:val="22"/>
          <w:szCs w:val="22"/>
        </w:rPr>
        <w:t>Worl</w:t>
      </w:r>
      <w:r w:rsidR="00741746">
        <w:rPr>
          <w:rFonts w:ascii="Arial" w:hAnsi="Arial" w:cs="Arial"/>
          <w:sz w:val="22"/>
          <w:szCs w:val="22"/>
        </w:rPr>
        <w:t>d</w:t>
      </w:r>
      <w:r w:rsidRPr="0085312D">
        <w:rPr>
          <w:rFonts w:ascii="Arial" w:hAnsi="Arial" w:cs="Arial"/>
          <w:sz w:val="22"/>
          <w:szCs w:val="22"/>
        </w:rPr>
        <w:t xml:space="preserve"> Health Organisation (WHO) (2021) </w:t>
      </w:r>
      <w:r w:rsidRPr="0085312D">
        <w:rPr>
          <w:rFonts w:ascii="Arial" w:hAnsi="Arial" w:cs="Arial"/>
          <w:i/>
          <w:iCs/>
          <w:sz w:val="22"/>
          <w:szCs w:val="22"/>
        </w:rPr>
        <w:t>Global patient safety action plan 2021–2030: towards eliminating avoidable harm in health care</w:t>
      </w:r>
      <w:r w:rsidRPr="0085312D">
        <w:rPr>
          <w:rFonts w:ascii="Arial" w:hAnsi="Arial" w:cs="Arial"/>
          <w:sz w:val="22"/>
          <w:szCs w:val="22"/>
        </w:rPr>
        <w:t xml:space="preserve">. Available at: </w:t>
      </w:r>
      <w:hyperlink r:id="rId25" w:history="1">
        <w:r w:rsidRPr="0085312D">
          <w:rPr>
            <w:rStyle w:val="Hyperlink"/>
            <w:rFonts w:ascii="Arial" w:hAnsi="Arial" w:cs="Arial"/>
            <w:sz w:val="22"/>
            <w:szCs w:val="22"/>
          </w:rPr>
          <w:t>https://www.who.int/publications/i/item/9789240032705</w:t>
        </w:r>
      </w:hyperlink>
      <w:r w:rsidRPr="0085312D">
        <w:rPr>
          <w:rFonts w:ascii="Arial" w:hAnsi="Arial" w:cs="Arial"/>
          <w:sz w:val="22"/>
          <w:szCs w:val="22"/>
          <w:u w:val="single"/>
        </w:rPr>
        <w:t xml:space="preserve"> </w:t>
      </w:r>
      <w:r w:rsidRPr="0085312D">
        <w:rPr>
          <w:rFonts w:ascii="Arial" w:hAnsi="Arial" w:cs="Arial"/>
          <w:sz w:val="22"/>
          <w:szCs w:val="22"/>
        </w:rPr>
        <w:t>(Accessed: 5 February 2026).</w:t>
      </w:r>
    </w:p>
    <w:p w14:paraId="4AEC38E9" w14:textId="77777777" w:rsidR="00F47A5D" w:rsidRPr="00350F2C" w:rsidRDefault="00F47A5D" w:rsidP="000E0EDE">
      <w:pPr>
        <w:rPr>
          <w:rFonts w:ascii="Arial" w:hAnsi="Arial" w:cs="Arial"/>
          <w:sz w:val="22"/>
          <w:szCs w:val="22"/>
        </w:rPr>
      </w:pPr>
    </w:p>
    <w:p w14:paraId="56B26745" w14:textId="77777777" w:rsidR="00585CD6" w:rsidRDefault="00585CD6"/>
    <w:sectPr w:rsidR="00585CD6">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5103C4" w14:textId="77777777" w:rsidR="00E70F96" w:rsidRDefault="00E70F96" w:rsidP="009736E7">
      <w:pPr>
        <w:spacing w:after="0" w:line="240" w:lineRule="auto"/>
      </w:pPr>
      <w:r>
        <w:separator/>
      </w:r>
    </w:p>
  </w:endnote>
  <w:endnote w:type="continuationSeparator" w:id="0">
    <w:p w14:paraId="5905CA2F" w14:textId="77777777" w:rsidR="00E70F96" w:rsidRDefault="00E70F96" w:rsidP="009736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22984128"/>
      <w:docPartObj>
        <w:docPartGallery w:val="Page Numbers (Bottom of Page)"/>
        <w:docPartUnique/>
      </w:docPartObj>
    </w:sdtPr>
    <w:sdtEndPr>
      <w:rPr>
        <w:noProof/>
      </w:rPr>
    </w:sdtEndPr>
    <w:sdtContent>
      <w:p w14:paraId="45917D3A" w14:textId="74DC0F99" w:rsidR="004552E1" w:rsidRDefault="004552E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DC44CA4" w14:textId="77777777" w:rsidR="004552E1" w:rsidRDefault="004552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2A4FEB" w14:textId="77777777" w:rsidR="00E70F96" w:rsidRDefault="00E70F96" w:rsidP="009736E7">
      <w:pPr>
        <w:spacing w:after="0" w:line="240" w:lineRule="auto"/>
      </w:pPr>
      <w:r>
        <w:separator/>
      </w:r>
    </w:p>
  </w:footnote>
  <w:footnote w:type="continuationSeparator" w:id="0">
    <w:p w14:paraId="509482BD" w14:textId="77777777" w:rsidR="00E70F96" w:rsidRDefault="00E70F96" w:rsidP="009736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D351BE"/>
    <w:multiLevelType w:val="multilevel"/>
    <w:tmpl w:val="3850BA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EA40D5"/>
    <w:multiLevelType w:val="hybridMultilevel"/>
    <w:tmpl w:val="2B443B12"/>
    <w:lvl w:ilvl="0" w:tplc="8264DA7E">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AE48DA"/>
    <w:multiLevelType w:val="multilevel"/>
    <w:tmpl w:val="41F47F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B542A6"/>
    <w:multiLevelType w:val="multilevel"/>
    <w:tmpl w:val="4EE4E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6411EF"/>
    <w:multiLevelType w:val="multilevel"/>
    <w:tmpl w:val="6C4AAE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FAD6560"/>
    <w:multiLevelType w:val="multilevel"/>
    <w:tmpl w:val="A6523C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3C2893"/>
    <w:multiLevelType w:val="hybridMultilevel"/>
    <w:tmpl w:val="C49AFC52"/>
    <w:lvl w:ilvl="0" w:tplc="8264DA7E">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795038"/>
    <w:multiLevelType w:val="hybridMultilevel"/>
    <w:tmpl w:val="8286D7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CDF2EF7"/>
    <w:multiLevelType w:val="multilevel"/>
    <w:tmpl w:val="EF6815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A923016"/>
    <w:multiLevelType w:val="hybridMultilevel"/>
    <w:tmpl w:val="FA44B63C"/>
    <w:lvl w:ilvl="0" w:tplc="9D86CB3A">
      <w:start w:val="1"/>
      <w:numFmt w:val="bullet"/>
      <w:lvlText w:val="•"/>
      <w:lvlJc w:val="left"/>
      <w:pPr>
        <w:tabs>
          <w:tab w:val="num" w:pos="720"/>
        </w:tabs>
        <w:ind w:left="720" w:hanging="360"/>
      </w:pPr>
      <w:rPr>
        <w:rFonts w:ascii="Arial" w:hAnsi="Arial" w:hint="default"/>
      </w:rPr>
    </w:lvl>
    <w:lvl w:ilvl="1" w:tplc="093A40AA" w:tentative="1">
      <w:start w:val="1"/>
      <w:numFmt w:val="bullet"/>
      <w:lvlText w:val="•"/>
      <w:lvlJc w:val="left"/>
      <w:pPr>
        <w:tabs>
          <w:tab w:val="num" w:pos="1440"/>
        </w:tabs>
        <w:ind w:left="1440" w:hanging="360"/>
      </w:pPr>
      <w:rPr>
        <w:rFonts w:ascii="Arial" w:hAnsi="Arial" w:hint="default"/>
      </w:rPr>
    </w:lvl>
    <w:lvl w:ilvl="2" w:tplc="3D2074AC" w:tentative="1">
      <w:start w:val="1"/>
      <w:numFmt w:val="bullet"/>
      <w:lvlText w:val="•"/>
      <w:lvlJc w:val="left"/>
      <w:pPr>
        <w:tabs>
          <w:tab w:val="num" w:pos="2160"/>
        </w:tabs>
        <w:ind w:left="2160" w:hanging="360"/>
      </w:pPr>
      <w:rPr>
        <w:rFonts w:ascii="Arial" w:hAnsi="Arial" w:hint="default"/>
      </w:rPr>
    </w:lvl>
    <w:lvl w:ilvl="3" w:tplc="88965A00" w:tentative="1">
      <w:start w:val="1"/>
      <w:numFmt w:val="bullet"/>
      <w:lvlText w:val="•"/>
      <w:lvlJc w:val="left"/>
      <w:pPr>
        <w:tabs>
          <w:tab w:val="num" w:pos="2880"/>
        </w:tabs>
        <w:ind w:left="2880" w:hanging="360"/>
      </w:pPr>
      <w:rPr>
        <w:rFonts w:ascii="Arial" w:hAnsi="Arial" w:hint="default"/>
      </w:rPr>
    </w:lvl>
    <w:lvl w:ilvl="4" w:tplc="305A6272" w:tentative="1">
      <w:start w:val="1"/>
      <w:numFmt w:val="bullet"/>
      <w:lvlText w:val="•"/>
      <w:lvlJc w:val="left"/>
      <w:pPr>
        <w:tabs>
          <w:tab w:val="num" w:pos="3600"/>
        </w:tabs>
        <w:ind w:left="3600" w:hanging="360"/>
      </w:pPr>
      <w:rPr>
        <w:rFonts w:ascii="Arial" w:hAnsi="Arial" w:hint="default"/>
      </w:rPr>
    </w:lvl>
    <w:lvl w:ilvl="5" w:tplc="3FC253C6" w:tentative="1">
      <w:start w:val="1"/>
      <w:numFmt w:val="bullet"/>
      <w:lvlText w:val="•"/>
      <w:lvlJc w:val="left"/>
      <w:pPr>
        <w:tabs>
          <w:tab w:val="num" w:pos="4320"/>
        </w:tabs>
        <w:ind w:left="4320" w:hanging="360"/>
      </w:pPr>
      <w:rPr>
        <w:rFonts w:ascii="Arial" w:hAnsi="Arial" w:hint="default"/>
      </w:rPr>
    </w:lvl>
    <w:lvl w:ilvl="6" w:tplc="2E5E4772" w:tentative="1">
      <w:start w:val="1"/>
      <w:numFmt w:val="bullet"/>
      <w:lvlText w:val="•"/>
      <w:lvlJc w:val="left"/>
      <w:pPr>
        <w:tabs>
          <w:tab w:val="num" w:pos="5040"/>
        </w:tabs>
        <w:ind w:left="5040" w:hanging="360"/>
      </w:pPr>
      <w:rPr>
        <w:rFonts w:ascii="Arial" w:hAnsi="Arial" w:hint="default"/>
      </w:rPr>
    </w:lvl>
    <w:lvl w:ilvl="7" w:tplc="651EA59A" w:tentative="1">
      <w:start w:val="1"/>
      <w:numFmt w:val="bullet"/>
      <w:lvlText w:val="•"/>
      <w:lvlJc w:val="left"/>
      <w:pPr>
        <w:tabs>
          <w:tab w:val="num" w:pos="5760"/>
        </w:tabs>
        <w:ind w:left="5760" w:hanging="360"/>
      </w:pPr>
      <w:rPr>
        <w:rFonts w:ascii="Arial" w:hAnsi="Arial" w:hint="default"/>
      </w:rPr>
    </w:lvl>
    <w:lvl w:ilvl="8" w:tplc="96943652" w:tentative="1">
      <w:start w:val="1"/>
      <w:numFmt w:val="bullet"/>
      <w:lvlText w:val="•"/>
      <w:lvlJc w:val="left"/>
      <w:pPr>
        <w:tabs>
          <w:tab w:val="num" w:pos="6480"/>
        </w:tabs>
        <w:ind w:left="6480" w:hanging="360"/>
      </w:pPr>
      <w:rPr>
        <w:rFonts w:ascii="Arial" w:hAnsi="Arial" w:hint="default"/>
      </w:rPr>
    </w:lvl>
  </w:abstractNum>
  <w:num w:numId="1" w16cid:durableId="1124302382">
    <w:abstractNumId w:val="0"/>
  </w:num>
  <w:num w:numId="2" w16cid:durableId="1165975788">
    <w:abstractNumId w:val="2"/>
  </w:num>
  <w:num w:numId="3" w16cid:durableId="173617002">
    <w:abstractNumId w:val="3"/>
  </w:num>
  <w:num w:numId="4" w16cid:durableId="446855818">
    <w:abstractNumId w:val="5"/>
  </w:num>
  <w:num w:numId="5" w16cid:durableId="891036017">
    <w:abstractNumId w:val="8"/>
  </w:num>
  <w:num w:numId="6" w16cid:durableId="509375250">
    <w:abstractNumId w:val="4"/>
  </w:num>
  <w:num w:numId="7" w16cid:durableId="863322373">
    <w:abstractNumId w:val="9"/>
  </w:num>
  <w:num w:numId="8" w16cid:durableId="772285833">
    <w:abstractNumId w:val="7"/>
  </w:num>
  <w:num w:numId="9" w16cid:durableId="633217640">
    <w:abstractNumId w:val="6"/>
  </w:num>
  <w:num w:numId="10" w16cid:durableId="156028283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2"/>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3FDE"/>
    <w:rsid w:val="0001074D"/>
    <w:rsid w:val="00016019"/>
    <w:rsid w:val="00023279"/>
    <w:rsid w:val="00031092"/>
    <w:rsid w:val="000362E6"/>
    <w:rsid w:val="00073709"/>
    <w:rsid w:val="00077AA5"/>
    <w:rsid w:val="000950B6"/>
    <w:rsid w:val="0009576A"/>
    <w:rsid w:val="000E0EDE"/>
    <w:rsid w:val="001106A7"/>
    <w:rsid w:val="00157089"/>
    <w:rsid w:val="00163077"/>
    <w:rsid w:val="00173AA9"/>
    <w:rsid w:val="00176363"/>
    <w:rsid w:val="00184BC4"/>
    <w:rsid w:val="001915B1"/>
    <w:rsid w:val="001A4FB4"/>
    <w:rsid w:val="001A5FD0"/>
    <w:rsid w:val="001B5EAE"/>
    <w:rsid w:val="001B7EE8"/>
    <w:rsid w:val="001C30EE"/>
    <w:rsid w:val="001C7DA2"/>
    <w:rsid w:val="001D2CF7"/>
    <w:rsid w:val="001D300E"/>
    <w:rsid w:val="001F429B"/>
    <w:rsid w:val="00212D7D"/>
    <w:rsid w:val="00217F8C"/>
    <w:rsid w:val="00227F1A"/>
    <w:rsid w:val="00230671"/>
    <w:rsid w:val="00237318"/>
    <w:rsid w:val="00257363"/>
    <w:rsid w:val="0026057B"/>
    <w:rsid w:val="00263832"/>
    <w:rsid w:val="00273F3F"/>
    <w:rsid w:val="00277BA9"/>
    <w:rsid w:val="002A5992"/>
    <w:rsid w:val="002A611F"/>
    <w:rsid w:val="002D6510"/>
    <w:rsid w:val="002F64FD"/>
    <w:rsid w:val="00322082"/>
    <w:rsid w:val="00325F85"/>
    <w:rsid w:val="003274A3"/>
    <w:rsid w:val="003373DD"/>
    <w:rsid w:val="00350F2C"/>
    <w:rsid w:val="00355C04"/>
    <w:rsid w:val="00364018"/>
    <w:rsid w:val="00372EFA"/>
    <w:rsid w:val="0038163C"/>
    <w:rsid w:val="00383C95"/>
    <w:rsid w:val="003847AE"/>
    <w:rsid w:val="00391C0C"/>
    <w:rsid w:val="00391E44"/>
    <w:rsid w:val="003954B4"/>
    <w:rsid w:val="00397F82"/>
    <w:rsid w:val="003A2D1A"/>
    <w:rsid w:val="003A353C"/>
    <w:rsid w:val="003A64FA"/>
    <w:rsid w:val="003A7537"/>
    <w:rsid w:val="003C02B2"/>
    <w:rsid w:val="003C56BA"/>
    <w:rsid w:val="003E6454"/>
    <w:rsid w:val="003F3BD3"/>
    <w:rsid w:val="00402C75"/>
    <w:rsid w:val="004116D9"/>
    <w:rsid w:val="00421D0D"/>
    <w:rsid w:val="0043311C"/>
    <w:rsid w:val="00454C14"/>
    <w:rsid w:val="004552E1"/>
    <w:rsid w:val="004835B3"/>
    <w:rsid w:val="00493B32"/>
    <w:rsid w:val="004C04AC"/>
    <w:rsid w:val="004C4590"/>
    <w:rsid w:val="004C5F92"/>
    <w:rsid w:val="004E173B"/>
    <w:rsid w:val="00502248"/>
    <w:rsid w:val="00503D3B"/>
    <w:rsid w:val="00517F7A"/>
    <w:rsid w:val="0052533C"/>
    <w:rsid w:val="00526A9C"/>
    <w:rsid w:val="00562564"/>
    <w:rsid w:val="0057378D"/>
    <w:rsid w:val="005740B3"/>
    <w:rsid w:val="00580EAC"/>
    <w:rsid w:val="00585CD6"/>
    <w:rsid w:val="005B52EA"/>
    <w:rsid w:val="005C40BE"/>
    <w:rsid w:val="005D0906"/>
    <w:rsid w:val="00602F29"/>
    <w:rsid w:val="006046D6"/>
    <w:rsid w:val="00610566"/>
    <w:rsid w:val="00642AD5"/>
    <w:rsid w:val="0064343C"/>
    <w:rsid w:val="00644FFA"/>
    <w:rsid w:val="00647BBB"/>
    <w:rsid w:val="0065366C"/>
    <w:rsid w:val="00663494"/>
    <w:rsid w:val="00673F3C"/>
    <w:rsid w:val="006959B2"/>
    <w:rsid w:val="00696EA3"/>
    <w:rsid w:val="0069764A"/>
    <w:rsid w:val="006C3CD0"/>
    <w:rsid w:val="006C3F85"/>
    <w:rsid w:val="006C65D3"/>
    <w:rsid w:val="006D4307"/>
    <w:rsid w:val="00703036"/>
    <w:rsid w:val="00710454"/>
    <w:rsid w:val="00713485"/>
    <w:rsid w:val="00720236"/>
    <w:rsid w:val="00722D40"/>
    <w:rsid w:val="007279FF"/>
    <w:rsid w:val="0073441C"/>
    <w:rsid w:val="00741746"/>
    <w:rsid w:val="00760512"/>
    <w:rsid w:val="00781B8D"/>
    <w:rsid w:val="007834EE"/>
    <w:rsid w:val="00784745"/>
    <w:rsid w:val="007C350A"/>
    <w:rsid w:val="007D7D52"/>
    <w:rsid w:val="007F7007"/>
    <w:rsid w:val="00802A1C"/>
    <w:rsid w:val="00812B1F"/>
    <w:rsid w:val="00814305"/>
    <w:rsid w:val="00816E85"/>
    <w:rsid w:val="00826CC2"/>
    <w:rsid w:val="00830631"/>
    <w:rsid w:val="00834B8B"/>
    <w:rsid w:val="008412DD"/>
    <w:rsid w:val="008523A2"/>
    <w:rsid w:val="0085312D"/>
    <w:rsid w:val="00855231"/>
    <w:rsid w:val="00862683"/>
    <w:rsid w:val="00862823"/>
    <w:rsid w:val="00875D35"/>
    <w:rsid w:val="00891D0B"/>
    <w:rsid w:val="0089637E"/>
    <w:rsid w:val="008B562E"/>
    <w:rsid w:val="008D4FDE"/>
    <w:rsid w:val="008E007F"/>
    <w:rsid w:val="00902F45"/>
    <w:rsid w:val="00913D99"/>
    <w:rsid w:val="009233BA"/>
    <w:rsid w:val="0094611D"/>
    <w:rsid w:val="009461CF"/>
    <w:rsid w:val="00953EF8"/>
    <w:rsid w:val="009733F0"/>
    <w:rsid w:val="009736E7"/>
    <w:rsid w:val="00974F94"/>
    <w:rsid w:val="00984575"/>
    <w:rsid w:val="00996EB4"/>
    <w:rsid w:val="009B7324"/>
    <w:rsid w:val="009E2C32"/>
    <w:rsid w:val="00A01133"/>
    <w:rsid w:val="00A269FD"/>
    <w:rsid w:val="00A323ED"/>
    <w:rsid w:val="00A4197D"/>
    <w:rsid w:val="00A52978"/>
    <w:rsid w:val="00A62265"/>
    <w:rsid w:val="00A71712"/>
    <w:rsid w:val="00AA68FF"/>
    <w:rsid w:val="00AA732F"/>
    <w:rsid w:val="00AB2165"/>
    <w:rsid w:val="00AB2EC2"/>
    <w:rsid w:val="00AB4D2F"/>
    <w:rsid w:val="00AC1405"/>
    <w:rsid w:val="00AC4B7D"/>
    <w:rsid w:val="00AC5493"/>
    <w:rsid w:val="00AD7DAD"/>
    <w:rsid w:val="00AE63D3"/>
    <w:rsid w:val="00AF3AC0"/>
    <w:rsid w:val="00B02FCA"/>
    <w:rsid w:val="00B26C3C"/>
    <w:rsid w:val="00B45BB8"/>
    <w:rsid w:val="00B525B9"/>
    <w:rsid w:val="00B8530B"/>
    <w:rsid w:val="00B9107F"/>
    <w:rsid w:val="00BC3FDE"/>
    <w:rsid w:val="00BC58C9"/>
    <w:rsid w:val="00BE6DD7"/>
    <w:rsid w:val="00BE752B"/>
    <w:rsid w:val="00C02E8D"/>
    <w:rsid w:val="00C03C24"/>
    <w:rsid w:val="00C045DB"/>
    <w:rsid w:val="00C15766"/>
    <w:rsid w:val="00C52681"/>
    <w:rsid w:val="00C52DFC"/>
    <w:rsid w:val="00C61DD1"/>
    <w:rsid w:val="00C6467D"/>
    <w:rsid w:val="00C735A5"/>
    <w:rsid w:val="00C83FE7"/>
    <w:rsid w:val="00C91EEF"/>
    <w:rsid w:val="00C97110"/>
    <w:rsid w:val="00CB0D2C"/>
    <w:rsid w:val="00CC6B4B"/>
    <w:rsid w:val="00CD0858"/>
    <w:rsid w:val="00CF4D8B"/>
    <w:rsid w:val="00D016B0"/>
    <w:rsid w:val="00D04D03"/>
    <w:rsid w:val="00D11FE9"/>
    <w:rsid w:val="00D222CE"/>
    <w:rsid w:val="00D23ACC"/>
    <w:rsid w:val="00D3186C"/>
    <w:rsid w:val="00D334BB"/>
    <w:rsid w:val="00D45521"/>
    <w:rsid w:val="00D46EB2"/>
    <w:rsid w:val="00D70EA8"/>
    <w:rsid w:val="00D7637C"/>
    <w:rsid w:val="00D7748E"/>
    <w:rsid w:val="00D80ECF"/>
    <w:rsid w:val="00D86AF5"/>
    <w:rsid w:val="00D8757C"/>
    <w:rsid w:val="00DA046B"/>
    <w:rsid w:val="00DA1FA0"/>
    <w:rsid w:val="00DA382D"/>
    <w:rsid w:val="00DA3945"/>
    <w:rsid w:val="00DA5064"/>
    <w:rsid w:val="00DB1D8F"/>
    <w:rsid w:val="00DC7006"/>
    <w:rsid w:val="00DC7D16"/>
    <w:rsid w:val="00DD164F"/>
    <w:rsid w:val="00DD2A08"/>
    <w:rsid w:val="00DE7245"/>
    <w:rsid w:val="00E11965"/>
    <w:rsid w:val="00E24417"/>
    <w:rsid w:val="00E35E83"/>
    <w:rsid w:val="00E36348"/>
    <w:rsid w:val="00E4402D"/>
    <w:rsid w:val="00E70F96"/>
    <w:rsid w:val="00E72E91"/>
    <w:rsid w:val="00E756A4"/>
    <w:rsid w:val="00E8037D"/>
    <w:rsid w:val="00E80D3D"/>
    <w:rsid w:val="00E82768"/>
    <w:rsid w:val="00E8376E"/>
    <w:rsid w:val="00EC2332"/>
    <w:rsid w:val="00ED01B3"/>
    <w:rsid w:val="00EE58B4"/>
    <w:rsid w:val="00EF226A"/>
    <w:rsid w:val="00F07D74"/>
    <w:rsid w:val="00F17E91"/>
    <w:rsid w:val="00F42557"/>
    <w:rsid w:val="00F4275E"/>
    <w:rsid w:val="00F47A5D"/>
    <w:rsid w:val="00F80CF5"/>
    <w:rsid w:val="00F91BB8"/>
    <w:rsid w:val="00F93F55"/>
    <w:rsid w:val="00F94E97"/>
    <w:rsid w:val="00F96EBA"/>
    <w:rsid w:val="00FA036C"/>
    <w:rsid w:val="00FD1712"/>
    <w:rsid w:val="00FE333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C8EB75B"/>
  <w15:chartTrackingRefBased/>
  <w15:docId w15:val="{D61910A8-E2B5-4B70-8DCC-3AA96AFF6C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3FD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C3FD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C3FD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C3FD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C3FD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C3FD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C3FD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C3FD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C3FD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3FD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C3FD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C3FD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C3FD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C3FD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C3FD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C3FD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C3FD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C3FDE"/>
    <w:rPr>
      <w:rFonts w:eastAsiaTheme="majorEastAsia" w:cstheme="majorBidi"/>
      <w:color w:val="272727" w:themeColor="text1" w:themeTint="D8"/>
    </w:rPr>
  </w:style>
  <w:style w:type="paragraph" w:styleId="Title">
    <w:name w:val="Title"/>
    <w:basedOn w:val="Normal"/>
    <w:next w:val="Normal"/>
    <w:link w:val="TitleChar"/>
    <w:uiPriority w:val="10"/>
    <w:qFormat/>
    <w:rsid w:val="00BC3FD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3FD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C3FD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C3FD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C3FDE"/>
    <w:pPr>
      <w:spacing w:before="160"/>
      <w:jc w:val="center"/>
    </w:pPr>
    <w:rPr>
      <w:i/>
      <w:iCs/>
      <w:color w:val="404040" w:themeColor="text1" w:themeTint="BF"/>
    </w:rPr>
  </w:style>
  <w:style w:type="character" w:customStyle="1" w:styleId="QuoteChar">
    <w:name w:val="Quote Char"/>
    <w:basedOn w:val="DefaultParagraphFont"/>
    <w:link w:val="Quote"/>
    <w:uiPriority w:val="29"/>
    <w:rsid w:val="00BC3FDE"/>
    <w:rPr>
      <w:i/>
      <w:iCs/>
      <w:color w:val="404040" w:themeColor="text1" w:themeTint="BF"/>
    </w:rPr>
  </w:style>
  <w:style w:type="paragraph" w:styleId="ListParagraph">
    <w:name w:val="List Paragraph"/>
    <w:basedOn w:val="Normal"/>
    <w:uiPriority w:val="34"/>
    <w:qFormat/>
    <w:rsid w:val="00BC3FDE"/>
    <w:pPr>
      <w:ind w:left="720"/>
      <w:contextualSpacing/>
    </w:pPr>
  </w:style>
  <w:style w:type="character" w:styleId="IntenseEmphasis">
    <w:name w:val="Intense Emphasis"/>
    <w:basedOn w:val="DefaultParagraphFont"/>
    <w:uiPriority w:val="21"/>
    <w:qFormat/>
    <w:rsid w:val="00BC3FDE"/>
    <w:rPr>
      <w:i/>
      <w:iCs/>
      <w:color w:val="0F4761" w:themeColor="accent1" w:themeShade="BF"/>
    </w:rPr>
  </w:style>
  <w:style w:type="paragraph" w:styleId="IntenseQuote">
    <w:name w:val="Intense Quote"/>
    <w:basedOn w:val="Normal"/>
    <w:next w:val="Normal"/>
    <w:link w:val="IntenseQuoteChar"/>
    <w:uiPriority w:val="30"/>
    <w:qFormat/>
    <w:rsid w:val="00BC3FD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C3FDE"/>
    <w:rPr>
      <w:i/>
      <w:iCs/>
      <w:color w:val="0F4761" w:themeColor="accent1" w:themeShade="BF"/>
    </w:rPr>
  </w:style>
  <w:style w:type="character" w:styleId="IntenseReference">
    <w:name w:val="Intense Reference"/>
    <w:basedOn w:val="DefaultParagraphFont"/>
    <w:uiPriority w:val="32"/>
    <w:qFormat/>
    <w:rsid w:val="00BC3FDE"/>
    <w:rPr>
      <w:b/>
      <w:bCs/>
      <w:smallCaps/>
      <w:color w:val="0F4761" w:themeColor="accent1" w:themeShade="BF"/>
      <w:spacing w:val="5"/>
    </w:rPr>
  </w:style>
  <w:style w:type="character" w:styleId="Hyperlink">
    <w:name w:val="Hyperlink"/>
    <w:basedOn w:val="DefaultParagraphFont"/>
    <w:uiPriority w:val="99"/>
    <w:unhideWhenUsed/>
    <w:rsid w:val="00642AD5"/>
    <w:rPr>
      <w:color w:val="467886" w:themeColor="hyperlink"/>
      <w:u w:val="single"/>
    </w:rPr>
  </w:style>
  <w:style w:type="character" w:styleId="UnresolvedMention">
    <w:name w:val="Unresolved Mention"/>
    <w:basedOn w:val="DefaultParagraphFont"/>
    <w:uiPriority w:val="99"/>
    <w:semiHidden/>
    <w:unhideWhenUsed/>
    <w:rsid w:val="00642AD5"/>
    <w:rPr>
      <w:color w:val="605E5C"/>
      <w:shd w:val="clear" w:color="auto" w:fill="E1DFDD"/>
    </w:rPr>
  </w:style>
  <w:style w:type="character" w:styleId="FollowedHyperlink">
    <w:name w:val="FollowedHyperlink"/>
    <w:basedOn w:val="DefaultParagraphFont"/>
    <w:uiPriority w:val="99"/>
    <w:semiHidden/>
    <w:unhideWhenUsed/>
    <w:rsid w:val="002A5992"/>
    <w:rPr>
      <w:color w:val="96607D" w:themeColor="followedHyperlink"/>
      <w:u w:val="single"/>
    </w:rPr>
  </w:style>
  <w:style w:type="paragraph" w:styleId="Header">
    <w:name w:val="header"/>
    <w:basedOn w:val="Normal"/>
    <w:link w:val="HeaderChar"/>
    <w:uiPriority w:val="99"/>
    <w:unhideWhenUsed/>
    <w:rsid w:val="009736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36E7"/>
  </w:style>
  <w:style w:type="paragraph" w:styleId="Footer">
    <w:name w:val="footer"/>
    <w:basedOn w:val="Normal"/>
    <w:link w:val="FooterChar"/>
    <w:uiPriority w:val="99"/>
    <w:unhideWhenUsed/>
    <w:rsid w:val="009736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36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qc.org.uk" TargetMode="External"/><Relationship Id="rId13" Type="http://schemas.openxmlformats.org/officeDocument/2006/relationships/hyperlink" Target="https://www.hqip.org.uk/national-programmes/" TargetMode="External"/><Relationship Id="rId18" Type="http://schemas.openxmlformats.org/officeDocument/2006/relationships/hyperlink" Target="https://resolution.nhs.uk/resources/learning-from-avoidable-harm-in-maternity-services/"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rcog.org.uk/media/3fopwy41/each-baby-counts-2015-full-report.pdf" TargetMode="External"/><Relationship Id="rId7" Type="http://schemas.openxmlformats.org/officeDocument/2006/relationships/image" Target="media/image1.png"/><Relationship Id="rId12" Type="http://schemas.openxmlformats.org/officeDocument/2006/relationships/hyperlink" Target="https://assets.publishing.service.gov.uk/media/5a7ba0faed915d13110607c8/0947.pdf" TargetMode="External"/><Relationship Id="rId17" Type="http://schemas.openxmlformats.org/officeDocument/2006/relationships/hyperlink" Target="https://www.england.nhs.uk/wp-content/uploads/2019/03/Saving-Babies-Lives-Care-Bundle-Version-Two-Updated-Final-Version.pdf" TargetMode="External"/><Relationship Id="rId25" Type="http://schemas.openxmlformats.org/officeDocument/2006/relationships/hyperlink" Target="https://www.who.int/publications/i/item/9789240032705" TargetMode="External"/><Relationship Id="rId2" Type="http://schemas.openxmlformats.org/officeDocument/2006/relationships/styles" Target="styles.xml"/><Relationship Id="rId16" Type="http://schemas.openxmlformats.org/officeDocument/2006/relationships/hyperlink" Target="https://www.england.nhs.uk/publication/three-year-delivery-plan-for-maternity-and-neonatal-services/" TargetMode="External"/><Relationship Id="rId20" Type="http://schemas.openxmlformats.org/officeDocument/2006/relationships/hyperlink" Target="https://doi.org/10.1136/bmj.320.7237.768"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overnment/publications/final-report-of-the-ockenden-review?utm_source=chatgpt.com" TargetMode="External"/><Relationship Id="rId24" Type="http://schemas.openxmlformats.org/officeDocument/2006/relationships/hyperlink" Target="https://www.kingsfund.org.uk/insight-and-analysis/reports/caring-change" TargetMode="External"/><Relationship Id="rId5" Type="http://schemas.openxmlformats.org/officeDocument/2006/relationships/footnotes" Target="footnotes.xml"/><Relationship Id="rId15" Type="http://schemas.openxmlformats.org/officeDocument/2006/relationships/hyperlink" Target="https://www.nice.org.uk/guidance/ng229/resources/fetal-monitoring-in-labour-pdf-66143844065221" TargetMode="External"/><Relationship Id="rId23" Type="http://schemas.openxmlformats.org/officeDocument/2006/relationships/hyperlink" Target="https://www.who.int" TargetMode="External"/><Relationship Id="rId28" Type="http://schemas.openxmlformats.org/officeDocument/2006/relationships/theme" Target="theme/theme1.xml"/><Relationship Id="rId10" Type="http://schemas.openxmlformats.org/officeDocument/2006/relationships/hyperlink" Target="https://www.cqc.org.uk/publications/surveys/maternity-survey" TargetMode="External"/><Relationship Id="rId19" Type="http://schemas.openxmlformats.org/officeDocument/2006/relationships/hyperlink" Target="https://www.gov.uk/government/publications/final-report-of-the-ockenden-review" TargetMode="External"/><Relationship Id="rId4" Type="http://schemas.openxmlformats.org/officeDocument/2006/relationships/webSettings" Target="webSettings.xml"/><Relationship Id="rId9" Type="http://schemas.openxmlformats.org/officeDocument/2006/relationships/hyperlink" Target="https://www.cqc.org.uk/node/10661/book_pdf_print?utm_source=chatgpt.com" TargetMode="External"/><Relationship Id="rId14" Type="http://schemas.openxmlformats.org/officeDocument/2006/relationships/hyperlink" Target="https://www.gov.uk/government/publications/morecambe-bay-investigation-report" TargetMode="External"/><Relationship Id="rId22" Type="http://schemas.openxmlformats.org/officeDocument/2006/relationships/hyperlink" Target="https://www.kingsfund.org.uk"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4667</Words>
  <Characters>32443</Characters>
  <Application>Microsoft Office Word</Application>
  <DocSecurity>0</DocSecurity>
  <Lines>549</Lines>
  <Paragraphs>127</Paragraphs>
  <ScaleCrop>false</ScaleCrop>
  <Company/>
  <LinksUpToDate>false</LinksUpToDate>
  <CharactersWithSpaces>36983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Nabeela Begum (2216501)</dc:creator>
  <cp:keywords/>
  <dc:description/>
  <cp:lastModifiedBy>Nabeela Begum (2216501)</cp:lastModifiedBy>
  <cp:revision>248</cp:revision>
  <dcterms:created xsi:type="dcterms:W3CDTF">2026-03-29T14:04:00Z</dcterms:created>
  <dcterms:modified xsi:type="dcterms:W3CDTF">2026-04-01T19:16:00Z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63b29c74-c8b1-4c75-a5a7-8c79099b1e4b</vt:lpwstr>
  </property>
</Properties>
</file>