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1.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2.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775277" w14:textId="669FB229" w:rsidR="00D57D3A" w:rsidRPr="006B20EA" w:rsidRDefault="00D57D3A" w:rsidP="0081102B">
      <w:pPr>
        <w:pStyle w:val="Heading1"/>
        <w:rPr>
          <w:rFonts w:ascii="Times New Roman" w:hAnsi="Times New Roman" w:cs="Times New Roman"/>
        </w:rPr>
      </w:pPr>
      <w:bookmarkStart w:id="0" w:name="_Hlk151239725"/>
      <w:bookmarkStart w:id="1" w:name="_Hlk158489648"/>
      <w:bookmarkStart w:id="2" w:name="_Hlk153227202"/>
      <w:r w:rsidRPr="006B20EA">
        <w:rPr>
          <w:rFonts w:ascii="Times New Roman" w:hAnsi="Times New Roman" w:cs="Times New Roman"/>
        </w:rPr>
        <w:t>Evidence-Based Practice Report: Section One</w:t>
      </w:r>
      <w:bookmarkEnd w:id="0"/>
      <w:r w:rsidR="00BF31B5">
        <w:rPr>
          <w:rFonts w:ascii="Times New Roman" w:hAnsi="Times New Roman" w:cs="Times New Roman"/>
        </w:rPr>
        <w:t xml:space="preserve">                           </w:t>
      </w:r>
      <w:r w:rsidR="00BF31B5" w:rsidRPr="00BF31B5">
        <w:rPr>
          <w:rFonts w:ascii="Times New Roman" w:hAnsi="Times New Roman" w:cs="Times New Roman"/>
          <w:b/>
          <w:bCs/>
          <w:color w:val="FF0000"/>
        </w:rPr>
        <w:t>426</w:t>
      </w:r>
      <w:r w:rsidR="00CD65C4">
        <w:rPr>
          <w:rFonts w:ascii="Times New Roman" w:hAnsi="Times New Roman" w:cs="Times New Roman"/>
          <w:b/>
          <w:bCs/>
          <w:color w:val="FF0000"/>
        </w:rPr>
        <w:t>8</w:t>
      </w:r>
    </w:p>
    <w:p w14:paraId="21749AF8" w14:textId="77777777" w:rsidR="0081102B" w:rsidRPr="006B20EA" w:rsidRDefault="0081102B" w:rsidP="0081102B"/>
    <w:p w14:paraId="125225C9" w14:textId="6A4EF180" w:rsidR="00D57D3A" w:rsidRPr="0004429E" w:rsidRDefault="0081102B" w:rsidP="00D11A47">
      <w:pPr>
        <w:spacing w:line="276" w:lineRule="auto"/>
        <w:jc w:val="both"/>
        <w:rPr>
          <w:strike/>
        </w:rPr>
      </w:pPr>
      <w:r w:rsidRPr="0004429E">
        <w:rPr>
          <w:strike/>
        </w:rPr>
        <w:t>For Section One, i</w:t>
      </w:r>
      <w:r w:rsidR="00D57D3A" w:rsidRPr="0004429E">
        <w:rPr>
          <w:strike/>
        </w:rPr>
        <w:t xml:space="preserve">t has been requested to produce a report that will </w:t>
      </w:r>
      <w:r w:rsidR="001B7969" w:rsidRPr="0004429E">
        <w:rPr>
          <w:strike/>
        </w:rPr>
        <w:t>emphasise</w:t>
      </w:r>
      <w:r w:rsidR="00D57D3A" w:rsidRPr="0004429E">
        <w:rPr>
          <w:strike/>
        </w:rPr>
        <w:t xml:space="preserve"> what </w:t>
      </w:r>
      <w:r w:rsidR="001B7969" w:rsidRPr="0004429E">
        <w:rPr>
          <w:strike/>
        </w:rPr>
        <w:t>E</w:t>
      </w:r>
      <w:r w:rsidR="00D57D3A" w:rsidRPr="0004429E">
        <w:rPr>
          <w:strike/>
        </w:rPr>
        <w:t>vidence-</w:t>
      </w:r>
      <w:r w:rsidR="001B7969" w:rsidRPr="0004429E">
        <w:rPr>
          <w:strike/>
        </w:rPr>
        <w:t>B</w:t>
      </w:r>
      <w:r w:rsidR="0027253F" w:rsidRPr="0004429E">
        <w:rPr>
          <w:strike/>
        </w:rPr>
        <w:t xml:space="preserve">ased </w:t>
      </w:r>
      <w:r w:rsidR="001B7969" w:rsidRPr="0004429E">
        <w:rPr>
          <w:strike/>
        </w:rPr>
        <w:t>P</w:t>
      </w:r>
      <w:r w:rsidR="00D57D3A" w:rsidRPr="0004429E">
        <w:rPr>
          <w:strike/>
        </w:rPr>
        <w:t>ractice is and its significance to practitioners</w:t>
      </w:r>
      <w:r w:rsidR="00870170" w:rsidRPr="0004429E">
        <w:rPr>
          <w:strike/>
        </w:rPr>
        <w:t xml:space="preserve"> </w:t>
      </w:r>
      <w:r w:rsidR="0095190E" w:rsidRPr="0004429E">
        <w:rPr>
          <w:strike/>
        </w:rPr>
        <w:t>in</w:t>
      </w:r>
      <w:r w:rsidR="00870170" w:rsidRPr="0004429E">
        <w:rPr>
          <w:strike/>
        </w:rPr>
        <w:t xml:space="preserve"> </w:t>
      </w:r>
      <w:r w:rsidR="001B7969" w:rsidRPr="0004429E">
        <w:rPr>
          <w:strike/>
        </w:rPr>
        <w:t>gain</w:t>
      </w:r>
      <w:r w:rsidR="0095190E" w:rsidRPr="0004429E">
        <w:rPr>
          <w:strike/>
        </w:rPr>
        <w:t>ing</w:t>
      </w:r>
      <w:r w:rsidR="001B7969" w:rsidRPr="0004429E">
        <w:rPr>
          <w:strike/>
        </w:rPr>
        <w:t xml:space="preserve"> understanding in their dealings with</w:t>
      </w:r>
      <w:r w:rsidR="0095190E" w:rsidRPr="0004429E">
        <w:rPr>
          <w:strike/>
        </w:rPr>
        <w:t>in</w:t>
      </w:r>
      <w:r w:rsidR="00FF0541" w:rsidRPr="0004429E">
        <w:rPr>
          <w:strike/>
        </w:rPr>
        <w:t xml:space="preserve"> </w:t>
      </w:r>
      <w:r w:rsidR="001B197F" w:rsidRPr="0004429E">
        <w:rPr>
          <w:strike/>
        </w:rPr>
        <w:t xml:space="preserve">Human Resources (HR) </w:t>
      </w:r>
      <w:r w:rsidR="00FF0541" w:rsidRPr="0004429E">
        <w:rPr>
          <w:strike/>
        </w:rPr>
        <w:t xml:space="preserve">people </w:t>
      </w:r>
      <w:r w:rsidR="0095190E" w:rsidRPr="0004429E">
        <w:rPr>
          <w:strike/>
        </w:rPr>
        <w:t xml:space="preserve">practices and </w:t>
      </w:r>
      <w:r w:rsidR="00F82286" w:rsidRPr="0004429E">
        <w:rPr>
          <w:strike/>
        </w:rPr>
        <w:t xml:space="preserve">organisational issues, </w:t>
      </w:r>
      <w:r w:rsidR="0095190E" w:rsidRPr="0004429E">
        <w:rPr>
          <w:strike/>
        </w:rPr>
        <w:t>mostly in the areas of critical thinking and decision-making</w:t>
      </w:r>
      <w:r w:rsidR="001B7969" w:rsidRPr="0004429E">
        <w:rPr>
          <w:strike/>
        </w:rPr>
        <w:t>.</w:t>
      </w:r>
      <w:r w:rsidR="0095190E" w:rsidRPr="0004429E">
        <w:rPr>
          <w:strike/>
        </w:rPr>
        <w:t xml:space="preserve"> </w:t>
      </w:r>
    </w:p>
    <w:p w14:paraId="0E3EA931" w14:textId="77777777" w:rsidR="00A572C3" w:rsidRPr="006B20EA" w:rsidRDefault="00A572C3" w:rsidP="00D11A47">
      <w:pPr>
        <w:spacing w:line="276" w:lineRule="auto"/>
        <w:jc w:val="both"/>
      </w:pPr>
    </w:p>
    <w:p w14:paraId="3C236080" w14:textId="390DC737" w:rsidR="000B06FC" w:rsidRPr="006B20EA" w:rsidRDefault="00FF0541" w:rsidP="00D11A47">
      <w:pPr>
        <w:pStyle w:val="Heading2"/>
        <w:spacing w:line="276" w:lineRule="auto"/>
        <w:jc w:val="both"/>
        <w:rPr>
          <w:rFonts w:ascii="Times New Roman" w:hAnsi="Times New Roman" w:cs="Times New Roman"/>
        </w:rPr>
      </w:pPr>
      <w:r w:rsidRPr="006B20EA">
        <w:rPr>
          <w:rFonts w:ascii="Times New Roman" w:hAnsi="Times New Roman" w:cs="Times New Roman"/>
        </w:rPr>
        <w:t>AC1.1 Evidence-Based Practice (EBP)</w:t>
      </w:r>
    </w:p>
    <w:p w14:paraId="52349E52" w14:textId="77777777" w:rsidR="00E638AC" w:rsidRPr="006B20EA" w:rsidRDefault="00E638AC" w:rsidP="00D11A47">
      <w:pPr>
        <w:spacing w:line="276" w:lineRule="auto"/>
      </w:pPr>
    </w:p>
    <w:p w14:paraId="19219510" w14:textId="4296F834" w:rsidR="00FA5CD3" w:rsidRPr="006B20EA" w:rsidRDefault="00653B7A" w:rsidP="00D11A47">
      <w:pPr>
        <w:spacing w:line="276" w:lineRule="auto"/>
        <w:jc w:val="both"/>
      </w:pPr>
      <w:r w:rsidRPr="006B20EA">
        <w:t xml:space="preserve">Simply put, EBP is the process that </w:t>
      </w:r>
      <w:r w:rsidR="003D6B18" w:rsidRPr="006B20EA">
        <w:t>employs</w:t>
      </w:r>
      <w:r w:rsidR="00CA63D0" w:rsidRPr="006B20EA">
        <w:t xml:space="preserve"> </w:t>
      </w:r>
      <w:r w:rsidR="003D6B18" w:rsidRPr="006B20EA">
        <w:t xml:space="preserve">best available evidence from </w:t>
      </w:r>
      <w:r w:rsidR="00CA63D0" w:rsidRPr="006B20EA">
        <w:t xml:space="preserve">multiple </w:t>
      </w:r>
      <w:r w:rsidR="003D6B18" w:rsidRPr="006B20EA">
        <w:t xml:space="preserve">reliable </w:t>
      </w:r>
      <w:r w:rsidR="00FA5CD3" w:rsidRPr="006B20EA">
        <w:t>sources</w:t>
      </w:r>
      <w:r w:rsidR="003D6B18" w:rsidRPr="006B20EA">
        <w:t xml:space="preserve"> to attain knowledge,</w:t>
      </w:r>
      <w:r w:rsidR="00FA5CD3" w:rsidRPr="006B20EA">
        <w:t xml:space="preserve"> </w:t>
      </w:r>
      <w:r w:rsidR="00CA63D0" w:rsidRPr="006B20EA">
        <w:t xml:space="preserve">inform rational judgement and ultimately </w:t>
      </w:r>
      <w:r w:rsidR="004F15BC" w:rsidRPr="006B20EA">
        <w:t xml:space="preserve">produce </w:t>
      </w:r>
      <w:r w:rsidR="003D6B18" w:rsidRPr="006B20EA">
        <w:t xml:space="preserve">unbiased and </w:t>
      </w:r>
      <w:r w:rsidR="004F15BC" w:rsidRPr="006B20EA">
        <w:t xml:space="preserve">unsurpassed </w:t>
      </w:r>
      <w:r w:rsidR="003D6B18" w:rsidRPr="006B20EA">
        <w:t xml:space="preserve">decision-making </w:t>
      </w:r>
      <w:r w:rsidR="004F15BC" w:rsidRPr="006B20EA">
        <w:t>outcomes</w:t>
      </w:r>
      <w:r w:rsidR="003D6B18" w:rsidRPr="006B20EA">
        <w:t xml:space="preserve"> (</w:t>
      </w:r>
      <w:bookmarkStart w:id="3" w:name="_Hlk152508955"/>
      <w:r w:rsidR="003D6B18" w:rsidRPr="006B20EA">
        <w:t>Barends, Rousseau and Briner, 2014</w:t>
      </w:r>
      <w:bookmarkEnd w:id="3"/>
      <w:r w:rsidR="003D6B18" w:rsidRPr="006B20EA">
        <w:t>; Waite</w:t>
      </w:r>
      <w:r w:rsidR="00CA63D0" w:rsidRPr="006B20EA">
        <w:t xml:space="preserve"> et al, 2021; </w:t>
      </w:r>
      <w:r w:rsidR="004F15BC" w:rsidRPr="006B20EA">
        <w:t>Young, 2023)</w:t>
      </w:r>
      <w:r w:rsidR="00BC543D" w:rsidRPr="006B20EA">
        <w:t>.</w:t>
      </w:r>
      <w:r w:rsidR="00CA63D0" w:rsidRPr="006B20EA">
        <w:t xml:space="preserve"> </w:t>
      </w:r>
    </w:p>
    <w:p w14:paraId="1C04A4E7" w14:textId="4C0DA7E1" w:rsidR="005E0059" w:rsidRDefault="00FA5CD3" w:rsidP="00D11A47">
      <w:pPr>
        <w:spacing w:line="276" w:lineRule="auto"/>
        <w:jc w:val="both"/>
      </w:pPr>
      <w:r w:rsidRPr="006B20EA">
        <w:t>T</w:t>
      </w:r>
      <w:r w:rsidR="004838FD" w:rsidRPr="006B20EA">
        <w:t xml:space="preserve">o increase the </w:t>
      </w:r>
      <w:r w:rsidR="002650E5" w:rsidRPr="006B20EA">
        <w:t>prospect</w:t>
      </w:r>
      <w:r w:rsidR="004838FD" w:rsidRPr="006B20EA">
        <w:t xml:space="preserve"> of </w:t>
      </w:r>
      <w:r w:rsidR="002650E5" w:rsidRPr="006B20EA">
        <w:t>positive outcomes</w:t>
      </w:r>
      <w:r w:rsidR="00F766BB" w:rsidRPr="006B20EA">
        <w:t xml:space="preserve">, </w:t>
      </w:r>
      <w:r w:rsidR="00930765">
        <w:t xml:space="preserve">HR </w:t>
      </w:r>
      <w:r w:rsidR="00F766BB" w:rsidRPr="006B20EA">
        <w:t xml:space="preserve">practitioners should </w:t>
      </w:r>
      <w:r w:rsidR="00766CA0" w:rsidRPr="006B20EA">
        <w:t xml:space="preserve">take a punitive approach </w:t>
      </w:r>
      <w:r w:rsidR="009B0878" w:rsidRPr="006B20EA">
        <w:t xml:space="preserve">to not </w:t>
      </w:r>
      <w:r w:rsidR="00D87A57" w:rsidRPr="006B20EA">
        <w:t>trust</w:t>
      </w:r>
      <w:r w:rsidR="009B0878" w:rsidRPr="006B20EA">
        <w:t xml:space="preserve"> </w:t>
      </w:r>
      <w:r w:rsidR="00D87A57" w:rsidRPr="006B20EA">
        <w:t xml:space="preserve">their decision-making </w:t>
      </w:r>
      <w:r w:rsidR="009B0878" w:rsidRPr="006B20EA">
        <w:t>on</w:t>
      </w:r>
      <w:r w:rsidR="00FE1D05" w:rsidRPr="006B20EA">
        <w:t xml:space="preserve"> instinct,</w:t>
      </w:r>
      <w:r w:rsidR="009B0878" w:rsidRPr="006B20EA">
        <w:t xml:space="preserve"> what they know</w:t>
      </w:r>
      <w:r w:rsidRPr="006B20EA">
        <w:t xml:space="preserve"> or fads</w:t>
      </w:r>
      <w:r w:rsidR="009B0878" w:rsidRPr="006B20EA">
        <w:t xml:space="preserve">, </w:t>
      </w:r>
      <w:r w:rsidRPr="006B20EA">
        <w:t>thus</w:t>
      </w:r>
      <w:r w:rsidR="00D87A57" w:rsidRPr="006B20EA">
        <w:t xml:space="preserve"> use</w:t>
      </w:r>
      <w:r w:rsidR="00FE1D05" w:rsidRPr="006B20EA">
        <w:t xml:space="preserve"> </w:t>
      </w:r>
      <w:r w:rsidRPr="006B20EA">
        <w:t>the</w:t>
      </w:r>
      <w:r w:rsidR="00ED790C" w:rsidRPr="006B20EA">
        <w:t xml:space="preserve"> </w:t>
      </w:r>
      <w:r w:rsidR="009B0878" w:rsidRPr="006B20EA">
        <w:t>sources</w:t>
      </w:r>
      <w:r w:rsidR="00AF63CC" w:rsidRPr="006B20EA">
        <w:t xml:space="preserve"> of evidence</w:t>
      </w:r>
      <w:r w:rsidR="00FE1D05" w:rsidRPr="006B20EA">
        <w:t xml:space="preserve"> that can be found in</w:t>
      </w:r>
      <w:r w:rsidR="00F33DC2" w:rsidRPr="006B20EA">
        <w:t xml:space="preserve"> </w:t>
      </w:r>
      <w:r w:rsidR="00AF63CC" w:rsidRPr="006B20EA">
        <w:rPr>
          <w:i/>
          <w:iCs/>
        </w:rPr>
        <w:t>scientific literature</w:t>
      </w:r>
      <w:r w:rsidR="00AF63CC" w:rsidRPr="006B20EA">
        <w:t xml:space="preserve">, </w:t>
      </w:r>
      <w:r w:rsidR="00AF63CC" w:rsidRPr="006B20EA">
        <w:rPr>
          <w:i/>
          <w:iCs/>
        </w:rPr>
        <w:t>organisational data</w:t>
      </w:r>
      <w:r w:rsidR="00AF63CC" w:rsidRPr="006B20EA">
        <w:t xml:space="preserve">, </w:t>
      </w:r>
      <w:r w:rsidR="00AF63CC" w:rsidRPr="006B20EA">
        <w:rPr>
          <w:i/>
          <w:iCs/>
        </w:rPr>
        <w:t>stakeholders</w:t>
      </w:r>
      <w:r w:rsidRPr="006B20EA">
        <w:rPr>
          <w:i/>
          <w:iCs/>
        </w:rPr>
        <w:t>’ concerns</w:t>
      </w:r>
      <w:r w:rsidR="00AF63CC" w:rsidRPr="006B20EA">
        <w:t xml:space="preserve"> and </w:t>
      </w:r>
      <w:r w:rsidR="00AF63CC" w:rsidRPr="006B20EA">
        <w:rPr>
          <w:i/>
          <w:iCs/>
        </w:rPr>
        <w:t>professional expertise</w:t>
      </w:r>
      <w:r w:rsidR="0087248B" w:rsidRPr="006B20EA">
        <w:rPr>
          <w:i/>
          <w:iCs/>
        </w:rPr>
        <w:t xml:space="preserve"> / experiential</w:t>
      </w:r>
      <w:r w:rsidR="00F82286" w:rsidRPr="006B20EA">
        <w:t xml:space="preserve"> (Waite et al, 2021; Briner, 2019</w:t>
      </w:r>
      <w:r w:rsidR="00461823" w:rsidRPr="006B20EA">
        <w:t>; Taylor and Woodhams, 2016</w:t>
      </w:r>
      <w:r w:rsidR="00F82286" w:rsidRPr="006B20EA">
        <w:t>).</w:t>
      </w:r>
    </w:p>
    <w:p w14:paraId="553F8A55" w14:textId="77777777" w:rsidR="00093DF6" w:rsidRDefault="00093DF6" w:rsidP="00D11A47">
      <w:pPr>
        <w:spacing w:line="276" w:lineRule="auto"/>
        <w:jc w:val="both"/>
      </w:pPr>
    </w:p>
    <w:tbl>
      <w:tblPr>
        <w:tblStyle w:val="TableGrid"/>
        <w:tblW w:w="0" w:type="auto"/>
        <w:tblLook w:val="04A0" w:firstRow="1" w:lastRow="0" w:firstColumn="1" w:lastColumn="0" w:noHBand="0" w:noVBand="1"/>
      </w:tblPr>
      <w:tblGrid>
        <w:gridCol w:w="2689"/>
        <w:gridCol w:w="6327"/>
      </w:tblGrid>
      <w:tr w:rsidR="00093DF6" w:rsidRPr="00093DF6" w14:paraId="6BBE2475" w14:textId="77777777" w:rsidTr="008C1365">
        <w:tc>
          <w:tcPr>
            <w:tcW w:w="9016" w:type="dxa"/>
            <w:gridSpan w:val="2"/>
          </w:tcPr>
          <w:p w14:paraId="17D5855A" w14:textId="77777777" w:rsidR="00093DF6" w:rsidRPr="00093DF6" w:rsidRDefault="00093DF6" w:rsidP="00D11A47">
            <w:pPr>
              <w:spacing w:line="276" w:lineRule="auto"/>
              <w:jc w:val="both"/>
              <w:rPr>
                <w:b/>
                <w:bCs/>
              </w:rPr>
            </w:pPr>
            <w:r w:rsidRPr="00093DF6">
              <w:rPr>
                <w:b/>
                <w:bCs/>
              </w:rPr>
              <w:t>Four Sources of Evidence</w:t>
            </w:r>
          </w:p>
          <w:p w14:paraId="75698271" w14:textId="77777777" w:rsidR="00093DF6" w:rsidRPr="00093DF6" w:rsidRDefault="00093DF6" w:rsidP="00D11A47">
            <w:pPr>
              <w:spacing w:line="276" w:lineRule="auto"/>
              <w:jc w:val="both"/>
              <w:rPr>
                <w:b/>
                <w:bCs/>
                <w:strike/>
              </w:rPr>
            </w:pPr>
          </w:p>
        </w:tc>
      </w:tr>
      <w:tr w:rsidR="00093DF6" w:rsidRPr="00093DF6" w14:paraId="28E70EBB" w14:textId="77777777" w:rsidTr="008C1365">
        <w:tc>
          <w:tcPr>
            <w:tcW w:w="2689" w:type="dxa"/>
          </w:tcPr>
          <w:p w14:paraId="78897CA2" w14:textId="77777777" w:rsidR="00093DF6" w:rsidRPr="00093DF6" w:rsidRDefault="00093DF6" w:rsidP="00D11A47">
            <w:pPr>
              <w:spacing w:line="276" w:lineRule="auto"/>
              <w:jc w:val="both"/>
            </w:pPr>
            <w:r w:rsidRPr="00093DF6">
              <w:rPr>
                <w:b/>
                <w:bCs/>
              </w:rPr>
              <w:t xml:space="preserve">Scientific </w:t>
            </w:r>
            <w:r w:rsidRPr="00093DF6">
              <w:rPr>
                <w:b/>
                <w:bCs/>
                <w:strike/>
              </w:rPr>
              <w:t>Evidence</w:t>
            </w:r>
          </w:p>
        </w:tc>
        <w:tc>
          <w:tcPr>
            <w:tcW w:w="6327" w:type="dxa"/>
          </w:tcPr>
          <w:p w14:paraId="4D7F54DA" w14:textId="77777777" w:rsidR="00093DF6" w:rsidRPr="00093DF6" w:rsidRDefault="00093DF6" w:rsidP="00D11A47">
            <w:pPr>
              <w:spacing w:line="276" w:lineRule="auto"/>
              <w:jc w:val="both"/>
            </w:pPr>
            <w:r w:rsidRPr="00093DF6">
              <w:t>This should be acquired from vetted specialist literature in the fields of Management and HR mainly, thus Psychology and Sociology could also be useful allies. It is crucial that practitioners develop the skills needed to identify the appropriate literature that is not only relevant but also reliable (Waite et al, 2021; Young, 2023).</w:t>
            </w:r>
          </w:p>
        </w:tc>
      </w:tr>
      <w:tr w:rsidR="00093DF6" w:rsidRPr="00093DF6" w14:paraId="7AD2402F" w14:textId="77777777" w:rsidTr="008C1365">
        <w:tc>
          <w:tcPr>
            <w:tcW w:w="2689" w:type="dxa"/>
          </w:tcPr>
          <w:p w14:paraId="432CE61D" w14:textId="77777777" w:rsidR="00093DF6" w:rsidRPr="00093DF6" w:rsidRDefault="00093DF6" w:rsidP="00D11A47">
            <w:pPr>
              <w:spacing w:line="276" w:lineRule="auto"/>
              <w:jc w:val="both"/>
            </w:pPr>
            <w:r w:rsidRPr="00093DF6">
              <w:rPr>
                <w:b/>
                <w:bCs/>
              </w:rPr>
              <w:t xml:space="preserve">Organisational </w:t>
            </w:r>
            <w:r w:rsidRPr="00093DF6">
              <w:rPr>
                <w:b/>
                <w:bCs/>
                <w:strike/>
              </w:rPr>
              <w:t>Evidence</w:t>
            </w:r>
          </w:p>
        </w:tc>
        <w:tc>
          <w:tcPr>
            <w:tcW w:w="6327" w:type="dxa"/>
          </w:tcPr>
          <w:p w14:paraId="2C84B9A2" w14:textId="1AF4ED53" w:rsidR="00093DF6" w:rsidRPr="00093DF6" w:rsidRDefault="00093DF6" w:rsidP="00D11A47">
            <w:pPr>
              <w:spacing w:line="276" w:lineRule="auto"/>
              <w:jc w:val="both"/>
            </w:pPr>
            <w:r w:rsidRPr="00093DF6">
              <w:t xml:space="preserve">It comes from the inside knowledge, data on hand or new data generated with the purpose to aid a particular prerequisite for </w:t>
            </w:r>
            <w:r w:rsidR="00341C28" w:rsidRPr="00093DF6">
              <w:t>evidence</w:t>
            </w:r>
            <w:r w:rsidR="00341C28">
              <w:t>, .</w:t>
            </w:r>
            <w:r w:rsidRPr="00093DF6">
              <w:rPr>
                <w:strike/>
              </w:rPr>
              <w:t xml:space="preserve"> This type of evidence could contain quantitative / ‘hard’ numbers or qualitative / ‘soft’ such as perception and attitudes elements. This evidence</w:t>
            </w:r>
            <w:r w:rsidRPr="00093DF6">
              <w:t xml:space="preserve"> </w:t>
            </w:r>
            <w:r w:rsidR="00E9585A" w:rsidRPr="00E9585A">
              <w:rPr>
                <w:color w:val="FF0000"/>
              </w:rPr>
              <w:t>that</w:t>
            </w:r>
            <w:r w:rsidR="00E9585A">
              <w:t xml:space="preserve"> </w:t>
            </w:r>
            <w:r w:rsidRPr="00093DF6">
              <w:t xml:space="preserve">is critically important in recognising issues that require immediate action, to establish the causes, possible solutions and what mechanisms to be used in successfully implementing the most appropriate solution (Barends, Rousseau and Briner, 2014). </w:t>
            </w:r>
          </w:p>
        </w:tc>
      </w:tr>
      <w:tr w:rsidR="00093DF6" w:rsidRPr="00093DF6" w14:paraId="499325CF" w14:textId="77777777" w:rsidTr="008C1365">
        <w:tc>
          <w:tcPr>
            <w:tcW w:w="2689" w:type="dxa"/>
          </w:tcPr>
          <w:p w14:paraId="6EF53E16" w14:textId="77777777" w:rsidR="00093DF6" w:rsidRPr="00093DF6" w:rsidRDefault="00093DF6" w:rsidP="00D11A47">
            <w:pPr>
              <w:spacing w:line="276" w:lineRule="auto"/>
              <w:jc w:val="both"/>
            </w:pPr>
            <w:r w:rsidRPr="00093DF6">
              <w:rPr>
                <w:b/>
                <w:bCs/>
              </w:rPr>
              <w:t xml:space="preserve">Experiential </w:t>
            </w:r>
            <w:r w:rsidRPr="00093DF6">
              <w:rPr>
                <w:b/>
                <w:bCs/>
                <w:strike/>
              </w:rPr>
              <w:t>Evidence</w:t>
            </w:r>
          </w:p>
        </w:tc>
        <w:tc>
          <w:tcPr>
            <w:tcW w:w="6327" w:type="dxa"/>
          </w:tcPr>
          <w:p w14:paraId="515BCB4D" w14:textId="74FA3A7E" w:rsidR="00093DF6" w:rsidRPr="00093DF6" w:rsidRDefault="00093DF6" w:rsidP="00D11A47">
            <w:pPr>
              <w:spacing w:line="276" w:lineRule="auto"/>
              <w:jc w:val="both"/>
            </w:pPr>
            <w:r w:rsidRPr="00093DF6">
              <w:t xml:space="preserve">It is based on professional expertise that practitioners acquire on the subject over a period of time through replication and judgment of the actions they have taken in similar circumstances </w:t>
            </w:r>
            <w:bookmarkStart w:id="4" w:name="_Hlk152541583"/>
            <w:r w:rsidRPr="00093DF6">
              <w:t>(Barends, Rousseau and Briner, 2014)</w:t>
            </w:r>
            <w:bookmarkEnd w:id="4"/>
            <w:r w:rsidRPr="00093DF6">
              <w:t xml:space="preserve">. It is imperative to use this ‘specialised knowledge’ (Weber, </w:t>
            </w:r>
            <w:proofErr w:type="spellStart"/>
            <w:r w:rsidRPr="00093DF6">
              <w:t>Wyverkens</w:t>
            </w:r>
            <w:proofErr w:type="spellEnd"/>
            <w:r w:rsidRPr="00093DF6">
              <w:t xml:space="preserve"> and </w:t>
            </w:r>
            <w:proofErr w:type="spellStart"/>
            <w:r w:rsidRPr="00093DF6">
              <w:t>Leuridan</w:t>
            </w:r>
            <w:proofErr w:type="spellEnd"/>
            <w:r w:rsidRPr="00093DF6">
              <w:t xml:space="preserve">, </w:t>
            </w:r>
            <w:r w:rsidRPr="00093DF6">
              <w:lastRenderedPageBreak/>
              <w:t>2023) to minimise failure consequences of a given situation that can be instigated due to limited knowledge</w:t>
            </w:r>
            <w:r w:rsidR="00B43135">
              <w:t>.</w:t>
            </w:r>
            <w:r w:rsidRPr="00093DF6">
              <w:t xml:space="preserve"> </w:t>
            </w:r>
            <w:r w:rsidRPr="00093DF6">
              <w:rPr>
                <w:strike/>
              </w:rPr>
              <w:t>(Du Plessis, 2007)</w:t>
            </w:r>
            <w:r w:rsidRPr="00093DF6">
              <w:t xml:space="preserve"> </w:t>
            </w:r>
          </w:p>
        </w:tc>
      </w:tr>
      <w:tr w:rsidR="00093DF6" w:rsidRPr="00093DF6" w14:paraId="2E9BF1C6" w14:textId="77777777" w:rsidTr="008C1365">
        <w:tc>
          <w:tcPr>
            <w:tcW w:w="2689" w:type="dxa"/>
          </w:tcPr>
          <w:p w14:paraId="2D1E5210" w14:textId="77777777" w:rsidR="00093DF6" w:rsidRPr="00093DF6" w:rsidRDefault="00093DF6" w:rsidP="00D11A47">
            <w:pPr>
              <w:spacing w:line="276" w:lineRule="auto"/>
              <w:jc w:val="both"/>
            </w:pPr>
            <w:r w:rsidRPr="00093DF6">
              <w:rPr>
                <w:b/>
                <w:bCs/>
              </w:rPr>
              <w:lastRenderedPageBreak/>
              <w:t xml:space="preserve">Stakeholder </w:t>
            </w:r>
            <w:r w:rsidRPr="00093DF6">
              <w:rPr>
                <w:b/>
                <w:bCs/>
                <w:strike/>
              </w:rPr>
              <w:t>Evidence</w:t>
            </w:r>
          </w:p>
        </w:tc>
        <w:tc>
          <w:tcPr>
            <w:tcW w:w="6327" w:type="dxa"/>
          </w:tcPr>
          <w:p w14:paraId="7F3EFDCF" w14:textId="77777777" w:rsidR="00093DF6" w:rsidRPr="00093DF6" w:rsidRDefault="00093DF6" w:rsidP="00D11A47">
            <w:pPr>
              <w:spacing w:line="276" w:lineRule="auto"/>
              <w:jc w:val="both"/>
            </w:pPr>
            <w:r w:rsidRPr="00093DF6">
              <w:t>This is equally important due to its valuable contribution to decision-making process. This evidence can be gathered from both internal (employees, managers) or external stakeholders (customers, suppliers) as their values and concerns will impact on how an organisation responds and will dictate the framework for evidence and its analysis (Young, 2023).</w:t>
            </w:r>
          </w:p>
        </w:tc>
      </w:tr>
    </w:tbl>
    <w:p w14:paraId="295E4ACF" w14:textId="77777777" w:rsidR="00093DF6" w:rsidRDefault="00093DF6" w:rsidP="00D11A47">
      <w:pPr>
        <w:spacing w:line="276" w:lineRule="auto"/>
        <w:jc w:val="both"/>
      </w:pPr>
    </w:p>
    <w:p w14:paraId="1FC5E8D1" w14:textId="77777777" w:rsidR="00A84D23" w:rsidRPr="006B20EA" w:rsidRDefault="00A84D23" w:rsidP="00D11A47">
      <w:pPr>
        <w:spacing w:line="276" w:lineRule="auto"/>
        <w:jc w:val="both"/>
      </w:pPr>
    </w:p>
    <w:p w14:paraId="6DC28FEF" w14:textId="1F5FAD0B" w:rsidR="00D75AB0" w:rsidRDefault="003C1D01" w:rsidP="00D11A47">
      <w:pPr>
        <w:spacing w:line="276" w:lineRule="auto"/>
        <w:jc w:val="both"/>
      </w:pPr>
      <w:r w:rsidRPr="006B20EA">
        <w:t xml:space="preserve">These four sources should be used in tandem with the </w:t>
      </w:r>
      <w:r w:rsidR="009374F6" w:rsidRPr="006B20EA">
        <w:t xml:space="preserve">systematic </w:t>
      </w:r>
      <w:r w:rsidR="00D75AB0">
        <w:t>S</w:t>
      </w:r>
      <w:r w:rsidRPr="006B20EA">
        <w:t>ix</w:t>
      </w:r>
      <w:r w:rsidR="009374F6" w:rsidRPr="006B20EA">
        <w:t>-</w:t>
      </w:r>
      <w:r w:rsidR="00D75AB0">
        <w:t>S</w:t>
      </w:r>
      <w:r w:rsidRPr="006B20EA">
        <w:t>tep</w:t>
      </w:r>
      <w:r w:rsidR="009374F6" w:rsidRPr="006B20EA">
        <w:t xml:space="preserve"> evaluation process</w:t>
      </w:r>
      <w:r w:rsidRPr="006B20EA">
        <w:t xml:space="preserve">: </w:t>
      </w:r>
      <w:r w:rsidR="00BC39AB" w:rsidRPr="00D75AB0">
        <w:rPr>
          <w:strike/>
        </w:rPr>
        <w:t>‘</w:t>
      </w:r>
      <w:r w:rsidRPr="00D75AB0">
        <w:rPr>
          <w:i/>
          <w:iCs/>
          <w:strike/>
        </w:rPr>
        <w:t>Ask</w:t>
      </w:r>
      <w:r w:rsidRPr="00D75AB0">
        <w:rPr>
          <w:strike/>
        </w:rPr>
        <w:t xml:space="preserve">, </w:t>
      </w:r>
      <w:r w:rsidRPr="00D75AB0">
        <w:rPr>
          <w:i/>
          <w:iCs/>
          <w:strike/>
        </w:rPr>
        <w:t>Acquire</w:t>
      </w:r>
      <w:r w:rsidRPr="00D75AB0">
        <w:rPr>
          <w:strike/>
        </w:rPr>
        <w:t xml:space="preserve">, </w:t>
      </w:r>
      <w:r w:rsidRPr="00D75AB0">
        <w:rPr>
          <w:i/>
          <w:iCs/>
          <w:strike/>
        </w:rPr>
        <w:t>Appraise</w:t>
      </w:r>
      <w:r w:rsidRPr="00D75AB0">
        <w:rPr>
          <w:strike/>
        </w:rPr>
        <w:t xml:space="preserve">, </w:t>
      </w:r>
      <w:r w:rsidRPr="00D75AB0">
        <w:rPr>
          <w:i/>
          <w:iCs/>
          <w:strike/>
        </w:rPr>
        <w:t>Aggregate</w:t>
      </w:r>
      <w:r w:rsidRPr="00D75AB0">
        <w:rPr>
          <w:strike/>
        </w:rPr>
        <w:t xml:space="preserve">, </w:t>
      </w:r>
      <w:r w:rsidRPr="00D75AB0">
        <w:rPr>
          <w:i/>
          <w:iCs/>
          <w:strike/>
        </w:rPr>
        <w:t>Apply</w:t>
      </w:r>
      <w:r w:rsidRPr="00D75AB0">
        <w:rPr>
          <w:strike/>
        </w:rPr>
        <w:t xml:space="preserve"> and </w:t>
      </w:r>
      <w:r w:rsidRPr="00D75AB0">
        <w:rPr>
          <w:i/>
          <w:iCs/>
          <w:strike/>
        </w:rPr>
        <w:t>Assess</w:t>
      </w:r>
      <w:r w:rsidR="00BC39AB" w:rsidRPr="00D75AB0">
        <w:rPr>
          <w:i/>
          <w:iCs/>
          <w:strike/>
        </w:rPr>
        <w:t>’</w:t>
      </w:r>
      <w:r w:rsidRPr="00D75AB0">
        <w:rPr>
          <w:strike/>
        </w:rPr>
        <w:t xml:space="preserve"> to combine and reinforce the evidence basis for decision-making</w:t>
      </w:r>
      <w:r w:rsidRPr="006B20EA">
        <w:t xml:space="preserve"> </w:t>
      </w:r>
      <w:bookmarkStart w:id="5" w:name="_Hlk152537700"/>
      <w:r w:rsidRPr="006B20EA">
        <w:t>(</w:t>
      </w:r>
      <w:r w:rsidR="00D75AB0" w:rsidRPr="00D75AB0">
        <w:rPr>
          <w:color w:val="FF0000"/>
        </w:rPr>
        <w:t xml:space="preserve">adapted from: </w:t>
      </w:r>
      <w:r w:rsidRPr="006B20EA">
        <w:t>Waite et al, 2021; Briner, 2019)</w:t>
      </w:r>
      <w:bookmarkEnd w:id="5"/>
      <w:r w:rsidRPr="006B20EA">
        <w:t xml:space="preserve">. </w:t>
      </w:r>
      <w:r w:rsidR="009374F6" w:rsidRPr="006B20EA">
        <w:t xml:space="preserve"> </w:t>
      </w:r>
    </w:p>
    <w:p w14:paraId="173F04C6" w14:textId="19D799C3" w:rsidR="00D75AB0" w:rsidRPr="00D75AB0" w:rsidRDefault="00D75AB0" w:rsidP="00D11A47">
      <w:pPr>
        <w:spacing w:line="276" w:lineRule="auto"/>
        <w:jc w:val="both"/>
        <w:rPr>
          <w:color w:val="FF0000"/>
        </w:rPr>
      </w:pPr>
      <w:r w:rsidRPr="00D75AB0">
        <w:rPr>
          <w:color w:val="FF0000"/>
        </w:rPr>
        <w:t>Ask: Formulate a clear and focused question</w:t>
      </w:r>
    </w:p>
    <w:p w14:paraId="0947C915" w14:textId="22E99EBB" w:rsidR="00D75AB0" w:rsidRPr="00D75AB0" w:rsidRDefault="00D75AB0" w:rsidP="00D11A47">
      <w:pPr>
        <w:spacing w:line="276" w:lineRule="auto"/>
        <w:jc w:val="both"/>
        <w:rPr>
          <w:color w:val="FF0000"/>
        </w:rPr>
      </w:pPr>
      <w:r w:rsidRPr="00D75AB0">
        <w:rPr>
          <w:color w:val="FF0000"/>
        </w:rPr>
        <w:t xml:space="preserve">Acquire: Seek various sources of evidence </w:t>
      </w:r>
    </w:p>
    <w:p w14:paraId="0977273C" w14:textId="6AEB2174" w:rsidR="00D75AB0" w:rsidRPr="00D75AB0" w:rsidRDefault="00D75AB0" w:rsidP="00D11A47">
      <w:pPr>
        <w:spacing w:line="276" w:lineRule="auto"/>
        <w:jc w:val="both"/>
        <w:rPr>
          <w:color w:val="FF0000"/>
        </w:rPr>
      </w:pPr>
      <w:r w:rsidRPr="00D75AB0">
        <w:rPr>
          <w:color w:val="FF0000"/>
        </w:rPr>
        <w:t>Appraise: Critically evaluate each evidence source</w:t>
      </w:r>
    </w:p>
    <w:p w14:paraId="2A2F9440" w14:textId="5FB8BFE4" w:rsidR="00D75AB0" w:rsidRPr="00D75AB0" w:rsidRDefault="00D75AB0" w:rsidP="00D11A47">
      <w:pPr>
        <w:spacing w:line="276" w:lineRule="auto"/>
        <w:jc w:val="both"/>
        <w:rPr>
          <w:color w:val="FF0000"/>
        </w:rPr>
      </w:pPr>
      <w:r w:rsidRPr="00D75AB0">
        <w:rPr>
          <w:color w:val="FF0000"/>
        </w:rPr>
        <w:t>Aggregate:  Synthesi</w:t>
      </w:r>
      <w:r w:rsidR="002C38F2">
        <w:rPr>
          <w:color w:val="FF0000"/>
        </w:rPr>
        <w:t>s</w:t>
      </w:r>
      <w:r w:rsidRPr="00D75AB0">
        <w:rPr>
          <w:color w:val="FF0000"/>
        </w:rPr>
        <w:t>e the findings from different sources</w:t>
      </w:r>
    </w:p>
    <w:p w14:paraId="6E8ED3B6" w14:textId="2DBB0186" w:rsidR="00D75AB0" w:rsidRPr="00D75AB0" w:rsidRDefault="00D75AB0" w:rsidP="00D11A47">
      <w:pPr>
        <w:spacing w:line="276" w:lineRule="auto"/>
        <w:jc w:val="both"/>
        <w:rPr>
          <w:color w:val="FF0000"/>
        </w:rPr>
      </w:pPr>
      <w:r w:rsidRPr="00D75AB0">
        <w:rPr>
          <w:color w:val="FF0000"/>
        </w:rPr>
        <w:t>Apply: Develop interventions or solutions based on the aggregated evidence</w:t>
      </w:r>
    </w:p>
    <w:p w14:paraId="0108DE18" w14:textId="28AE2D40" w:rsidR="00D75AB0" w:rsidRDefault="00D75AB0" w:rsidP="00D11A47">
      <w:pPr>
        <w:spacing w:line="276" w:lineRule="auto"/>
        <w:jc w:val="both"/>
        <w:rPr>
          <w:color w:val="FF0000"/>
        </w:rPr>
      </w:pPr>
      <w:r w:rsidRPr="00D75AB0">
        <w:rPr>
          <w:color w:val="FF0000"/>
        </w:rPr>
        <w:t>Assess: Evaluate the effectiveness of chosen intervention</w:t>
      </w:r>
    </w:p>
    <w:p w14:paraId="1CCC6FB7" w14:textId="239C462A" w:rsidR="00D11A47" w:rsidRDefault="00D11A47" w:rsidP="00723664">
      <w:pPr>
        <w:spacing w:line="276" w:lineRule="auto"/>
        <w:jc w:val="both"/>
        <w:rPr>
          <w:color w:val="FF0000"/>
        </w:rPr>
      </w:pPr>
      <w:r w:rsidRPr="00C53168">
        <w:rPr>
          <w:color w:val="FF0000"/>
        </w:rPr>
        <w:t>In practice, by leveraging various sources of evidence, practitioners could tackle complex organisational issues such as the lack of employee wellbeing</w:t>
      </w:r>
      <w:r>
        <w:rPr>
          <w:color w:val="FF0000"/>
        </w:rPr>
        <w:t xml:space="preserve"> by gathering the data to understand the scope and severity of the issue, consult stakeholders to gain deeper insights into the factors contributing to the problem. </w:t>
      </w:r>
    </w:p>
    <w:p w14:paraId="229261A8" w14:textId="40C949FA" w:rsidR="00341C28" w:rsidRDefault="00341C28" w:rsidP="00723664">
      <w:pPr>
        <w:spacing w:line="276" w:lineRule="auto"/>
        <w:jc w:val="both"/>
        <w:rPr>
          <w:color w:val="FF0000"/>
        </w:rPr>
      </w:pPr>
      <w:r>
        <w:rPr>
          <w:color w:val="FF0000"/>
        </w:rPr>
        <w:t>By addressing wellbeing proactively, practitioners would ensure</w:t>
      </w:r>
      <w:r w:rsidR="00713DA7">
        <w:rPr>
          <w:color w:val="FF0000"/>
        </w:rPr>
        <w:t xml:space="preserve"> </w:t>
      </w:r>
      <w:r>
        <w:rPr>
          <w:color w:val="FF0000"/>
        </w:rPr>
        <w:t xml:space="preserve">reduced risk and cost to the business, </w:t>
      </w:r>
      <w:r w:rsidR="00723664">
        <w:rPr>
          <w:color w:val="FF0000"/>
        </w:rPr>
        <w:t>increased employee engagement</w:t>
      </w:r>
      <w:r w:rsidR="00713DA7">
        <w:rPr>
          <w:color w:val="FF0000"/>
        </w:rPr>
        <w:t xml:space="preserve">, </w:t>
      </w:r>
      <w:r w:rsidR="00723664">
        <w:rPr>
          <w:color w:val="FF0000"/>
        </w:rPr>
        <w:t>productivity</w:t>
      </w:r>
      <w:r w:rsidR="00713DA7">
        <w:rPr>
          <w:color w:val="FF0000"/>
        </w:rPr>
        <w:t xml:space="preserve">, </w:t>
      </w:r>
      <w:r w:rsidR="00723664">
        <w:rPr>
          <w:color w:val="FF0000"/>
        </w:rPr>
        <w:t xml:space="preserve">commitment to employee </w:t>
      </w:r>
      <w:r w:rsidR="00713DA7">
        <w:rPr>
          <w:color w:val="FF0000"/>
        </w:rPr>
        <w:t xml:space="preserve">wellbeing that </w:t>
      </w:r>
      <w:r w:rsidR="00723664">
        <w:rPr>
          <w:color w:val="FF0000"/>
        </w:rPr>
        <w:t>attracts and retain top talent, contributing to stronger employer brand.</w:t>
      </w:r>
    </w:p>
    <w:p w14:paraId="0320974A" w14:textId="7E160780" w:rsidR="00341C28" w:rsidRPr="00341C28" w:rsidRDefault="00723664" w:rsidP="00723664">
      <w:pPr>
        <w:spacing w:line="276" w:lineRule="auto"/>
        <w:jc w:val="both"/>
        <w:rPr>
          <w:color w:val="FF0000"/>
        </w:rPr>
      </w:pPr>
      <w:r w:rsidRPr="00341C28">
        <w:rPr>
          <w:color w:val="FF0000"/>
        </w:rPr>
        <w:t>Through</w:t>
      </w:r>
      <w:r w:rsidR="00341C28" w:rsidRPr="00341C28">
        <w:rPr>
          <w:color w:val="FF0000"/>
        </w:rPr>
        <w:t xml:space="preserve"> embracing EBP principles,</w:t>
      </w:r>
      <w:r>
        <w:rPr>
          <w:color w:val="FF0000"/>
        </w:rPr>
        <w:t xml:space="preserve"> </w:t>
      </w:r>
      <w:r w:rsidR="00341C28" w:rsidRPr="00341C28">
        <w:rPr>
          <w:color w:val="FF0000"/>
        </w:rPr>
        <w:t xml:space="preserve">practitioners can move beyond intuition and guesswork, creating a data-driven approach to combatting issues like lack of employee wellbeing and fostering a workplace where everyone </w:t>
      </w:r>
      <w:r w:rsidR="00A2633D" w:rsidRPr="00341C28">
        <w:rPr>
          <w:color w:val="FF0000"/>
        </w:rPr>
        <w:t>thrives</w:t>
      </w:r>
      <w:r w:rsidR="00A2633D">
        <w:rPr>
          <w:color w:val="FF0000"/>
        </w:rPr>
        <w:t xml:space="preserve"> </w:t>
      </w:r>
      <w:r w:rsidR="00A2633D" w:rsidRPr="00A2633D">
        <w:rPr>
          <w:color w:val="FF0000"/>
        </w:rPr>
        <w:t>(CIPD, 2017</w:t>
      </w:r>
      <w:r w:rsidR="003250F6">
        <w:rPr>
          <w:color w:val="FF0000"/>
        </w:rPr>
        <w:t>a</w:t>
      </w:r>
      <w:r w:rsidR="00A2633D" w:rsidRPr="00A2633D">
        <w:rPr>
          <w:color w:val="FF0000"/>
        </w:rPr>
        <w:t>).</w:t>
      </w:r>
    </w:p>
    <w:p w14:paraId="3A8EEC4C" w14:textId="125A22B3" w:rsidR="00341C28" w:rsidRDefault="00EE2ADB" w:rsidP="00D11A47">
      <w:pPr>
        <w:spacing w:line="276" w:lineRule="auto"/>
        <w:jc w:val="both"/>
      </w:pPr>
      <w:r w:rsidRPr="006B20EA">
        <w:t xml:space="preserve">The </w:t>
      </w:r>
      <w:r w:rsidR="00A70F88" w:rsidRPr="006B20EA">
        <w:t xml:space="preserve">ultimate aim </w:t>
      </w:r>
      <w:r w:rsidR="00A70F88" w:rsidRPr="00735114">
        <w:rPr>
          <w:strike/>
        </w:rPr>
        <w:t>for using the</w:t>
      </w:r>
      <w:r w:rsidR="00A70F88" w:rsidRPr="006B20EA">
        <w:t xml:space="preserve"> </w:t>
      </w:r>
      <w:r w:rsidR="00A70F88" w:rsidRPr="00713DA7">
        <w:rPr>
          <w:strike/>
        </w:rPr>
        <w:t xml:space="preserve">four </w:t>
      </w:r>
      <w:r w:rsidR="00D930DE" w:rsidRPr="00713DA7">
        <w:rPr>
          <w:strike/>
        </w:rPr>
        <w:t xml:space="preserve">aforementioned </w:t>
      </w:r>
      <w:r w:rsidR="00A70F88" w:rsidRPr="00713DA7">
        <w:rPr>
          <w:strike/>
        </w:rPr>
        <w:t>sources</w:t>
      </w:r>
      <w:r w:rsidR="00A572C3" w:rsidRPr="00713DA7">
        <w:rPr>
          <w:strike/>
        </w:rPr>
        <w:t xml:space="preserve"> and Six</w:t>
      </w:r>
      <w:r w:rsidR="00D930DE" w:rsidRPr="00713DA7">
        <w:rPr>
          <w:strike/>
        </w:rPr>
        <w:t xml:space="preserve"> </w:t>
      </w:r>
      <w:r w:rsidR="001B197F" w:rsidRPr="00713DA7">
        <w:rPr>
          <w:strike/>
        </w:rPr>
        <w:t>S</w:t>
      </w:r>
      <w:r w:rsidR="00A572C3" w:rsidRPr="00713DA7">
        <w:rPr>
          <w:strike/>
        </w:rPr>
        <w:t>teps</w:t>
      </w:r>
      <w:r w:rsidR="00A70F88" w:rsidRPr="006B20EA">
        <w:t xml:space="preserve"> is to </w:t>
      </w:r>
      <w:r w:rsidR="009374F6" w:rsidRPr="006B20EA">
        <w:t xml:space="preserve">promote critical thinking, </w:t>
      </w:r>
      <w:r w:rsidR="00A70F88" w:rsidRPr="006B20EA">
        <w:t>close the</w:t>
      </w:r>
      <w:r w:rsidR="00335F17" w:rsidRPr="006B20EA">
        <w:t xml:space="preserve"> evidence gap and</w:t>
      </w:r>
      <w:r w:rsidR="00A70F88" w:rsidRPr="006B20EA">
        <w:t xml:space="preserve"> enable a more trustworthy, de-bias managerial decision-making for an effective EBP (Capezio and </w:t>
      </w:r>
      <w:proofErr w:type="spellStart"/>
      <w:r w:rsidR="00335F17" w:rsidRPr="006B20EA">
        <w:t>L’Espoir</w:t>
      </w:r>
      <w:proofErr w:type="spellEnd"/>
      <w:r w:rsidR="00335F17" w:rsidRPr="006B20EA">
        <w:t xml:space="preserve"> </w:t>
      </w:r>
      <w:r w:rsidR="00A70F88" w:rsidRPr="006B20EA">
        <w:t>Decosta, 2023</w:t>
      </w:r>
      <w:r w:rsidR="009374F6" w:rsidRPr="006B20EA">
        <w:t>; Reid Elder and Nikodem, 2023</w:t>
      </w:r>
      <w:r w:rsidR="00A70F88" w:rsidRPr="006B20EA">
        <w:t xml:space="preserve">). </w:t>
      </w:r>
    </w:p>
    <w:p w14:paraId="6DAC7994" w14:textId="2866C4BA" w:rsidR="00F420C2" w:rsidRPr="00723664" w:rsidRDefault="00B41B53" w:rsidP="00D11A47">
      <w:pPr>
        <w:spacing w:line="276" w:lineRule="auto"/>
        <w:jc w:val="both"/>
        <w:rPr>
          <w:strike/>
        </w:rPr>
      </w:pPr>
      <w:r w:rsidRPr="00D11A47">
        <w:rPr>
          <w:strike/>
        </w:rPr>
        <w:t xml:space="preserve">According to Pfeffer &amp; Sutton (2000) organisations that have the ability to identify the causes for the ‘knowing-doing gap’ and turn knowledge into actions would produce quantifiable outcomes. </w:t>
      </w:r>
      <w:r w:rsidR="00723664">
        <w:rPr>
          <w:strike/>
        </w:rPr>
        <w:t xml:space="preserve"> </w:t>
      </w:r>
      <w:r w:rsidR="00D930DE" w:rsidRPr="00C53168">
        <w:rPr>
          <w:strike/>
        </w:rPr>
        <w:t xml:space="preserve">Moreover, for this to happen, </w:t>
      </w:r>
      <w:r w:rsidR="00930765" w:rsidRPr="00C53168">
        <w:rPr>
          <w:strike/>
        </w:rPr>
        <w:t xml:space="preserve">HR </w:t>
      </w:r>
      <w:r w:rsidR="00D930DE" w:rsidRPr="00C53168">
        <w:rPr>
          <w:strike/>
        </w:rPr>
        <w:t xml:space="preserve">practitioners should develop the skills and have the willingness to explore different avenues of </w:t>
      </w:r>
      <w:r w:rsidR="00772869" w:rsidRPr="00C53168">
        <w:rPr>
          <w:strike/>
        </w:rPr>
        <w:t>data to inform decision-making and provide strong evidence foundation to main stakeholders</w:t>
      </w:r>
      <w:r w:rsidR="00772869" w:rsidRPr="006B20EA">
        <w:t xml:space="preserve"> </w:t>
      </w:r>
      <w:bookmarkStart w:id="6" w:name="_Hlk158405968"/>
      <w:r w:rsidR="00F420C2" w:rsidRPr="00A2633D">
        <w:rPr>
          <w:strike/>
        </w:rPr>
        <w:t>(</w:t>
      </w:r>
      <w:r w:rsidR="00772869" w:rsidRPr="00A2633D">
        <w:rPr>
          <w:strike/>
        </w:rPr>
        <w:t>CIPD, 2017).</w:t>
      </w:r>
      <w:r w:rsidR="00772869" w:rsidRPr="006B20EA">
        <w:t xml:space="preserve"> </w:t>
      </w:r>
      <w:bookmarkEnd w:id="6"/>
    </w:p>
    <w:p w14:paraId="27E8861A" w14:textId="77777777" w:rsidR="00ED26EE" w:rsidRPr="006B20EA" w:rsidRDefault="00ED26EE" w:rsidP="00D11A47">
      <w:pPr>
        <w:spacing w:line="276" w:lineRule="auto"/>
        <w:jc w:val="both"/>
      </w:pPr>
    </w:p>
    <w:p w14:paraId="6250E6D1" w14:textId="77777777" w:rsidR="00E029D4" w:rsidRPr="00E9585A" w:rsidRDefault="002F4793" w:rsidP="00D11A47">
      <w:pPr>
        <w:spacing w:line="276" w:lineRule="auto"/>
        <w:jc w:val="both"/>
        <w:rPr>
          <w:strike/>
        </w:rPr>
      </w:pPr>
      <w:r w:rsidRPr="00E9585A">
        <w:rPr>
          <w:strike/>
        </w:rPr>
        <w:t xml:space="preserve">It is also proposed that practitioners follow suitable models for decision-making, one of them being the rational model. This model comprises a step-by-step procedure whereby </w:t>
      </w:r>
      <w:r w:rsidR="00EF56B7" w:rsidRPr="00E9585A">
        <w:rPr>
          <w:strike/>
        </w:rPr>
        <w:t>facts and information are used to logically evaluate all alternatives before reaching a decision (</w:t>
      </w:r>
      <w:proofErr w:type="spellStart"/>
      <w:r w:rsidR="00EF56B7" w:rsidRPr="00E9585A">
        <w:rPr>
          <w:strike/>
        </w:rPr>
        <w:t>Uzonwanne</w:t>
      </w:r>
      <w:proofErr w:type="spellEnd"/>
      <w:r w:rsidR="00EF56B7" w:rsidRPr="00E9585A">
        <w:rPr>
          <w:strike/>
        </w:rPr>
        <w:t>, 2016).</w:t>
      </w:r>
    </w:p>
    <w:p w14:paraId="110B6851" w14:textId="39A5092B" w:rsidR="00C84EF1" w:rsidRPr="00E9585A" w:rsidRDefault="002F4793" w:rsidP="00D11A47">
      <w:pPr>
        <w:spacing w:line="276" w:lineRule="auto"/>
        <w:jc w:val="both"/>
        <w:rPr>
          <w:strike/>
        </w:rPr>
      </w:pPr>
      <w:r w:rsidRPr="006B20EA">
        <w:lastRenderedPageBreak/>
        <w:t xml:space="preserve"> </w:t>
      </w:r>
      <w:r w:rsidR="00E029D4" w:rsidRPr="006B20EA">
        <w:rPr>
          <w:noProof/>
          <w14:ligatures w14:val="standardContextual"/>
        </w:rPr>
        <w:drawing>
          <wp:inline distT="0" distB="0" distL="0" distR="0" wp14:anchorId="0881D0A8" wp14:editId="4BFD1FA0">
            <wp:extent cx="5731510" cy="2776855"/>
            <wp:effectExtent l="0" t="0" r="2540" b="4445"/>
            <wp:docPr id="14750465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046530" name=""/>
                    <pic:cNvPicPr/>
                  </pic:nvPicPr>
                  <pic:blipFill>
                    <a:blip r:embed="rId8"/>
                    <a:stretch>
                      <a:fillRect/>
                    </a:stretch>
                  </pic:blipFill>
                  <pic:spPr>
                    <a:xfrm>
                      <a:off x="0" y="0"/>
                      <a:ext cx="5731510" cy="2776855"/>
                    </a:xfrm>
                    <a:prstGeom prst="rect">
                      <a:avLst/>
                    </a:prstGeom>
                  </pic:spPr>
                </pic:pic>
              </a:graphicData>
            </a:graphic>
          </wp:inline>
        </w:drawing>
      </w:r>
      <w:r w:rsidR="00E029D4" w:rsidRPr="00E9585A">
        <w:rPr>
          <w:rStyle w:val="Heading3Char"/>
          <w:rFonts w:ascii="Times New Roman" w:hAnsi="Times New Roman" w:cs="Times New Roman"/>
          <w:b/>
          <w:bCs/>
          <w:strike/>
        </w:rPr>
        <w:t>Figure 1: Rational Decision-Making Model (Kumar, 2022)</w:t>
      </w:r>
    </w:p>
    <w:p w14:paraId="2879DB3F" w14:textId="77777777" w:rsidR="00EA7002" w:rsidRPr="00E9585A" w:rsidRDefault="00EA7002" w:rsidP="00D11A47">
      <w:pPr>
        <w:spacing w:line="276" w:lineRule="auto"/>
        <w:jc w:val="both"/>
        <w:rPr>
          <w:strike/>
        </w:rPr>
      </w:pPr>
    </w:p>
    <w:p w14:paraId="404C5DBA" w14:textId="56A50320" w:rsidR="002F4793" w:rsidRPr="00E9585A" w:rsidRDefault="00EA7002" w:rsidP="00D11A47">
      <w:pPr>
        <w:spacing w:line="276" w:lineRule="auto"/>
        <w:jc w:val="both"/>
        <w:rPr>
          <w:strike/>
        </w:rPr>
      </w:pPr>
      <w:r w:rsidRPr="00E9585A">
        <w:rPr>
          <w:strike/>
        </w:rPr>
        <w:t>The step-by-step rational model is advantageous when time</w:t>
      </w:r>
      <w:r w:rsidR="00ED26EE" w:rsidRPr="00E9585A">
        <w:rPr>
          <w:strike/>
        </w:rPr>
        <w:t xml:space="preserve"> allows </w:t>
      </w:r>
      <w:r w:rsidRPr="00E9585A">
        <w:rPr>
          <w:strike/>
        </w:rPr>
        <w:t>for information gathering and when all individuals agree on the best alternative</w:t>
      </w:r>
      <w:r w:rsidR="00ED26EE" w:rsidRPr="00E9585A">
        <w:rPr>
          <w:strike/>
        </w:rPr>
        <w:t>, thus becoming problematic to use when time is a constraint or / and where there are various objectives coming from several stakeholders (Kumar, 2022).</w:t>
      </w:r>
    </w:p>
    <w:p w14:paraId="186F14BF" w14:textId="0888C3BD" w:rsidR="00461823" w:rsidRPr="006B20EA" w:rsidRDefault="00461823" w:rsidP="00D11A47">
      <w:pPr>
        <w:spacing w:line="276" w:lineRule="auto"/>
        <w:jc w:val="both"/>
      </w:pPr>
    </w:p>
    <w:p w14:paraId="74125937" w14:textId="2DA9A122" w:rsidR="004838FD" w:rsidRPr="00E9585A" w:rsidRDefault="00461823" w:rsidP="00D11A47">
      <w:pPr>
        <w:spacing w:line="276" w:lineRule="auto"/>
        <w:jc w:val="both"/>
        <w:rPr>
          <w:strike/>
        </w:rPr>
      </w:pPr>
      <w:r w:rsidRPr="00E9585A">
        <w:rPr>
          <w:strike/>
        </w:rPr>
        <w:t>Whilst EBP</w:t>
      </w:r>
      <w:r w:rsidR="004539E6" w:rsidRPr="00E9585A">
        <w:rPr>
          <w:strike/>
        </w:rPr>
        <w:t xml:space="preserve"> for best practice decision-making</w:t>
      </w:r>
      <w:r w:rsidRPr="00E9585A">
        <w:rPr>
          <w:strike/>
        </w:rPr>
        <w:t xml:space="preserve"> is becoming more prevalent</w:t>
      </w:r>
      <w:r w:rsidR="004539E6" w:rsidRPr="00E9585A">
        <w:rPr>
          <w:strike/>
        </w:rPr>
        <w:t xml:space="preserve"> within Management and HR </w:t>
      </w:r>
      <w:r w:rsidR="00BA0104" w:rsidRPr="00E9585A">
        <w:rPr>
          <w:strike/>
        </w:rPr>
        <w:t>settings and it is proving to be effective if the above information is taken into account (Briner, 2023),</w:t>
      </w:r>
      <w:r w:rsidR="004539E6" w:rsidRPr="00E9585A">
        <w:rPr>
          <w:strike/>
        </w:rPr>
        <w:t xml:space="preserve"> it is </w:t>
      </w:r>
      <w:r w:rsidR="009374F6" w:rsidRPr="00E9585A">
        <w:rPr>
          <w:strike/>
        </w:rPr>
        <w:t>imperative</w:t>
      </w:r>
      <w:r w:rsidR="004539E6" w:rsidRPr="00E9585A">
        <w:rPr>
          <w:strike/>
        </w:rPr>
        <w:t xml:space="preserve"> to note its limitations.</w:t>
      </w:r>
      <w:r w:rsidR="005250B5" w:rsidRPr="00E9585A">
        <w:rPr>
          <w:strike/>
        </w:rPr>
        <w:t xml:space="preserve"> </w:t>
      </w:r>
      <w:r w:rsidR="00BA0104" w:rsidRPr="00E9585A">
        <w:rPr>
          <w:strike/>
        </w:rPr>
        <w:t>Firstly, evidence is not always perfect, hence the need to always start with a critical mindset.</w:t>
      </w:r>
      <w:r w:rsidR="005250B5" w:rsidRPr="00E9585A">
        <w:rPr>
          <w:strike/>
        </w:rPr>
        <w:t xml:space="preserve"> </w:t>
      </w:r>
      <w:r w:rsidR="00BA0104" w:rsidRPr="00E9585A">
        <w:rPr>
          <w:strike/>
        </w:rPr>
        <w:t>Secondly,</w:t>
      </w:r>
      <w:r w:rsidR="00B62D0C" w:rsidRPr="00E9585A">
        <w:rPr>
          <w:strike/>
        </w:rPr>
        <w:t xml:space="preserve"> there may be little or inadequate evidence availability (Barends, Rousseau and Briner, 2014). </w:t>
      </w:r>
      <w:r w:rsidR="000A6555" w:rsidRPr="00E9585A">
        <w:rPr>
          <w:strike/>
        </w:rPr>
        <w:t>Lastly</w:t>
      </w:r>
      <w:r w:rsidR="00B62D0C" w:rsidRPr="00E9585A">
        <w:rPr>
          <w:strike/>
        </w:rPr>
        <w:t xml:space="preserve">, there could be </w:t>
      </w:r>
      <w:r w:rsidR="008B36B9" w:rsidRPr="00E9585A">
        <w:rPr>
          <w:strike/>
        </w:rPr>
        <w:t xml:space="preserve">a combination of </w:t>
      </w:r>
      <w:r w:rsidR="00B62D0C" w:rsidRPr="00E9585A">
        <w:rPr>
          <w:strike/>
        </w:rPr>
        <w:t>situational factors such as time constraints, limited budget</w:t>
      </w:r>
      <w:r w:rsidR="00CF4FFE" w:rsidRPr="00E9585A">
        <w:rPr>
          <w:strike/>
        </w:rPr>
        <w:t xml:space="preserve"> for training</w:t>
      </w:r>
      <w:r w:rsidR="00B62D0C" w:rsidRPr="00E9585A">
        <w:rPr>
          <w:strike/>
        </w:rPr>
        <w:t xml:space="preserve"> and resources</w:t>
      </w:r>
      <w:r w:rsidR="00867B2A" w:rsidRPr="00E9585A">
        <w:rPr>
          <w:strike/>
        </w:rPr>
        <w:t xml:space="preserve"> (Reid Elder and Nikodem, 2023)</w:t>
      </w:r>
      <w:r w:rsidR="00B62D0C" w:rsidRPr="00E9585A">
        <w:rPr>
          <w:strike/>
        </w:rPr>
        <w:t xml:space="preserve">. </w:t>
      </w:r>
      <w:r w:rsidR="00D114D6" w:rsidRPr="00E9585A">
        <w:rPr>
          <w:strike/>
        </w:rPr>
        <w:t>To conclude, although EBP can be a precaution against futile action, it is not a flawless solution</w:t>
      </w:r>
      <w:r w:rsidR="00E9585A" w:rsidRPr="00E9585A">
        <w:rPr>
          <w:strike/>
        </w:rPr>
        <w:t>,</w:t>
      </w:r>
      <w:r w:rsidR="00D114D6" w:rsidRPr="00E9585A">
        <w:rPr>
          <w:strike/>
        </w:rPr>
        <w:t xml:space="preserve"> </w:t>
      </w:r>
      <w:r w:rsidR="00F37E14" w:rsidRPr="00E9585A">
        <w:rPr>
          <w:strike/>
        </w:rPr>
        <w:t>Hargreaves and Fullan (2012) argue that the evidence in itself could be blurred</w:t>
      </w:r>
      <w:r w:rsidR="006E7AF5" w:rsidRPr="00E9585A">
        <w:rPr>
          <w:strike/>
        </w:rPr>
        <w:t xml:space="preserve"> or outdated, thus </w:t>
      </w:r>
      <w:r w:rsidR="00E9585A" w:rsidRPr="00E9585A">
        <w:rPr>
          <w:strike/>
        </w:rPr>
        <w:t>i</w:t>
      </w:r>
      <w:r w:rsidR="006E7AF5" w:rsidRPr="00E9585A">
        <w:rPr>
          <w:strike/>
        </w:rPr>
        <w:t xml:space="preserve">t is imperative that </w:t>
      </w:r>
      <w:r w:rsidR="00930765" w:rsidRPr="00E9585A">
        <w:rPr>
          <w:strike/>
        </w:rPr>
        <w:t xml:space="preserve">HR </w:t>
      </w:r>
      <w:r w:rsidR="006E7AF5" w:rsidRPr="00E9585A">
        <w:rPr>
          <w:strike/>
        </w:rPr>
        <w:t xml:space="preserve">practitioners use a </w:t>
      </w:r>
      <w:r w:rsidR="00BC39AB" w:rsidRPr="00E9585A">
        <w:rPr>
          <w:strike/>
        </w:rPr>
        <w:t>‘</w:t>
      </w:r>
      <w:r w:rsidR="00126CBC" w:rsidRPr="00E9585A">
        <w:rPr>
          <w:strike/>
        </w:rPr>
        <w:t>spirit of enquiry</w:t>
      </w:r>
      <w:r w:rsidR="00BC39AB" w:rsidRPr="00E9585A">
        <w:rPr>
          <w:strike/>
        </w:rPr>
        <w:t>’</w:t>
      </w:r>
      <w:r w:rsidR="00126CBC" w:rsidRPr="00E9585A">
        <w:rPr>
          <w:strike/>
        </w:rPr>
        <w:t xml:space="preserve"> and </w:t>
      </w:r>
      <w:r w:rsidR="006E7AF5" w:rsidRPr="00E9585A">
        <w:rPr>
          <w:strike/>
        </w:rPr>
        <w:t>systematic</w:t>
      </w:r>
      <w:r w:rsidR="008B36B9" w:rsidRPr="00E9585A">
        <w:rPr>
          <w:strike/>
        </w:rPr>
        <w:t xml:space="preserve"> critical thinking</w:t>
      </w:r>
      <w:r w:rsidR="006E7AF5" w:rsidRPr="00E9585A">
        <w:rPr>
          <w:strike/>
        </w:rPr>
        <w:t xml:space="preserve"> approach</w:t>
      </w:r>
      <w:r w:rsidR="008B36B9" w:rsidRPr="00E9585A">
        <w:rPr>
          <w:strike/>
        </w:rPr>
        <w:t xml:space="preserve"> to </w:t>
      </w:r>
      <w:r w:rsidR="00B50094" w:rsidRPr="00E9585A">
        <w:rPr>
          <w:strike/>
        </w:rPr>
        <w:t>effecti</w:t>
      </w:r>
      <w:r w:rsidR="008B36B9" w:rsidRPr="00E9585A">
        <w:rPr>
          <w:strike/>
        </w:rPr>
        <w:t xml:space="preserve">vely evaluate </w:t>
      </w:r>
      <w:r w:rsidR="006E7AF5" w:rsidRPr="00E9585A">
        <w:rPr>
          <w:strike/>
        </w:rPr>
        <w:t>when engaging with EBP</w:t>
      </w:r>
      <w:r w:rsidR="00B50094" w:rsidRPr="00E9585A">
        <w:rPr>
          <w:strike/>
        </w:rPr>
        <w:t xml:space="preserve"> for decision-making processes</w:t>
      </w:r>
      <w:r w:rsidR="008B36B9" w:rsidRPr="00E9585A">
        <w:rPr>
          <w:strike/>
        </w:rPr>
        <w:t xml:space="preserve"> (Gill, 2018</w:t>
      </w:r>
      <w:r w:rsidR="00126CBC" w:rsidRPr="00E9585A">
        <w:rPr>
          <w:strike/>
        </w:rPr>
        <w:t>; Armstrong and Taylor, 2020</w:t>
      </w:r>
      <w:r w:rsidR="008B36B9" w:rsidRPr="00E9585A">
        <w:rPr>
          <w:strike/>
        </w:rPr>
        <w:t>)</w:t>
      </w:r>
      <w:r w:rsidR="006E7AF5" w:rsidRPr="00E9585A">
        <w:rPr>
          <w:strike/>
        </w:rPr>
        <w:t xml:space="preserve">. </w:t>
      </w:r>
    </w:p>
    <w:p w14:paraId="56DAA531" w14:textId="300ACD16" w:rsidR="00C00C05" w:rsidRPr="00E9585A" w:rsidRDefault="00C00C05" w:rsidP="00D11A47">
      <w:pPr>
        <w:spacing w:line="276" w:lineRule="auto"/>
        <w:jc w:val="both"/>
        <w:rPr>
          <w:b/>
          <w:bCs/>
          <w:strike/>
          <w:color w:val="FF0000"/>
        </w:rPr>
      </w:pPr>
      <w:r w:rsidRPr="00E9585A">
        <w:rPr>
          <w:b/>
          <w:bCs/>
          <w:strike/>
          <w:color w:val="FF0000"/>
        </w:rPr>
        <w:t xml:space="preserve">Example: </w:t>
      </w:r>
    </w:p>
    <w:p w14:paraId="71A0BE85" w14:textId="77777777" w:rsidR="00931639" w:rsidRPr="006B20EA" w:rsidRDefault="00931639" w:rsidP="00D11A47">
      <w:pPr>
        <w:spacing w:line="276" w:lineRule="auto"/>
        <w:jc w:val="both"/>
      </w:pPr>
    </w:p>
    <w:p w14:paraId="7A0D8DB4" w14:textId="5A270467" w:rsidR="00FF0541" w:rsidRPr="006B20EA" w:rsidRDefault="00FF0541" w:rsidP="00FF0541">
      <w:pPr>
        <w:pStyle w:val="Heading2"/>
        <w:rPr>
          <w:rFonts w:ascii="Times New Roman" w:hAnsi="Times New Roman" w:cs="Times New Roman"/>
        </w:rPr>
      </w:pPr>
      <w:bookmarkStart w:id="7" w:name="_Hlk158489244"/>
      <w:bookmarkEnd w:id="1"/>
      <w:r w:rsidRPr="006B20EA">
        <w:rPr>
          <w:rFonts w:ascii="Times New Roman" w:hAnsi="Times New Roman" w:cs="Times New Roman"/>
        </w:rPr>
        <w:t>AC1.2 Evaluating Analysis Tools and Methods</w:t>
      </w:r>
    </w:p>
    <w:p w14:paraId="476C4D63" w14:textId="77777777" w:rsidR="005E0059" w:rsidRPr="006B20EA" w:rsidRDefault="005E0059" w:rsidP="005E0059"/>
    <w:p w14:paraId="68951422" w14:textId="3C9F604C" w:rsidR="00735114" w:rsidRDefault="00735114" w:rsidP="0046704B">
      <w:pPr>
        <w:jc w:val="both"/>
      </w:pPr>
      <w:r w:rsidRPr="00735114">
        <w:t>Many analysis tools and methods exist to diagnose organi</w:t>
      </w:r>
      <w:r w:rsidR="00CD65C4">
        <w:t>s</w:t>
      </w:r>
      <w:r w:rsidRPr="00735114">
        <w:t>ational issues, considering both internal and external impacts. Practitioners select tools based on specific situations, acknowledging each one's strengths and weaknesses in shaping outcomes.</w:t>
      </w:r>
    </w:p>
    <w:p w14:paraId="37693887" w14:textId="77777777" w:rsidR="00735114" w:rsidRDefault="00735114" w:rsidP="0046704B">
      <w:pPr>
        <w:jc w:val="both"/>
      </w:pPr>
    </w:p>
    <w:p w14:paraId="14B1D1F7" w14:textId="3A325164" w:rsidR="00C40243" w:rsidRPr="00735114" w:rsidRDefault="0046704B" w:rsidP="0046704B">
      <w:pPr>
        <w:jc w:val="both"/>
        <w:rPr>
          <w:strike/>
        </w:rPr>
      </w:pPr>
      <w:r w:rsidRPr="00735114">
        <w:rPr>
          <w:strike/>
        </w:rPr>
        <w:t>The</w:t>
      </w:r>
      <w:r w:rsidR="00A235B2" w:rsidRPr="00735114">
        <w:rPr>
          <w:strike/>
        </w:rPr>
        <w:t xml:space="preserve">re is a broad availability </w:t>
      </w:r>
      <w:r w:rsidR="00F90555" w:rsidRPr="00735114">
        <w:rPr>
          <w:strike/>
        </w:rPr>
        <w:t xml:space="preserve">of </w:t>
      </w:r>
      <w:r w:rsidRPr="00735114">
        <w:rPr>
          <w:strike/>
        </w:rPr>
        <w:t>analysis tools and methods that will aid detection of organisational issues, challenges and opportunities</w:t>
      </w:r>
      <w:r w:rsidR="00A235B2" w:rsidRPr="00735114">
        <w:rPr>
          <w:strike/>
        </w:rPr>
        <w:t xml:space="preserve"> by looking at how both internal and external factors </w:t>
      </w:r>
      <w:r w:rsidR="00C84EF1" w:rsidRPr="00735114">
        <w:rPr>
          <w:strike/>
        </w:rPr>
        <w:t>could</w:t>
      </w:r>
      <w:r w:rsidR="00A235B2" w:rsidRPr="00735114">
        <w:rPr>
          <w:strike/>
        </w:rPr>
        <w:t xml:space="preserve"> impact on an organisation</w:t>
      </w:r>
      <w:r w:rsidRPr="00735114">
        <w:rPr>
          <w:strike/>
        </w:rPr>
        <w:t>.</w:t>
      </w:r>
      <w:r w:rsidR="00F006CB" w:rsidRPr="00735114">
        <w:rPr>
          <w:strike/>
        </w:rPr>
        <w:t xml:space="preserve"> Practitioners would</w:t>
      </w:r>
      <w:r w:rsidR="006729C8" w:rsidRPr="00735114">
        <w:rPr>
          <w:strike/>
        </w:rPr>
        <w:t xml:space="preserve"> </w:t>
      </w:r>
      <w:r w:rsidR="00A235B2" w:rsidRPr="00735114">
        <w:rPr>
          <w:strike/>
        </w:rPr>
        <w:t xml:space="preserve">identify and </w:t>
      </w:r>
      <w:r w:rsidR="006729C8" w:rsidRPr="00735114">
        <w:rPr>
          <w:strike/>
        </w:rPr>
        <w:t xml:space="preserve">choose the </w:t>
      </w:r>
      <w:r w:rsidR="00F006CB" w:rsidRPr="00735114">
        <w:rPr>
          <w:strike/>
        </w:rPr>
        <w:t xml:space="preserve">most </w:t>
      </w:r>
      <w:r w:rsidR="00F006CB" w:rsidRPr="00735114">
        <w:rPr>
          <w:strike/>
        </w:rPr>
        <w:lastRenderedPageBreak/>
        <w:t xml:space="preserve">applicable ones to address a particular situation, </w:t>
      </w:r>
      <w:r w:rsidR="006729C8" w:rsidRPr="00735114">
        <w:rPr>
          <w:strike/>
        </w:rPr>
        <w:t xml:space="preserve">thus </w:t>
      </w:r>
      <w:r w:rsidR="00F006CB" w:rsidRPr="00735114">
        <w:rPr>
          <w:strike/>
        </w:rPr>
        <w:t xml:space="preserve">bearing in mind that each of them will </w:t>
      </w:r>
      <w:r w:rsidR="006729C8" w:rsidRPr="00735114">
        <w:rPr>
          <w:strike/>
        </w:rPr>
        <w:t>present</w:t>
      </w:r>
      <w:r w:rsidR="00F006CB" w:rsidRPr="00735114">
        <w:rPr>
          <w:strike/>
        </w:rPr>
        <w:t xml:space="preserve"> </w:t>
      </w:r>
      <w:r w:rsidR="006729C8" w:rsidRPr="00735114">
        <w:rPr>
          <w:strike/>
        </w:rPr>
        <w:t>strengths</w:t>
      </w:r>
      <w:r w:rsidR="00F006CB" w:rsidRPr="00735114">
        <w:rPr>
          <w:strike/>
        </w:rPr>
        <w:t xml:space="preserve"> and</w:t>
      </w:r>
      <w:r w:rsidR="006729C8" w:rsidRPr="00735114">
        <w:rPr>
          <w:strike/>
        </w:rPr>
        <w:t xml:space="preserve"> weakness</w:t>
      </w:r>
      <w:r w:rsidR="00F90555" w:rsidRPr="00735114">
        <w:rPr>
          <w:strike/>
        </w:rPr>
        <w:t>es that could influence final outcomes.</w:t>
      </w:r>
    </w:p>
    <w:p w14:paraId="562F34C8" w14:textId="77777777" w:rsidR="00C40243" w:rsidRPr="006B20EA" w:rsidRDefault="00C40243" w:rsidP="0046704B">
      <w:pPr>
        <w:jc w:val="both"/>
      </w:pPr>
    </w:p>
    <w:tbl>
      <w:tblPr>
        <w:tblStyle w:val="TableGrid"/>
        <w:tblW w:w="0" w:type="auto"/>
        <w:tblLook w:val="04A0" w:firstRow="1" w:lastRow="0" w:firstColumn="1" w:lastColumn="0" w:noHBand="0" w:noVBand="1"/>
      </w:tblPr>
      <w:tblGrid>
        <w:gridCol w:w="2263"/>
        <w:gridCol w:w="6753"/>
      </w:tblGrid>
      <w:tr w:rsidR="00723664" w:rsidRPr="00723664" w14:paraId="2249D131" w14:textId="77777777" w:rsidTr="008C1365">
        <w:tc>
          <w:tcPr>
            <w:tcW w:w="9016" w:type="dxa"/>
            <w:gridSpan w:val="2"/>
          </w:tcPr>
          <w:p w14:paraId="59F18A0C" w14:textId="2B1A762A" w:rsidR="00723664" w:rsidRPr="00723664" w:rsidRDefault="00723664" w:rsidP="00723664">
            <w:pPr>
              <w:jc w:val="both"/>
            </w:pPr>
            <w:r w:rsidRPr="00723664">
              <w:rPr>
                <w:b/>
                <w:bCs/>
              </w:rPr>
              <w:t>Analysis Tools</w:t>
            </w:r>
            <w:r w:rsidRPr="00723664">
              <w:t xml:space="preserve"> </w:t>
            </w:r>
            <w:r w:rsidR="00E70F51" w:rsidRPr="003F2B8F">
              <w:rPr>
                <w:color w:val="FF0000"/>
              </w:rPr>
              <w:t>examples would include Force Field Analysis, PESTEL, Porter’s Five Forces, SWOT and so on. For the purpose of this task the Ansoff Matrix will be explored.</w:t>
            </w:r>
          </w:p>
        </w:tc>
      </w:tr>
      <w:tr w:rsidR="00723664" w:rsidRPr="00723664" w14:paraId="17D494EE" w14:textId="77777777" w:rsidTr="008C1365">
        <w:tc>
          <w:tcPr>
            <w:tcW w:w="2263" w:type="dxa"/>
          </w:tcPr>
          <w:p w14:paraId="04EB0EAF" w14:textId="77777777" w:rsidR="00723664" w:rsidRPr="00723664" w:rsidRDefault="00723664" w:rsidP="00723664">
            <w:pPr>
              <w:jc w:val="both"/>
              <w:rPr>
                <w:strike/>
              </w:rPr>
            </w:pPr>
            <w:r w:rsidRPr="00723664">
              <w:rPr>
                <w:strike/>
              </w:rPr>
              <w:t>Force Field Analysis</w:t>
            </w:r>
          </w:p>
        </w:tc>
        <w:tc>
          <w:tcPr>
            <w:tcW w:w="6753" w:type="dxa"/>
          </w:tcPr>
          <w:p w14:paraId="489F06CC" w14:textId="77777777" w:rsidR="00723664" w:rsidRPr="00723664" w:rsidRDefault="00723664" w:rsidP="00723664">
            <w:pPr>
              <w:jc w:val="both"/>
              <w:rPr>
                <w:strike/>
              </w:rPr>
            </w:pPr>
            <w:r w:rsidRPr="00723664">
              <w:rPr>
                <w:strike/>
                <w:lang w:val="en"/>
              </w:rPr>
              <w:t>Created by Lewin in 1940s, this tool could be used to differentiate between the factors by which a proposed change is achieved when considering the driving or restraining forces involved in the process (Connelly, 2023).</w:t>
            </w:r>
          </w:p>
        </w:tc>
      </w:tr>
      <w:tr w:rsidR="00723664" w:rsidRPr="00723664" w14:paraId="629E655C" w14:textId="77777777" w:rsidTr="008C1365">
        <w:tc>
          <w:tcPr>
            <w:tcW w:w="2263" w:type="dxa"/>
          </w:tcPr>
          <w:p w14:paraId="5162399D" w14:textId="77777777" w:rsidR="00723664" w:rsidRPr="00723664" w:rsidRDefault="00723664" w:rsidP="00723664">
            <w:pPr>
              <w:jc w:val="both"/>
              <w:rPr>
                <w:strike/>
              </w:rPr>
            </w:pPr>
            <w:r w:rsidRPr="00723664">
              <w:rPr>
                <w:strike/>
              </w:rPr>
              <w:t>PESTEL</w:t>
            </w:r>
          </w:p>
        </w:tc>
        <w:tc>
          <w:tcPr>
            <w:tcW w:w="6753" w:type="dxa"/>
          </w:tcPr>
          <w:p w14:paraId="40491CFE" w14:textId="49CC324B" w:rsidR="00723664" w:rsidRPr="00723664" w:rsidRDefault="00723664" w:rsidP="00723664">
            <w:pPr>
              <w:jc w:val="both"/>
              <w:rPr>
                <w:strike/>
              </w:rPr>
            </w:pPr>
            <w:r w:rsidRPr="00723664">
              <w:rPr>
                <w:strike/>
              </w:rPr>
              <w:t>A reliable management tool for scanning the complexity of external factors that could influence business environment and decision-making processes (Hooley et.al, 2008</w:t>
            </w:r>
            <w:r w:rsidR="00E70F51" w:rsidRPr="00E70F51">
              <w:rPr>
                <w:strike/>
              </w:rPr>
              <w:t>).</w:t>
            </w:r>
          </w:p>
          <w:p w14:paraId="4FEA17C3" w14:textId="77777777" w:rsidR="00723664" w:rsidRPr="00723664" w:rsidRDefault="00723664" w:rsidP="00723664">
            <w:pPr>
              <w:jc w:val="both"/>
              <w:rPr>
                <w:strike/>
              </w:rPr>
            </w:pPr>
            <w:r w:rsidRPr="00723664">
              <w:rPr>
                <w:strike/>
              </w:rPr>
              <w:t xml:space="preserve">The acronym stands for: </w:t>
            </w:r>
            <w:r w:rsidRPr="00723664">
              <w:rPr>
                <w:i/>
                <w:iCs/>
                <w:strike/>
              </w:rPr>
              <w:t>Political, Economic, Social, Technological, Environmental and Legal</w:t>
            </w:r>
            <w:r w:rsidRPr="00723664">
              <w:rPr>
                <w:strike/>
              </w:rPr>
              <w:t xml:space="preserve">. The effectiveness of its analysis relies on a regular scanning so that trends for competitive advantage in the aforementioned acronym are spotted early </w:t>
            </w:r>
            <w:bookmarkStart w:id="8" w:name="_Hlk152826640"/>
            <w:r w:rsidRPr="00723664">
              <w:rPr>
                <w:strike/>
              </w:rPr>
              <w:t>(Battista, 2023).</w:t>
            </w:r>
            <w:bookmarkEnd w:id="8"/>
          </w:p>
        </w:tc>
      </w:tr>
      <w:tr w:rsidR="00723664" w:rsidRPr="00723664" w14:paraId="294889A5" w14:textId="77777777" w:rsidTr="008C1365">
        <w:tc>
          <w:tcPr>
            <w:tcW w:w="2263" w:type="dxa"/>
          </w:tcPr>
          <w:p w14:paraId="71A36C3C" w14:textId="77777777" w:rsidR="00723664" w:rsidRPr="00723664" w:rsidRDefault="00723664" w:rsidP="00723664">
            <w:pPr>
              <w:jc w:val="both"/>
              <w:rPr>
                <w:strike/>
              </w:rPr>
            </w:pPr>
            <w:r w:rsidRPr="00723664">
              <w:rPr>
                <w:strike/>
              </w:rPr>
              <w:t>Porter’s Five Forces</w:t>
            </w:r>
          </w:p>
        </w:tc>
        <w:tc>
          <w:tcPr>
            <w:tcW w:w="6753" w:type="dxa"/>
          </w:tcPr>
          <w:p w14:paraId="257C36A1" w14:textId="77777777" w:rsidR="00723664" w:rsidRPr="00723664" w:rsidRDefault="00723664" w:rsidP="00723664">
            <w:pPr>
              <w:jc w:val="both"/>
              <w:rPr>
                <w:strike/>
              </w:rPr>
            </w:pPr>
            <w:r w:rsidRPr="00723664">
              <w:rPr>
                <w:strike/>
              </w:rPr>
              <w:t xml:space="preserve">Designed to measure and analyse competitiveness in a specific industry, this tool involves five forces: </w:t>
            </w:r>
            <w:r w:rsidRPr="00723664">
              <w:rPr>
                <w:i/>
                <w:iCs/>
                <w:strike/>
              </w:rPr>
              <w:t>intensity of rivalry, threat of potential new entrants, bargaining power of buyers, bargaining power of suppliers, and threat of substitute goods and/or services</w:t>
            </w:r>
            <w:r w:rsidRPr="00723664">
              <w:rPr>
                <w:strike/>
              </w:rPr>
              <w:t xml:space="preserve">. Based on these, an organisation gains a good understanding of the industry and its operational risks, aiding the decision-making on what strategies will be used to deal with competition (Dobbs, 2014). </w:t>
            </w:r>
          </w:p>
        </w:tc>
      </w:tr>
      <w:tr w:rsidR="00723664" w:rsidRPr="00723664" w14:paraId="52686D7F" w14:textId="77777777" w:rsidTr="008C1365">
        <w:tc>
          <w:tcPr>
            <w:tcW w:w="2263" w:type="dxa"/>
          </w:tcPr>
          <w:p w14:paraId="5ED53989" w14:textId="77777777" w:rsidR="00723664" w:rsidRPr="00723664" w:rsidRDefault="00723664" w:rsidP="00723664">
            <w:pPr>
              <w:jc w:val="both"/>
              <w:rPr>
                <w:strike/>
              </w:rPr>
            </w:pPr>
            <w:r w:rsidRPr="00723664">
              <w:rPr>
                <w:strike/>
              </w:rPr>
              <w:t>SWOT</w:t>
            </w:r>
          </w:p>
        </w:tc>
        <w:tc>
          <w:tcPr>
            <w:tcW w:w="6753" w:type="dxa"/>
          </w:tcPr>
          <w:p w14:paraId="350D1842" w14:textId="75A6C1F2" w:rsidR="00723664" w:rsidRPr="00723664" w:rsidRDefault="00723664" w:rsidP="00723664">
            <w:pPr>
              <w:jc w:val="both"/>
            </w:pPr>
            <w:r w:rsidRPr="00723664">
              <w:rPr>
                <w:strike/>
              </w:rPr>
              <w:t xml:space="preserve">The acronym stands for: </w:t>
            </w:r>
            <w:r w:rsidRPr="00723664">
              <w:rPr>
                <w:i/>
                <w:iCs/>
                <w:strike/>
              </w:rPr>
              <w:t>Strengths &amp; Weaknesses</w:t>
            </w:r>
            <w:r w:rsidRPr="00723664">
              <w:rPr>
                <w:strike/>
              </w:rPr>
              <w:t xml:space="preserve"> (internal), </w:t>
            </w:r>
            <w:r w:rsidRPr="00723664">
              <w:rPr>
                <w:i/>
                <w:iCs/>
                <w:strike/>
              </w:rPr>
              <w:t>Opportunities &amp; Treats</w:t>
            </w:r>
            <w:r w:rsidRPr="00723664">
              <w:rPr>
                <w:strike/>
              </w:rPr>
              <w:t xml:space="preserve"> (external) and it is a framework whereby an organisation evaluates and understands both internal and external factors that,</w:t>
            </w:r>
            <w:r w:rsidR="007F0D82" w:rsidRPr="00E70F51">
              <w:rPr>
                <w:strike/>
              </w:rPr>
              <w:t xml:space="preserve"> </w:t>
            </w:r>
            <w:r w:rsidR="007F0D82" w:rsidRPr="00E70F51">
              <w:rPr>
                <w:strike/>
                <w:color w:val="000000" w:themeColor="text1"/>
              </w:rPr>
              <w:t xml:space="preserve">to </w:t>
            </w:r>
            <w:r w:rsidR="00AF5F51" w:rsidRPr="00E70F51">
              <w:rPr>
                <w:strike/>
                <w:color w:val="000000" w:themeColor="text1"/>
              </w:rPr>
              <w:t xml:space="preserve">identify opportunities and challenges to improve organisational performance </w:t>
            </w:r>
            <w:r w:rsidR="00AF5F51" w:rsidRPr="00723664">
              <w:rPr>
                <w:strike/>
                <w:color w:val="000000" w:themeColor="text1"/>
              </w:rPr>
              <w:t>(</w:t>
            </w:r>
            <w:proofErr w:type="spellStart"/>
            <w:r w:rsidR="00AF5F51" w:rsidRPr="00723664">
              <w:rPr>
                <w:strike/>
                <w:color w:val="000000" w:themeColor="text1"/>
              </w:rPr>
              <w:t>Peterdy</w:t>
            </w:r>
            <w:proofErr w:type="spellEnd"/>
            <w:r w:rsidR="00AF5F51" w:rsidRPr="00723664">
              <w:rPr>
                <w:strike/>
                <w:color w:val="000000" w:themeColor="text1"/>
              </w:rPr>
              <w:t>, 2023; Hann, 2023)</w:t>
            </w:r>
            <w:r w:rsidR="00AF5F51" w:rsidRPr="00E70F51">
              <w:rPr>
                <w:strike/>
                <w:color w:val="000000" w:themeColor="text1"/>
              </w:rPr>
              <w:t>.</w:t>
            </w:r>
            <w:r w:rsidR="00AF5F51" w:rsidRPr="00E70F51">
              <w:rPr>
                <w:color w:val="000000" w:themeColor="text1"/>
              </w:rPr>
              <w:t xml:space="preserve"> </w:t>
            </w:r>
            <w:r w:rsidRPr="00723664">
              <w:rPr>
                <w:strike/>
              </w:rPr>
              <w:t>when clearly identified could produce an opportunist advantage over existing competition, whilst recognising ways for business performance improvement. On the other hand, weaknesses and threats could impact on an organisation competitive advantage by exposing certain issues or disruption</w:t>
            </w:r>
            <w:r w:rsidRPr="00723664">
              <w:t xml:space="preserve"> </w:t>
            </w:r>
            <w:r w:rsidRPr="00723664">
              <w:rPr>
                <w:strike/>
              </w:rPr>
              <w:t>(</w:t>
            </w:r>
            <w:proofErr w:type="spellStart"/>
            <w:r w:rsidRPr="00723664">
              <w:rPr>
                <w:strike/>
              </w:rPr>
              <w:t>Peterdy</w:t>
            </w:r>
            <w:proofErr w:type="spellEnd"/>
            <w:r w:rsidRPr="00723664">
              <w:rPr>
                <w:strike/>
              </w:rPr>
              <w:t>, 2023; Hann, 2023). Nevertheless, a useful tool for identifying opportunities and challenges.</w:t>
            </w:r>
            <w:r w:rsidRPr="00723664">
              <w:t xml:space="preserve"> </w:t>
            </w:r>
          </w:p>
        </w:tc>
      </w:tr>
      <w:tr w:rsidR="00723664" w:rsidRPr="00723664" w14:paraId="076F0A2E" w14:textId="77777777" w:rsidTr="008C1365">
        <w:tc>
          <w:tcPr>
            <w:tcW w:w="2263" w:type="dxa"/>
          </w:tcPr>
          <w:p w14:paraId="0B3D92F5" w14:textId="77777777" w:rsidR="00723664" w:rsidRPr="00723664" w:rsidRDefault="00723664" w:rsidP="00723664">
            <w:pPr>
              <w:jc w:val="both"/>
            </w:pPr>
            <w:r w:rsidRPr="00723664">
              <w:t>Ansoff Matrix</w:t>
            </w:r>
          </w:p>
        </w:tc>
        <w:tc>
          <w:tcPr>
            <w:tcW w:w="6753" w:type="dxa"/>
          </w:tcPr>
          <w:p w14:paraId="43181678" w14:textId="184DFAF6" w:rsidR="000463A6" w:rsidRPr="000463A6" w:rsidRDefault="00723664" w:rsidP="00723664">
            <w:pPr>
              <w:jc w:val="both"/>
              <w:rPr>
                <w:i/>
                <w:iCs/>
                <w:color w:val="000000" w:themeColor="text1"/>
              </w:rPr>
            </w:pPr>
            <w:r w:rsidRPr="00723664">
              <w:t xml:space="preserve">Used in combination with any of the above tools, </w:t>
            </w:r>
            <w:r w:rsidRPr="00723664">
              <w:rPr>
                <w:strike/>
              </w:rPr>
              <w:t>this matrix provides a strong 2x2 framework to forward planning and assessing the development of business initiatives.</w:t>
            </w:r>
            <w:r w:rsidR="000463A6">
              <w:rPr>
                <w:strike/>
              </w:rPr>
              <w:t xml:space="preserve"> </w:t>
            </w:r>
            <w:r w:rsidR="000463A6" w:rsidRPr="000463A6">
              <w:rPr>
                <w:color w:val="FF0000"/>
              </w:rPr>
              <w:t xml:space="preserve">known as the Product/Market Expansion Grid, </w:t>
            </w:r>
            <w:r w:rsidR="000463A6">
              <w:rPr>
                <w:color w:val="FF0000"/>
              </w:rPr>
              <w:t xml:space="preserve">Ansoff Matrix </w:t>
            </w:r>
            <w:r w:rsidR="000463A6" w:rsidRPr="000463A6">
              <w:rPr>
                <w:color w:val="FF0000"/>
              </w:rPr>
              <w:t xml:space="preserve">is a strategic analysis tool used to evaluate growth opportunities for organisations. It helps assess and compare the risks and potential returns associated with </w:t>
            </w:r>
            <w:r w:rsidR="00C805A6">
              <w:rPr>
                <w:color w:val="FF0000"/>
              </w:rPr>
              <w:t xml:space="preserve">these </w:t>
            </w:r>
            <w:r w:rsidR="000463A6">
              <w:rPr>
                <w:color w:val="FF0000"/>
              </w:rPr>
              <w:t>four</w:t>
            </w:r>
            <w:r w:rsidR="00C805A6">
              <w:rPr>
                <w:color w:val="FF0000"/>
              </w:rPr>
              <w:t xml:space="preserve"> </w:t>
            </w:r>
            <w:r w:rsidR="000463A6" w:rsidRPr="000463A6">
              <w:rPr>
                <w:color w:val="FF0000"/>
              </w:rPr>
              <w:t>strate</w:t>
            </w:r>
            <w:r w:rsidR="00C805A6">
              <w:rPr>
                <w:color w:val="FF0000"/>
              </w:rPr>
              <w:t>gies</w:t>
            </w:r>
            <w:r w:rsidR="000463A6">
              <w:rPr>
                <w:color w:val="FF0000"/>
              </w:rPr>
              <w:t xml:space="preserve">: </w:t>
            </w:r>
            <w:r w:rsidR="000463A6" w:rsidRPr="00723664">
              <w:rPr>
                <w:i/>
                <w:iCs/>
                <w:strike/>
                <w:color w:val="000000" w:themeColor="text1"/>
              </w:rPr>
              <w:t>It is also carefully considering the associated levels of risk for the four growth strategies:</w:t>
            </w:r>
            <w:r w:rsidR="000463A6" w:rsidRPr="000463A6">
              <w:rPr>
                <w:i/>
                <w:iCs/>
                <w:color w:val="000000" w:themeColor="text1"/>
              </w:rPr>
              <w:t xml:space="preserve"> </w:t>
            </w:r>
            <w:r w:rsidR="000463A6" w:rsidRPr="00723664">
              <w:rPr>
                <w:b/>
                <w:bCs/>
                <w:color w:val="000000" w:themeColor="text1"/>
              </w:rPr>
              <w:t xml:space="preserve">market penetration, market development, product development and diversification </w:t>
            </w:r>
            <w:r w:rsidR="000463A6" w:rsidRPr="00723664">
              <w:rPr>
                <w:color w:val="000000" w:themeColor="text1"/>
              </w:rPr>
              <w:t>(</w:t>
            </w:r>
            <w:proofErr w:type="spellStart"/>
            <w:r w:rsidR="000463A6" w:rsidRPr="00723664">
              <w:rPr>
                <w:color w:val="000000" w:themeColor="text1"/>
              </w:rPr>
              <w:t>Peterdy</w:t>
            </w:r>
            <w:proofErr w:type="spellEnd"/>
            <w:r w:rsidR="000463A6" w:rsidRPr="00723664">
              <w:rPr>
                <w:color w:val="000000" w:themeColor="text1"/>
              </w:rPr>
              <w:t>, 2023</w:t>
            </w:r>
            <w:r w:rsidR="007A5EBE">
              <w:rPr>
                <w:color w:val="000000" w:themeColor="text1"/>
              </w:rPr>
              <w:t>)</w:t>
            </w:r>
            <w:r w:rsidR="00666817">
              <w:rPr>
                <w:color w:val="000000" w:themeColor="text1"/>
              </w:rPr>
              <w:t>.</w:t>
            </w:r>
          </w:p>
          <w:p w14:paraId="67F6A7ED" w14:textId="23639526" w:rsidR="000463A6" w:rsidRDefault="00C805A6" w:rsidP="00723664">
            <w:pPr>
              <w:jc w:val="both"/>
              <w:rPr>
                <w:color w:val="FF0000"/>
              </w:rPr>
            </w:pPr>
            <w:r w:rsidRPr="00B44488">
              <w:rPr>
                <w:color w:val="FF0000"/>
              </w:rPr>
              <w:t xml:space="preserve">In practice, Ansoff Matrix helps identify opportunities for market penetration by increasing sales in existing markets, or market development by entering new markets with existing products. Additionally, the matrix suggests exploring product development (creating new products for existing markets) or diversification </w:t>
            </w:r>
            <w:r w:rsidRPr="00B44488">
              <w:rPr>
                <w:color w:val="FF0000"/>
              </w:rPr>
              <w:lastRenderedPageBreak/>
              <w:t xml:space="preserve">(entering new markets with new products). Furthermore, the matrix </w:t>
            </w:r>
            <w:r w:rsidR="00CD65C4">
              <w:rPr>
                <w:color w:val="FF0000"/>
              </w:rPr>
              <w:t>could</w:t>
            </w:r>
            <w:r w:rsidRPr="00B44488">
              <w:rPr>
                <w:color w:val="FF0000"/>
              </w:rPr>
              <w:t xml:space="preserve"> </w:t>
            </w:r>
            <w:r w:rsidR="00B44488">
              <w:rPr>
                <w:color w:val="FF0000"/>
              </w:rPr>
              <w:t xml:space="preserve">evaluate </w:t>
            </w:r>
            <w:r w:rsidRPr="00B44488">
              <w:rPr>
                <w:color w:val="FF0000"/>
              </w:rPr>
              <w:t>its competitive landscape to inform decisions about defending organisation’s position through market penetration</w:t>
            </w:r>
            <w:r w:rsidR="00B44488">
              <w:rPr>
                <w:color w:val="FF0000"/>
              </w:rPr>
              <w:t xml:space="preserve"> to expand into new markets, or developing innovative products. Lastly, the matrix clearly distinguishes between strategies with varying levels of risk and potential return whereby, market penetration and development involve lower risk, while diversification often entails higher risk but potentially higher rewards</w:t>
            </w:r>
            <w:r w:rsidR="00CB79C2">
              <w:rPr>
                <w:color w:val="FF0000"/>
              </w:rPr>
              <w:t xml:space="preserve"> (Bullock, Jennings and Timbrell, 2019)</w:t>
            </w:r>
            <w:r w:rsidR="00B44488">
              <w:rPr>
                <w:color w:val="FF0000"/>
              </w:rPr>
              <w:t>.</w:t>
            </w:r>
          </w:p>
          <w:p w14:paraId="33B2992D" w14:textId="02F96CDD" w:rsidR="00CB79C2" w:rsidRPr="00B44488" w:rsidRDefault="00CB79C2" w:rsidP="00723664">
            <w:pPr>
              <w:jc w:val="both"/>
              <w:rPr>
                <w:color w:val="FF0000"/>
              </w:rPr>
            </w:pPr>
            <w:r>
              <w:rPr>
                <w:color w:val="FF0000"/>
              </w:rPr>
              <w:t xml:space="preserve">Like any other tool, the matrix has strengths and limitations. It is simple, straightforward to </w:t>
            </w:r>
            <w:r w:rsidR="009738C7">
              <w:rPr>
                <w:color w:val="FF0000"/>
              </w:rPr>
              <w:t>understand</w:t>
            </w:r>
            <w:r>
              <w:rPr>
                <w:color w:val="FF0000"/>
              </w:rPr>
              <w:t xml:space="preserve"> framework</w:t>
            </w:r>
            <w:r w:rsidR="009738C7">
              <w:rPr>
                <w:color w:val="FF0000"/>
              </w:rPr>
              <w:t xml:space="preserve"> with a visual representation that shows potential growth options and helps differentiate between risky and less risky strategies. On the limitations side, it is oversimplified neglecting complex environmental factors and internal capabilities, with a static view that does not capture dynamic market changes and competitive responses and it is also limited in scope as its focus is primarily on incremental growth and not radical innovation (Zugay and Zakria, 2023</w:t>
            </w:r>
            <w:r w:rsidR="00666817">
              <w:rPr>
                <w:color w:val="FF0000"/>
              </w:rPr>
              <w:t>; LinkedIn, 2023a</w:t>
            </w:r>
            <w:r w:rsidR="009738C7">
              <w:rPr>
                <w:color w:val="FF0000"/>
              </w:rPr>
              <w:t>).</w:t>
            </w:r>
          </w:p>
          <w:p w14:paraId="543B711B" w14:textId="5AF44192" w:rsidR="00723664" w:rsidRPr="00723664" w:rsidRDefault="00723664" w:rsidP="00723664">
            <w:pPr>
              <w:jc w:val="both"/>
              <w:rPr>
                <w:strike/>
              </w:rPr>
            </w:pPr>
            <w:r w:rsidRPr="00723664">
              <w:rPr>
                <w:strike/>
              </w:rPr>
              <w:t xml:space="preserve">Although this matrix was developed some 50 years ago, it is still widely used nowadays as a </w:t>
            </w:r>
            <w:r w:rsidR="009738C7" w:rsidRPr="00666817">
              <w:rPr>
                <w:strike/>
              </w:rPr>
              <w:t xml:space="preserve">valuable </w:t>
            </w:r>
            <w:r w:rsidRPr="00723664">
              <w:rPr>
                <w:strike/>
              </w:rPr>
              <w:t>decision-making tool, thus it is to not be used in isolation due to its inflexibility to accommodate the external factors in its matrix; also, it tends to undermine the intricacy and ambiguity of the today’s world (LinkedIn, 2023a).</w:t>
            </w:r>
          </w:p>
        </w:tc>
      </w:tr>
    </w:tbl>
    <w:p w14:paraId="28EB8E2B" w14:textId="1F13E980" w:rsidR="00C40243" w:rsidRDefault="00C40243" w:rsidP="0046704B">
      <w:pPr>
        <w:jc w:val="both"/>
      </w:pPr>
    </w:p>
    <w:p w14:paraId="0FE4A82E" w14:textId="5F8EE8EE" w:rsidR="00482CCC" w:rsidRPr="00666817" w:rsidRDefault="00482CCC" w:rsidP="0046704B">
      <w:pPr>
        <w:jc w:val="both"/>
        <w:rPr>
          <w:strike/>
        </w:rPr>
      </w:pPr>
      <w:r w:rsidRPr="00666817">
        <w:rPr>
          <w:strike/>
        </w:rPr>
        <w:t xml:space="preserve">To decide on what analysis methods to use for decision-making, practitioners need to identify what type of data they want to gather: quantitative (measurable / numbers) or qualitative (cannot be measured, open to interpretation), thus it could be a combination of both. Therefore, making use of the most appropriate one is paramount (Corbin and Strauss, 2007). </w:t>
      </w:r>
    </w:p>
    <w:p w14:paraId="29197DF0" w14:textId="77777777" w:rsidR="005A1EC8" w:rsidRDefault="005A1EC8" w:rsidP="0046704B">
      <w:pPr>
        <w:jc w:val="both"/>
      </w:pPr>
    </w:p>
    <w:tbl>
      <w:tblPr>
        <w:tblStyle w:val="TableGrid"/>
        <w:tblW w:w="0" w:type="auto"/>
        <w:tblLook w:val="04A0" w:firstRow="1" w:lastRow="0" w:firstColumn="1" w:lastColumn="0" w:noHBand="0" w:noVBand="1"/>
      </w:tblPr>
      <w:tblGrid>
        <w:gridCol w:w="1838"/>
        <w:gridCol w:w="7178"/>
      </w:tblGrid>
      <w:tr w:rsidR="007F0D82" w:rsidRPr="007F0D82" w14:paraId="6674B084" w14:textId="77777777" w:rsidTr="008C1365">
        <w:tc>
          <w:tcPr>
            <w:tcW w:w="9016" w:type="dxa"/>
            <w:gridSpan w:val="2"/>
          </w:tcPr>
          <w:p w14:paraId="7F973261" w14:textId="4C6B6E0E" w:rsidR="007F0D82" w:rsidRPr="007F0D82" w:rsidRDefault="007F0D82" w:rsidP="007F0D82">
            <w:pPr>
              <w:jc w:val="both"/>
              <w:rPr>
                <w:noProof/>
              </w:rPr>
            </w:pPr>
            <w:bookmarkStart w:id="9" w:name="_Hlk153163375"/>
            <w:r w:rsidRPr="007F0D82">
              <w:rPr>
                <w:noProof/>
              </w:rPr>
              <w:t>Analysis Methods</w:t>
            </w:r>
            <w:r w:rsidR="003F2B8F">
              <w:rPr>
                <w:noProof/>
              </w:rPr>
              <w:t xml:space="preserve"> </w:t>
            </w:r>
            <w:r w:rsidR="003F2B8F" w:rsidRPr="003F2B8F">
              <w:rPr>
                <w:noProof/>
                <w:color w:val="FF0000"/>
              </w:rPr>
              <w:t>could be in the form of interviews, observations, surveys, etc., thus</w:t>
            </w:r>
            <w:r w:rsidR="003F2B8F">
              <w:rPr>
                <w:noProof/>
                <w:color w:val="FF0000"/>
              </w:rPr>
              <w:t xml:space="preserve"> the method for evaluation </w:t>
            </w:r>
            <w:r w:rsidR="006C07C6">
              <w:rPr>
                <w:noProof/>
                <w:color w:val="FF0000"/>
              </w:rPr>
              <w:t xml:space="preserve">for this task </w:t>
            </w:r>
            <w:r w:rsidR="003F2B8F">
              <w:rPr>
                <w:noProof/>
                <w:color w:val="FF0000"/>
              </w:rPr>
              <w:t>is</w:t>
            </w:r>
            <w:r w:rsidR="003F2B8F" w:rsidRPr="003F2B8F">
              <w:rPr>
                <w:noProof/>
                <w:color w:val="FF0000"/>
              </w:rPr>
              <w:t xml:space="preserve"> Job Analysis Questionnaire</w:t>
            </w:r>
            <w:r w:rsidR="003F2B8F">
              <w:rPr>
                <w:noProof/>
                <w:color w:val="FF0000"/>
              </w:rPr>
              <w:t>.</w:t>
            </w:r>
          </w:p>
        </w:tc>
      </w:tr>
      <w:tr w:rsidR="007F0D82" w:rsidRPr="007F0D82" w14:paraId="3427CCE6" w14:textId="77777777" w:rsidTr="008C1365">
        <w:tc>
          <w:tcPr>
            <w:tcW w:w="1838" w:type="dxa"/>
          </w:tcPr>
          <w:p w14:paraId="25A4ACC5" w14:textId="77777777" w:rsidR="007F0D82" w:rsidRPr="007F0D82" w:rsidRDefault="007F0D82" w:rsidP="007F0D82">
            <w:pPr>
              <w:jc w:val="both"/>
              <w:rPr>
                <w:strike/>
                <w:noProof/>
              </w:rPr>
            </w:pPr>
            <w:r w:rsidRPr="007F0D82">
              <w:rPr>
                <w:strike/>
                <w:noProof/>
              </w:rPr>
              <w:t>Interviews</w:t>
            </w:r>
          </w:p>
        </w:tc>
        <w:tc>
          <w:tcPr>
            <w:tcW w:w="7178" w:type="dxa"/>
          </w:tcPr>
          <w:p w14:paraId="3984BBDD" w14:textId="77777777" w:rsidR="007F0D82" w:rsidRPr="007F0D82" w:rsidRDefault="007F0D82" w:rsidP="007F0D82">
            <w:pPr>
              <w:jc w:val="both"/>
              <w:rPr>
                <w:strike/>
                <w:noProof/>
              </w:rPr>
            </w:pPr>
            <w:r w:rsidRPr="007F0D82">
              <w:rPr>
                <w:strike/>
                <w:noProof/>
              </w:rPr>
              <w:t>Perhaps the most popular method used to gather qualitative primary data, it can be used as a stand-alone method, thus to achieve better outcomes, it would be advantageous to be complementarily used with another method, e.g., questionnaires. As a main aim, practitioners are using interviews to gain understanding into how people feel or think about a particular idea. However, they can be prone to bias, time consuming and costly (Boyce and Neale, 2006).</w:t>
            </w:r>
          </w:p>
        </w:tc>
      </w:tr>
      <w:tr w:rsidR="007F0D82" w:rsidRPr="007F0D82" w14:paraId="04901856" w14:textId="77777777" w:rsidTr="008C1365">
        <w:tc>
          <w:tcPr>
            <w:tcW w:w="1838" w:type="dxa"/>
          </w:tcPr>
          <w:p w14:paraId="75EC758F" w14:textId="77777777" w:rsidR="007F0D82" w:rsidRPr="007F0D82" w:rsidRDefault="007F0D82" w:rsidP="007F0D82">
            <w:pPr>
              <w:jc w:val="both"/>
              <w:rPr>
                <w:strike/>
                <w:noProof/>
              </w:rPr>
            </w:pPr>
            <w:r w:rsidRPr="007F0D82">
              <w:rPr>
                <w:strike/>
                <w:noProof/>
              </w:rPr>
              <w:t>Observations</w:t>
            </w:r>
          </w:p>
        </w:tc>
        <w:tc>
          <w:tcPr>
            <w:tcW w:w="7178" w:type="dxa"/>
          </w:tcPr>
          <w:p w14:paraId="0B66DF45" w14:textId="77777777" w:rsidR="007F0D82" w:rsidRPr="007F0D82" w:rsidRDefault="007F0D82" w:rsidP="007F0D82">
            <w:pPr>
              <w:jc w:val="both"/>
              <w:rPr>
                <w:strike/>
                <w:noProof/>
              </w:rPr>
            </w:pPr>
            <w:r w:rsidRPr="007F0D82">
              <w:rPr>
                <w:strike/>
                <w:noProof/>
              </w:rPr>
              <w:t xml:space="preserve">One of the simplest analysis methods, and although heavily reliant on the skills of the observer, data obtained through this method is more reliable, whereas the data obtained through either of the above indirect methods, is dependent on the responses provided by the participants (Pantton, 2002).  </w:t>
            </w:r>
          </w:p>
        </w:tc>
      </w:tr>
      <w:tr w:rsidR="007F0D82" w:rsidRPr="007F0D82" w14:paraId="00103484" w14:textId="77777777" w:rsidTr="008C1365">
        <w:tc>
          <w:tcPr>
            <w:tcW w:w="1838" w:type="dxa"/>
          </w:tcPr>
          <w:p w14:paraId="27024C8C" w14:textId="77777777" w:rsidR="007F0D82" w:rsidRPr="007F0D82" w:rsidRDefault="007F0D82" w:rsidP="007F0D82">
            <w:pPr>
              <w:jc w:val="both"/>
              <w:rPr>
                <w:strike/>
                <w:noProof/>
              </w:rPr>
            </w:pPr>
            <w:r w:rsidRPr="007F0D82">
              <w:rPr>
                <w:strike/>
                <w:noProof/>
              </w:rPr>
              <w:t>Surveys</w:t>
            </w:r>
          </w:p>
        </w:tc>
        <w:tc>
          <w:tcPr>
            <w:tcW w:w="7178" w:type="dxa"/>
          </w:tcPr>
          <w:p w14:paraId="1E3F5E45" w14:textId="77777777" w:rsidR="007F0D82" w:rsidRPr="007F0D82" w:rsidRDefault="007F0D82" w:rsidP="007F0D82">
            <w:pPr>
              <w:jc w:val="both"/>
              <w:rPr>
                <w:strike/>
                <w:noProof/>
              </w:rPr>
            </w:pPr>
            <w:r w:rsidRPr="007F0D82">
              <w:rPr>
                <w:strike/>
                <w:noProof/>
              </w:rPr>
              <w:t xml:space="preserve">Data generated through the use of this method could be both quantitative and qualitative, obtained by employing a mixture of open-ended and closed questions where the participants are purposefully selected to avoid biases and risks (Creswell &amp; Plano Clark, 2018).  </w:t>
            </w:r>
          </w:p>
        </w:tc>
      </w:tr>
      <w:tr w:rsidR="007F0D82" w:rsidRPr="007F0D82" w14:paraId="1845B649" w14:textId="77777777" w:rsidTr="008C1365">
        <w:tc>
          <w:tcPr>
            <w:tcW w:w="1838" w:type="dxa"/>
          </w:tcPr>
          <w:p w14:paraId="08BB6F51" w14:textId="77777777" w:rsidR="007F0D82" w:rsidRPr="007F0D82" w:rsidRDefault="007F0D82" w:rsidP="007F0D82">
            <w:pPr>
              <w:jc w:val="both"/>
              <w:rPr>
                <w:noProof/>
              </w:rPr>
            </w:pPr>
            <w:r w:rsidRPr="007F0D82">
              <w:rPr>
                <w:noProof/>
              </w:rPr>
              <w:lastRenderedPageBreak/>
              <w:t xml:space="preserve">Job Analysis Questionnaires </w:t>
            </w:r>
          </w:p>
        </w:tc>
        <w:tc>
          <w:tcPr>
            <w:tcW w:w="7178" w:type="dxa"/>
          </w:tcPr>
          <w:p w14:paraId="19AA3538" w14:textId="77777777" w:rsidR="007F0D82" w:rsidRPr="007F0D82" w:rsidRDefault="007F0D82" w:rsidP="007F0D82">
            <w:pPr>
              <w:jc w:val="both"/>
              <w:rPr>
                <w:noProof/>
              </w:rPr>
            </w:pPr>
            <w:r w:rsidRPr="007F0D82">
              <w:rPr>
                <w:noProof/>
              </w:rPr>
              <w:t xml:space="preserve">This method is used to identify all aspects of an effective job description and its specifics, i.e., duties, responsibilities, skills and qualifications required for a particular job role (LinkedIn, 2023b).  </w:t>
            </w:r>
          </w:p>
          <w:p w14:paraId="3DB9E164" w14:textId="2E2ABD9A" w:rsidR="006C07C6" w:rsidRPr="00035E7C" w:rsidRDefault="007F0D82" w:rsidP="007F0D82">
            <w:pPr>
              <w:jc w:val="both"/>
              <w:rPr>
                <w:noProof/>
                <w:color w:val="FF0000"/>
              </w:rPr>
            </w:pPr>
            <w:r w:rsidRPr="007F0D82">
              <w:rPr>
                <w:strike/>
                <w:noProof/>
              </w:rPr>
              <w:t>For this method, two important things need to be considered: Job design and Questionnaires.</w:t>
            </w:r>
            <w:r w:rsidRPr="007F0D82">
              <w:rPr>
                <w:noProof/>
              </w:rPr>
              <w:t xml:space="preserve"> Simply put, it is essential that through the job design process, practitioners clearly define the roles and responsibilities for a particular job so that value is created and performance is maximised, which in turn, will be beneficial to both employer and employee (Bosley, 2023). </w:t>
            </w:r>
            <w:r w:rsidR="006C07C6" w:rsidRPr="003C3ABF">
              <w:rPr>
                <w:noProof/>
                <w:color w:val="FF0000"/>
              </w:rPr>
              <w:t>Recognising and diagnosing challenge and opportunities would follow the process of identifying the skill gaps</w:t>
            </w:r>
            <w:r w:rsidR="003C3ABF">
              <w:rPr>
                <w:noProof/>
                <w:color w:val="FF0000"/>
              </w:rPr>
              <w:t xml:space="preserve"> and </w:t>
            </w:r>
            <w:r w:rsidR="006C07C6" w:rsidRPr="003C3ABF">
              <w:rPr>
                <w:noProof/>
                <w:color w:val="FF0000"/>
              </w:rPr>
              <w:t xml:space="preserve">performance issues whilst dealing with employee dissatisfaction and uncovering potential risks. </w:t>
            </w:r>
            <w:r w:rsidR="003C3ABF">
              <w:rPr>
                <w:noProof/>
                <w:color w:val="FF0000"/>
              </w:rPr>
              <w:t>Thus, exploring new opportunities regarding skill evolution and alignment with future organisational goals, makes this method a valuable tool.  In contrast, it does have limititations</w:t>
            </w:r>
            <w:r w:rsidR="003250F6">
              <w:rPr>
                <w:noProof/>
                <w:color w:val="FF0000"/>
              </w:rPr>
              <w:t>,</w:t>
            </w:r>
            <w:r w:rsidR="003C3ABF">
              <w:rPr>
                <w:noProof/>
                <w:color w:val="FF0000"/>
              </w:rPr>
              <w:t xml:space="preserve"> and co</w:t>
            </w:r>
            <w:r w:rsidR="00035E7C">
              <w:rPr>
                <w:noProof/>
                <w:color w:val="FF0000"/>
              </w:rPr>
              <w:t>n</w:t>
            </w:r>
            <w:r w:rsidR="003C3ABF">
              <w:rPr>
                <w:noProof/>
                <w:color w:val="FF0000"/>
              </w:rPr>
              <w:t>siderations should be given to the accuracy of responses as data may be prone</w:t>
            </w:r>
            <w:r w:rsidR="00035E7C">
              <w:rPr>
                <w:noProof/>
                <w:color w:val="FF0000"/>
              </w:rPr>
              <w:t>d</w:t>
            </w:r>
            <w:r w:rsidR="003C3ABF">
              <w:rPr>
                <w:noProof/>
                <w:color w:val="FF0000"/>
              </w:rPr>
              <w:t xml:space="preserve"> to bias and misinterpretation, also could be limited in scope by not capturing the complexity of a role or fully address interpersonal dynamics. Therefore</w:t>
            </w:r>
            <w:r w:rsidR="00035E7C">
              <w:rPr>
                <w:noProof/>
                <w:color w:val="FF0000"/>
              </w:rPr>
              <w:t>, careful design and analysis are crucial to avoid misleading conclusions.</w:t>
            </w:r>
          </w:p>
          <w:p w14:paraId="31C86EB8" w14:textId="4CA7000D" w:rsidR="007F0D82" w:rsidRPr="007F0D82" w:rsidRDefault="007F0D82" w:rsidP="007F0D82">
            <w:pPr>
              <w:jc w:val="both"/>
              <w:rPr>
                <w:strike/>
                <w:noProof/>
              </w:rPr>
            </w:pPr>
            <w:r w:rsidRPr="007F0D82">
              <w:rPr>
                <w:strike/>
                <w:noProof/>
              </w:rPr>
              <w:t>Questionnaires are best suited when mainly conducting quantitative research to collect a large number of responses that can be counted, compared and measured, a logical option for situations when the information is desired for a specific purpose (de Vaus, 2002). Questionnaires could also be used to qualitatively evaluate frequency of incidence, theme or prediction (Wisker, 2008).</w:t>
            </w:r>
          </w:p>
          <w:p w14:paraId="714C542A" w14:textId="77777777" w:rsidR="007F0D82" w:rsidRPr="007F0D82" w:rsidRDefault="007F0D82" w:rsidP="007F0D82">
            <w:pPr>
              <w:jc w:val="both"/>
              <w:rPr>
                <w:noProof/>
              </w:rPr>
            </w:pPr>
            <w:r w:rsidRPr="007F0D82">
              <w:rPr>
                <w:noProof/>
              </w:rPr>
              <w:t xml:space="preserve">This method should be informed by the evidence before action that can be found in ‘human, motivational, growth, organisational and external factors’ (Bosley, 2023). </w:t>
            </w:r>
          </w:p>
        </w:tc>
      </w:tr>
      <w:bookmarkEnd w:id="9"/>
    </w:tbl>
    <w:p w14:paraId="15B29638" w14:textId="27799D60" w:rsidR="00F623B5" w:rsidRDefault="00F623B5" w:rsidP="00F40BF2">
      <w:pPr>
        <w:jc w:val="both"/>
      </w:pPr>
    </w:p>
    <w:p w14:paraId="6C9ECBA4" w14:textId="77777777" w:rsidR="00EF2333" w:rsidRDefault="00EF2333" w:rsidP="009F46B6"/>
    <w:p w14:paraId="16B5D702" w14:textId="1EE5AB8F" w:rsidR="00F623B5" w:rsidRDefault="00F623B5" w:rsidP="009F46B6">
      <w:r>
        <w:t>Regardless of what tool</w:t>
      </w:r>
      <w:r w:rsidR="00482CCC">
        <w:t>s</w:t>
      </w:r>
      <w:r>
        <w:t xml:space="preserve"> and method</w:t>
      </w:r>
      <w:r w:rsidR="00482CCC">
        <w:t>s</w:t>
      </w:r>
      <w:r>
        <w:t xml:space="preserve"> would be used for analysis, it imperative to preserve the reliability of the findings in terms of </w:t>
      </w:r>
      <w:r w:rsidR="00482CCC">
        <w:t>evenness</w:t>
      </w:r>
      <w:r>
        <w:t xml:space="preserve">, </w:t>
      </w:r>
      <w:r w:rsidR="00482CCC">
        <w:t>trustworthiness</w:t>
      </w:r>
      <w:r>
        <w:t xml:space="preserve"> and replicability </w:t>
      </w:r>
      <w:r w:rsidRPr="00F623B5">
        <w:t>(</w:t>
      </w:r>
      <w:r w:rsidRPr="00666817">
        <w:rPr>
          <w:strike/>
        </w:rPr>
        <w:t>Nunan, 1999</w:t>
      </w:r>
      <w:r w:rsidR="00666817">
        <w:t xml:space="preserve"> Sekaran, 2019</w:t>
      </w:r>
      <w:r>
        <w:t>).</w:t>
      </w:r>
      <w:r w:rsidR="00482CCC">
        <w:t xml:space="preserve"> </w:t>
      </w:r>
    </w:p>
    <w:p w14:paraId="1B8278E8" w14:textId="77777777" w:rsidR="006E7AF5" w:rsidRPr="006E7AF5" w:rsidRDefault="006E7AF5" w:rsidP="006E7AF5"/>
    <w:p w14:paraId="24B49CE1" w14:textId="30296FA8" w:rsidR="00FF0541" w:rsidRDefault="00FF0541" w:rsidP="00FF0541">
      <w:pPr>
        <w:pStyle w:val="Heading2"/>
      </w:pPr>
      <w:r>
        <w:t>AC1.3 Principles of Critical Thinking</w:t>
      </w:r>
    </w:p>
    <w:p w14:paraId="7D4574BC" w14:textId="77777777" w:rsidR="00482CCC" w:rsidRPr="00482CCC" w:rsidRDefault="00482CCC" w:rsidP="00482CCC"/>
    <w:p w14:paraId="5AEAF6F7" w14:textId="50423F8B" w:rsidR="005E1117" w:rsidRPr="00186C5B" w:rsidRDefault="00D3329D" w:rsidP="00186C5B">
      <w:pPr>
        <w:jc w:val="both"/>
      </w:pPr>
      <w:r>
        <w:t>As a key skill for practitioners, C</w:t>
      </w:r>
      <w:r w:rsidR="007A2C09">
        <w:t xml:space="preserve">ritical </w:t>
      </w:r>
      <w:r>
        <w:t>T</w:t>
      </w:r>
      <w:r w:rsidR="007A2C09">
        <w:t>hinking (CT)</w:t>
      </w:r>
      <w:r>
        <w:t xml:space="preserve"> requires to question</w:t>
      </w:r>
      <w:r w:rsidR="00083446">
        <w:t xml:space="preserve"> and check validity of</w:t>
      </w:r>
      <w:r>
        <w:t xml:space="preserve"> everything through sound thinking and objective reflection when it comes to other people’s ideas, </w:t>
      </w:r>
      <w:r w:rsidR="00083446">
        <w:t xml:space="preserve">as this will </w:t>
      </w:r>
      <w:r>
        <w:t>help</w:t>
      </w:r>
      <w:r w:rsidR="00083446">
        <w:t xml:space="preserve"> them</w:t>
      </w:r>
      <w:r>
        <w:t xml:space="preserve"> </w:t>
      </w:r>
      <w:r w:rsidR="00083446">
        <w:t xml:space="preserve">replace </w:t>
      </w:r>
      <w:r>
        <w:t>confusion</w:t>
      </w:r>
      <w:r w:rsidR="00083446">
        <w:t xml:space="preserve"> with clarity, deal with complex issues and improve decision-making process</w:t>
      </w:r>
      <w:r w:rsidR="007A2C09">
        <w:t>es</w:t>
      </w:r>
      <w:r w:rsidR="00083446">
        <w:t xml:space="preserve"> (</w:t>
      </w:r>
      <w:r w:rsidR="005E1117">
        <w:t>Howlett and Coburn</w:t>
      </w:r>
      <w:r w:rsidR="00083446">
        <w:t>, 2019).</w:t>
      </w:r>
      <w:r w:rsidR="007A2C09">
        <w:t xml:space="preserve"> </w:t>
      </w:r>
    </w:p>
    <w:p w14:paraId="11A44974" w14:textId="09507B18" w:rsidR="00535CD9" w:rsidRDefault="00744162" w:rsidP="00BB5153">
      <w:pPr>
        <w:jc w:val="both"/>
      </w:pPr>
      <w:r>
        <w:t xml:space="preserve">Glaser (1941) </w:t>
      </w:r>
      <w:r w:rsidR="00535CD9">
        <w:t>stated</w:t>
      </w:r>
      <w:r>
        <w:t xml:space="preserve"> that CT </w:t>
      </w:r>
      <w:r w:rsidR="00B55138">
        <w:t xml:space="preserve">calls for </w:t>
      </w:r>
      <w:r w:rsidR="00BC39AB">
        <w:t>‘</w:t>
      </w:r>
      <w:r w:rsidR="00B55138" w:rsidRPr="00B55138">
        <w:rPr>
          <w:i/>
          <w:iCs/>
        </w:rPr>
        <w:t>persistence</w:t>
      </w:r>
      <w:r w:rsidR="00BC39AB">
        <w:rPr>
          <w:i/>
          <w:iCs/>
        </w:rPr>
        <w:t>’</w:t>
      </w:r>
      <w:r w:rsidR="00B55138">
        <w:t xml:space="preserve"> to consider (and reconsider)</w:t>
      </w:r>
      <w:r w:rsidR="00535CD9">
        <w:t xml:space="preserve"> a problem</w:t>
      </w:r>
      <w:r w:rsidR="00B55138">
        <w:t xml:space="preserve"> carefully, evaluate the </w:t>
      </w:r>
      <w:r w:rsidR="00BC39AB">
        <w:t>‘</w:t>
      </w:r>
      <w:r w:rsidR="00B55138" w:rsidRPr="00B55138">
        <w:rPr>
          <w:i/>
          <w:iCs/>
        </w:rPr>
        <w:t>evidence</w:t>
      </w:r>
      <w:r w:rsidR="00BC39AB">
        <w:rPr>
          <w:i/>
          <w:iCs/>
        </w:rPr>
        <w:t>’</w:t>
      </w:r>
      <w:r w:rsidR="00B55138">
        <w:t xml:space="preserve"> and </w:t>
      </w:r>
      <w:r w:rsidR="00BC39AB">
        <w:t>‘</w:t>
      </w:r>
      <w:r w:rsidR="00B55138" w:rsidRPr="00B55138">
        <w:rPr>
          <w:i/>
          <w:iCs/>
        </w:rPr>
        <w:t>implications</w:t>
      </w:r>
      <w:r w:rsidR="00BC39AB">
        <w:rPr>
          <w:i/>
          <w:iCs/>
        </w:rPr>
        <w:t>’</w:t>
      </w:r>
      <w:r w:rsidR="00B55138">
        <w:t xml:space="preserve"> for the conclusions to be suitable and rational</w:t>
      </w:r>
      <w:r w:rsidR="00535CD9">
        <w:t>.</w:t>
      </w:r>
    </w:p>
    <w:p w14:paraId="37E363C0" w14:textId="4D1D08A6" w:rsidR="00535CD9" w:rsidRDefault="00535CD9" w:rsidP="00BB5153">
      <w:pPr>
        <w:jc w:val="both"/>
      </w:pPr>
      <w:r>
        <w:t xml:space="preserve">Furthermore, the importance of rational thinking and an argument that is well reasoned, start with an evaluation of how valid and relevant the evidence is, if it has a logical progression, if it contains any untrue premises or blemished reasoning (Cottrell, 2013). </w:t>
      </w:r>
    </w:p>
    <w:p w14:paraId="1BFF2C80" w14:textId="77777777" w:rsidR="00F40BF2" w:rsidRDefault="00F40BF2" w:rsidP="00BB5153">
      <w:pPr>
        <w:jc w:val="both"/>
      </w:pPr>
    </w:p>
    <w:p w14:paraId="2ECECBE4" w14:textId="695C7B9D" w:rsidR="00F40BF2" w:rsidRDefault="00186C5B" w:rsidP="00BB5153">
      <w:pPr>
        <w:jc w:val="both"/>
      </w:pPr>
      <w:r>
        <w:t>A valid criterion to evaluate the evidence</w:t>
      </w:r>
      <w:r w:rsidR="00ED410A">
        <w:t xml:space="preserve"> (adapted from Cottrell, 2013 and LinkedIn, 2023c)</w:t>
      </w:r>
      <w:r>
        <w:t xml:space="preserve"> through CT</w:t>
      </w:r>
      <w:r w:rsidR="004E53EE">
        <w:t xml:space="preserve"> lenses </w:t>
      </w:r>
      <w:r w:rsidR="00ED410A">
        <w:t>could be</w:t>
      </w:r>
      <w:r w:rsidR="004E53EE">
        <w:t xml:space="preserve"> to: </w:t>
      </w:r>
    </w:p>
    <w:p w14:paraId="73E66EE2" w14:textId="77777777" w:rsidR="00035E7C" w:rsidRDefault="00035E7C" w:rsidP="00BB5153">
      <w:pPr>
        <w:jc w:val="both"/>
      </w:pPr>
    </w:p>
    <w:tbl>
      <w:tblPr>
        <w:tblStyle w:val="TableGrid"/>
        <w:tblW w:w="0" w:type="auto"/>
        <w:tblLook w:val="04A0" w:firstRow="1" w:lastRow="0" w:firstColumn="1" w:lastColumn="0" w:noHBand="0" w:noVBand="1"/>
      </w:tblPr>
      <w:tblGrid>
        <w:gridCol w:w="9016"/>
      </w:tblGrid>
      <w:tr w:rsidR="00035E7C" w:rsidRPr="00035E7C" w14:paraId="4FB801C4" w14:textId="77777777" w:rsidTr="008C1365">
        <w:tc>
          <w:tcPr>
            <w:tcW w:w="9016" w:type="dxa"/>
          </w:tcPr>
          <w:p w14:paraId="4B2E7129" w14:textId="77777777" w:rsidR="00035E7C" w:rsidRPr="00035E7C" w:rsidRDefault="00035E7C" w:rsidP="00035E7C">
            <w:pPr>
              <w:jc w:val="both"/>
            </w:pPr>
            <w:r w:rsidRPr="00035E7C">
              <w:lastRenderedPageBreak/>
              <w:t xml:space="preserve">Firstly, </w:t>
            </w:r>
            <w:r w:rsidRPr="00035E7C">
              <w:rPr>
                <w:i/>
                <w:iCs/>
              </w:rPr>
              <w:t>identify the source</w:t>
            </w:r>
            <w:r w:rsidRPr="00035E7C">
              <w:t xml:space="preserve"> and its credibility in terms of whom is providing the evidence, never take this at face value just in case there are some hidden personal agendas or motives. </w:t>
            </w:r>
          </w:p>
        </w:tc>
      </w:tr>
      <w:tr w:rsidR="00035E7C" w:rsidRPr="00035E7C" w14:paraId="70AE8C06" w14:textId="77777777" w:rsidTr="008C1365">
        <w:tc>
          <w:tcPr>
            <w:tcW w:w="9016" w:type="dxa"/>
          </w:tcPr>
          <w:p w14:paraId="6128AE2B" w14:textId="77777777" w:rsidR="00035E7C" w:rsidRPr="00035E7C" w:rsidRDefault="00035E7C" w:rsidP="00035E7C">
            <w:pPr>
              <w:jc w:val="both"/>
            </w:pPr>
            <w:r w:rsidRPr="00035E7C">
              <w:t xml:space="preserve">Secondly, </w:t>
            </w:r>
            <w:r w:rsidRPr="00035E7C">
              <w:rPr>
                <w:i/>
                <w:iCs/>
              </w:rPr>
              <w:t>examine the method</w:t>
            </w:r>
            <w:r w:rsidRPr="00035E7C">
              <w:t xml:space="preserve"> through which the evidence has been obtained to ensure that biases have been avoided and that the evidence is not flawed. </w:t>
            </w:r>
          </w:p>
        </w:tc>
      </w:tr>
      <w:tr w:rsidR="00035E7C" w:rsidRPr="00035E7C" w14:paraId="463EA32E" w14:textId="77777777" w:rsidTr="008C1365">
        <w:tc>
          <w:tcPr>
            <w:tcW w:w="9016" w:type="dxa"/>
          </w:tcPr>
          <w:p w14:paraId="733EAB4D" w14:textId="77777777" w:rsidR="00035E7C" w:rsidRPr="00035E7C" w:rsidRDefault="00035E7C" w:rsidP="00035E7C">
            <w:pPr>
              <w:jc w:val="both"/>
            </w:pPr>
            <w:r w:rsidRPr="00035E7C">
              <w:t xml:space="preserve">Thirdly, </w:t>
            </w:r>
            <w:r w:rsidRPr="00035E7C">
              <w:rPr>
                <w:i/>
                <w:iCs/>
              </w:rPr>
              <w:t>compare the context</w:t>
            </w:r>
            <w:r w:rsidRPr="00035E7C">
              <w:t xml:space="preserve"> in a like with like manner to assess how relevant, consistent and comprehensive the evidence on the same subject is, and decide if this is still up to date or if it has been cherry-picked to satisfy a premeditated motive.</w:t>
            </w:r>
          </w:p>
        </w:tc>
      </w:tr>
      <w:tr w:rsidR="00035E7C" w:rsidRPr="00035E7C" w14:paraId="638262D2" w14:textId="77777777" w:rsidTr="008C1365">
        <w:tc>
          <w:tcPr>
            <w:tcW w:w="9016" w:type="dxa"/>
          </w:tcPr>
          <w:p w14:paraId="6C06FF70" w14:textId="77777777" w:rsidR="00035E7C" w:rsidRPr="00035E7C" w:rsidRDefault="00035E7C" w:rsidP="00035E7C">
            <w:pPr>
              <w:jc w:val="both"/>
            </w:pPr>
            <w:bookmarkStart w:id="10" w:name="_Hlk153040023"/>
            <w:r w:rsidRPr="00035E7C">
              <w:t xml:space="preserve">Lastly, </w:t>
            </w:r>
            <w:r w:rsidRPr="00035E7C">
              <w:rPr>
                <w:i/>
                <w:iCs/>
              </w:rPr>
              <w:t>assess the impact</w:t>
            </w:r>
            <w:r w:rsidRPr="00035E7C">
              <w:t xml:space="preserve"> evidence may trigger, especially in regards to how certain words (emotive language / persuader words) may influence one’s position of trust; as in, would the impact be significantly beneficial, or harmful due to evidence not being sound or worse being fake news.</w:t>
            </w:r>
            <w:bookmarkEnd w:id="10"/>
          </w:p>
        </w:tc>
      </w:tr>
    </w:tbl>
    <w:p w14:paraId="6B7AA220" w14:textId="77777777" w:rsidR="00035E7C" w:rsidRDefault="00035E7C" w:rsidP="00BB5153">
      <w:pPr>
        <w:jc w:val="both"/>
      </w:pPr>
    </w:p>
    <w:p w14:paraId="598DE77E" w14:textId="77777777" w:rsidR="00EE09C9" w:rsidRDefault="00EE09C9" w:rsidP="00BB5153">
      <w:pPr>
        <w:jc w:val="both"/>
      </w:pPr>
    </w:p>
    <w:p w14:paraId="2FBDB61F" w14:textId="00792056" w:rsidR="00B25ABE" w:rsidRDefault="00354AD1" w:rsidP="004D742F">
      <w:pPr>
        <w:jc w:val="both"/>
      </w:pPr>
      <w:r>
        <w:t>Other important aspects to consider would be to identify and test out the conclusions found in the presented evidence</w:t>
      </w:r>
      <w:r w:rsidR="00ED410A">
        <w:t xml:space="preserve">. This would determine if CT is applied rigorously, or has reliance on one’s intuitions, feelings or prejudice. </w:t>
      </w:r>
    </w:p>
    <w:p w14:paraId="4662E832" w14:textId="280EA623" w:rsidR="001D330F" w:rsidRPr="002B4F51" w:rsidRDefault="002B4F51" w:rsidP="004D742F">
      <w:pPr>
        <w:jc w:val="both"/>
        <w:rPr>
          <w:color w:val="FF0000"/>
        </w:rPr>
      </w:pPr>
      <w:r w:rsidRPr="002B4F51">
        <w:rPr>
          <w:color w:val="FF0000"/>
        </w:rPr>
        <w:t>In a</w:t>
      </w:r>
      <w:r>
        <w:rPr>
          <w:color w:val="FF0000"/>
        </w:rPr>
        <w:t xml:space="preserve"> people management context, i.e. an annual performance review, a practitioner </w:t>
      </w:r>
      <w:r w:rsidR="00D1713D">
        <w:rPr>
          <w:color w:val="FF0000"/>
        </w:rPr>
        <w:t>could</w:t>
      </w:r>
      <w:r>
        <w:rPr>
          <w:color w:val="FF0000"/>
        </w:rPr>
        <w:t xml:space="preserve"> fac</w:t>
      </w:r>
      <w:r w:rsidR="00D1713D">
        <w:rPr>
          <w:color w:val="FF0000"/>
        </w:rPr>
        <w:t>e</w:t>
      </w:r>
      <w:r>
        <w:rPr>
          <w:color w:val="FF0000"/>
        </w:rPr>
        <w:t xml:space="preserve"> a dilemma regarding one of their high-performing but</w:t>
      </w:r>
      <w:r w:rsidR="00CD65C4">
        <w:rPr>
          <w:color w:val="FF0000"/>
        </w:rPr>
        <w:t>,</w:t>
      </w:r>
      <w:r>
        <w:rPr>
          <w:color w:val="FF0000"/>
        </w:rPr>
        <w:t xml:space="preserve"> blunt employee that clashes with colleagues. Instead of labelling them as negative, the practitioner decides to dig deeper, seeking diverse perspectives and evidence. This CT avoids assumptions, leading to nuanced feedback that addresses both, the employee’s strengths and communication impact. This, based on evidence and reason will result in improved communication and a more positive team environment.</w:t>
      </w:r>
    </w:p>
    <w:p w14:paraId="6385CEC0" w14:textId="3867E0A2" w:rsidR="00ED410A" w:rsidRDefault="004D742F" w:rsidP="00ED410A">
      <w:pPr>
        <w:jc w:val="both"/>
      </w:pPr>
      <w:r>
        <w:t>A</w:t>
      </w:r>
      <w:r w:rsidR="00ED410A">
        <w:t xml:space="preserve">s a prerequisite to EBP for questioning, although a natural attribute to the human mind, CT </w:t>
      </w:r>
      <w:r w:rsidR="00F00357" w:rsidRPr="00F00357">
        <w:t>is not a fixed trait but rather a dynamic process that</w:t>
      </w:r>
      <w:r w:rsidR="00F00357">
        <w:t xml:space="preserve"> </w:t>
      </w:r>
      <w:r w:rsidR="00ED410A">
        <w:t xml:space="preserve">should be cultured through continuous intellectual development (Elder &amp; Paul, 2010) to enhance the ability to critique a particular opinion, method or system (Taylor and Woodhams, 2016). </w:t>
      </w:r>
    </w:p>
    <w:bookmarkEnd w:id="7"/>
    <w:p w14:paraId="0007F68F" w14:textId="691EB290" w:rsidR="002805C3" w:rsidRPr="002805C3" w:rsidRDefault="002805C3" w:rsidP="002805C3"/>
    <w:p w14:paraId="3DB77163" w14:textId="623373A1" w:rsidR="00FF0541" w:rsidRPr="00C00C05" w:rsidRDefault="00FF0541" w:rsidP="00C00C05">
      <w:pPr>
        <w:pStyle w:val="Heading2"/>
      </w:pPr>
      <w:bookmarkStart w:id="11" w:name="_Hlk158489168"/>
      <w:r w:rsidRPr="00C00C05">
        <w:t xml:space="preserve">AC1.4 </w:t>
      </w:r>
      <w:r w:rsidR="005D68E2" w:rsidRPr="00C00C05">
        <w:t>Decision-Making Processes</w:t>
      </w:r>
      <w:r w:rsidR="00924A44">
        <w:t xml:space="preserve"> (DMPs)</w:t>
      </w:r>
    </w:p>
    <w:p w14:paraId="78C78E4E" w14:textId="77777777" w:rsidR="00EE09C9" w:rsidRDefault="00EE09C9" w:rsidP="00EE09C9"/>
    <w:p w14:paraId="14C9242F" w14:textId="4FDD1EB5" w:rsidR="00BD7CA9" w:rsidRPr="00A16B17" w:rsidRDefault="00BD7CA9" w:rsidP="003B021D">
      <w:pPr>
        <w:jc w:val="both"/>
        <w:rPr>
          <w:strike/>
        </w:rPr>
      </w:pPr>
      <w:r w:rsidRPr="00A16B17">
        <w:rPr>
          <w:strike/>
        </w:rPr>
        <w:t>In a world where</w:t>
      </w:r>
      <w:r w:rsidR="00306635" w:rsidRPr="00A16B17">
        <w:rPr>
          <w:strike/>
        </w:rPr>
        <w:t xml:space="preserve"> </w:t>
      </w:r>
      <w:r w:rsidRPr="00A16B17">
        <w:rPr>
          <w:strike/>
        </w:rPr>
        <w:t xml:space="preserve">change is the only constant, having the versatility </w:t>
      </w:r>
      <w:r w:rsidR="00306635" w:rsidRPr="00A16B17">
        <w:rPr>
          <w:strike/>
        </w:rPr>
        <w:t xml:space="preserve">to steer multifaceted challenges and implement sound </w:t>
      </w:r>
      <w:r w:rsidR="00BC39AB" w:rsidRPr="00A16B17">
        <w:rPr>
          <w:strike/>
        </w:rPr>
        <w:t>D</w:t>
      </w:r>
      <w:r w:rsidR="00306635" w:rsidRPr="00A16B17">
        <w:rPr>
          <w:strike/>
        </w:rPr>
        <w:t>ecision-</w:t>
      </w:r>
      <w:r w:rsidR="00BC39AB" w:rsidRPr="00A16B17">
        <w:rPr>
          <w:strike/>
        </w:rPr>
        <w:t>M</w:t>
      </w:r>
      <w:r w:rsidR="00306635" w:rsidRPr="00A16B17">
        <w:rPr>
          <w:strike/>
        </w:rPr>
        <w:t xml:space="preserve">aking </w:t>
      </w:r>
      <w:r w:rsidR="00BC39AB" w:rsidRPr="00A16B17">
        <w:rPr>
          <w:strike/>
        </w:rPr>
        <w:t>P</w:t>
      </w:r>
      <w:r w:rsidR="00306635" w:rsidRPr="00A16B17">
        <w:rPr>
          <w:strike/>
        </w:rPr>
        <w:t>rocesses</w:t>
      </w:r>
      <w:r w:rsidR="00B4150F" w:rsidRPr="00A16B17">
        <w:rPr>
          <w:strike/>
        </w:rPr>
        <w:t xml:space="preserve"> (DMP</w:t>
      </w:r>
      <w:r w:rsidR="00215E08" w:rsidRPr="00A16B17">
        <w:rPr>
          <w:strike/>
        </w:rPr>
        <w:t>s</w:t>
      </w:r>
      <w:r w:rsidR="00B4150F" w:rsidRPr="00A16B17">
        <w:rPr>
          <w:strike/>
        </w:rPr>
        <w:t>)</w:t>
      </w:r>
      <w:r w:rsidR="00306635" w:rsidRPr="00A16B17">
        <w:rPr>
          <w:strike/>
        </w:rPr>
        <w:t xml:space="preserve"> that are best fit, is a strong, essential skill</w:t>
      </w:r>
      <w:r w:rsidR="003B021D" w:rsidRPr="00A16B17">
        <w:rPr>
          <w:strike/>
        </w:rPr>
        <w:t xml:space="preserve"> for practitioners to ‘effective team management’ and ‘drive organisational change’ (Gavin, 2020). </w:t>
      </w:r>
    </w:p>
    <w:p w14:paraId="3DB9002B" w14:textId="40C1E861" w:rsidR="003B021D" w:rsidRDefault="003B021D" w:rsidP="003B021D">
      <w:pPr>
        <w:jc w:val="both"/>
      </w:pPr>
      <w:r>
        <w:t>There are several methods that could be employed</w:t>
      </w:r>
      <w:r w:rsidR="00BC39AB">
        <w:t xml:space="preserve"> to achieve effective outcomes through DMP</w:t>
      </w:r>
      <w:r w:rsidR="00215E08">
        <w:t>s</w:t>
      </w:r>
      <w:r w:rsidR="00EB334A">
        <w:t>. Examples would include De Bono Six Thinking Hats, Action Learning Approaches’, Best Fit, Future Facing and Problem-Outcome Frame. Below, three of them are being explained.</w:t>
      </w:r>
    </w:p>
    <w:p w14:paraId="19280181" w14:textId="296457C1" w:rsidR="00BC39AB" w:rsidRDefault="00BC39AB" w:rsidP="003B021D">
      <w:pPr>
        <w:jc w:val="both"/>
      </w:pPr>
    </w:p>
    <w:tbl>
      <w:tblPr>
        <w:tblStyle w:val="TableGrid"/>
        <w:tblW w:w="0" w:type="auto"/>
        <w:tblLook w:val="04A0" w:firstRow="1" w:lastRow="0" w:firstColumn="1" w:lastColumn="0" w:noHBand="0" w:noVBand="1"/>
      </w:tblPr>
      <w:tblGrid>
        <w:gridCol w:w="1838"/>
        <w:gridCol w:w="7178"/>
      </w:tblGrid>
      <w:tr w:rsidR="00BC39AB" w14:paraId="438B9F48" w14:textId="77777777" w:rsidTr="00BC39AB">
        <w:tc>
          <w:tcPr>
            <w:tcW w:w="1838" w:type="dxa"/>
          </w:tcPr>
          <w:p w14:paraId="56BA5DC2" w14:textId="1D25D067" w:rsidR="00BC39AB" w:rsidRDefault="00EE51E7" w:rsidP="003B021D">
            <w:pPr>
              <w:jc w:val="both"/>
            </w:pPr>
            <w:r>
              <w:t>Problem-Outcome Frame</w:t>
            </w:r>
            <w:r w:rsidR="0088211F">
              <w:t xml:space="preserve"> (POF)</w:t>
            </w:r>
          </w:p>
        </w:tc>
        <w:tc>
          <w:tcPr>
            <w:tcW w:w="7178" w:type="dxa"/>
          </w:tcPr>
          <w:p w14:paraId="06A52B04" w14:textId="77777777" w:rsidR="002458CA" w:rsidRDefault="00EE51E7" w:rsidP="002458CA">
            <w:pPr>
              <w:pStyle w:val="NormalWeb"/>
              <w:spacing w:before="0" w:beforeAutospacing="0" w:after="0" w:afterAutospacing="0"/>
              <w:jc w:val="both"/>
            </w:pPr>
            <w:r w:rsidRPr="002458CA">
              <w:rPr>
                <w:strike/>
              </w:rPr>
              <w:t xml:space="preserve">This process is used to identify different solutions to specific </w:t>
            </w:r>
            <w:r w:rsidR="003866CE" w:rsidRPr="002458CA">
              <w:rPr>
                <w:strike/>
              </w:rPr>
              <w:t>problems, where</w:t>
            </w:r>
            <w:r w:rsidR="005E1117" w:rsidRPr="002458CA">
              <w:rPr>
                <w:strike/>
              </w:rPr>
              <w:t xml:space="preserve"> </w:t>
            </w:r>
            <w:r w:rsidR="003866CE" w:rsidRPr="002458CA">
              <w:rPr>
                <w:strike/>
              </w:rPr>
              <w:t>by</w:t>
            </w:r>
            <w:r w:rsidR="005E1117" w:rsidRPr="002458CA">
              <w:rPr>
                <w:strike/>
              </w:rPr>
              <w:t xml:space="preserve"> </w:t>
            </w:r>
            <w:r w:rsidR="003866CE" w:rsidRPr="002458CA">
              <w:rPr>
                <w:strike/>
              </w:rPr>
              <w:t>framing</w:t>
            </w:r>
            <w:r w:rsidR="005E1117" w:rsidRPr="002458CA">
              <w:rPr>
                <w:strike/>
              </w:rPr>
              <w:t xml:space="preserve"> </w:t>
            </w:r>
            <w:r w:rsidR="001E3AC3" w:rsidRPr="002458CA">
              <w:rPr>
                <w:strike/>
              </w:rPr>
              <w:t>will enable practitioners to ‘locate, perceive, identify and label’</w:t>
            </w:r>
            <w:r w:rsidR="005E1117" w:rsidRPr="002458CA">
              <w:rPr>
                <w:strike/>
              </w:rPr>
              <w:t xml:space="preserve"> the context of a problem (Goffman, 1974).</w:t>
            </w:r>
            <w:r w:rsidR="005E1117">
              <w:t xml:space="preserve"> </w:t>
            </w:r>
          </w:p>
          <w:p w14:paraId="68545157" w14:textId="2826962E" w:rsidR="0088211F" w:rsidRDefault="0088211F" w:rsidP="0088211F">
            <w:pPr>
              <w:pStyle w:val="NormalWeb"/>
              <w:spacing w:before="0" w:beforeAutospacing="0" w:after="0" w:afterAutospacing="0"/>
              <w:jc w:val="both"/>
              <w:rPr>
                <w:color w:val="FF0000"/>
              </w:rPr>
            </w:pPr>
            <w:r>
              <w:rPr>
                <w:color w:val="FF0000"/>
              </w:rPr>
              <w:t>POF</w:t>
            </w:r>
            <w:r w:rsidR="002458CA" w:rsidRPr="002458CA">
              <w:rPr>
                <w:color w:val="FF0000"/>
              </w:rPr>
              <w:t xml:space="preserve"> is a valuable tool for people practitioners to effectively diagnose and address workplace issues. Its focus on desired outcomes, rather than just identifying and blaming problems, guides a productive and solution-oriented approach.</w:t>
            </w:r>
            <w:r w:rsidR="002458CA">
              <w:rPr>
                <w:color w:val="FF0000"/>
              </w:rPr>
              <w:t xml:space="preserve"> </w:t>
            </w:r>
          </w:p>
          <w:p w14:paraId="49D4FD7C" w14:textId="4E6BF4E2" w:rsidR="0088211F" w:rsidRPr="0088211F" w:rsidRDefault="0088211F" w:rsidP="0088211F">
            <w:pPr>
              <w:pStyle w:val="NormalWeb"/>
              <w:spacing w:before="0" w:beforeAutospacing="0" w:after="0" w:afterAutospacing="0"/>
              <w:jc w:val="both"/>
              <w:rPr>
                <w:color w:val="FF0000"/>
              </w:rPr>
            </w:pPr>
            <w:r>
              <w:rPr>
                <w:color w:val="FF0000"/>
              </w:rPr>
              <w:t>POF</w:t>
            </w:r>
            <w:r w:rsidR="004E71E0">
              <w:rPr>
                <w:color w:val="FF0000"/>
              </w:rPr>
              <w:t xml:space="preserve"> could be seen as</w:t>
            </w:r>
            <w:r>
              <w:rPr>
                <w:color w:val="FF0000"/>
              </w:rPr>
              <w:t xml:space="preserve"> a six-step process:</w:t>
            </w:r>
            <w:r w:rsidRPr="0088211F">
              <w:t xml:space="preserve"> </w:t>
            </w:r>
            <w:r w:rsidRPr="0088211F">
              <w:rPr>
                <w:color w:val="FF0000"/>
              </w:rPr>
              <w:t>1) Define the problem; 2) Clarify desired outcomes; 3) Identify root causes; 4) Brainstorm solutions; 5) Implement interventions; 6) Evaluate and adapt</w:t>
            </w:r>
            <w:r>
              <w:rPr>
                <w:color w:val="FF0000"/>
              </w:rPr>
              <w:t xml:space="preserve"> (</w:t>
            </w:r>
            <w:r w:rsidRPr="0088211F">
              <w:rPr>
                <w:color w:val="FF0000"/>
              </w:rPr>
              <w:t xml:space="preserve">Pham, </w:t>
            </w:r>
            <w:proofErr w:type="spellStart"/>
            <w:r w:rsidRPr="0088211F">
              <w:rPr>
                <w:color w:val="FF0000"/>
              </w:rPr>
              <w:t>Magistretti</w:t>
            </w:r>
            <w:proofErr w:type="spellEnd"/>
            <w:r>
              <w:rPr>
                <w:color w:val="FF0000"/>
              </w:rPr>
              <w:t xml:space="preserve"> and</w:t>
            </w:r>
            <w:r w:rsidRPr="0088211F">
              <w:rPr>
                <w:color w:val="FF0000"/>
              </w:rPr>
              <w:t xml:space="preserve"> </w:t>
            </w:r>
            <w:proofErr w:type="spellStart"/>
            <w:r w:rsidRPr="0088211F">
              <w:rPr>
                <w:color w:val="FF0000"/>
              </w:rPr>
              <w:t>Dell’Era</w:t>
            </w:r>
            <w:proofErr w:type="spellEnd"/>
            <w:r>
              <w:rPr>
                <w:color w:val="FF0000"/>
              </w:rPr>
              <w:t xml:space="preserve">, </w:t>
            </w:r>
            <w:r w:rsidRPr="0088211F">
              <w:rPr>
                <w:color w:val="FF0000"/>
              </w:rPr>
              <w:t xml:space="preserve">2023). </w:t>
            </w:r>
          </w:p>
          <w:p w14:paraId="4776814E" w14:textId="51D9B5F7" w:rsidR="0088211F" w:rsidRDefault="0088211F" w:rsidP="0088211F">
            <w:pPr>
              <w:pStyle w:val="NormalWeb"/>
              <w:spacing w:before="0" w:beforeAutospacing="0" w:after="0" w:afterAutospacing="0"/>
              <w:jc w:val="both"/>
              <w:rPr>
                <w:color w:val="FF0000"/>
              </w:rPr>
            </w:pPr>
            <w:r w:rsidRPr="0088211F">
              <w:rPr>
                <w:color w:val="FF0000"/>
              </w:rPr>
              <w:lastRenderedPageBreak/>
              <w:t>By doing so, POF encourages gathering objective data about the problem and assessing the effectiveness of implemented solutions</w:t>
            </w:r>
            <w:r w:rsidR="004E71E0">
              <w:rPr>
                <w:color w:val="FF0000"/>
              </w:rPr>
              <w:t>,</w:t>
            </w:r>
          </w:p>
          <w:p w14:paraId="46ABAFFF" w14:textId="559947CE" w:rsidR="00512595" w:rsidRPr="0088211F" w:rsidRDefault="00FB53D4" w:rsidP="0088211F">
            <w:pPr>
              <w:pStyle w:val="NormalWeb"/>
              <w:spacing w:before="0" w:beforeAutospacing="0" w:after="0" w:afterAutospacing="0"/>
              <w:jc w:val="both"/>
              <w:rPr>
                <w:color w:val="FF0000"/>
              </w:rPr>
            </w:pPr>
            <w:r w:rsidRPr="00A16B17">
              <w:t xml:space="preserve">Simply put, </w:t>
            </w:r>
            <w:r w:rsidR="009C5261" w:rsidRPr="00A16B17">
              <w:t xml:space="preserve">the process </w:t>
            </w:r>
            <w:r w:rsidRPr="00A16B17">
              <w:t>look</w:t>
            </w:r>
            <w:r w:rsidR="009C5261" w:rsidRPr="00A16B17">
              <w:t>s</w:t>
            </w:r>
            <w:r w:rsidRPr="00A16B17">
              <w:t xml:space="preserve"> at a problem / issue from all angles, consider</w:t>
            </w:r>
            <w:r w:rsidR="009C5261" w:rsidRPr="00A16B17">
              <w:t>s</w:t>
            </w:r>
            <w:r w:rsidRPr="00A16B17">
              <w:t xml:space="preserve"> all available options and lastly</w:t>
            </w:r>
            <w:r w:rsidR="00503956" w:rsidRPr="004E71E0">
              <w:rPr>
                <w:strike/>
              </w:rPr>
              <w:t>,</w:t>
            </w:r>
            <w:r>
              <w:t xml:space="preserve"> evaluat</w:t>
            </w:r>
            <w:r w:rsidR="004E71E0">
              <w:t>ing</w:t>
            </w:r>
            <w:r>
              <w:t xml:space="preserve"> the advantages and disadvantages before making a decision</w:t>
            </w:r>
            <w:r w:rsidR="00512595">
              <w:t xml:space="preserve"> (Harrin, 2023).</w:t>
            </w:r>
          </w:p>
        </w:tc>
      </w:tr>
      <w:tr w:rsidR="00BC39AB" w14:paraId="7323F661" w14:textId="77777777" w:rsidTr="00BC39AB">
        <w:tc>
          <w:tcPr>
            <w:tcW w:w="1838" w:type="dxa"/>
          </w:tcPr>
          <w:p w14:paraId="1D2BBEA3" w14:textId="1C8FB98E" w:rsidR="00BC39AB" w:rsidRDefault="00930765" w:rsidP="003B021D">
            <w:pPr>
              <w:jc w:val="both"/>
            </w:pPr>
            <w:r>
              <w:lastRenderedPageBreak/>
              <w:t>De Bono Six Thinking Hats</w:t>
            </w:r>
          </w:p>
        </w:tc>
        <w:tc>
          <w:tcPr>
            <w:tcW w:w="7178" w:type="dxa"/>
          </w:tcPr>
          <w:p w14:paraId="6C0C857F" w14:textId="37805D31" w:rsidR="00271D6F" w:rsidRDefault="006368F3" w:rsidP="003B021D">
            <w:pPr>
              <w:jc w:val="both"/>
            </w:pPr>
            <w:r>
              <w:t>Developed in 1985 by E</w:t>
            </w:r>
            <w:r w:rsidR="00266AC4">
              <w:t>d</w:t>
            </w:r>
            <w:r>
              <w:t xml:space="preserve">ward De Bono, </w:t>
            </w:r>
            <w:r w:rsidRPr="00D123E1">
              <w:rPr>
                <w:strike/>
              </w:rPr>
              <w:t>although simple, this method is a parallel thinking approach that increases productivity, by</w:t>
            </w:r>
            <w:r>
              <w:t xml:space="preserve"> </w:t>
            </w:r>
            <w:r w:rsidR="00D123E1" w:rsidRPr="00D123E1">
              <w:rPr>
                <w:color w:val="FF0000"/>
              </w:rPr>
              <w:t xml:space="preserve">Six Hats </w:t>
            </w:r>
            <w:r w:rsidR="00D123E1">
              <w:t xml:space="preserve">is </w:t>
            </w:r>
            <w:r>
              <w:t xml:space="preserve">aiding </w:t>
            </w:r>
            <w:r w:rsidR="00032DB0">
              <w:t xml:space="preserve">HR Practitioners </w:t>
            </w:r>
            <w:r>
              <w:t>to focus and be mindfully involved</w:t>
            </w:r>
            <w:r w:rsidR="002F5B33">
              <w:t>, challenging them to use the ‘how to think’ not ‘what to think’ approach to DMPs by focusing on</w:t>
            </w:r>
            <w:r w:rsidR="00271D6F">
              <w:t xml:space="preserve"> one issue</w:t>
            </w:r>
            <w:r w:rsidR="00E43CBE">
              <w:t xml:space="preserve"> at the time whilst permitting for alteration in thinking</w:t>
            </w:r>
            <w:r w:rsidR="002F5B33">
              <w:t xml:space="preserve"> (Channell, 2021).</w:t>
            </w:r>
            <w:r w:rsidR="00271D6F">
              <w:t xml:space="preserve"> </w:t>
            </w:r>
          </w:p>
          <w:p w14:paraId="437A6D8A" w14:textId="23E7391B" w:rsidR="000B37DD" w:rsidRDefault="000B37DD" w:rsidP="003B021D">
            <w:pPr>
              <w:jc w:val="both"/>
              <w:rPr>
                <w:color w:val="FF0000"/>
              </w:rPr>
            </w:pPr>
            <w:r w:rsidRPr="000B37DD">
              <w:rPr>
                <w:color w:val="FF0000"/>
              </w:rPr>
              <w:t xml:space="preserve">Each colour represents a unique viewpoint: </w:t>
            </w:r>
            <w:r w:rsidRPr="000B37DD">
              <w:rPr>
                <w:b/>
                <w:bCs/>
                <w:color w:val="FF0000"/>
              </w:rPr>
              <w:t>White (facts), Red (feelings), Black (caution), Yellow (optimism), Green (creativity), and Blue (control).</w:t>
            </w:r>
            <w:r w:rsidRPr="000B37DD">
              <w:rPr>
                <w:color w:val="FF0000"/>
              </w:rPr>
              <w:t xml:space="preserve"> By switching hats, individuals and teams explore diverse perspectives, fostering better communication and richer problem-solving (Mulder, 2019). From dissecting risks (Black Hat) to sparking innovation (Green Hat), the Six Hats framework fuels creative thinking and informed decision-making. While discipline is key, the benefits outweigh the limitations, offering a dynamic approach to unlock collective intelligence.</w:t>
            </w:r>
          </w:p>
          <w:p w14:paraId="7D1131FF" w14:textId="5FB6D9A5" w:rsidR="00D123E1" w:rsidRPr="00D123E1" w:rsidRDefault="00D123E1" w:rsidP="00D123E1">
            <w:pPr>
              <w:jc w:val="both"/>
              <w:rPr>
                <w:color w:val="FF0000"/>
              </w:rPr>
            </w:pPr>
            <w:r>
              <w:rPr>
                <w:color w:val="FF0000"/>
              </w:rPr>
              <w:t>F</w:t>
            </w:r>
            <w:r w:rsidRPr="00D123E1">
              <w:rPr>
                <w:color w:val="FF0000"/>
              </w:rPr>
              <w:t>or HR</w:t>
            </w:r>
            <w:r>
              <w:rPr>
                <w:color w:val="FF0000"/>
              </w:rPr>
              <w:t>, this method means s</w:t>
            </w:r>
            <w:r w:rsidRPr="00D123E1">
              <w:rPr>
                <w:color w:val="FF0000"/>
              </w:rPr>
              <w:t>harpen decision-making and ignite team genius. By exploring diverse perspectives (facts, feelings, risks, optimism, creativity), HR teams break through silos, foster communication, and unlock innovative solutions</w:t>
            </w:r>
            <w:r w:rsidR="00433AD3">
              <w:rPr>
                <w:color w:val="FF0000"/>
              </w:rPr>
              <w:t xml:space="preserve"> (Payette and Barnes, 2017)</w:t>
            </w:r>
            <w:r w:rsidRPr="00D123E1">
              <w:rPr>
                <w:color w:val="FF0000"/>
              </w:rPr>
              <w:t xml:space="preserve">. </w:t>
            </w:r>
          </w:p>
          <w:p w14:paraId="5F004C2F" w14:textId="77777777" w:rsidR="00D123E1" w:rsidRPr="000B37DD" w:rsidRDefault="00D123E1" w:rsidP="003B021D">
            <w:pPr>
              <w:jc w:val="both"/>
              <w:rPr>
                <w:color w:val="FF0000"/>
              </w:rPr>
            </w:pPr>
          </w:p>
          <w:p w14:paraId="18CBC7AC" w14:textId="50376845" w:rsidR="00E43CBE" w:rsidRPr="000B37DD" w:rsidRDefault="00E43CBE" w:rsidP="003B021D">
            <w:pPr>
              <w:jc w:val="both"/>
              <w:rPr>
                <w:strike/>
              </w:rPr>
            </w:pPr>
            <w:r w:rsidRPr="000B37DD">
              <w:rPr>
                <w:strike/>
              </w:rPr>
              <w:t>The colours of the hats represent different styles of thinking:</w:t>
            </w:r>
          </w:p>
          <w:p w14:paraId="5DA8DD9A" w14:textId="4CE6BDB6" w:rsidR="00BC39AB" w:rsidRPr="000B37DD" w:rsidRDefault="00271D6F" w:rsidP="003B021D">
            <w:pPr>
              <w:jc w:val="both"/>
              <w:rPr>
                <w:strike/>
              </w:rPr>
            </w:pPr>
            <w:r w:rsidRPr="000B37DD">
              <w:rPr>
                <w:i/>
                <w:iCs/>
                <w:strike/>
              </w:rPr>
              <w:t>White Hat</w:t>
            </w:r>
            <w:r w:rsidRPr="000B37DD">
              <w:rPr>
                <w:strike/>
              </w:rPr>
              <w:t xml:space="preserve">: </w:t>
            </w:r>
            <w:r w:rsidR="00E43CBE" w:rsidRPr="000B37DD">
              <w:rPr>
                <w:strike/>
              </w:rPr>
              <w:t>F</w:t>
            </w:r>
            <w:r w:rsidRPr="000B37DD">
              <w:rPr>
                <w:strike/>
              </w:rPr>
              <w:t xml:space="preserve">acts &amp; </w:t>
            </w:r>
            <w:r w:rsidR="00E43CBE" w:rsidRPr="000B37DD">
              <w:rPr>
                <w:strike/>
              </w:rPr>
              <w:t>F</w:t>
            </w:r>
            <w:r w:rsidRPr="000B37DD">
              <w:rPr>
                <w:strike/>
              </w:rPr>
              <w:t>igures</w:t>
            </w:r>
            <w:r w:rsidR="00E43CBE" w:rsidRPr="000B37DD">
              <w:rPr>
                <w:strike/>
              </w:rPr>
              <w:t>,</w:t>
            </w:r>
            <w:r w:rsidRPr="000B37DD">
              <w:rPr>
                <w:strike/>
              </w:rPr>
              <w:t xml:space="preserve"> </w:t>
            </w:r>
            <w:r w:rsidRPr="000B37DD">
              <w:rPr>
                <w:i/>
                <w:iCs/>
                <w:strike/>
              </w:rPr>
              <w:t>Black Hat</w:t>
            </w:r>
            <w:r w:rsidRPr="000B37DD">
              <w:rPr>
                <w:strike/>
              </w:rPr>
              <w:t xml:space="preserve">: </w:t>
            </w:r>
            <w:r w:rsidR="00E43CBE" w:rsidRPr="000B37DD">
              <w:rPr>
                <w:strike/>
              </w:rPr>
              <w:t>J</w:t>
            </w:r>
            <w:r w:rsidRPr="000B37DD">
              <w:rPr>
                <w:strike/>
              </w:rPr>
              <w:t xml:space="preserve">udgement &amp; </w:t>
            </w:r>
            <w:r w:rsidR="00E43CBE" w:rsidRPr="000B37DD">
              <w:rPr>
                <w:strike/>
              </w:rPr>
              <w:t>C</w:t>
            </w:r>
            <w:r w:rsidRPr="000B37DD">
              <w:rPr>
                <w:strike/>
              </w:rPr>
              <w:t xml:space="preserve">aution; </w:t>
            </w:r>
            <w:r w:rsidRPr="000B37DD">
              <w:rPr>
                <w:i/>
                <w:iCs/>
                <w:strike/>
              </w:rPr>
              <w:t>Red Hat</w:t>
            </w:r>
            <w:r w:rsidRPr="000B37DD">
              <w:rPr>
                <w:strike/>
              </w:rPr>
              <w:t xml:space="preserve">: Intuition, Feelings &amp; Emotions; </w:t>
            </w:r>
            <w:r w:rsidRPr="000B37DD">
              <w:rPr>
                <w:i/>
                <w:iCs/>
                <w:strike/>
              </w:rPr>
              <w:t>Green Hat</w:t>
            </w:r>
            <w:r w:rsidRPr="000B37DD">
              <w:rPr>
                <w:strike/>
              </w:rPr>
              <w:t xml:space="preserve">: Creativity; </w:t>
            </w:r>
            <w:r w:rsidRPr="000B37DD">
              <w:rPr>
                <w:i/>
                <w:iCs/>
                <w:strike/>
              </w:rPr>
              <w:t>Yellow Hat</w:t>
            </w:r>
            <w:r w:rsidRPr="000B37DD">
              <w:rPr>
                <w:strike/>
              </w:rPr>
              <w:t xml:space="preserve">: Logical &amp; Positive; </w:t>
            </w:r>
            <w:r w:rsidRPr="000B37DD">
              <w:rPr>
                <w:i/>
                <w:iCs/>
                <w:strike/>
              </w:rPr>
              <w:t>Blue Hat</w:t>
            </w:r>
            <w:r w:rsidRPr="000B37DD">
              <w:rPr>
                <w:strike/>
              </w:rPr>
              <w:t>: Overview &amp; Process</w:t>
            </w:r>
            <w:r w:rsidR="00E43CBE" w:rsidRPr="000B37DD">
              <w:rPr>
                <w:strike/>
              </w:rPr>
              <w:t xml:space="preserve"> (Mulder, 2019)</w:t>
            </w:r>
            <w:r w:rsidRPr="000B37DD">
              <w:rPr>
                <w:strike/>
              </w:rPr>
              <w:t>.</w:t>
            </w:r>
          </w:p>
          <w:p w14:paraId="09F9A972" w14:textId="77777777" w:rsidR="00E43CBE" w:rsidRPr="000B37DD" w:rsidRDefault="009B3ACB" w:rsidP="003B021D">
            <w:pPr>
              <w:jc w:val="both"/>
              <w:rPr>
                <w:strike/>
              </w:rPr>
            </w:pPr>
            <w:r w:rsidRPr="000B37DD">
              <w:rPr>
                <w:strike/>
              </w:rPr>
              <w:t xml:space="preserve">Besides the parallel thinking benefits of this approach, the different colours of Six Thinking Hats also </w:t>
            </w:r>
            <w:r w:rsidR="00244670" w:rsidRPr="000B37DD">
              <w:rPr>
                <w:strike/>
              </w:rPr>
              <w:t>‘</w:t>
            </w:r>
            <w:r w:rsidRPr="000B37DD">
              <w:rPr>
                <w:strike/>
              </w:rPr>
              <w:t>encourage full-spectrum thinking</w:t>
            </w:r>
            <w:r w:rsidR="00244670" w:rsidRPr="000B37DD">
              <w:rPr>
                <w:strike/>
              </w:rPr>
              <w:t>’</w:t>
            </w:r>
            <w:r w:rsidRPr="000B37DD">
              <w:rPr>
                <w:strike/>
              </w:rPr>
              <w:t xml:space="preserve"> and </w:t>
            </w:r>
            <w:r w:rsidR="00244670" w:rsidRPr="000B37DD">
              <w:rPr>
                <w:strike/>
              </w:rPr>
              <w:t>‘</w:t>
            </w:r>
            <w:r w:rsidRPr="000B37DD">
              <w:rPr>
                <w:strike/>
              </w:rPr>
              <w:t>separate ego from performance</w:t>
            </w:r>
            <w:r w:rsidR="00244670" w:rsidRPr="000B37DD">
              <w:rPr>
                <w:strike/>
              </w:rPr>
              <w:t>’</w:t>
            </w:r>
            <w:r w:rsidR="00EE51E7" w:rsidRPr="000B37DD">
              <w:rPr>
                <w:strike/>
              </w:rPr>
              <w:t xml:space="preserve"> (</w:t>
            </w:r>
            <w:proofErr w:type="spellStart"/>
            <w:r w:rsidR="00EE51E7" w:rsidRPr="000B37DD">
              <w:rPr>
                <w:strike/>
              </w:rPr>
              <w:t>Goebe</w:t>
            </w:r>
            <w:proofErr w:type="spellEnd"/>
            <w:r w:rsidR="00EE51E7" w:rsidRPr="000B37DD">
              <w:rPr>
                <w:strike/>
              </w:rPr>
              <w:t xml:space="preserve"> and Seabert, 2006)</w:t>
            </w:r>
            <w:r w:rsidRPr="000B37DD">
              <w:rPr>
                <w:strike/>
              </w:rPr>
              <w:t>.</w:t>
            </w:r>
          </w:p>
          <w:p w14:paraId="74A20F38" w14:textId="2F1662D0" w:rsidR="00634EAE" w:rsidRPr="000B37DD" w:rsidRDefault="00C9518A" w:rsidP="003B021D">
            <w:pPr>
              <w:jc w:val="both"/>
              <w:rPr>
                <w:strike/>
              </w:rPr>
            </w:pPr>
            <w:r w:rsidRPr="000B37DD">
              <w:rPr>
                <w:strike/>
              </w:rPr>
              <w:t>By assigning each participant to a specific hat and rotating the hats throughout the discussion, the Six Thinking Hats method encourages a more balanced and comprehensive approach to problem-solving. It helps to suppress biases and groupthink, allowing for a broader range of perspectives to be considered</w:t>
            </w:r>
            <w:r w:rsidR="00B22F96" w:rsidRPr="000B37DD">
              <w:rPr>
                <w:strike/>
              </w:rPr>
              <w:t xml:space="preserve"> (Mi</w:t>
            </w:r>
            <w:r w:rsidR="00634EAE" w:rsidRPr="000B37DD">
              <w:rPr>
                <w:strike/>
              </w:rPr>
              <w:t>ndManager Blog, 2023)</w:t>
            </w:r>
            <w:r w:rsidRPr="000B37DD">
              <w:rPr>
                <w:strike/>
              </w:rPr>
              <w:t>.</w:t>
            </w:r>
          </w:p>
          <w:p w14:paraId="323D4244" w14:textId="32372859" w:rsidR="00C9518A" w:rsidRDefault="00C9518A" w:rsidP="003B021D">
            <w:pPr>
              <w:jc w:val="both"/>
            </w:pPr>
            <w:r w:rsidRPr="00A16B17">
              <w:rPr>
                <w:strike/>
              </w:rPr>
              <w:t>Overall, the Six Thinking Hats</w:t>
            </w:r>
            <w:r w:rsidR="00924A44">
              <w:rPr>
                <w:strike/>
              </w:rPr>
              <w:t xml:space="preserve"> </w:t>
            </w:r>
            <w:r w:rsidRPr="00924A44">
              <w:rPr>
                <w:strike/>
              </w:rPr>
              <w:t>method is a valuable tool for HR</w:t>
            </w:r>
            <w:r w:rsidR="000C5B45" w:rsidRPr="00924A44">
              <w:rPr>
                <w:strike/>
              </w:rPr>
              <w:t xml:space="preserve"> practitioners</w:t>
            </w:r>
            <w:r w:rsidRPr="00924A44">
              <w:rPr>
                <w:strike/>
              </w:rPr>
              <w:t xml:space="preserve"> who want to improve their decision-making and problem-solving skills. It can be used in a variety of settings, from team meetings and can help to foster more effective communication, collaboration, and innovation within the HR function.</w:t>
            </w:r>
          </w:p>
        </w:tc>
      </w:tr>
      <w:tr w:rsidR="00562BE7" w:rsidRPr="00A002F4" w14:paraId="572B18A4" w14:textId="77777777" w:rsidTr="00BC39AB">
        <w:tc>
          <w:tcPr>
            <w:tcW w:w="1838" w:type="dxa"/>
          </w:tcPr>
          <w:p w14:paraId="2635E3C2" w14:textId="5039207C" w:rsidR="00562BE7" w:rsidRDefault="006A4960" w:rsidP="003B021D">
            <w:pPr>
              <w:jc w:val="both"/>
            </w:pPr>
            <w:r>
              <w:t>Action Learning</w:t>
            </w:r>
          </w:p>
        </w:tc>
        <w:tc>
          <w:tcPr>
            <w:tcW w:w="7178" w:type="dxa"/>
          </w:tcPr>
          <w:p w14:paraId="66FE900F" w14:textId="5C2CB986" w:rsidR="00924A44" w:rsidRPr="00A002F4" w:rsidRDefault="005767E9" w:rsidP="00924A44">
            <w:pPr>
              <w:pStyle w:val="NormalWeb"/>
              <w:spacing w:before="0" w:beforeAutospacing="0" w:after="0" w:afterAutospacing="0"/>
              <w:jc w:val="both"/>
              <w:rPr>
                <w:color w:val="FF0000"/>
              </w:rPr>
            </w:pPr>
            <w:r w:rsidRPr="00A002F4">
              <w:t>Action learning is a cyclical process that involves identifying a problem, forming a team, taking action, reflecting, and learning</w:t>
            </w:r>
            <w:r w:rsidR="00924A44" w:rsidRPr="00A002F4">
              <w:t xml:space="preserve">; </w:t>
            </w:r>
            <w:r w:rsidR="00924A44" w:rsidRPr="00A002F4">
              <w:rPr>
                <w:color w:val="FF0000"/>
              </w:rPr>
              <w:t>the collective knowledge gained informs future actions and enhanced decision-making. This approach offers compelling advantages due to its real-world focus where problems tackled are actual, leading to practical solutions applicable in the day-to-day. It exhibits diverse perspectives th</w:t>
            </w:r>
            <w:r w:rsidR="00F717E5">
              <w:rPr>
                <w:color w:val="FF0000"/>
              </w:rPr>
              <w:t>r</w:t>
            </w:r>
            <w:r w:rsidR="00924A44" w:rsidRPr="00A002F4">
              <w:rPr>
                <w:color w:val="FF0000"/>
              </w:rPr>
              <w:t xml:space="preserve">ough which collaboration harnesses individual strengths and experiences, </w:t>
            </w:r>
            <w:r w:rsidR="00924A44" w:rsidRPr="00A002F4">
              <w:rPr>
                <w:color w:val="FF0000"/>
              </w:rPr>
              <w:lastRenderedPageBreak/>
              <w:t>broadening the understanding of the challenge. It is also aiding continuous learning, a cycle that fosters a culture of reflection and growth, promoting adaptability and innovation.</w:t>
            </w:r>
          </w:p>
          <w:p w14:paraId="7C6F5C0B" w14:textId="61758EFB" w:rsidR="00562BE7" w:rsidRPr="00C73F6C" w:rsidRDefault="00924A44" w:rsidP="00C73F6C">
            <w:pPr>
              <w:pStyle w:val="NormalWeb"/>
              <w:spacing w:before="0" w:beforeAutospacing="0" w:after="0" w:afterAutospacing="0"/>
              <w:jc w:val="both"/>
              <w:rPr>
                <w:color w:val="FF0000"/>
              </w:rPr>
            </w:pPr>
            <w:r w:rsidRPr="00A002F4">
              <w:rPr>
                <w:color w:val="FF0000"/>
              </w:rPr>
              <w:t>Research by Serat (2017) and WIAL (2023) highlights the effectiveness of action learning in improving decision-making, making it a valuable tool for any organi</w:t>
            </w:r>
            <w:r w:rsidR="00CD65C4">
              <w:rPr>
                <w:color w:val="FF0000"/>
              </w:rPr>
              <w:t>s</w:t>
            </w:r>
            <w:r w:rsidRPr="00A002F4">
              <w:rPr>
                <w:color w:val="FF0000"/>
              </w:rPr>
              <w:t>ation seeking to navigate challenges and thrive in a dynamic environment.</w:t>
            </w:r>
            <w:r w:rsidR="00C73F6C">
              <w:rPr>
                <w:color w:val="FF0000"/>
              </w:rPr>
              <w:t xml:space="preserve"> </w:t>
            </w:r>
            <w:r w:rsidR="005767E9" w:rsidRPr="00A002F4">
              <w:rPr>
                <w:strike/>
              </w:rPr>
              <w:t xml:space="preserve">It is a powerful tool for improving decision-making because it is focused on solving real problems, encourages collaboration, and promotes continuous learning (Serat, 2017; WIAL, 2023). </w:t>
            </w:r>
          </w:p>
        </w:tc>
      </w:tr>
      <w:bookmarkEnd w:id="11"/>
    </w:tbl>
    <w:p w14:paraId="40275571" w14:textId="0685927D" w:rsidR="00930765" w:rsidRDefault="00930765" w:rsidP="00DA6FFF"/>
    <w:p w14:paraId="7899A0E7" w14:textId="77777777" w:rsidR="00930765" w:rsidRPr="00DA6FFF" w:rsidRDefault="00930765" w:rsidP="00DA6FFF"/>
    <w:p w14:paraId="255316B9" w14:textId="442DEF74" w:rsidR="005D68E2" w:rsidRDefault="005D68E2" w:rsidP="00C00C05">
      <w:pPr>
        <w:pStyle w:val="Heading2"/>
      </w:pPr>
      <w:bookmarkStart w:id="12" w:name="_Hlk158489132"/>
      <w:bookmarkStart w:id="13" w:name="_Hlk153223270"/>
      <w:r w:rsidRPr="00C00C05">
        <w:t xml:space="preserve">AC1.5 Ethical Perspectives </w:t>
      </w:r>
      <w:r w:rsidR="0059118B">
        <w:t>(EPs)</w:t>
      </w:r>
      <w:r w:rsidRPr="00C00C05">
        <w:t>and their influence</w:t>
      </w:r>
    </w:p>
    <w:p w14:paraId="1126418A" w14:textId="77777777" w:rsidR="001C7F93" w:rsidRPr="001C7F93" w:rsidRDefault="001C7F93" w:rsidP="001C7F93"/>
    <w:p w14:paraId="32F5360F" w14:textId="2D15CF12" w:rsidR="0059118B" w:rsidRDefault="0059118B" w:rsidP="003C75B9">
      <w:pPr>
        <w:jc w:val="both"/>
        <w:rPr>
          <w:color w:val="FF0000"/>
        </w:rPr>
      </w:pPr>
      <w:r w:rsidRPr="0059118B">
        <w:rPr>
          <w:color w:val="FF0000"/>
        </w:rPr>
        <w:t>Understanding EPs is crucial for making thoughtful and responsible decisions in diverse situations. According to Lawton (1998), EPs serve as a compass, guiding our behaviour through established principles and values. Waite et al. (2021) build on this, describing EPs as a framework for actively applying the</w:t>
      </w:r>
      <w:r>
        <w:rPr>
          <w:color w:val="FF0000"/>
        </w:rPr>
        <w:t xml:space="preserve"> above</w:t>
      </w:r>
      <w:r w:rsidRPr="0059118B">
        <w:rPr>
          <w:color w:val="FF0000"/>
        </w:rPr>
        <w:t xml:space="preserve"> within our decision-making process. Ultimately, as Armstrong (2012) emphasises, EPs empower individuals to navigate ethical dilemmas by choosing actions aligned with their moral compass and fostering a sense of what is right.</w:t>
      </w:r>
    </w:p>
    <w:bookmarkEnd w:id="12"/>
    <w:p w14:paraId="7E84F388" w14:textId="77777777" w:rsidR="0059118B" w:rsidRDefault="0059118B" w:rsidP="003C75B9">
      <w:pPr>
        <w:jc w:val="both"/>
      </w:pPr>
    </w:p>
    <w:p w14:paraId="489C86F0" w14:textId="04279B7E" w:rsidR="003C75B9" w:rsidRPr="0059118B" w:rsidRDefault="003C75B9" w:rsidP="003C75B9">
      <w:pPr>
        <w:jc w:val="both"/>
        <w:rPr>
          <w:strike/>
        </w:rPr>
      </w:pPr>
      <w:r w:rsidRPr="0059118B">
        <w:rPr>
          <w:strike/>
        </w:rPr>
        <w:t xml:space="preserve">According to Lawton (1998), ethical perspectives are ‘a set of principles and values that guide ethical behaviour’. Waite et al. (2021) further elaborate that EPs are ‘a framework for promoting ethical behaviour by always applying principles and values when making </w:t>
      </w:r>
      <w:r w:rsidR="0059118B" w:rsidRPr="0059118B">
        <w:rPr>
          <w:strike/>
        </w:rPr>
        <w:t>decisions’</w:t>
      </w:r>
      <w:r w:rsidRPr="0059118B">
        <w:rPr>
          <w:strike/>
        </w:rPr>
        <w:t>. Armstrong (2012) emphasises that EPs encourage individuals to ‘do what is morally acceptable</w:t>
      </w:r>
      <w:r w:rsidR="00AE19C2" w:rsidRPr="0059118B">
        <w:rPr>
          <w:strike/>
        </w:rPr>
        <w:t>’</w:t>
      </w:r>
      <w:r w:rsidRPr="0059118B">
        <w:rPr>
          <w:strike/>
        </w:rPr>
        <w:t xml:space="preserve"> when navigating ethical dilemmas.</w:t>
      </w:r>
    </w:p>
    <w:p w14:paraId="258E469C" w14:textId="77777777" w:rsidR="00AE19C2" w:rsidRDefault="00AE19C2" w:rsidP="003C75B9">
      <w:pPr>
        <w:jc w:val="both"/>
      </w:pPr>
    </w:p>
    <w:p w14:paraId="1695255B" w14:textId="77777777" w:rsidR="00AE19C2" w:rsidRPr="0059118B" w:rsidRDefault="00AE19C2" w:rsidP="00AE19C2">
      <w:pPr>
        <w:jc w:val="both"/>
        <w:rPr>
          <w:strike/>
        </w:rPr>
      </w:pPr>
      <w:r w:rsidRPr="0059118B">
        <w:rPr>
          <w:strike/>
        </w:rPr>
        <w:t>For the purpose of this task, three main EPs would be considered.</w:t>
      </w:r>
    </w:p>
    <w:p w14:paraId="72C6DBFD" w14:textId="77777777" w:rsidR="00AE19C2" w:rsidRPr="00AE19C2" w:rsidRDefault="00AE19C2" w:rsidP="00AE19C2"/>
    <w:tbl>
      <w:tblPr>
        <w:tblStyle w:val="TableGrid"/>
        <w:tblW w:w="0" w:type="auto"/>
        <w:tblLook w:val="04A0" w:firstRow="1" w:lastRow="0" w:firstColumn="1" w:lastColumn="0" w:noHBand="0" w:noVBand="1"/>
      </w:tblPr>
      <w:tblGrid>
        <w:gridCol w:w="1550"/>
        <w:gridCol w:w="7466"/>
      </w:tblGrid>
      <w:tr w:rsidR="00AE19C2" w:rsidRPr="00AE19C2" w14:paraId="5C516A2C" w14:textId="77777777" w:rsidTr="00206C70">
        <w:tc>
          <w:tcPr>
            <w:tcW w:w="1413" w:type="dxa"/>
          </w:tcPr>
          <w:p w14:paraId="51F26122" w14:textId="77777777" w:rsidR="00AE19C2" w:rsidRPr="00AE19C2" w:rsidRDefault="00AE19C2" w:rsidP="00AE19C2">
            <w:bookmarkStart w:id="14" w:name="_Hlk158489096"/>
            <w:r w:rsidRPr="00AE19C2">
              <w:t>Utilitarianism</w:t>
            </w:r>
          </w:p>
          <w:p w14:paraId="5A8548AA" w14:textId="77777777" w:rsidR="00AE19C2" w:rsidRPr="00AE19C2" w:rsidRDefault="00AE19C2" w:rsidP="00AE19C2"/>
        </w:tc>
        <w:tc>
          <w:tcPr>
            <w:tcW w:w="7603" w:type="dxa"/>
          </w:tcPr>
          <w:p w14:paraId="2A94A05A" w14:textId="705737C1" w:rsidR="00AE19C2" w:rsidRDefault="00AE19C2" w:rsidP="00AE19C2">
            <w:r>
              <w:t>A</w:t>
            </w:r>
            <w:r w:rsidRPr="00AE19C2">
              <w:t xml:space="preserve"> consequentialist ethical theory that holds that the morality of an action is determined solely by its consequences</w:t>
            </w:r>
            <w:r w:rsidR="00EE3951">
              <w:t xml:space="preserve"> whereby, </w:t>
            </w:r>
            <w:r w:rsidR="00EE3951" w:rsidRPr="00EE3951">
              <w:t>the right action is the one that produces the greatest good for the greatest number of people</w:t>
            </w:r>
            <w:r w:rsidR="00EE3951">
              <w:t xml:space="preserve"> </w:t>
            </w:r>
            <w:r w:rsidR="00CC762F">
              <w:t>(Sinnott-Armstrong, 2003</w:t>
            </w:r>
            <w:r w:rsidR="00EE3951">
              <w:t xml:space="preserve">; </w:t>
            </w:r>
            <w:r w:rsidR="00EE3951" w:rsidRPr="003C75B9">
              <w:t>Waite et al.</w:t>
            </w:r>
            <w:r w:rsidR="00EE3951">
              <w:t xml:space="preserve">, </w:t>
            </w:r>
            <w:r w:rsidR="00EE3951" w:rsidRPr="003C75B9">
              <w:t>2021</w:t>
            </w:r>
            <w:r w:rsidR="00CC762F">
              <w:t>)</w:t>
            </w:r>
            <w:r w:rsidR="00EE3951">
              <w:t>.</w:t>
            </w:r>
          </w:p>
          <w:p w14:paraId="46419080" w14:textId="2D22976F" w:rsidR="007E5A06" w:rsidRPr="00AE19C2" w:rsidRDefault="00EE3951" w:rsidP="007E5A06">
            <w:pPr>
              <w:jc w:val="both"/>
            </w:pPr>
            <w:r>
              <w:t xml:space="preserve">As an example, </w:t>
            </w:r>
            <w:r w:rsidR="007E5A06">
              <w:t>HR practitioners can</w:t>
            </w:r>
            <w:r w:rsidR="007E5A06" w:rsidRPr="007E5A06">
              <w:t xml:space="preserve"> use</w:t>
            </w:r>
            <w:r w:rsidR="007E5A06">
              <w:t xml:space="preserve"> this EP</w:t>
            </w:r>
            <w:r w:rsidR="007E5A06" w:rsidRPr="007E5A06">
              <w:t xml:space="preserve"> to identify and implement initiatives that promote employee engagement and well-being, leading to a more productive and satisfied workforce</w:t>
            </w:r>
            <w:r w:rsidR="007E5A06">
              <w:t xml:space="preserve"> (Russell and Weeks, 2019)</w:t>
            </w:r>
            <w:r w:rsidR="007E5A06" w:rsidRPr="007E5A06">
              <w:t xml:space="preserve">. </w:t>
            </w:r>
            <w:r>
              <w:t>Additionally</w:t>
            </w:r>
            <w:r w:rsidR="007E5A06" w:rsidRPr="007E5A06">
              <w:t>,</w:t>
            </w:r>
            <w:r>
              <w:t xml:space="preserve"> </w:t>
            </w:r>
            <w:r w:rsidR="007E5A06" w:rsidRPr="007E5A06">
              <w:t>a company might consider offering flexible work arrangements, providing opportunities for professional development, or promoting a healthy work-life balance, evaluating the potential benefits of each initiative against the potential costs</w:t>
            </w:r>
            <w:r w:rsidR="007E5A06">
              <w:t xml:space="preserve"> (McCartney, 2023)</w:t>
            </w:r>
            <w:r w:rsidR="007E5A06" w:rsidRPr="007E5A06">
              <w:t>.</w:t>
            </w:r>
          </w:p>
        </w:tc>
      </w:tr>
      <w:tr w:rsidR="00AE19C2" w:rsidRPr="00AE19C2" w14:paraId="02BEE0C9" w14:textId="77777777" w:rsidTr="00206C70">
        <w:tc>
          <w:tcPr>
            <w:tcW w:w="1413" w:type="dxa"/>
          </w:tcPr>
          <w:p w14:paraId="3A62F480" w14:textId="77777777" w:rsidR="00AE19C2" w:rsidRPr="00AE19C2" w:rsidRDefault="00AE19C2" w:rsidP="00AE19C2">
            <w:r w:rsidRPr="00AE19C2">
              <w:t>Deontology</w:t>
            </w:r>
          </w:p>
          <w:p w14:paraId="014A962A" w14:textId="77777777" w:rsidR="00AE19C2" w:rsidRPr="00AE19C2" w:rsidRDefault="00AE19C2" w:rsidP="00AE19C2"/>
          <w:p w14:paraId="256F7D8F" w14:textId="77777777" w:rsidR="00AE19C2" w:rsidRPr="00AE19C2" w:rsidRDefault="00AE19C2" w:rsidP="00AE19C2"/>
        </w:tc>
        <w:tc>
          <w:tcPr>
            <w:tcW w:w="7603" w:type="dxa"/>
          </w:tcPr>
          <w:p w14:paraId="2CBF487D" w14:textId="4DE16DE4" w:rsidR="00AE19C2" w:rsidRDefault="00433AD3" w:rsidP="00433AD3">
            <w:pPr>
              <w:jc w:val="both"/>
              <w:rPr>
                <w:color w:val="FF0000"/>
              </w:rPr>
            </w:pPr>
            <w:r w:rsidRPr="00433AD3">
              <w:rPr>
                <w:color w:val="FF0000"/>
              </w:rPr>
              <w:t xml:space="preserve">Rooted in the philosophy of Immanuel Kant, </w:t>
            </w:r>
            <w:r w:rsidR="0059118B">
              <w:rPr>
                <w:color w:val="FF0000"/>
              </w:rPr>
              <w:t>i</w:t>
            </w:r>
            <w:r w:rsidRPr="00433AD3">
              <w:rPr>
                <w:color w:val="FF0000"/>
              </w:rPr>
              <w:t>t emphasi</w:t>
            </w:r>
            <w:r w:rsidR="00FA0572">
              <w:rPr>
                <w:color w:val="FF0000"/>
              </w:rPr>
              <w:t>s</w:t>
            </w:r>
            <w:r w:rsidRPr="00433AD3">
              <w:rPr>
                <w:color w:val="FF0000"/>
              </w:rPr>
              <w:t>es duty and universal moral principles over consequences or individual desires. Simply put, what matters is the inherent rightness or wrongness of an action, regardless of its outcome</w:t>
            </w:r>
            <w:r w:rsidR="0059118B">
              <w:rPr>
                <w:color w:val="FF0000"/>
              </w:rPr>
              <w:t xml:space="preserve"> whereby t</w:t>
            </w:r>
            <w:r w:rsidR="00306C25" w:rsidRPr="00306C25">
              <w:rPr>
                <w:color w:val="FF0000"/>
              </w:rPr>
              <w:t xml:space="preserve">he </w:t>
            </w:r>
            <w:r w:rsidR="00306C25" w:rsidRPr="002B7165">
              <w:rPr>
                <w:color w:val="FF0000"/>
              </w:rPr>
              <w:t>motivations and intentions</w:t>
            </w:r>
            <w:r w:rsidR="00306C25" w:rsidRPr="00306C25">
              <w:rPr>
                <w:color w:val="FF0000"/>
              </w:rPr>
              <w:t xml:space="preserve"> behind an action carry significant weight</w:t>
            </w:r>
            <w:r w:rsidR="0059118B">
              <w:rPr>
                <w:color w:val="FF0000"/>
              </w:rPr>
              <w:t xml:space="preserve"> </w:t>
            </w:r>
            <w:r w:rsidR="002B7165">
              <w:rPr>
                <w:color w:val="FF0000"/>
              </w:rPr>
              <w:t>(Torrington, et al., 2020)</w:t>
            </w:r>
            <w:r w:rsidR="00306C25" w:rsidRPr="00306C25">
              <w:rPr>
                <w:color w:val="FF0000"/>
              </w:rPr>
              <w:t>.</w:t>
            </w:r>
          </w:p>
          <w:p w14:paraId="4130A88C" w14:textId="7765E111" w:rsidR="00433AD3" w:rsidRPr="00433AD3" w:rsidRDefault="0059118B" w:rsidP="00E727F8">
            <w:pPr>
              <w:jc w:val="both"/>
            </w:pPr>
            <w:r>
              <w:rPr>
                <w:color w:val="FF0000"/>
              </w:rPr>
              <w:t>D</w:t>
            </w:r>
            <w:r w:rsidR="00306C25">
              <w:rPr>
                <w:color w:val="FF0000"/>
              </w:rPr>
              <w:t>eontology</w:t>
            </w:r>
            <w:r w:rsidR="00E727F8">
              <w:rPr>
                <w:color w:val="FF0000"/>
              </w:rPr>
              <w:t xml:space="preserve"> could </w:t>
            </w:r>
            <w:r w:rsidR="00306C25">
              <w:rPr>
                <w:color w:val="FF0000"/>
              </w:rPr>
              <w:t xml:space="preserve">influence </w:t>
            </w:r>
            <w:r w:rsidR="00E727F8">
              <w:rPr>
                <w:color w:val="FF0000"/>
              </w:rPr>
              <w:t xml:space="preserve">the Recruitment &amp; Selection process by encouraging fair and unbiased hiring practices, prioritising qualifications and merit over personal connections or discriminatory tendencies. </w:t>
            </w:r>
            <w:r w:rsidR="00E727F8" w:rsidRPr="00E727F8">
              <w:rPr>
                <w:color w:val="FF0000"/>
              </w:rPr>
              <w:t xml:space="preserve">By </w:t>
            </w:r>
            <w:r w:rsidR="00DD468F">
              <w:rPr>
                <w:color w:val="FF0000"/>
              </w:rPr>
              <w:t xml:space="preserve">doing so, practitioners </w:t>
            </w:r>
            <w:r w:rsidR="00E727F8" w:rsidRPr="00E727F8">
              <w:rPr>
                <w:color w:val="FF0000"/>
              </w:rPr>
              <w:t>can navigate ethical challenges with integrity and contribute to building a more just and equitable workplace</w:t>
            </w:r>
            <w:r w:rsidR="002B7165">
              <w:rPr>
                <w:color w:val="FF0000"/>
              </w:rPr>
              <w:t xml:space="preserve"> (Rees and French, 2022)</w:t>
            </w:r>
            <w:r w:rsidR="00E727F8" w:rsidRPr="00E727F8">
              <w:rPr>
                <w:color w:val="FF0000"/>
              </w:rPr>
              <w:t>.</w:t>
            </w:r>
          </w:p>
        </w:tc>
      </w:tr>
      <w:tr w:rsidR="00AE19C2" w:rsidRPr="00AE19C2" w14:paraId="0BDCABA5" w14:textId="77777777" w:rsidTr="00206C70">
        <w:tc>
          <w:tcPr>
            <w:tcW w:w="1413" w:type="dxa"/>
          </w:tcPr>
          <w:p w14:paraId="42AE25C9" w14:textId="77777777" w:rsidR="000244DC" w:rsidRPr="00A3622F" w:rsidRDefault="00AE19C2" w:rsidP="00AE19C2">
            <w:r w:rsidRPr="00A3622F">
              <w:lastRenderedPageBreak/>
              <w:t>Teleology</w:t>
            </w:r>
          </w:p>
          <w:p w14:paraId="09291787" w14:textId="77777777" w:rsidR="00AE19C2" w:rsidRPr="00AE19C2" w:rsidRDefault="00AE19C2" w:rsidP="00A3622F"/>
        </w:tc>
        <w:tc>
          <w:tcPr>
            <w:tcW w:w="7603" w:type="dxa"/>
          </w:tcPr>
          <w:p w14:paraId="6B9A87A4" w14:textId="77777777" w:rsidR="00AE19C2" w:rsidRDefault="009E47D1" w:rsidP="009E0F6B">
            <w:pPr>
              <w:jc w:val="both"/>
              <w:rPr>
                <w:color w:val="FF0000"/>
              </w:rPr>
            </w:pPr>
            <w:r>
              <w:rPr>
                <w:color w:val="FF0000"/>
              </w:rPr>
              <w:t>An o</w:t>
            </w:r>
            <w:r w:rsidR="00A3622F" w:rsidRPr="00A3622F">
              <w:rPr>
                <w:color w:val="FF0000"/>
              </w:rPr>
              <w:t>utcome-based</w:t>
            </w:r>
            <w:r w:rsidR="009E0F6B">
              <w:rPr>
                <w:color w:val="FF0000"/>
              </w:rPr>
              <w:t xml:space="preserve"> perspective</w:t>
            </w:r>
            <w:r>
              <w:rPr>
                <w:color w:val="FF0000"/>
              </w:rPr>
              <w:t xml:space="preserve">, </w:t>
            </w:r>
            <w:r w:rsidR="009E0F6B">
              <w:rPr>
                <w:color w:val="FF0000"/>
              </w:rPr>
              <w:t xml:space="preserve">it </w:t>
            </w:r>
            <w:r>
              <w:rPr>
                <w:color w:val="FF0000"/>
              </w:rPr>
              <w:t>f</w:t>
            </w:r>
            <w:r w:rsidR="00A3622F" w:rsidRPr="00A3622F">
              <w:rPr>
                <w:color w:val="FF0000"/>
              </w:rPr>
              <w:t xml:space="preserve">ocuses on the consequences of an action. </w:t>
            </w:r>
            <w:r w:rsidR="009E0F6B">
              <w:rPr>
                <w:color w:val="FF0000"/>
              </w:rPr>
              <w:t>I</w:t>
            </w:r>
            <w:r w:rsidR="006C7A94" w:rsidRPr="006C7A94">
              <w:rPr>
                <w:color w:val="FF0000"/>
              </w:rPr>
              <w:t>t adapts easily to various situations, considering the specific context</w:t>
            </w:r>
            <w:r w:rsidR="009E0F6B">
              <w:rPr>
                <w:color w:val="FF0000"/>
              </w:rPr>
              <w:t>,</w:t>
            </w:r>
            <w:r w:rsidR="006C7A94" w:rsidRPr="006C7A94">
              <w:rPr>
                <w:color w:val="FF0000"/>
              </w:rPr>
              <w:t xml:space="preserve"> potential outcomes to determine the most ethical course</w:t>
            </w:r>
            <w:r w:rsidR="009E0F6B">
              <w:rPr>
                <w:color w:val="FF0000"/>
              </w:rPr>
              <w:t xml:space="preserve">, and the impact of actions on various stakeholders. </w:t>
            </w:r>
            <w:r w:rsidR="009E0F6B" w:rsidRPr="009E0F6B">
              <w:rPr>
                <w:color w:val="FF0000"/>
              </w:rPr>
              <w:t>Some critiques of teleology argue that it can justify unethical actions if they supposedly lead to desirable outcomes. Others point out the difficulty of predicting consequences with certainty. It's important to remember that teleology is not a monolithic approach, and different theories within this framework offer varied ways to navigate these challenges.</w:t>
            </w:r>
            <w:r w:rsidR="009E0F6B">
              <w:rPr>
                <w:color w:val="FF0000"/>
              </w:rPr>
              <w:t xml:space="preserve"> </w:t>
            </w:r>
          </w:p>
          <w:p w14:paraId="08785835" w14:textId="6CE7CA26" w:rsidR="009E0F6B" w:rsidRPr="00DD468F" w:rsidRDefault="009E0F6B" w:rsidP="009E0F6B">
            <w:pPr>
              <w:jc w:val="both"/>
              <w:rPr>
                <w:color w:val="FF0000"/>
              </w:rPr>
            </w:pPr>
            <w:r>
              <w:rPr>
                <w:color w:val="FF0000"/>
              </w:rPr>
              <w:t>In the context of HR, practitioners could use this perspective in performance management, i.e., focusing on outcomes a</w:t>
            </w:r>
            <w:r w:rsidRPr="009E0F6B">
              <w:rPr>
                <w:color w:val="FF0000"/>
              </w:rPr>
              <w:t>chieved and skills developed, aligning individual goals with organi</w:t>
            </w:r>
            <w:r>
              <w:rPr>
                <w:color w:val="FF0000"/>
              </w:rPr>
              <w:t>s</w:t>
            </w:r>
            <w:r w:rsidRPr="009E0F6B">
              <w:rPr>
                <w:color w:val="FF0000"/>
              </w:rPr>
              <w:t>ational objectives</w:t>
            </w:r>
            <w:r>
              <w:rPr>
                <w:color w:val="FF0000"/>
              </w:rPr>
              <w:t xml:space="preserve"> </w:t>
            </w:r>
            <w:r w:rsidRPr="009E0F6B">
              <w:rPr>
                <w:color w:val="FF0000"/>
              </w:rPr>
              <w:t>(Snow, 2020).</w:t>
            </w:r>
          </w:p>
        </w:tc>
      </w:tr>
    </w:tbl>
    <w:p w14:paraId="3258DFF9" w14:textId="77777777" w:rsidR="00AE19C2" w:rsidRDefault="00AE19C2" w:rsidP="003C75B9">
      <w:pPr>
        <w:jc w:val="both"/>
      </w:pPr>
    </w:p>
    <w:p w14:paraId="422878E7" w14:textId="0D3B9328" w:rsidR="003C75B9" w:rsidRPr="00610C3F" w:rsidRDefault="003C75B9" w:rsidP="00610C3F">
      <w:pPr>
        <w:pStyle w:val="NormalWeb"/>
        <w:jc w:val="both"/>
      </w:pPr>
      <w:r>
        <w:t>In conclusion, E</w:t>
      </w:r>
      <w:r w:rsidR="00CC762F">
        <w:t>P</w:t>
      </w:r>
      <w:r>
        <w:t>s play a crucial role in shaping ethical behaviour and promoting a more ethical society</w:t>
      </w:r>
      <w:r w:rsidR="00DD468F">
        <w:t xml:space="preserve"> (Ovenstone, 2020)</w:t>
      </w:r>
      <w:r>
        <w:t xml:space="preserve">. </w:t>
      </w:r>
      <w:bookmarkEnd w:id="14"/>
      <w:r w:rsidRPr="00DD468F">
        <w:rPr>
          <w:strike/>
        </w:rPr>
        <w:t>They provide a framework for making informed decisions, fostering moral reasoning, and contributing to a more just and equitable world. By incorporating EPs into</w:t>
      </w:r>
      <w:r w:rsidR="001C7F93" w:rsidRPr="00DD468F">
        <w:rPr>
          <w:strike/>
        </w:rPr>
        <w:t xml:space="preserve"> </w:t>
      </w:r>
      <w:r w:rsidRPr="00DD468F">
        <w:rPr>
          <w:strike/>
        </w:rPr>
        <w:t xml:space="preserve">decision-making processes, </w:t>
      </w:r>
      <w:r w:rsidR="001C7F93" w:rsidRPr="00DD468F">
        <w:rPr>
          <w:strike/>
        </w:rPr>
        <w:t>HR practitioners</w:t>
      </w:r>
      <w:r w:rsidRPr="00DD468F">
        <w:rPr>
          <w:strike/>
        </w:rPr>
        <w:t xml:space="preserve"> can strive to make choices that are morally sound and beneficial to all (Ovenstone, 2020).</w:t>
      </w:r>
      <w:bookmarkEnd w:id="13"/>
    </w:p>
    <w:p w14:paraId="66553A93" w14:textId="25B318D3" w:rsidR="00B4150F" w:rsidRDefault="00B4150F" w:rsidP="0063647A"/>
    <w:p w14:paraId="4625C7E2" w14:textId="47489818" w:rsidR="008275FC" w:rsidRDefault="008275FC" w:rsidP="008275FC">
      <w:pPr>
        <w:pStyle w:val="Heading2"/>
        <w:rPr>
          <w:color w:val="0070C0"/>
        </w:rPr>
      </w:pPr>
      <w:bookmarkStart w:id="15" w:name="_Hlk158489060"/>
      <w:r w:rsidRPr="00C00C05">
        <w:rPr>
          <w:color w:val="0070C0"/>
        </w:rPr>
        <w:t xml:space="preserve">AC3.1 Measuring </w:t>
      </w:r>
      <w:r w:rsidR="007B3C3E" w:rsidRPr="00C00C05">
        <w:rPr>
          <w:color w:val="0070C0"/>
        </w:rPr>
        <w:t>F</w:t>
      </w:r>
      <w:r w:rsidRPr="00C00C05">
        <w:rPr>
          <w:color w:val="0070C0"/>
        </w:rPr>
        <w:t xml:space="preserve">inancial and </w:t>
      </w:r>
      <w:r w:rsidR="007B3C3E" w:rsidRPr="00C00C05">
        <w:rPr>
          <w:color w:val="0070C0"/>
        </w:rPr>
        <w:t>N</w:t>
      </w:r>
      <w:r w:rsidRPr="00C00C05">
        <w:rPr>
          <w:color w:val="0070C0"/>
        </w:rPr>
        <w:t xml:space="preserve">on-financial </w:t>
      </w:r>
      <w:r w:rsidR="007B3C3E" w:rsidRPr="00C00C05">
        <w:rPr>
          <w:color w:val="0070C0"/>
        </w:rPr>
        <w:t>P</w:t>
      </w:r>
      <w:r w:rsidRPr="00C00C05">
        <w:rPr>
          <w:color w:val="0070C0"/>
        </w:rPr>
        <w:t>erformance</w:t>
      </w:r>
    </w:p>
    <w:p w14:paraId="69F31D46" w14:textId="77777777" w:rsidR="0024794D" w:rsidRPr="0024794D" w:rsidRDefault="0024794D" w:rsidP="0024794D"/>
    <w:p w14:paraId="3119EA96" w14:textId="698761D4" w:rsidR="00DE256A" w:rsidRDefault="00DE256A" w:rsidP="00DE256A">
      <w:pPr>
        <w:jc w:val="both"/>
        <w:rPr>
          <w:color w:val="FF0000"/>
        </w:rPr>
      </w:pPr>
      <w:r w:rsidRPr="00DE256A">
        <w:rPr>
          <w:color w:val="FF0000"/>
        </w:rPr>
        <w:t>Whil</w:t>
      </w:r>
      <w:r w:rsidR="008D7488" w:rsidRPr="008D7488">
        <w:rPr>
          <w:color w:val="FF0000"/>
        </w:rPr>
        <w:t>st</w:t>
      </w:r>
      <w:r w:rsidRPr="00DE256A">
        <w:rPr>
          <w:color w:val="FF0000"/>
        </w:rPr>
        <w:t xml:space="preserve"> financial measures have long dominated performance evaluation in organi</w:t>
      </w:r>
      <w:r w:rsidR="005E3555" w:rsidRPr="008D7488">
        <w:rPr>
          <w:color w:val="FF0000"/>
        </w:rPr>
        <w:t>s</w:t>
      </w:r>
      <w:r w:rsidRPr="00DE256A">
        <w:rPr>
          <w:color w:val="FF0000"/>
        </w:rPr>
        <w:t>ations, recogni</w:t>
      </w:r>
      <w:r w:rsidR="005E3555" w:rsidRPr="008D7488">
        <w:rPr>
          <w:color w:val="FF0000"/>
        </w:rPr>
        <w:t>s</w:t>
      </w:r>
      <w:r w:rsidRPr="00DE256A">
        <w:rPr>
          <w:color w:val="FF0000"/>
        </w:rPr>
        <w:t xml:space="preserve">ing the limitations of relying solely on monetary metrics has led to the integration of non-financial measures. This </w:t>
      </w:r>
      <w:r w:rsidR="005E3555" w:rsidRPr="008D7488">
        <w:rPr>
          <w:color w:val="FF0000"/>
        </w:rPr>
        <w:t>task</w:t>
      </w:r>
      <w:r w:rsidRPr="00DE256A">
        <w:rPr>
          <w:color w:val="FF0000"/>
        </w:rPr>
        <w:t xml:space="preserve"> will appraise two different ways organi</w:t>
      </w:r>
      <w:r w:rsidR="005E3555" w:rsidRPr="008D7488">
        <w:rPr>
          <w:color w:val="FF0000"/>
        </w:rPr>
        <w:t>s</w:t>
      </w:r>
      <w:r w:rsidRPr="00DE256A">
        <w:rPr>
          <w:color w:val="FF0000"/>
        </w:rPr>
        <w:t>ations assess their performance: return on investment (ROI) and employee satisfaction.</w:t>
      </w:r>
    </w:p>
    <w:p w14:paraId="1120AB9B" w14:textId="77777777" w:rsidR="00AC6AEB" w:rsidRPr="00DE256A" w:rsidRDefault="00AC6AEB" w:rsidP="00DE256A">
      <w:pPr>
        <w:jc w:val="both"/>
        <w:rPr>
          <w:color w:val="FF0000"/>
        </w:rPr>
      </w:pPr>
    </w:p>
    <w:p w14:paraId="13138D13" w14:textId="404A0429" w:rsidR="008D7488" w:rsidRPr="008D7488" w:rsidRDefault="00DE256A" w:rsidP="005E3555">
      <w:pPr>
        <w:jc w:val="both"/>
        <w:rPr>
          <w:color w:val="FF0000"/>
        </w:rPr>
      </w:pPr>
      <w:r w:rsidRPr="00DE256A">
        <w:rPr>
          <w:color w:val="FF0000"/>
        </w:rPr>
        <w:t>ROI</w:t>
      </w:r>
      <w:r w:rsidR="005E3555" w:rsidRPr="008D7488">
        <w:rPr>
          <w:color w:val="FF0000"/>
        </w:rPr>
        <w:t xml:space="preserve"> is</w:t>
      </w:r>
      <w:r w:rsidRPr="00DE256A">
        <w:rPr>
          <w:color w:val="FF0000"/>
        </w:rPr>
        <w:t xml:space="preserve"> </w:t>
      </w:r>
      <w:r w:rsidR="005E3555" w:rsidRPr="008D7488">
        <w:rPr>
          <w:color w:val="FF0000"/>
        </w:rPr>
        <w:t>a</w:t>
      </w:r>
      <w:r w:rsidRPr="00DE256A">
        <w:rPr>
          <w:color w:val="FF0000"/>
        </w:rPr>
        <w:t xml:space="preserve"> financial metric widely used to gauge the efficiency and profitability of </w:t>
      </w:r>
      <w:r w:rsidR="005E3555" w:rsidRPr="008D7488">
        <w:rPr>
          <w:color w:val="FF0000"/>
        </w:rPr>
        <w:t xml:space="preserve">investments. It </w:t>
      </w:r>
      <w:r w:rsidRPr="00DE256A">
        <w:rPr>
          <w:color w:val="FF0000"/>
        </w:rPr>
        <w:t>compares the net monetary gain of an investment to its initial cost. For example, an organi</w:t>
      </w:r>
      <w:r w:rsidR="005E3555" w:rsidRPr="008D7488">
        <w:rPr>
          <w:color w:val="FF0000"/>
        </w:rPr>
        <w:t>s</w:t>
      </w:r>
      <w:r w:rsidRPr="00DE256A">
        <w:rPr>
          <w:color w:val="FF0000"/>
        </w:rPr>
        <w:t>ation implementing a new customer relationship management (CRM) system might calculate ROI by dividing the additional revenue generated by the CRM by its implementation cost.</w:t>
      </w:r>
      <w:r w:rsidR="005E3555" w:rsidRPr="008D7488">
        <w:rPr>
          <w:color w:val="FF0000"/>
        </w:rPr>
        <w:t xml:space="preserve"> </w:t>
      </w:r>
      <w:r w:rsidRPr="00DE256A">
        <w:rPr>
          <w:color w:val="FF0000"/>
        </w:rPr>
        <w:t>ROI offers tangible and readily quantifiable data, making it useful for decision-making and identifying areas where investments yield the highest returns</w:t>
      </w:r>
      <w:r w:rsidR="00CD65C4">
        <w:rPr>
          <w:color w:val="FF0000"/>
        </w:rPr>
        <w:t xml:space="preserve"> (Rachlin, 2019)</w:t>
      </w:r>
      <w:r w:rsidRPr="00DE256A">
        <w:rPr>
          <w:color w:val="FF0000"/>
        </w:rPr>
        <w:t xml:space="preserve">. </w:t>
      </w:r>
    </w:p>
    <w:p w14:paraId="5C2C9E33" w14:textId="77777777" w:rsidR="008D7488" w:rsidRPr="008D7488" w:rsidRDefault="00DE256A" w:rsidP="005E3555">
      <w:pPr>
        <w:jc w:val="both"/>
        <w:rPr>
          <w:color w:val="FF0000"/>
        </w:rPr>
      </w:pPr>
      <w:r w:rsidRPr="00DE256A">
        <w:rPr>
          <w:color w:val="FF0000"/>
        </w:rPr>
        <w:t>However, its limitations include</w:t>
      </w:r>
      <w:r w:rsidR="005E3555" w:rsidRPr="008D7488">
        <w:rPr>
          <w:color w:val="FF0000"/>
        </w:rPr>
        <w:t xml:space="preserve">: </w:t>
      </w:r>
    </w:p>
    <w:p w14:paraId="2FC9E737" w14:textId="6D6C763C" w:rsidR="008D7488" w:rsidRPr="008D7488" w:rsidRDefault="008D7488" w:rsidP="005E3555">
      <w:pPr>
        <w:jc w:val="both"/>
        <w:rPr>
          <w:color w:val="FF0000"/>
        </w:rPr>
      </w:pPr>
      <w:r w:rsidRPr="008D7488">
        <w:rPr>
          <w:color w:val="FF0000"/>
        </w:rPr>
        <w:t>N</w:t>
      </w:r>
      <w:r w:rsidR="00DE256A" w:rsidRPr="00DE256A">
        <w:rPr>
          <w:color w:val="FF0000"/>
        </w:rPr>
        <w:t>arrow focus</w:t>
      </w:r>
      <w:r w:rsidRPr="008D7488">
        <w:rPr>
          <w:color w:val="FF0000"/>
        </w:rPr>
        <w:t xml:space="preserve">: </w:t>
      </w:r>
      <w:r w:rsidR="00DE256A" w:rsidRPr="00DE256A">
        <w:rPr>
          <w:color w:val="FF0000"/>
        </w:rPr>
        <w:t>overlooks intangible benefits like improved customer relationships, employee morale, or brand image, which can ultimately impact financial performance</w:t>
      </w:r>
      <w:r w:rsidRPr="008D7488">
        <w:rPr>
          <w:color w:val="FF0000"/>
        </w:rPr>
        <w:t>.</w:t>
      </w:r>
    </w:p>
    <w:p w14:paraId="7DB51572" w14:textId="77777777" w:rsidR="008D7488" w:rsidRPr="008D7488" w:rsidRDefault="008D7488" w:rsidP="005E3555">
      <w:pPr>
        <w:jc w:val="both"/>
        <w:rPr>
          <w:color w:val="FF0000"/>
        </w:rPr>
      </w:pPr>
      <w:r w:rsidRPr="008D7488">
        <w:rPr>
          <w:color w:val="FF0000"/>
        </w:rPr>
        <w:t>T</w:t>
      </w:r>
      <w:r w:rsidR="00DE256A" w:rsidRPr="00DE256A">
        <w:rPr>
          <w:color w:val="FF0000"/>
        </w:rPr>
        <w:t>ime perspective: ROI often focuses on short-term returns, neglecting long-term investments with slower payoffs</w:t>
      </w:r>
      <w:r w:rsidRPr="008D7488">
        <w:rPr>
          <w:color w:val="FF0000"/>
        </w:rPr>
        <w:t>.</w:t>
      </w:r>
    </w:p>
    <w:p w14:paraId="710745AA" w14:textId="538ACE6F" w:rsidR="00DE256A" w:rsidRPr="008D7488" w:rsidRDefault="005E3555" w:rsidP="005E3555">
      <w:pPr>
        <w:jc w:val="both"/>
        <w:rPr>
          <w:color w:val="FF0000"/>
        </w:rPr>
      </w:pPr>
      <w:r w:rsidRPr="008D7488">
        <w:rPr>
          <w:color w:val="FF0000"/>
        </w:rPr>
        <w:t xml:space="preserve"> </w:t>
      </w:r>
      <w:r w:rsidR="008D7488" w:rsidRPr="008D7488">
        <w:rPr>
          <w:color w:val="FF0000"/>
        </w:rPr>
        <w:t>S</w:t>
      </w:r>
      <w:r w:rsidR="00DE256A" w:rsidRPr="00DE256A">
        <w:rPr>
          <w:color w:val="FF0000"/>
        </w:rPr>
        <w:t>ubjectivity</w:t>
      </w:r>
      <w:r w:rsidR="008D7488" w:rsidRPr="008D7488">
        <w:rPr>
          <w:color w:val="FF0000"/>
        </w:rPr>
        <w:t xml:space="preserve">: </w:t>
      </w:r>
      <w:r w:rsidRPr="008D7488">
        <w:rPr>
          <w:color w:val="FF0000"/>
        </w:rPr>
        <w:t>d</w:t>
      </w:r>
      <w:r w:rsidR="00DE256A" w:rsidRPr="00DE256A">
        <w:rPr>
          <w:color w:val="FF0000"/>
        </w:rPr>
        <w:t>efining and measuring certain costs and benefits can be subjective, leading to inconsistencies in interpretation.</w:t>
      </w:r>
    </w:p>
    <w:p w14:paraId="2DE8B187" w14:textId="77777777" w:rsidR="005E3555" w:rsidRPr="00DE256A" w:rsidRDefault="005E3555" w:rsidP="005E3555">
      <w:pPr>
        <w:jc w:val="both"/>
        <w:rPr>
          <w:color w:val="FF0000"/>
        </w:rPr>
      </w:pPr>
    </w:p>
    <w:p w14:paraId="3F08783A" w14:textId="725F3FEC" w:rsidR="00DE256A" w:rsidRPr="00DE256A" w:rsidRDefault="00DE256A" w:rsidP="00DE256A">
      <w:pPr>
        <w:jc w:val="both"/>
        <w:rPr>
          <w:color w:val="FF0000"/>
        </w:rPr>
      </w:pPr>
      <w:r w:rsidRPr="00DE256A">
        <w:rPr>
          <w:color w:val="FF0000"/>
        </w:rPr>
        <w:t>Employee Satisfaction</w:t>
      </w:r>
      <w:r w:rsidR="005E3555" w:rsidRPr="008D7488">
        <w:rPr>
          <w:color w:val="FF0000"/>
        </w:rPr>
        <w:t xml:space="preserve"> is</w:t>
      </w:r>
      <w:r w:rsidRPr="00DE256A">
        <w:rPr>
          <w:color w:val="FF0000"/>
        </w:rPr>
        <w:t xml:space="preserve"> </w:t>
      </w:r>
      <w:r w:rsidR="005E3555" w:rsidRPr="008D7488">
        <w:rPr>
          <w:color w:val="FF0000"/>
        </w:rPr>
        <w:t>a</w:t>
      </w:r>
      <w:r w:rsidRPr="00DE256A">
        <w:rPr>
          <w:color w:val="FF0000"/>
        </w:rPr>
        <w:t xml:space="preserve"> non-financial metric gauging employees' contentment and engagement with their work. It can be measured through surveys, pulse checks, exit interviews, and other feedback mechanisms. For example, an organi</w:t>
      </w:r>
      <w:r w:rsidR="005E3555" w:rsidRPr="008D7488">
        <w:rPr>
          <w:color w:val="FF0000"/>
        </w:rPr>
        <w:t>s</w:t>
      </w:r>
      <w:r w:rsidRPr="00DE256A">
        <w:rPr>
          <w:color w:val="FF0000"/>
        </w:rPr>
        <w:t>ation might track its employee satisfaction score, a composite metric derived from various survey questions</w:t>
      </w:r>
      <w:r w:rsidR="00D771C7">
        <w:rPr>
          <w:color w:val="FF0000"/>
        </w:rPr>
        <w:t xml:space="preserve"> (Yaneva, 2021)</w:t>
      </w:r>
      <w:r w:rsidRPr="00DE256A">
        <w:rPr>
          <w:color w:val="FF0000"/>
        </w:rPr>
        <w:t>.</w:t>
      </w:r>
    </w:p>
    <w:p w14:paraId="54244993" w14:textId="4788692D" w:rsidR="005E3555" w:rsidRPr="008D7488" w:rsidRDefault="005E3555" w:rsidP="005E3555">
      <w:pPr>
        <w:jc w:val="both"/>
        <w:rPr>
          <w:color w:val="FF0000"/>
        </w:rPr>
      </w:pPr>
      <w:r w:rsidRPr="008D7488">
        <w:rPr>
          <w:color w:val="FF0000"/>
        </w:rPr>
        <w:t>Although this measure</w:t>
      </w:r>
      <w:r w:rsidR="00DE256A" w:rsidRPr="00DE256A">
        <w:rPr>
          <w:color w:val="FF0000"/>
        </w:rPr>
        <w:t xml:space="preserve"> offers valuable insights into the organi</w:t>
      </w:r>
      <w:r w:rsidRPr="008D7488">
        <w:rPr>
          <w:color w:val="FF0000"/>
        </w:rPr>
        <w:t>s</w:t>
      </w:r>
      <w:r w:rsidR="00DE256A" w:rsidRPr="00DE256A">
        <w:rPr>
          <w:color w:val="FF0000"/>
        </w:rPr>
        <w:t>ational culture, employee commitment, and potential productivity levels</w:t>
      </w:r>
      <w:r w:rsidRPr="008D7488">
        <w:rPr>
          <w:color w:val="FF0000"/>
        </w:rPr>
        <w:t>, it has its limitations</w:t>
      </w:r>
      <w:r w:rsidR="008D7488" w:rsidRPr="008D7488">
        <w:rPr>
          <w:color w:val="FF0000"/>
        </w:rPr>
        <w:t>:</w:t>
      </w:r>
    </w:p>
    <w:p w14:paraId="6CEABD3A" w14:textId="5F9F9EA5" w:rsidR="00DE256A" w:rsidRPr="00DE256A" w:rsidRDefault="005E3555" w:rsidP="005E3555">
      <w:pPr>
        <w:jc w:val="both"/>
        <w:rPr>
          <w:color w:val="FF0000"/>
        </w:rPr>
      </w:pPr>
      <w:r w:rsidRPr="008D7488">
        <w:rPr>
          <w:color w:val="FF0000"/>
        </w:rPr>
        <w:t>Causality: w</w:t>
      </w:r>
      <w:r w:rsidR="00DE256A" w:rsidRPr="00DE256A">
        <w:rPr>
          <w:color w:val="FF0000"/>
        </w:rPr>
        <w:t>hile dissatisfaction might correlate with reduced performance, it</w:t>
      </w:r>
      <w:r w:rsidRPr="008D7488">
        <w:rPr>
          <w:color w:val="FF0000"/>
        </w:rPr>
        <w:t xml:space="preserve"> is</w:t>
      </w:r>
      <w:r w:rsidR="00DE256A" w:rsidRPr="00DE256A">
        <w:rPr>
          <w:color w:val="FF0000"/>
        </w:rPr>
        <w:t xml:space="preserve"> not always a direct cause</w:t>
      </w:r>
      <w:r w:rsidR="00D771C7">
        <w:rPr>
          <w:color w:val="FF0000"/>
        </w:rPr>
        <w:t xml:space="preserve"> as</w:t>
      </w:r>
      <w:r w:rsidR="00DE256A" w:rsidRPr="00DE256A">
        <w:rPr>
          <w:color w:val="FF0000"/>
        </w:rPr>
        <w:t xml:space="preserve"> </w:t>
      </w:r>
      <w:r w:rsidR="00D771C7">
        <w:rPr>
          <w:color w:val="FF0000"/>
        </w:rPr>
        <w:t>e</w:t>
      </w:r>
      <w:r w:rsidR="00DE256A" w:rsidRPr="00DE256A">
        <w:rPr>
          <w:color w:val="FF0000"/>
        </w:rPr>
        <w:t>xternal factors and individual differences can influence results.</w:t>
      </w:r>
    </w:p>
    <w:p w14:paraId="046A399C" w14:textId="03E1DF99" w:rsidR="00DE256A" w:rsidRPr="00DE256A" w:rsidRDefault="00DE256A" w:rsidP="005E3555">
      <w:pPr>
        <w:jc w:val="both"/>
        <w:rPr>
          <w:color w:val="FF0000"/>
        </w:rPr>
      </w:pPr>
      <w:r w:rsidRPr="00DE256A">
        <w:rPr>
          <w:color w:val="FF0000"/>
        </w:rPr>
        <w:lastRenderedPageBreak/>
        <w:t>Actionable insights:</w:t>
      </w:r>
      <w:r w:rsidR="005E3555" w:rsidRPr="008D7488">
        <w:rPr>
          <w:color w:val="FF0000"/>
        </w:rPr>
        <w:t xml:space="preserve"> t</w:t>
      </w:r>
      <w:r w:rsidRPr="00DE256A">
        <w:rPr>
          <w:color w:val="FF0000"/>
        </w:rPr>
        <w:t>ransforming satisfaction data into actionable strategies requires careful analysis and understanding of underlying causes.</w:t>
      </w:r>
    </w:p>
    <w:p w14:paraId="7A30B98F" w14:textId="4518B2EB" w:rsidR="00DE256A" w:rsidRDefault="00DE256A" w:rsidP="005E3555">
      <w:pPr>
        <w:jc w:val="both"/>
        <w:rPr>
          <w:color w:val="FF0000"/>
        </w:rPr>
      </w:pPr>
      <w:r w:rsidRPr="00DE256A">
        <w:rPr>
          <w:color w:val="FF0000"/>
        </w:rPr>
        <w:t xml:space="preserve">Benchmarks: </w:t>
      </w:r>
      <w:r w:rsidR="005E3555" w:rsidRPr="008D7488">
        <w:rPr>
          <w:color w:val="FF0000"/>
        </w:rPr>
        <w:t>c</w:t>
      </w:r>
      <w:r w:rsidRPr="00DE256A">
        <w:rPr>
          <w:color w:val="FF0000"/>
        </w:rPr>
        <w:t>omparing satisfaction across organi</w:t>
      </w:r>
      <w:r w:rsidR="00D771C7">
        <w:rPr>
          <w:color w:val="FF0000"/>
        </w:rPr>
        <w:t>s</w:t>
      </w:r>
      <w:r w:rsidRPr="00DE256A">
        <w:rPr>
          <w:color w:val="FF0000"/>
        </w:rPr>
        <w:t>ations can be challenging due to differing methodologies and industry variations</w:t>
      </w:r>
      <w:r w:rsidR="00D771C7">
        <w:rPr>
          <w:color w:val="FF0000"/>
        </w:rPr>
        <w:t xml:space="preserve"> (</w:t>
      </w:r>
      <w:proofErr w:type="spellStart"/>
      <w:r w:rsidR="00D771C7" w:rsidRPr="00D771C7">
        <w:rPr>
          <w:color w:val="FF0000"/>
        </w:rPr>
        <w:t>Avgoustaki</w:t>
      </w:r>
      <w:proofErr w:type="spellEnd"/>
      <w:r w:rsidR="00D771C7">
        <w:rPr>
          <w:color w:val="FF0000"/>
        </w:rPr>
        <w:t xml:space="preserve"> and </w:t>
      </w:r>
      <w:proofErr w:type="spellStart"/>
      <w:r w:rsidR="00D771C7" w:rsidRPr="00D771C7">
        <w:rPr>
          <w:color w:val="FF0000"/>
        </w:rPr>
        <w:t>Frankort</w:t>
      </w:r>
      <w:proofErr w:type="spellEnd"/>
      <w:r w:rsidR="00D771C7">
        <w:rPr>
          <w:color w:val="FF0000"/>
        </w:rPr>
        <w:t>, 2022).</w:t>
      </w:r>
    </w:p>
    <w:p w14:paraId="39D14BE4" w14:textId="77777777" w:rsidR="008144B5" w:rsidRPr="00DE256A" w:rsidRDefault="008144B5" w:rsidP="005E3555">
      <w:pPr>
        <w:jc w:val="both"/>
        <w:rPr>
          <w:color w:val="FF0000"/>
        </w:rPr>
      </w:pPr>
    </w:p>
    <w:p w14:paraId="02C7809B" w14:textId="43C54186" w:rsidR="00DE256A" w:rsidRPr="00DE256A" w:rsidRDefault="00DE256A" w:rsidP="00DE256A">
      <w:pPr>
        <w:jc w:val="both"/>
        <w:rPr>
          <w:color w:val="FF0000"/>
        </w:rPr>
      </w:pPr>
      <w:r w:rsidRPr="00DE256A">
        <w:rPr>
          <w:color w:val="FF0000"/>
        </w:rPr>
        <w:t xml:space="preserve">Neither ROI nor employee satisfaction alone </w:t>
      </w:r>
      <w:r w:rsidR="00F717E5">
        <w:rPr>
          <w:color w:val="FF0000"/>
        </w:rPr>
        <w:t>draws</w:t>
      </w:r>
      <w:r w:rsidRPr="00DE256A">
        <w:rPr>
          <w:color w:val="FF0000"/>
        </w:rPr>
        <w:t xml:space="preserve"> a complete picture of organi</w:t>
      </w:r>
      <w:r w:rsidR="005E3555" w:rsidRPr="008D7488">
        <w:rPr>
          <w:color w:val="FF0000"/>
        </w:rPr>
        <w:t>s</w:t>
      </w:r>
      <w:r w:rsidRPr="00DE256A">
        <w:rPr>
          <w:color w:val="FF0000"/>
        </w:rPr>
        <w:t>ational performance. A balanced approach is key, using both financial and non-financial metrics to understand the organi</w:t>
      </w:r>
      <w:r w:rsidR="005E3555" w:rsidRPr="008D7488">
        <w:rPr>
          <w:color w:val="FF0000"/>
        </w:rPr>
        <w:t>s</w:t>
      </w:r>
      <w:r w:rsidRPr="00DE256A">
        <w:rPr>
          <w:color w:val="FF0000"/>
        </w:rPr>
        <w:t>ation's health comprehensively</w:t>
      </w:r>
      <w:r w:rsidR="008144B5">
        <w:rPr>
          <w:color w:val="FF0000"/>
        </w:rPr>
        <w:t xml:space="preserve"> (Cox, 2023)</w:t>
      </w:r>
      <w:r w:rsidRPr="00DE256A">
        <w:rPr>
          <w:color w:val="FF0000"/>
        </w:rPr>
        <w:t>. Recogni</w:t>
      </w:r>
      <w:r w:rsidR="005E3555" w:rsidRPr="008D7488">
        <w:rPr>
          <w:color w:val="FF0000"/>
        </w:rPr>
        <w:t>s</w:t>
      </w:r>
      <w:r w:rsidRPr="00DE256A">
        <w:rPr>
          <w:color w:val="FF0000"/>
        </w:rPr>
        <w:t>ing that true performance goes beyond the bottom line</w:t>
      </w:r>
      <w:r w:rsidR="008D7488" w:rsidRPr="008D7488">
        <w:rPr>
          <w:color w:val="FF0000"/>
        </w:rPr>
        <w:t>,</w:t>
      </w:r>
      <w:r w:rsidRPr="00DE256A">
        <w:rPr>
          <w:color w:val="FF0000"/>
        </w:rPr>
        <w:t xml:space="preserve"> allows</w:t>
      </w:r>
      <w:r w:rsidR="008D7488" w:rsidRPr="008D7488">
        <w:rPr>
          <w:color w:val="FF0000"/>
        </w:rPr>
        <w:t xml:space="preserve"> them</w:t>
      </w:r>
      <w:r w:rsidRPr="00DE256A">
        <w:rPr>
          <w:color w:val="FF0000"/>
        </w:rPr>
        <w:t xml:space="preserve"> to foster a sustainable and successful future where financial success intersects with employee well-being and societal impact.</w:t>
      </w:r>
    </w:p>
    <w:p w14:paraId="77E04E42" w14:textId="77777777" w:rsidR="007C520C" w:rsidRPr="008D7488" w:rsidRDefault="007C520C" w:rsidP="007C520C">
      <w:pPr>
        <w:jc w:val="both"/>
        <w:rPr>
          <w:color w:val="FF0000"/>
        </w:rPr>
      </w:pPr>
    </w:p>
    <w:p w14:paraId="3AEB12C9" w14:textId="77777777" w:rsidR="00D1713D" w:rsidRPr="00D1713D" w:rsidRDefault="00D1713D" w:rsidP="00D1713D"/>
    <w:p w14:paraId="78B5960F" w14:textId="5D71B8D7" w:rsidR="00C00C05" w:rsidRPr="00C00C05" w:rsidRDefault="00C00C05" w:rsidP="00C00C05">
      <w:pPr>
        <w:rPr>
          <w:b/>
          <w:bCs/>
        </w:rPr>
      </w:pPr>
    </w:p>
    <w:p w14:paraId="5DC62AF7" w14:textId="1A1613DB" w:rsidR="008275FC" w:rsidRDefault="008275FC" w:rsidP="00C00C05">
      <w:pPr>
        <w:pStyle w:val="Heading2"/>
      </w:pPr>
      <w:bookmarkStart w:id="16" w:name="_Hlk153224807"/>
      <w:r w:rsidRPr="00C00C05">
        <w:t xml:space="preserve">AC3.2 People </w:t>
      </w:r>
      <w:r w:rsidR="007B3C3E" w:rsidRPr="00C00C05">
        <w:t>P</w:t>
      </w:r>
      <w:r w:rsidRPr="00C00C05">
        <w:t xml:space="preserve">ractices: </w:t>
      </w:r>
      <w:r w:rsidR="007B3C3E" w:rsidRPr="00C00C05">
        <w:t>A</w:t>
      </w:r>
      <w:r w:rsidRPr="00C00C05">
        <w:t xml:space="preserve">dding </w:t>
      </w:r>
      <w:r w:rsidR="007B3C3E" w:rsidRPr="00C00C05">
        <w:t>V</w:t>
      </w:r>
      <w:r w:rsidRPr="00C00C05">
        <w:t xml:space="preserve">alue and </w:t>
      </w:r>
      <w:r w:rsidR="007B3C3E" w:rsidRPr="00C00C05">
        <w:t>M</w:t>
      </w:r>
      <w:r w:rsidRPr="00C00C05">
        <w:t>easuring</w:t>
      </w:r>
      <w:r w:rsidR="007B3C3E" w:rsidRPr="00C00C05">
        <w:t xml:space="preserve"> I</w:t>
      </w:r>
      <w:r w:rsidRPr="00C00C05">
        <w:t>mpact</w:t>
      </w:r>
    </w:p>
    <w:p w14:paraId="1C0E7AB1" w14:textId="77777777" w:rsidR="007C520C" w:rsidRDefault="007C520C" w:rsidP="007C520C"/>
    <w:bookmarkEnd w:id="16"/>
    <w:p w14:paraId="5931CE5B" w14:textId="3EA68345" w:rsidR="00FC049F" w:rsidRPr="0039018E" w:rsidRDefault="00AC6AEB" w:rsidP="00AC6AEB">
      <w:pPr>
        <w:jc w:val="both"/>
        <w:rPr>
          <w:color w:val="FF0000"/>
        </w:rPr>
      </w:pPr>
      <w:r w:rsidRPr="00AC6AEB">
        <w:rPr>
          <w:color w:val="FF0000"/>
        </w:rPr>
        <w:t>Traditionally, organi</w:t>
      </w:r>
      <w:r>
        <w:rPr>
          <w:color w:val="FF0000"/>
        </w:rPr>
        <w:t>s</w:t>
      </w:r>
      <w:r w:rsidRPr="00AC6AEB">
        <w:rPr>
          <w:color w:val="FF0000"/>
        </w:rPr>
        <w:t>ational success has been measured by financial metrics like profit margins and shareholder value. However, a growing recognition of the crucial role people</w:t>
      </w:r>
      <w:r w:rsidR="000D5C9D">
        <w:rPr>
          <w:color w:val="FF0000"/>
        </w:rPr>
        <w:t xml:space="preserve"> </w:t>
      </w:r>
      <w:r w:rsidRPr="00AC6AEB">
        <w:rPr>
          <w:color w:val="FF0000"/>
        </w:rPr>
        <w:t xml:space="preserve">play in achieving these outcomes has shifted the focus towards </w:t>
      </w:r>
      <w:r w:rsidRPr="0039018E">
        <w:rPr>
          <w:color w:val="FF0000"/>
        </w:rPr>
        <w:t>p</w:t>
      </w:r>
      <w:r w:rsidR="000D5C9D" w:rsidRPr="0039018E">
        <w:rPr>
          <w:color w:val="FF0000"/>
        </w:rPr>
        <w:t xml:space="preserve">ractitioners </w:t>
      </w:r>
      <w:r w:rsidRPr="0039018E">
        <w:rPr>
          <w:color w:val="FF0000"/>
        </w:rPr>
        <w:t>and processes used to</w:t>
      </w:r>
      <w:r w:rsidR="000D5C9D" w:rsidRPr="0039018E">
        <w:rPr>
          <w:color w:val="FF0000"/>
        </w:rPr>
        <w:t xml:space="preserve"> add value by </w:t>
      </w:r>
      <w:r w:rsidR="00FC049F" w:rsidRPr="0039018E">
        <w:rPr>
          <w:color w:val="FF0000"/>
        </w:rPr>
        <w:t>investing in strategies that improve your workforce's skills, motivation, and well-being, leading to tangible benefits like increased productivity, reduced turnover, and enhanced customer satisfaction</w:t>
      </w:r>
      <w:r w:rsidR="000D5C9D" w:rsidRPr="0039018E">
        <w:rPr>
          <w:color w:val="FF0000"/>
        </w:rPr>
        <w:t xml:space="preserve"> (Taylor and Woodhams, 2016)</w:t>
      </w:r>
      <w:r w:rsidR="00FC049F" w:rsidRPr="0039018E">
        <w:rPr>
          <w:color w:val="FF0000"/>
        </w:rPr>
        <w:t>.</w:t>
      </w:r>
    </w:p>
    <w:p w14:paraId="49CA353A" w14:textId="4F21A7DE" w:rsidR="00AC6AEB" w:rsidRPr="0039018E" w:rsidRDefault="00AC6AEB" w:rsidP="00AC6AEB">
      <w:pPr>
        <w:jc w:val="both"/>
        <w:rPr>
          <w:color w:val="FF0000"/>
        </w:rPr>
      </w:pPr>
      <w:r w:rsidRPr="0039018E">
        <w:rPr>
          <w:color w:val="FF0000"/>
        </w:rPr>
        <w:t>Yet, accurately measuring the impact of these practices remains a challenge. This task explores two valuable tools: cost-benefit analysis (CBA) and engagement surveys, analysing their strengths and limitations, and demonstrating how combining them can offer a more holistic understanding of people practice effectiveness.</w:t>
      </w:r>
    </w:p>
    <w:p w14:paraId="5BACFA54" w14:textId="01079B12" w:rsidR="00AC6AEB" w:rsidRPr="0039018E" w:rsidRDefault="00AC6AEB" w:rsidP="00AC6AEB">
      <w:pPr>
        <w:jc w:val="both"/>
        <w:rPr>
          <w:color w:val="FF0000"/>
        </w:rPr>
      </w:pPr>
      <w:r w:rsidRPr="0039018E">
        <w:rPr>
          <w:color w:val="FF0000"/>
        </w:rPr>
        <w:t>Quantifying the financial impact of people practices, CBA sheds light on their direct and indirect costs and benefits. Direct benefits like increased productivity and reduced turnover offer clear-cut metrics, while indirect benefits such as improved customer satisfaction and employer brand require careful estimation. While challenges lie in attributing causality and quantifying intangibles, CBA provides valuable insights into the financial viability and return on investment</w:t>
      </w:r>
      <w:r w:rsidR="00F717E5">
        <w:rPr>
          <w:color w:val="FF0000"/>
        </w:rPr>
        <w:t xml:space="preserve"> </w:t>
      </w:r>
      <w:r w:rsidRPr="0039018E">
        <w:rPr>
          <w:color w:val="FF0000"/>
        </w:rPr>
        <w:t>of specific practices</w:t>
      </w:r>
      <w:r w:rsidR="00FC049F" w:rsidRPr="0039018E">
        <w:rPr>
          <w:color w:val="FF0000"/>
        </w:rPr>
        <w:t xml:space="preserve"> (CIPD, 2023)</w:t>
      </w:r>
      <w:r w:rsidRPr="0039018E">
        <w:rPr>
          <w:color w:val="FF0000"/>
        </w:rPr>
        <w:t>.</w:t>
      </w:r>
    </w:p>
    <w:p w14:paraId="20FC6A66" w14:textId="77777777" w:rsidR="00AC6AEB" w:rsidRDefault="00AC6AEB" w:rsidP="00AC6AEB">
      <w:pPr>
        <w:jc w:val="both"/>
        <w:rPr>
          <w:b/>
          <w:bCs/>
          <w:color w:val="FF0000"/>
        </w:rPr>
      </w:pPr>
    </w:p>
    <w:p w14:paraId="160C4C66" w14:textId="5AFC1857" w:rsidR="00AC6AEB" w:rsidRPr="00AC6AEB" w:rsidRDefault="00AC6AEB" w:rsidP="00AC6AEB">
      <w:pPr>
        <w:jc w:val="both"/>
        <w:rPr>
          <w:color w:val="FF0000"/>
        </w:rPr>
      </w:pPr>
      <w:r w:rsidRPr="00AC6AEB">
        <w:rPr>
          <w:color w:val="FF0000"/>
        </w:rPr>
        <w:t>Unlike the objective data of CBA, engagement surveys capture valuable qualitative information through employee feedback. Regularly conducted surveys track trends in employee satisfaction, motivation, and commitment, offering insights into how employees experience different practices. By correlating survey results with business outcomes, organi</w:t>
      </w:r>
      <w:r w:rsidR="00FC049F">
        <w:rPr>
          <w:color w:val="FF0000"/>
        </w:rPr>
        <w:t>s</w:t>
      </w:r>
      <w:r w:rsidRPr="00AC6AEB">
        <w:rPr>
          <w:color w:val="FF0000"/>
        </w:rPr>
        <w:t>ations can gauge the effectiveness of these practices and identify areas for improvement. However, self-reporting bias and potential low response rates necessitate careful survey design and interpretation</w:t>
      </w:r>
      <w:r w:rsidR="000D5C9D">
        <w:rPr>
          <w:color w:val="FF0000"/>
        </w:rPr>
        <w:t xml:space="preserve"> (Yaneva, 2021)</w:t>
      </w:r>
      <w:r w:rsidRPr="00AC6AEB">
        <w:rPr>
          <w:color w:val="FF0000"/>
        </w:rPr>
        <w:t>.</w:t>
      </w:r>
    </w:p>
    <w:p w14:paraId="70DB9D66" w14:textId="2F826C01" w:rsidR="00AC6AEB" w:rsidRPr="00AC6AEB" w:rsidRDefault="00AC6AEB" w:rsidP="00AC6AEB">
      <w:pPr>
        <w:jc w:val="both"/>
        <w:rPr>
          <w:color w:val="FF0000"/>
        </w:rPr>
      </w:pPr>
    </w:p>
    <w:p w14:paraId="343242AC" w14:textId="1D2355B8" w:rsidR="00AC6AEB" w:rsidRPr="00AC6AEB" w:rsidRDefault="00AC6AEB" w:rsidP="00AC6AEB">
      <w:pPr>
        <w:jc w:val="both"/>
        <w:rPr>
          <w:color w:val="FF0000"/>
        </w:rPr>
      </w:pPr>
      <w:r w:rsidRPr="00AC6AEB">
        <w:rPr>
          <w:color w:val="FF0000"/>
        </w:rPr>
        <w:t>Whil</w:t>
      </w:r>
      <w:r>
        <w:rPr>
          <w:color w:val="FF0000"/>
        </w:rPr>
        <w:t>st</w:t>
      </w:r>
      <w:r w:rsidRPr="00AC6AEB">
        <w:rPr>
          <w:color w:val="FF0000"/>
        </w:rPr>
        <w:t xml:space="preserve"> both CBA and engagement surveys offer valuable insights, their true potential lies in their synergy. CBA validates the cost-effectiveness of practices shown to improve productivity through surveys. Additionally, surveys unveil employee experiences with specific practices, informing further refinement and ensuring financial investments translate to positive employee experiences. Ultimately, this combined approach </w:t>
      </w:r>
      <w:r w:rsidR="00F717E5">
        <w:rPr>
          <w:color w:val="FF0000"/>
        </w:rPr>
        <w:t>exhibits</w:t>
      </w:r>
      <w:r w:rsidRPr="00AC6AEB">
        <w:rPr>
          <w:color w:val="FF0000"/>
        </w:rPr>
        <w:t xml:space="preserve"> a more complete picture, demonstrating the financial impact of people practices while incorporating crucial human capital considerations.</w:t>
      </w:r>
    </w:p>
    <w:bookmarkEnd w:id="15"/>
    <w:p w14:paraId="7A512033" w14:textId="77777777" w:rsidR="006E7AF5" w:rsidRPr="00AC6AEB" w:rsidRDefault="006E7AF5" w:rsidP="00AC6AEB">
      <w:pPr>
        <w:jc w:val="both"/>
        <w:rPr>
          <w:color w:val="FF0000"/>
        </w:rPr>
      </w:pPr>
    </w:p>
    <w:p w14:paraId="79CAE180" w14:textId="2B6C0E05" w:rsidR="0081102B" w:rsidRDefault="0081102B" w:rsidP="0081102B">
      <w:pPr>
        <w:pStyle w:val="Heading1"/>
      </w:pPr>
      <w:bookmarkStart w:id="17" w:name="_Hlk158656448"/>
      <w:r>
        <w:lastRenderedPageBreak/>
        <w:t>Evidence-Based Practice Report: Section Two</w:t>
      </w:r>
    </w:p>
    <w:p w14:paraId="45DEC033" w14:textId="77777777" w:rsidR="00930765" w:rsidRPr="00930765" w:rsidRDefault="00930765" w:rsidP="00930765"/>
    <w:p w14:paraId="768553BF" w14:textId="0926D3B9" w:rsidR="0081102B" w:rsidRDefault="0081102B" w:rsidP="00F76C95">
      <w:pPr>
        <w:jc w:val="both"/>
      </w:pPr>
      <w:r>
        <w:t>Section Two of the report will address the analysis review of both quantitative and qualitative data provided</w:t>
      </w:r>
      <w:r w:rsidR="007B3C3E">
        <w:t>, highlighting the key findings and the recommendations that can be made when evaluating potential solutions.</w:t>
      </w:r>
    </w:p>
    <w:p w14:paraId="4BF2C6AE" w14:textId="77777777" w:rsidR="00E34244" w:rsidRPr="0081102B" w:rsidRDefault="00E34244" w:rsidP="00F76C95">
      <w:pPr>
        <w:jc w:val="both"/>
      </w:pPr>
    </w:p>
    <w:p w14:paraId="6E69B078" w14:textId="1CBFC0E8" w:rsidR="0081102B" w:rsidRDefault="0081102B" w:rsidP="0081102B">
      <w:pPr>
        <w:pStyle w:val="Heading2"/>
      </w:pPr>
      <w:r>
        <w:t>AC2.1</w:t>
      </w:r>
      <w:r w:rsidR="007B3C3E">
        <w:t xml:space="preserve"> </w:t>
      </w:r>
      <w:r w:rsidR="00C53532">
        <w:t>Interpretation of analytical data</w:t>
      </w:r>
    </w:p>
    <w:p w14:paraId="39B0757F" w14:textId="77777777" w:rsidR="00C73F6C" w:rsidRDefault="00C73F6C" w:rsidP="00C73F6C"/>
    <w:p w14:paraId="0D144E44" w14:textId="0AF2117C" w:rsidR="00C73F6C" w:rsidRDefault="00D32D66" w:rsidP="004171C9">
      <w:pPr>
        <w:jc w:val="both"/>
        <w:rPr>
          <w:color w:val="FF0000"/>
        </w:rPr>
      </w:pPr>
      <w:r w:rsidRPr="004171C9">
        <w:rPr>
          <w:color w:val="FF0000"/>
        </w:rPr>
        <w:t>Chart</w:t>
      </w:r>
      <w:r w:rsidR="00183EDA" w:rsidRPr="004171C9">
        <w:rPr>
          <w:color w:val="FF0000"/>
        </w:rPr>
        <w:t xml:space="preserve"> </w:t>
      </w:r>
      <w:r w:rsidRPr="004171C9">
        <w:rPr>
          <w:color w:val="FF0000"/>
        </w:rPr>
        <w:t xml:space="preserve">1: </w:t>
      </w:r>
      <w:r w:rsidR="00C73F6C" w:rsidRPr="004171C9">
        <w:rPr>
          <w:color w:val="FF0000"/>
        </w:rPr>
        <w:t>The organisation has a majority male workforce (54%), female representation is also significant (45%)</w:t>
      </w:r>
      <w:r w:rsidR="000B44FB" w:rsidRPr="004171C9">
        <w:rPr>
          <w:color w:val="FF0000"/>
        </w:rPr>
        <w:t xml:space="preserve"> and non-binary individuals represent a small percentage (1%).</w:t>
      </w:r>
    </w:p>
    <w:p w14:paraId="2A926CA7" w14:textId="77777777" w:rsidR="00CD0C7B" w:rsidRPr="004171C9" w:rsidRDefault="00CD0C7B" w:rsidP="004171C9">
      <w:pPr>
        <w:jc w:val="both"/>
        <w:rPr>
          <w:color w:val="FF0000"/>
        </w:rPr>
      </w:pPr>
    </w:p>
    <w:p w14:paraId="6F3561CE" w14:textId="352F776A" w:rsidR="006B4E65" w:rsidRDefault="007E61A3" w:rsidP="00C53532">
      <w:pPr>
        <w:rPr>
          <w:color w:val="FFFFFF" w:themeColor="background1"/>
          <w14:textFill>
            <w14:noFill/>
          </w14:textFill>
        </w:rPr>
      </w:pPr>
      <w:r>
        <w:rPr>
          <w:noProof/>
          <w14:ligatures w14:val="standardContextual"/>
        </w:rPr>
        <w:drawing>
          <wp:inline distT="0" distB="0" distL="0" distR="0" wp14:anchorId="7904FF49" wp14:editId="73BAF3F4">
            <wp:extent cx="5824220" cy="2115046"/>
            <wp:effectExtent l="0" t="0" r="5080" b="0"/>
            <wp:docPr id="1030396740"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2144ED9" w14:textId="18E48F52" w:rsidR="006B4E65" w:rsidRDefault="006B4E65" w:rsidP="00C53532">
      <w:pPr>
        <w:rPr>
          <w:color w:val="FFFFFF" w:themeColor="background1"/>
          <w14:textFill>
            <w14:noFill/>
          </w14:textFill>
        </w:rPr>
      </w:pPr>
    </w:p>
    <w:p w14:paraId="4C220365" w14:textId="27D91833" w:rsidR="00F20EC3" w:rsidRDefault="00D32D66" w:rsidP="00C53532">
      <w:pPr>
        <w:rPr>
          <w:color w:val="FFFFFF" w:themeColor="background1"/>
          <w14:textFill>
            <w14:noFill/>
          </w14:textFill>
        </w:rPr>
      </w:pPr>
      <w:r>
        <w:rPr>
          <w:color w:val="FFFFFF" w:themeColor="background1"/>
          <w14:textFill>
            <w14:noFill/>
          </w14:textFill>
        </w:rPr>
        <w:t>Cha</w:t>
      </w:r>
    </w:p>
    <w:p w14:paraId="2D8E4A2C" w14:textId="46C0509A" w:rsidR="00CD0C7B" w:rsidRDefault="00D32D66" w:rsidP="007E61A3">
      <w:pPr>
        <w:pStyle w:val="NormalWeb"/>
        <w:spacing w:before="0" w:beforeAutospacing="0" w:after="0" w:afterAutospacing="0"/>
        <w:jc w:val="both"/>
        <w:rPr>
          <w:color w:val="FF0000"/>
        </w:rPr>
      </w:pPr>
      <w:r w:rsidRPr="004171C9">
        <w:rPr>
          <w:rStyle w:val="Strong"/>
          <w:b w:val="0"/>
          <w:bCs w:val="0"/>
          <w:color w:val="FF0000"/>
        </w:rPr>
        <w:t>Chart 2:</w:t>
      </w:r>
      <w:r w:rsidRPr="004171C9">
        <w:rPr>
          <w:rStyle w:val="Strong"/>
          <w:color w:val="FF0000"/>
        </w:rPr>
        <w:t xml:space="preserve"> </w:t>
      </w:r>
      <w:r w:rsidRPr="004171C9">
        <w:rPr>
          <w:color w:val="FF0000"/>
        </w:rPr>
        <w:t>White British staff make up a significant majority (91%) of the organisation. This leaves a very small percentage (6%) for all other ethnicities combined.</w:t>
      </w:r>
    </w:p>
    <w:p w14:paraId="02E49036" w14:textId="77777777" w:rsidR="00CD0C7B" w:rsidRPr="004171C9" w:rsidRDefault="00CD0C7B" w:rsidP="007E61A3">
      <w:pPr>
        <w:pStyle w:val="NormalWeb"/>
        <w:spacing w:before="0" w:beforeAutospacing="0" w:after="0" w:afterAutospacing="0"/>
        <w:jc w:val="both"/>
        <w:rPr>
          <w:color w:val="FF0000"/>
        </w:rPr>
      </w:pPr>
    </w:p>
    <w:p w14:paraId="13FC4666" w14:textId="2C91C742" w:rsidR="00E34244" w:rsidRDefault="007E61A3" w:rsidP="00C53532">
      <w:pPr>
        <w:rPr>
          <w:color w:val="FFFFFF" w:themeColor="background1"/>
          <w14:textFill>
            <w14:noFill/>
          </w14:textFill>
        </w:rPr>
      </w:pPr>
      <w:r>
        <w:rPr>
          <w:noProof/>
          <w14:ligatures w14:val="standardContextual"/>
        </w:rPr>
        <w:drawing>
          <wp:inline distT="0" distB="0" distL="0" distR="0" wp14:anchorId="1E769530" wp14:editId="56DD0B60">
            <wp:extent cx="5731510" cy="2385391"/>
            <wp:effectExtent l="0" t="0" r="2540" b="15240"/>
            <wp:docPr id="1289559889" name="Chart 1">
              <a:extLst xmlns:a="http://schemas.openxmlformats.org/drawingml/2006/main">
                <a:ext uri="{FF2B5EF4-FFF2-40B4-BE49-F238E27FC236}">
                  <a16:creationId xmlns:a16="http://schemas.microsoft.com/office/drawing/2014/main" id="{A803D54D-E627-D41A-C825-2DE287F5AAA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D7E91AA" w14:textId="2C0E1853" w:rsidR="00CB005C" w:rsidRDefault="00CB005C" w:rsidP="00C53532">
      <w:pPr>
        <w:rPr>
          <w:color w:val="FFFFFF" w:themeColor="background1"/>
          <w14:textFill>
            <w14:noFill/>
          </w14:textFill>
        </w:rPr>
      </w:pPr>
    </w:p>
    <w:p w14:paraId="10E11025" w14:textId="07705BDD" w:rsidR="00CD0C7B" w:rsidRPr="00981BB5" w:rsidRDefault="00CA2118" w:rsidP="00981BB5">
      <w:pPr>
        <w:spacing w:line="259" w:lineRule="auto"/>
        <w:jc w:val="both"/>
        <w:rPr>
          <w:rFonts w:eastAsiaTheme="minorHAnsi"/>
          <w:color w:val="FF0000"/>
          <w:kern w:val="2"/>
          <w:lang w:eastAsia="en-US"/>
          <w14:ligatures w14:val="standardContextual"/>
        </w:rPr>
      </w:pPr>
      <w:r w:rsidRPr="00CA2118">
        <w:rPr>
          <w:rFonts w:eastAsiaTheme="minorHAnsi"/>
          <w:color w:val="FF0000"/>
          <w:kern w:val="2"/>
          <w:lang w:eastAsia="en-US"/>
          <w14:ligatures w14:val="standardContextual"/>
        </w:rPr>
        <w:t>Chart</w:t>
      </w:r>
      <w:r w:rsidRPr="00981BB5">
        <w:rPr>
          <w:rFonts w:eastAsiaTheme="minorHAnsi"/>
          <w:color w:val="FF0000"/>
          <w:kern w:val="2"/>
          <w:lang w:eastAsia="en-US"/>
          <w14:ligatures w14:val="standardContextual"/>
        </w:rPr>
        <w:t>s</w:t>
      </w:r>
      <w:r w:rsidRPr="00CA2118">
        <w:rPr>
          <w:rFonts w:eastAsiaTheme="minorHAnsi"/>
          <w:color w:val="FF0000"/>
          <w:kern w:val="2"/>
          <w:lang w:eastAsia="en-US"/>
          <w14:ligatures w14:val="standardContextual"/>
        </w:rPr>
        <w:t xml:space="preserve"> 3 &amp; 4: Out of the 260 employees, only 8% are disabled which seems very low, highlighting a potential under-representation. </w:t>
      </w:r>
      <w:r w:rsidR="00F5456A" w:rsidRPr="00981BB5">
        <w:rPr>
          <w:rFonts w:eastAsiaTheme="minorHAnsi"/>
          <w:color w:val="FF0000"/>
          <w:kern w:val="2"/>
          <w:lang w:eastAsia="en-US"/>
          <w14:ligatures w14:val="standardContextual"/>
        </w:rPr>
        <w:t xml:space="preserve">Even though the percentages for some teams may </w:t>
      </w:r>
      <w:r w:rsidR="00B8145F">
        <w:rPr>
          <w:rFonts w:eastAsiaTheme="minorHAnsi"/>
          <w:color w:val="FF0000"/>
          <w:kern w:val="2"/>
          <w:lang w:eastAsia="en-US"/>
          <w14:ligatures w14:val="standardContextual"/>
        </w:rPr>
        <w:t>seem</w:t>
      </w:r>
      <w:r w:rsidR="00F5456A" w:rsidRPr="00981BB5">
        <w:rPr>
          <w:rFonts w:eastAsiaTheme="minorHAnsi"/>
          <w:color w:val="FF0000"/>
          <w:kern w:val="2"/>
          <w:lang w:eastAsia="en-US"/>
          <w14:ligatures w14:val="standardContextual"/>
        </w:rPr>
        <w:t xml:space="preserve"> high</w:t>
      </w:r>
      <w:r w:rsidR="00CD0C7B" w:rsidRPr="00981BB5">
        <w:rPr>
          <w:rFonts w:eastAsiaTheme="minorHAnsi"/>
          <w:color w:val="FF0000"/>
          <w:kern w:val="2"/>
          <w:lang w:eastAsia="en-US"/>
          <w14:ligatures w14:val="standardContextual"/>
        </w:rPr>
        <w:t>er, the sample is not big enough to give a clear picture.</w:t>
      </w:r>
    </w:p>
    <w:p w14:paraId="5D7804BC" w14:textId="265909AA" w:rsidR="00CA2118" w:rsidRPr="00CA2118" w:rsidRDefault="00CA2118" w:rsidP="00CA2118">
      <w:pPr>
        <w:spacing w:line="259" w:lineRule="auto"/>
        <w:rPr>
          <w:rFonts w:asciiTheme="minorHAnsi" w:eastAsiaTheme="minorHAnsi" w:hAnsiTheme="minorHAnsi" w:cstheme="minorBidi"/>
          <w:b/>
          <w:bCs/>
          <w:color w:val="FF0000"/>
          <w:kern w:val="2"/>
          <w:sz w:val="22"/>
          <w:szCs w:val="22"/>
          <w:lang w:eastAsia="en-US"/>
          <w14:ligatures w14:val="standardContextual"/>
        </w:rPr>
      </w:pPr>
      <w:r>
        <w:rPr>
          <w:noProof/>
        </w:rPr>
        <w:lastRenderedPageBreak/>
        <w:drawing>
          <wp:anchor distT="0" distB="0" distL="114300" distR="114300" simplePos="0" relativeHeight="251659264" behindDoc="0" locked="0" layoutInCell="1" allowOverlap="1" wp14:anchorId="40D49141" wp14:editId="7B5D56AD">
            <wp:simplePos x="0" y="0"/>
            <wp:positionH relativeFrom="margin">
              <wp:align>right</wp:align>
            </wp:positionH>
            <wp:positionV relativeFrom="paragraph">
              <wp:posOffset>182880</wp:posOffset>
            </wp:positionV>
            <wp:extent cx="5717540" cy="1379220"/>
            <wp:effectExtent l="0" t="0" r="16510" b="11430"/>
            <wp:wrapSquare wrapText="bothSides"/>
            <wp:docPr id="761016211" name="Chart 1">
              <a:extLst xmlns:a="http://schemas.openxmlformats.org/drawingml/2006/main">
                <a:ext uri="{FF2B5EF4-FFF2-40B4-BE49-F238E27FC236}">
                  <a16:creationId xmlns:a16="http://schemas.microsoft.com/office/drawing/2014/main" id="{4699E2C7-C6E6-E82E-4AFE-C4DAE84A607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p>
    <w:p w14:paraId="3747E37E" w14:textId="24F6F977" w:rsidR="00A10AC6" w:rsidRDefault="007E61A3" w:rsidP="00A10AC6">
      <w:pPr>
        <w:rPr>
          <w:color w:val="FFFFFF" w:themeColor="background1"/>
          <w14:textFill>
            <w14:noFill/>
          </w14:textFill>
        </w:rPr>
      </w:pPr>
      <w:r>
        <w:rPr>
          <w:color w:val="FFFFFF" w:themeColor="background1"/>
          <w14:textFill>
            <w14:noFill/>
          </w14:textFill>
        </w:rPr>
        <w:t>Ch</w:t>
      </w:r>
      <w:r w:rsidR="00CA2118">
        <w:rPr>
          <w:noProof/>
        </w:rPr>
        <w:drawing>
          <wp:inline distT="0" distB="0" distL="0" distR="0" wp14:anchorId="02F9D7BA" wp14:editId="3E5C70BA">
            <wp:extent cx="5731510" cy="1908313"/>
            <wp:effectExtent l="0" t="0" r="2540" b="15875"/>
            <wp:docPr id="2007311537" name="Chart 1">
              <a:extLst xmlns:a="http://schemas.openxmlformats.org/drawingml/2006/main">
                <a:ext uri="{FF2B5EF4-FFF2-40B4-BE49-F238E27FC236}">
                  <a16:creationId xmlns:a16="http://schemas.microsoft.com/office/drawing/2014/main" id="{AB0A15E1-0DEB-CA93-66D9-5573EE7DE79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Pr>
          <w:color w:val="FFFFFF" w:themeColor="background1"/>
          <w14:textFill>
            <w14:noFill/>
          </w14:textFill>
        </w:rPr>
        <w:t>art</w:t>
      </w:r>
    </w:p>
    <w:p w14:paraId="31D6D524" w14:textId="77777777" w:rsidR="00981BB5" w:rsidRPr="00981BB5" w:rsidRDefault="00981BB5" w:rsidP="00981BB5">
      <w:pPr>
        <w:spacing w:after="160" w:line="259" w:lineRule="auto"/>
        <w:jc w:val="both"/>
        <w:rPr>
          <w:rFonts w:eastAsiaTheme="minorHAnsi"/>
          <w:color w:val="FF0000"/>
          <w:kern w:val="2"/>
          <w:lang w:eastAsia="en-US"/>
          <w14:ligatures w14:val="standardContextual"/>
        </w:rPr>
      </w:pPr>
      <w:r w:rsidRPr="00981BB5">
        <w:rPr>
          <w:rFonts w:eastAsiaTheme="minorHAnsi"/>
          <w:color w:val="FF0000"/>
          <w:kern w:val="2"/>
          <w:lang w:eastAsia="en-US"/>
          <w14:ligatures w14:val="standardContextual"/>
        </w:rPr>
        <w:t>Chart 5: Based on the available data is evident that there is slight difference between salaries for female and male genders and greater difference for the non-binary. However, knowing only the averages does not reveal the full picture.</w:t>
      </w:r>
    </w:p>
    <w:p w14:paraId="7F8D1B34" w14:textId="072E2B41" w:rsidR="00A10AC6" w:rsidRPr="0062575B" w:rsidRDefault="00981BB5" w:rsidP="0062575B">
      <w:pPr>
        <w:spacing w:after="160" w:line="259" w:lineRule="auto"/>
        <w:rPr>
          <w:rFonts w:asciiTheme="minorHAnsi" w:eastAsiaTheme="minorHAnsi" w:hAnsiTheme="minorHAnsi" w:cstheme="minorBidi"/>
          <w:kern w:val="2"/>
          <w:sz w:val="22"/>
          <w:szCs w:val="22"/>
          <w:lang w:eastAsia="en-US"/>
          <w14:ligatures w14:val="standardContextual"/>
        </w:rPr>
      </w:pPr>
      <w:r w:rsidRPr="00981BB5">
        <w:rPr>
          <w:rFonts w:asciiTheme="minorHAnsi" w:eastAsiaTheme="minorHAnsi" w:hAnsiTheme="minorHAnsi" w:cstheme="minorBidi"/>
          <w:noProof/>
          <w:kern w:val="2"/>
          <w:sz w:val="22"/>
          <w:szCs w:val="22"/>
          <w:lang w:eastAsia="en-US"/>
          <w14:ligatures w14:val="standardContextual"/>
        </w:rPr>
        <w:drawing>
          <wp:inline distT="0" distB="0" distL="0" distR="0" wp14:anchorId="4E49082A" wp14:editId="62CB041B">
            <wp:extent cx="5685155" cy="1956020"/>
            <wp:effectExtent l="0" t="0" r="10795" b="6350"/>
            <wp:docPr id="465757131" name="Chart 1">
              <a:extLst xmlns:a="http://schemas.openxmlformats.org/drawingml/2006/main">
                <a:ext uri="{FF2B5EF4-FFF2-40B4-BE49-F238E27FC236}">
                  <a16:creationId xmlns:a16="http://schemas.microsoft.com/office/drawing/2014/main" id="{E84D88EA-EE42-9653-7B6C-2715E45981A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tbl>
      <w:tblPr>
        <w:tblW w:w="4253" w:type="dxa"/>
        <w:tblLook w:val="04A0" w:firstRow="1" w:lastRow="0" w:firstColumn="1" w:lastColumn="0" w:noHBand="0" w:noVBand="1"/>
      </w:tblPr>
      <w:tblGrid>
        <w:gridCol w:w="4253"/>
      </w:tblGrid>
      <w:tr w:rsidR="00601D89" w14:paraId="1E89EC88" w14:textId="77777777" w:rsidTr="00E34244">
        <w:trPr>
          <w:trHeight w:val="290"/>
        </w:trPr>
        <w:tc>
          <w:tcPr>
            <w:tcW w:w="4253" w:type="dxa"/>
            <w:tcBorders>
              <w:top w:val="nil"/>
              <w:left w:val="nil"/>
              <w:bottom w:val="nil"/>
              <w:right w:val="nil"/>
            </w:tcBorders>
            <w:shd w:val="clear" w:color="auto" w:fill="auto"/>
            <w:noWrap/>
            <w:vAlign w:val="bottom"/>
            <w:hideMark/>
          </w:tcPr>
          <w:p w14:paraId="4AFD7235" w14:textId="77777777" w:rsidR="00E34244" w:rsidRDefault="00601D89">
            <w:pPr>
              <w:rPr>
                <w:rFonts w:ascii="Calibri" w:hAnsi="Calibri" w:cs="Calibri"/>
                <w:color w:val="000000"/>
                <w:sz w:val="22"/>
                <w:szCs w:val="22"/>
              </w:rPr>
            </w:pPr>
            <w:r>
              <w:rPr>
                <w:rFonts w:ascii="Calibri" w:hAnsi="Calibri" w:cs="Calibri"/>
                <w:color w:val="000000"/>
                <w:sz w:val="22"/>
                <w:szCs w:val="22"/>
              </w:rPr>
              <w:t xml:space="preserve">Overall Average Salary paid by the company: </w:t>
            </w:r>
          </w:p>
          <w:p w14:paraId="2B9C1978" w14:textId="546F402A" w:rsidR="00601D89" w:rsidRDefault="00601D89">
            <w:pPr>
              <w:rPr>
                <w:rFonts w:ascii="Calibri" w:hAnsi="Calibri" w:cs="Calibri"/>
                <w:color w:val="000000"/>
                <w:sz w:val="22"/>
                <w:szCs w:val="22"/>
              </w:rPr>
            </w:pPr>
            <w:r>
              <w:rPr>
                <w:rFonts w:ascii="Calibri" w:hAnsi="Calibri" w:cs="Calibri"/>
                <w:color w:val="000000"/>
                <w:sz w:val="22"/>
                <w:szCs w:val="22"/>
              </w:rPr>
              <w:t xml:space="preserve">£ 8,235,440 / 260 = </w:t>
            </w:r>
            <w:r w:rsidRPr="00601D89">
              <w:rPr>
                <w:rFonts w:ascii="Calibri" w:hAnsi="Calibri" w:cs="Calibri"/>
                <w:b/>
                <w:bCs/>
                <w:color w:val="000000"/>
                <w:sz w:val="22"/>
                <w:szCs w:val="22"/>
              </w:rPr>
              <w:t>£31,674.76</w:t>
            </w:r>
          </w:p>
        </w:tc>
      </w:tr>
    </w:tbl>
    <w:p w14:paraId="3515AB28" w14:textId="77777777" w:rsidR="00F912EF" w:rsidRDefault="00F912EF" w:rsidP="00A10AC6">
      <w:pPr>
        <w:pStyle w:val="Heading2"/>
      </w:pPr>
    </w:p>
    <w:p w14:paraId="57727DF2" w14:textId="77777777" w:rsidR="00A4759A" w:rsidRDefault="00A4759A" w:rsidP="00A10AC6">
      <w:pPr>
        <w:pStyle w:val="Heading2"/>
      </w:pPr>
    </w:p>
    <w:p w14:paraId="5F4C4FA9" w14:textId="751D200F" w:rsidR="00A10AC6" w:rsidRDefault="0081102B" w:rsidP="00A10AC6">
      <w:pPr>
        <w:pStyle w:val="Heading2"/>
      </w:pPr>
      <w:r>
        <w:t>AC2.2</w:t>
      </w:r>
      <w:r w:rsidR="007B3C3E">
        <w:t xml:space="preserve"> Key Findings</w:t>
      </w:r>
      <w:r w:rsidR="00961E50">
        <w:t xml:space="preserve"> (KFs)</w:t>
      </w:r>
    </w:p>
    <w:p w14:paraId="2089A918" w14:textId="77777777" w:rsidR="00F912EF" w:rsidRDefault="00F912EF" w:rsidP="00F912EF"/>
    <w:p w14:paraId="7EABA9F2" w14:textId="7963DEE6" w:rsidR="00F912EF" w:rsidRPr="00AE7579" w:rsidRDefault="00961E50" w:rsidP="00E137DD">
      <w:pPr>
        <w:jc w:val="both"/>
        <w:rPr>
          <w:color w:val="FF0000"/>
        </w:rPr>
      </w:pPr>
      <w:r>
        <w:rPr>
          <w:color w:val="FF0000"/>
        </w:rPr>
        <w:t>KFs</w:t>
      </w:r>
      <w:r w:rsidR="00F45D6E">
        <w:rPr>
          <w:color w:val="FF0000"/>
        </w:rPr>
        <w:t xml:space="preserve">1: </w:t>
      </w:r>
      <w:r w:rsidR="00F912EF" w:rsidRPr="00AE7579">
        <w:rPr>
          <w:color w:val="FF0000"/>
        </w:rPr>
        <w:t>Overall,</w:t>
      </w:r>
      <w:r w:rsidR="00AE7579" w:rsidRPr="00AE7579">
        <w:rPr>
          <w:color w:val="FF0000"/>
        </w:rPr>
        <w:t xml:space="preserve"> 56% enjoy WFH on some days of the week, however 37% do not enjoy working from home</w:t>
      </w:r>
      <w:r w:rsidR="00F45D6E">
        <w:rPr>
          <w:color w:val="FF0000"/>
        </w:rPr>
        <w:t xml:space="preserve">, </w:t>
      </w:r>
      <w:r w:rsidR="00AE7579" w:rsidRPr="00AE7579">
        <w:rPr>
          <w:color w:val="FF0000"/>
        </w:rPr>
        <w:t xml:space="preserve">7% </w:t>
      </w:r>
      <w:r w:rsidR="00F45D6E">
        <w:rPr>
          <w:color w:val="FF0000"/>
        </w:rPr>
        <w:t xml:space="preserve">being unsure. </w:t>
      </w:r>
    </w:p>
    <w:p w14:paraId="489DD648" w14:textId="77777777" w:rsidR="00AE7579" w:rsidRDefault="00AE7579" w:rsidP="00E137DD">
      <w:pPr>
        <w:jc w:val="both"/>
      </w:pPr>
    </w:p>
    <w:p w14:paraId="5B1D6DC8" w14:textId="076B1CB6" w:rsidR="0034072F" w:rsidRDefault="00961E50" w:rsidP="00E137DD">
      <w:pPr>
        <w:jc w:val="both"/>
        <w:rPr>
          <w:color w:val="FF0000"/>
        </w:rPr>
      </w:pPr>
      <w:r>
        <w:rPr>
          <w:color w:val="FF0000"/>
        </w:rPr>
        <w:t>KFs</w:t>
      </w:r>
      <w:r w:rsidR="00F45D6E">
        <w:rPr>
          <w:color w:val="FF0000"/>
        </w:rPr>
        <w:t>2</w:t>
      </w:r>
      <w:r w:rsidR="00AE7579" w:rsidRPr="002012E0">
        <w:rPr>
          <w:color w:val="FF0000"/>
        </w:rPr>
        <w:t>:</w:t>
      </w:r>
      <w:r w:rsidR="00F45D6E">
        <w:rPr>
          <w:color w:val="FF0000"/>
        </w:rPr>
        <w:t xml:space="preserve"> </w:t>
      </w:r>
      <w:r w:rsidR="002012E0">
        <w:rPr>
          <w:color w:val="FF0000"/>
        </w:rPr>
        <w:t xml:space="preserve">The </w:t>
      </w:r>
      <w:r w:rsidR="0034072F" w:rsidRPr="00027FBF">
        <w:rPr>
          <w:color w:val="FF0000"/>
        </w:rPr>
        <w:t>majority of respondents</w:t>
      </w:r>
      <w:r w:rsidR="002012E0">
        <w:rPr>
          <w:color w:val="FF0000"/>
        </w:rPr>
        <w:t xml:space="preserve"> 8</w:t>
      </w:r>
      <w:r w:rsidR="003B2367">
        <w:rPr>
          <w:color w:val="FF0000"/>
        </w:rPr>
        <w:t>2</w:t>
      </w:r>
      <w:r w:rsidR="002012E0">
        <w:rPr>
          <w:color w:val="FF0000"/>
        </w:rPr>
        <w:t xml:space="preserve">% </w:t>
      </w:r>
      <w:r w:rsidR="002012E0" w:rsidRPr="002012E0">
        <w:rPr>
          <w:color w:val="FF0000"/>
        </w:rPr>
        <w:t>agree</w:t>
      </w:r>
      <w:r w:rsidR="0034072F" w:rsidRPr="002012E0">
        <w:rPr>
          <w:color w:val="FF0000"/>
        </w:rPr>
        <w:t xml:space="preserve"> </w:t>
      </w:r>
      <w:r w:rsidR="0034072F" w:rsidRPr="00027FBF">
        <w:rPr>
          <w:color w:val="FF0000"/>
        </w:rPr>
        <w:t>that hybrid working practices support their work-life balance and well-being</w:t>
      </w:r>
      <w:r w:rsidR="003B2367">
        <w:rPr>
          <w:color w:val="FF0000"/>
        </w:rPr>
        <w:t>, with only</w:t>
      </w:r>
      <w:r w:rsidR="002012E0">
        <w:rPr>
          <w:color w:val="FF0000"/>
        </w:rPr>
        <w:t>14% disagr</w:t>
      </w:r>
      <w:r w:rsidR="003B2367">
        <w:rPr>
          <w:color w:val="FF0000"/>
        </w:rPr>
        <w:t>eeing</w:t>
      </w:r>
      <w:r w:rsidR="00E137DD">
        <w:rPr>
          <w:color w:val="FF0000"/>
        </w:rPr>
        <w:t>;</w:t>
      </w:r>
      <w:r w:rsidR="003B2367">
        <w:rPr>
          <w:color w:val="FF0000"/>
        </w:rPr>
        <w:t xml:space="preserve"> 4% remained unsure of the impact. </w:t>
      </w:r>
      <w:r w:rsidR="002012E0">
        <w:rPr>
          <w:color w:val="FF0000"/>
        </w:rPr>
        <w:t xml:space="preserve"> </w:t>
      </w:r>
    </w:p>
    <w:p w14:paraId="32E428D7" w14:textId="77777777" w:rsidR="003B2367" w:rsidRDefault="003B2367" w:rsidP="00E137DD">
      <w:pPr>
        <w:jc w:val="both"/>
        <w:rPr>
          <w:color w:val="FF0000"/>
        </w:rPr>
      </w:pPr>
    </w:p>
    <w:p w14:paraId="13E6AE61" w14:textId="09846772" w:rsidR="003B2367" w:rsidRDefault="00961E50" w:rsidP="00E137DD">
      <w:pPr>
        <w:jc w:val="both"/>
        <w:rPr>
          <w:color w:val="FF0000"/>
        </w:rPr>
      </w:pPr>
      <w:r>
        <w:rPr>
          <w:color w:val="FF0000"/>
        </w:rPr>
        <w:t>KFs</w:t>
      </w:r>
      <w:r w:rsidR="00F45D6E">
        <w:rPr>
          <w:color w:val="FF0000"/>
        </w:rPr>
        <w:t>3</w:t>
      </w:r>
      <w:r w:rsidR="003B2367">
        <w:rPr>
          <w:color w:val="FF0000"/>
        </w:rPr>
        <w:t>: 83% of the respondents do not miss engaging with their colleagues in the workplace</w:t>
      </w:r>
      <w:r w:rsidR="00E137DD">
        <w:rPr>
          <w:color w:val="FF0000"/>
        </w:rPr>
        <w:t>; a noticeable minority of 7% who does and 10% that are unsure.</w:t>
      </w:r>
    </w:p>
    <w:p w14:paraId="480DECD6" w14:textId="77777777" w:rsidR="00641D2D" w:rsidRDefault="00641D2D" w:rsidP="00E137DD">
      <w:pPr>
        <w:jc w:val="both"/>
        <w:rPr>
          <w:color w:val="FF0000"/>
        </w:rPr>
      </w:pPr>
    </w:p>
    <w:p w14:paraId="3D32D6DD" w14:textId="5721C78D" w:rsidR="00E61BF7" w:rsidRDefault="00961E50" w:rsidP="00E137DD">
      <w:pPr>
        <w:jc w:val="both"/>
        <w:rPr>
          <w:color w:val="FF0000"/>
        </w:rPr>
      </w:pPr>
      <w:r>
        <w:rPr>
          <w:color w:val="FF0000"/>
        </w:rPr>
        <w:t>KFs</w:t>
      </w:r>
      <w:r w:rsidR="00A4759A">
        <w:rPr>
          <w:color w:val="FF0000"/>
        </w:rPr>
        <w:t xml:space="preserve">4: </w:t>
      </w:r>
      <w:r w:rsidR="00E61BF7">
        <w:rPr>
          <w:color w:val="FF0000"/>
        </w:rPr>
        <w:t>80% disagree or strongly disagree regarding feeling supported when WFH with only 14% agreeing with this, whereas 6% are unsure.</w:t>
      </w:r>
    </w:p>
    <w:p w14:paraId="742DFAFB" w14:textId="77777777" w:rsidR="00E61BF7" w:rsidRDefault="00E61BF7" w:rsidP="00E137DD">
      <w:pPr>
        <w:jc w:val="both"/>
        <w:rPr>
          <w:color w:val="FF0000"/>
        </w:rPr>
      </w:pPr>
    </w:p>
    <w:p w14:paraId="257B694E" w14:textId="6348CCF4" w:rsidR="00E61BF7" w:rsidRDefault="00961E50" w:rsidP="00E137DD">
      <w:pPr>
        <w:jc w:val="both"/>
        <w:rPr>
          <w:color w:val="FF0000"/>
        </w:rPr>
      </w:pPr>
      <w:r>
        <w:rPr>
          <w:color w:val="FF0000"/>
        </w:rPr>
        <w:t>KFs</w:t>
      </w:r>
      <w:r w:rsidR="00A4759A">
        <w:rPr>
          <w:color w:val="FF0000"/>
        </w:rPr>
        <w:t xml:space="preserve">6: </w:t>
      </w:r>
      <w:r w:rsidR="00E61BF7">
        <w:rPr>
          <w:color w:val="FF0000"/>
        </w:rPr>
        <w:t>A mixed view on the challenges of working remotely where 34% are unsure, 24% agree that is challenging and 42% disagree.</w:t>
      </w:r>
    </w:p>
    <w:p w14:paraId="698E5932" w14:textId="77777777" w:rsidR="00E61BF7" w:rsidRDefault="00E61BF7" w:rsidP="00E137DD">
      <w:pPr>
        <w:jc w:val="both"/>
        <w:rPr>
          <w:color w:val="FF0000"/>
        </w:rPr>
      </w:pPr>
    </w:p>
    <w:p w14:paraId="5F342F5C" w14:textId="0C970E83" w:rsidR="00E61BF7" w:rsidRDefault="00961E50" w:rsidP="00E137DD">
      <w:pPr>
        <w:jc w:val="both"/>
        <w:rPr>
          <w:color w:val="FF0000"/>
        </w:rPr>
      </w:pPr>
      <w:r>
        <w:rPr>
          <w:color w:val="FF0000"/>
        </w:rPr>
        <w:t>KFs</w:t>
      </w:r>
      <w:r w:rsidR="00A4759A">
        <w:rPr>
          <w:color w:val="FF0000"/>
        </w:rPr>
        <w:t xml:space="preserve">6: </w:t>
      </w:r>
      <w:r w:rsidR="00E61BF7">
        <w:rPr>
          <w:color w:val="FF0000"/>
        </w:rPr>
        <w:t>64% agreed that is it difficult to separate work from personal life whe</w:t>
      </w:r>
      <w:r w:rsidR="00640DFB">
        <w:rPr>
          <w:color w:val="FF0000"/>
        </w:rPr>
        <w:t>n WFH, 8% are unsure and 28% disagree out of which a small 5% strongly disagree.</w:t>
      </w:r>
    </w:p>
    <w:p w14:paraId="178F27F4" w14:textId="77777777" w:rsidR="00640DFB" w:rsidRDefault="00640DFB" w:rsidP="00E137DD">
      <w:pPr>
        <w:jc w:val="both"/>
        <w:rPr>
          <w:color w:val="FF0000"/>
        </w:rPr>
      </w:pPr>
    </w:p>
    <w:p w14:paraId="4D5554DB" w14:textId="5323DA28" w:rsidR="00640DFB" w:rsidRDefault="00961E50" w:rsidP="00E137DD">
      <w:pPr>
        <w:jc w:val="both"/>
        <w:rPr>
          <w:color w:val="FF0000"/>
        </w:rPr>
      </w:pPr>
      <w:r>
        <w:rPr>
          <w:color w:val="FF0000"/>
        </w:rPr>
        <w:t>KFs</w:t>
      </w:r>
      <w:r w:rsidR="00A4759A">
        <w:rPr>
          <w:color w:val="FF0000"/>
        </w:rPr>
        <w:t xml:space="preserve">7: </w:t>
      </w:r>
      <w:r w:rsidR="00640DFB">
        <w:rPr>
          <w:color w:val="FF0000"/>
        </w:rPr>
        <w:t>There is an equal consensus that hybrid practices make employees more productive with 49% agreeing and 49% disagreeing</w:t>
      </w:r>
      <w:r w:rsidR="00A4759A">
        <w:rPr>
          <w:color w:val="FF0000"/>
        </w:rPr>
        <w:t>.</w:t>
      </w:r>
    </w:p>
    <w:p w14:paraId="49DCA28C" w14:textId="77777777" w:rsidR="00FD4FFD" w:rsidRDefault="00FD4FFD" w:rsidP="00E137DD">
      <w:pPr>
        <w:jc w:val="both"/>
        <w:rPr>
          <w:color w:val="FF0000"/>
        </w:rPr>
      </w:pPr>
    </w:p>
    <w:p w14:paraId="5FD74345" w14:textId="5C293B00" w:rsidR="00FD4FFD" w:rsidRDefault="00961E50" w:rsidP="00E137DD">
      <w:pPr>
        <w:jc w:val="both"/>
        <w:rPr>
          <w:color w:val="FF0000"/>
        </w:rPr>
      </w:pPr>
      <w:r>
        <w:rPr>
          <w:color w:val="FF0000"/>
        </w:rPr>
        <w:t>KFs</w:t>
      </w:r>
      <w:r w:rsidR="00A4759A">
        <w:rPr>
          <w:color w:val="FF0000"/>
        </w:rPr>
        <w:t xml:space="preserve">8: </w:t>
      </w:r>
      <w:r w:rsidR="00FD4FFD">
        <w:rPr>
          <w:color w:val="FF0000"/>
        </w:rPr>
        <w:t>A compelling 60% disagree, indicating they perceive challenges in communication and collaboration due to remote work, 39% agree that WFH does not hinder team cross-functionality work.</w:t>
      </w:r>
    </w:p>
    <w:p w14:paraId="3ECA5188" w14:textId="77777777" w:rsidR="00FD4FFD" w:rsidRDefault="00FD4FFD" w:rsidP="00E137DD">
      <w:pPr>
        <w:jc w:val="both"/>
        <w:rPr>
          <w:color w:val="FF0000"/>
        </w:rPr>
      </w:pPr>
    </w:p>
    <w:p w14:paraId="2A257A30" w14:textId="3E8E46C5" w:rsidR="00FD4FFD" w:rsidRDefault="00961E50" w:rsidP="00E137DD">
      <w:pPr>
        <w:jc w:val="both"/>
        <w:rPr>
          <w:color w:val="FF0000"/>
        </w:rPr>
      </w:pPr>
      <w:r>
        <w:rPr>
          <w:color w:val="FF0000"/>
        </w:rPr>
        <w:t>KFs</w:t>
      </w:r>
      <w:r w:rsidR="00A4759A">
        <w:rPr>
          <w:color w:val="FF0000"/>
        </w:rPr>
        <w:t xml:space="preserve">9: </w:t>
      </w:r>
      <w:r w:rsidR="000B1C46">
        <w:rPr>
          <w:color w:val="FF0000"/>
        </w:rPr>
        <w:t xml:space="preserve">Overall, </w:t>
      </w:r>
      <w:r w:rsidR="00FD4FFD">
        <w:rPr>
          <w:color w:val="FF0000"/>
        </w:rPr>
        <w:t xml:space="preserve">62% agree that they feel more connected to the company culture since starting hybrid working, thus 37% </w:t>
      </w:r>
      <w:r w:rsidR="000B1C46">
        <w:rPr>
          <w:color w:val="FF0000"/>
        </w:rPr>
        <w:t>feel less connected</w:t>
      </w:r>
      <w:r w:rsidR="00F45D6E">
        <w:rPr>
          <w:color w:val="FF0000"/>
        </w:rPr>
        <w:t>,</w:t>
      </w:r>
      <w:r w:rsidR="000B1C46">
        <w:rPr>
          <w:color w:val="FF0000"/>
        </w:rPr>
        <w:t xml:space="preserve"> </w:t>
      </w:r>
      <w:r w:rsidR="00F45D6E">
        <w:rPr>
          <w:color w:val="FF0000"/>
        </w:rPr>
        <w:t>however</w:t>
      </w:r>
      <w:r w:rsidR="000B1C46">
        <w:rPr>
          <w:color w:val="FF0000"/>
        </w:rPr>
        <w:t>,</w:t>
      </w:r>
      <w:r w:rsidR="00A4759A">
        <w:rPr>
          <w:color w:val="FF0000"/>
        </w:rPr>
        <w:t xml:space="preserve"> </w:t>
      </w:r>
      <w:r w:rsidR="000B1C46">
        <w:rPr>
          <w:color w:val="FF0000"/>
        </w:rPr>
        <w:t>a big difference between those fully agreeing (3%) and</w:t>
      </w:r>
      <w:r w:rsidR="00A4759A">
        <w:rPr>
          <w:color w:val="FF0000"/>
        </w:rPr>
        <w:t xml:space="preserve"> </w:t>
      </w:r>
      <w:r w:rsidR="000B1C46">
        <w:rPr>
          <w:color w:val="FF0000"/>
        </w:rPr>
        <w:t>fully disagreeing (24%).</w:t>
      </w:r>
    </w:p>
    <w:p w14:paraId="4612EDA9" w14:textId="77777777" w:rsidR="000B1C46" w:rsidRDefault="000B1C46" w:rsidP="00E137DD">
      <w:pPr>
        <w:jc w:val="both"/>
        <w:rPr>
          <w:color w:val="FF0000"/>
        </w:rPr>
      </w:pPr>
    </w:p>
    <w:p w14:paraId="04C48DD3" w14:textId="45DBEB21" w:rsidR="000B1C46" w:rsidRDefault="00961E50" w:rsidP="00E137DD">
      <w:pPr>
        <w:jc w:val="both"/>
        <w:rPr>
          <w:color w:val="FF0000"/>
        </w:rPr>
      </w:pPr>
      <w:r>
        <w:rPr>
          <w:color w:val="FF0000"/>
        </w:rPr>
        <w:t>KFs</w:t>
      </w:r>
      <w:r w:rsidR="00A4759A">
        <w:rPr>
          <w:color w:val="FF0000"/>
        </w:rPr>
        <w:t xml:space="preserve">10: </w:t>
      </w:r>
      <w:r w:rsidR="000B1C46">
        <w:rPr>
          <w:color w:val="FF0000"/>
        </w:rPr>
        <w:t>33% agree that WFH allows them to meet targets, 66% mostly strongly disagreeing indicating they face challenges meeting targets while working remotely.</w:t>
      </w:r>
    </w:p>
    <w:p w14:paraId="1FC4728E" w14:textId="77777777" w:rsidR="000B1C46" w:rsidRDefault="000B1C46" w:rsidP="00E137DD">
      <w:pPr>
        <w:jc w:val="both"/>
        <w:rPr>
          <w:color w:val="FF0000"/>
        </w:rPr>
      </w:pPr>
    </w:p>
    <w:p w14:paraId="0C0D8616" w14:textId="42D78C78" w:rsidR="000B1C46" w:rsidRDefault="00961E50" w:rsidP="00E137DD">
      <w:pPr>
        <w:jc w:val="both"/>
        <w:rPr>
          <w:color w:val="FF0000"/>
        </w:rPr>
      </w:pPr>
      <w:r>
        <w:rPr>
          <w:color w:val="FF0000"/>
        </w:rPr>
        <w:t>KFs</w:t>
      </w:r>
      <w:r w:rsidR="000B1C46">
        <w:rPr>
          <w:color w:val="FF0000"/>
        </w:rPr>
        <w:t>11:</w:t>
      </w:r>
      <w:r w:rsidR="00A4759A">
        <w:rPr>
          <w:color w:val="FF0000"/>
        </w:rPr>
        <w:t xml:space="preserve"> </w:t>
      </w:r>
      <w:r w:rsidR="000B1C46">
        <w:rPr>
          <w:color w:val="FF0000"/>
        </w:rPr>
        <w:t xml:space="preserve">data shows an equal split between agreeing and disagreeing regarding the ability to easily accessing resources at home with 49% </w:t>
      </w:r>
      <w:r w:rsidR="00BB151D">
        <w:rPr>
          <w:color w:val="FF0000"/>
        </w:rPr>
        <w:t>for</w:t>
      </w:r>
      <w:r w:rsidR="000B1C46">
        <w:rPr>
          <w:color w:val="FF0000"/>
        </w:rPr>
        <w:t xml:space="preserve"> and 49% </w:t>
      </w:r>
      <w:r w:rsidR="00BB151D">
        <w:rPr>
          <w:color w:val="FF0000"/>
        </w:rPr>
        <w:t>against.</w:t>
      </w:r>
    </w:p>
    <w:p w14:paraId="754F863C" w14:textId="77777777" w:rsidR="00BB151D" w:rsidRDefault="00BB151D" w:rsidP="00E137DD">
      <w:pPr>
        <w:jc w:val="both"/>
        <w:rPr>
          <w:color w:val="FF0000"/>
        </w:rPr>
      </w:pPr>
    </w:p>
    <w:p w14:paraId="24A2DF46" w14:textId="7F4B8CCB" w:rsidR="00BB151D" w:rsidRDefault="00961E50" w:rsidP="00E137DD">
      <w:pPr>
        <w:jc w:val="both"/>
        <w:rPr>
          <w:color w:val="FF0000"/>
        </w:rPr>
      </w:pPr>
      <w:r>
        <w:rPr>
          <w:color w:val="FF0000"/>
        </w:rPr>
        <w:t>KFs</w:t>
      </w:r>
      <w:r w:rsidR="00A4759A">
        <w:rPr>
          <w:color w:val="FF0000"/>
        </w:rPr>
        <w:t xml:space="preserve">12: </w:t>
      </w:r>
      <w:r w:rsidR="00BB151D">
        <w:rPr>
          <w:color w:val="FF0000"/>
        </w:rPr>
        <w:t>Overall, 59% agree that WFH resolves conflict and 39% disagree, but a similar opinion when it comes to fully agree and strongly disagree.</w:t>
      </w:r>
    </w:p>
    <w:p w14:paraId="626F7FA1" w14:textId="77777777" w:rsidR="00BB151D" w:rsidRDefault="00BB151D" w:rsidP="00E137DD">
      <w:pPr>
        <w:jc w:val="both"/>
        <w:rPr>
          <w:color w:val="FF0000"/>
        </w:rPr>
      </w:pPr>
    </w:p>
    <w:p w14:paraId="7CD74558" w14:textId="1D615C2B" w:rsidR="00BB151D" w:rsidRDefault="00961E50" w:rsidP="00E137DD">
      <w:pPr>
        <w:jc w:val="both"/>
        <w:rPr>
          <w:color w:val="FF0000"/>
        </w:rPr>
      </w:pPr>
      <w:r>
        <w:rPr>
          <w:color w:val="FF0000"/>
        </w:rPr>
        <w:t>KFs</w:t>
      </w:r>
      <w:r w:rsidR="00A4759A">
        <w:rPr>
          <w:color w:val="FF0000"/>
        </w:rPr>
        <w:t xml:space="preserve">13: </w:t>
      </w:r>
      <w:r w:rsidR="00BB151D">
        <w:rPr>
          <w:color w:val="FF0000"/>
        </w:rPr>
        <w:t>A</w:t>
      </w:r>
      <w:r w:rsidR="00A4759A">
        <w:rPr>
          <w:color w:val="FF0000"/>
        </w:rPr>
        <w:t xml:space="preserve"> </w:t>
      </w:r>
      <w:r w:rsidR="00BB151D">
        <w:rPr>
          <w:color w:val="FF0000"/>
        </w:rPr>
        <w:t xml:space="preserve">majority of 80% </w:t>
      </w:r>
      <w:r w:rsidR="00BB151D" w:rsidRPr="00027FBF">
        <w:rPr>
          <w:color w:val="FF0000"/>
        </w:rPr>
        <w:t>disagree or strongly disagree with the statement "I feel less stressed when away from the workplace," indicating that working remotely does</w:t>
      </w:r>
      <w:r w:rsidR="00BB151D">
        <w:rPr>
          <w:color w:val="FF0000"/>
        </w:rPr>
        <w:t xml:space="preserve"> no</w:t>
      </w:r>
      <w:r w:rsidR="00BB151D" w:rsidRPr="00027FBF">
        <w:rPr>
          <w:color w:val="FF0000"/>
        </w:rPr>
        <w:t>t necessarily reduce stress for everyone</w:t>
      </w:r>
      <w:r>
        <w:rPr>
          <w:color w:val="FF0000"/>
        </w:rPr>
        <w:t>.</w:t>
      </w:r>
    </w:p>
    <w:p w14:paraId="613EC277" w14:textId="77777777" w:rsidR="00961E50" w:rsidRDefault="00961E50" w:rsidP="00E137DD">
      <w:pPr>
        <w:jc w:val="both"/>
        <w:rPr>
          <w:color w:val="FF0000"/>
        </w:rPr>
      </w:pPr>
    </w:p>
    <w:p w14:paraId="1246A963" w14:textId="5643D668" w:rsidR="00FD4FFD" w:rsidRDefault="00961E50" w:rsidP="00E137DD">
      <w:pPr>
        <w:jc w:val="both"/>
        <w:rPr>
          <w:color w:val="FF0000"/>
        </w:rPr>
      </w:pPr>
      <w:r>
        <w:rPr>
          <w:color w:val="FF0000"/>
        </w:rPr>
        <w:t>KFs</w:t>
      </w:r>
      <w:r w:rsidR="00BB151D">
        <w:rPr>
          <w:color w:val="FF0000"/>
        </w:rPr>
        <w:t>14:</w:t>
      </w:r>
      <w:r w:rsidR="00A4759A">
        <w:rPr>
          <w:color w:val="FF0000"/>
        </w:rPr>
        <w:t xml:space="preserve"> </w:t>
      </w:r>
      <w:r w:rsidR="00BB151D" w:rsidRPr="00F45D6E">
        <w:rPr>
          <w:color w:val="FF0000"/>
        </w:rPr>
        <w:t>T</w:t>
      </w:r>
      <w:r w:rsidR="00BB151D" w:rsidRPr="00027FBF">
        <w:rPr>
          <w:color w:val="FF0000"/>
        </w:rPr>
        <w:t>here seems to be a disparity in how employees perceive recognition while</w:t>
      </w:r>
      <w:r w:rsidR="00BB151D" w:rsidRPr="00F45D6E">
        <w:rPr>
          <w:color w:val="FF0000"/>
        </w:rPr>
        <w:t xml:space="preserve"> WFH</w:t>
      </w:r>
      <w:r w:rsidR="00BB151D" w:rsidRPr="00027FBF">
        <w:rPr>
          <w:color w:val="FF0000"/>
        </w:rPr>
        <w:t>. Whil</w:t>
      </w:r>
      <w:r w:rsidR="00BB151D" w:rsidRPr="00F45D6E">
        <w:rPr>
          <w:color w:val="FF0000"/>
        </w:rPr>
        <w:t>st</w:t>
      </w:r>
      <w:r w:rsidR="00BB151D" w:rsidRPr="00027FBF">
        <w:rPr>
          <w:color w:val="FF0000"/>
        </w:rPr>
        <w:t xml:space="preserve"> a considerable number</w:t>
      </w:r>
      <w:r w:rsidR="00BB151D" w:rsidRPr="00F45D6E">
        <w:rPr>
          <w:color w:val="FF0000"/>
        </w:rPr>
        <w:t xml:space="preserve"> 46% </w:t>
      </w:r>
      <w:r w:rsidR="00BB151D" w:rsidRPr="00027FBF">
        <w:rPr>
          <w:color w:val="FF0000"/>
        </w:rPr>
        <w:t>feel they receive the same amount of recognition,</w:t>
      </w:r>
      <w:r w:rsidR="00BB151D" w:rsidRPr="00F45D6E">
        <w:rPr>
          <w:color w:val="FF0000"/>
        </w:rPr>
        <w:t xml:space="preserve"> 53%</w:t>
      </w:r>
      <w:r w:rsidR="00BB151D" w:rsidRPr="00027FBF">
        <w:rPr>
          <w:color w:val="FF0000"/>
        </w:rPr>
        <w:t xml:space="preserve"> disagree or strongly disagree, indicating they perceive a decrease in recognition</w:t>
      </w:r>
      <w:bookmarkEnd w:id="17"/>
      <w:r w:rsidR="00BF31B5">
        <w:rPr>
          <w:color w:val="FF0000"/>
        </w:rPr>
        <w:t>.</w:t>
      </w:r>
    </w:p>
    <w:p w14:paraId="54343CF8" w14:textId="77777777" w:rsidR="00641D2D" w:rsidRPr="002012E0" w:rsidRDefault="00641D2D" w:rsidP="00E137DD">
      <w:pPr>
        <w:jc w:val="both"/>
        <w:rPr>
          <w:color w:val="FF0000"/>
        </w:rPr>
      </w:pPr>
    </w:p>
    <w:p w14:paraId="06C78870" w14:textId="77777777" w:rsidR="0034072F" w:rsidRPr="00F912EF" w:rsidRDefault="0034072F" w:rsidP="00F912EF"/>
    <w:p w14:paraId="3B009208" w14:textId="77777777" w:rsidR="00F912EF" w:rsidRPr="00F912EF" w:rsidRDefault="00F912EF" w:rsidP="00F912EF"/>
    <w:tbl>
      <w:tblPr>
        <w:tblStyle w:val="TableGrid"/>
        <w:tblW w:w="10060" w:type="dxa"/>
        <w:tblLook w:val="04A0" w:firstRow="1" w:lastRow="0" w:firstColumn="1" w:lastColumn="0" w:noHBand="0" w:noVBand="1"/>
      </w:tblPr>
      <w:tblGrid>
        <w:gridCol w:w="10060"/>
      </w:tblGrid>
      <w:tr w:rsidR="00F912EF" w:rsidRPr="00F912EF" w14:paraId="5DCC8F85" w14:textId="77777777" w:rsidTr="00046654">
        <w:tc>
          <w:tcPr>
            <w:tcW w:w="10060" w:type="dxa"/>
          </w:tcPr>
          <w:p w14:paraId="50CE9754" w14:textId="77777777" w:rsidR="00F912EF" w:rsidRPr="00F912EF" w:rsidRDefault="00F912EF" w:rsidP="00F912EF">
            <w:pPr>
              <w:jc w:val="both"/>
              <w:rPr>
                <w:strike/>
                <w:color w:val="000000"/>
              </w:rPr>
            </w:pPr>
            <w:r w:rsidRPr="00F912EF">
              <w:rPr>
                <w:strike/>
                <w:color w:val="000000"/>
              </w:rPr>
              <w:t>Nearly two thirds of the survey pool agreed that they are enjoying working from home on some days of the week and only 6% strongly disagree with this.</w:t>
            </w:r>
          </w:p>
          <w:p w14:paraId="20906056" w14:textId="77777777" w:rsidR="00F912EF" w:rsidRPr="00F912EF" w:rsidRDefault="00F912EF" w:rsidP="00F912EF">
            <w:pPr>
              <w:jc w:val="both"/>
              <w:rPr>
                <w:strike/>
              </w:rPr>
            </w:pPr>
          </w:p>
        </w:tc>
      </w:tr>
      <w:tr w:rsidR="00F912EF" w:rsidRPr="00F912EF" w14:paraId="2F568527" w14:textId="77777777" w:rsidTr="00046654">
        <w:tc>
          <w:tcPr>
            <w:tcW w:w="10060" w:type="dxa"/>
          </w:tcPr>
          <w:p w14:paraId="0BAAB7B6" w14:textId="77777777" w:rsidR="00F912EF" w:rsidRPr="00F912EF" w:rsidRDefault="00F912EF" w:rsidP="00F912EF">
            <w:pPr>
              <w:jc w:val="both"/>
              <w:rPr>
                <w:strike/>
              </w:rPr>
            </w:pPr>
            <w:r w:rsidRPr="00F912EF">
              <w:rPr>
                <w:strike/>
                <w:color w:val="000000"/>
              </w:rPr>
              <w:t>The majority of the 300 employees taking part in the survey fully agree that hybrid working practices support the work-life balance and well-being, whereas less than 3% strongly disagree with this statement.</w:t>
            </w:r>
          </w:p>
        </w:tc>
      </w:tr>
      <w:tr w:rsidR="00F912EF" w:rsidRPr="00F912EF" w14:paraId="601D7F61" w14:textId="77777777" w:rsidTr="00046654">
        <w:tc>
          <w:tcPr>
            <w:tcW w:w="10060" w:type="dxa"/>
          </w:tcPr>
          <w:p w14:paraId="253F0050" w14:textId="77777777" w:rsidR="00F912EF" w:rsidRPr="00F912EF" w:rsidRDefault="00F912EF" w:rsidP="00F912EF">
            <w:pPr>
              <w:jc w:val="both"/>
              <w:rPr>
                <w:strike/>
                <w:color w:val="000000"/>
              </w:rPr>
            </w:pPr>
          </w:p>
          <w:p w14:paraId="7CFBBA0D" w14:textId="77777777" w:rsidR="00F912EF" w:rsidRPr="00F912EF" w:rsidRDefault="00F912EF" w:rsidP="00F912EF">
            <w:pPr>
              <w:jc w:val="both"/>
              <w:rPr>
                <w:strike/>
              </w:rPr>
            </w:pPr>
            <w:r w:rsidRPr="00F912EF">
              <w:rPr>
                <w:strike/>
                <w:color w:val="000000"/>
              </w:rPr>
              <w:lastRenderedPageBreak/>
              <w:t>83% of the participants disagree with the lack of engagement with colleagues in the workplace, whereas 80% of them do not feel fully supported when working at home.</w:t>
            </w:r>
          </w:p>
        </w:tc>
      </w:tr>
      <w:tr w:rsidR="00F912EF" w:rsidRPr="00F912EF" w14:paraId="05A027EC" w14:textId="77777777" w:rsidTr="00046654">
        <w:tc>
          <w:tcPr>
            <w:tcW w:w="10060" w:type="dxa"/>
          </w:tcPr>
          <w:p w14:paraId="66AC936A" w14:textId="77777777" w:rsidR="00F912EF" w:rsidRPr="00F912EF" w:rsidRDefault="00F912EF" w:rsidP="00F912EF">
            <w:pPr>
              <w:jc w:val="both"/>
              <w:rPr>
                <w:strike/>
              </w:rPr>
            </w:pPr>
            <w:r w:rsidRPr="00F912EF">
              <w:rPr>
                <w:strike/>
                <w:color w:val="000000"/>
              </w:rPr>
              <w:lastRenderedPageBreak/>
              <w:t>It is apparent that working remotely does not constitute a challenge for a majority of the 300 employees.</w:t>
            </w:r>
          </w:p>
        </w:tc>
      </w:tr>
      <w:tr w:rsidR="00F912EF" w:rsidRPr="00F912EF" w14:paraId="5DD73E15" w14:textId="77777777" w:rsidTr="00046654">
        <w:tc>
          <w:tcPr>
            <w:tcW w:w="10060" w:type="dxa"/>
            <w:vAlign w:val="bottom"/>
          </w:tcPr>
          <w:p w14:paraId="6C28371D" w14:textId="77777777" w:rsidR="00F912EF" w:rsidRPr="00F912EF" w:rsidRDefault="00F912EF" w:rsidP="00F912EF">
            <w:pPr>
              <w:jc w:val="both"/>
              <w:rPr>
                <w:strike/>
              </w:rPr>
            </w:pPr>
            <w:r w:rsidRPr="00F912EF">
              <w:rPr>
                <w:strike/>
                <w:color w:val="000000"/>
              </w:rPr>
              <w:t>Two thirds find it difficult to separate work from personal life when working from home.</w:t>
            </w:r>
          </w:p>
        </w:tc>
      </w:tr>
      <w:tr w:rsidR="00F912EF" w:rsidRPr="00F912EF" w14:paraId="2A430A9C" w14:textId="77777777" w:rsidTr="00046654">
        <w:tc>
          <w:tcPr>
            <w:tcW w:w="10060" w:type="dxa"/>
          </w:tcPr>
          <w:p w14:paraId="257590DC" w14:textId="77777777" w:rsidR="00F912EF" w:rsidRPr="00F912EF" w:rsidRDefault="00F912EF" w:rsidP="00F912EF">
            <w:pPr>
              <w:jc w:val="both"/>
              <w:rPr>
                <w:strike/>
              </w:rPr>
            </w:pPr>
            <w:r w:rsidRPr="00F912EF">
              <w:rPr>
                <w:strike/>
                <w:color w:val="000000"/>
              </w:rPr>
              <w:t>Productivity levels seem to remain the same when hybrid working practices are in place, with 148 agreeing that hybrid working makes them mor productive and 147 disagreeing with this statement.</w:t>
            </w:r>
          </w:p>
        </w:tc>
      </w:tr>
      <w:tr w:rsidR="00F912EF" w:rsidRPr="00F912EF" w14:paraId="78F635C3" w14:textId="77777777" w:rsidTr="00046654">
        <w:tc>
          <w:tcPr>
            <w:tcW w:w="10060" w:type="dxa"/>
          </w:tcPr>
          <w:p w14:paraId="68FACF79" w14:textId="77777777" w:rsidR="00F912EF" w:rsidRPr="00F912EF" w:rsidRDefault="00F912EF" w:rsidP="00F912EF">
            <w:pPr>
              <w:jc w:val="both"/>
              <w:rPr>
                <w:strike/>
                <w:color w:val="000000"/>
              </w:rPr>
            </w:pPr>
            <w:r w:rsidRPr="00F912EF">
              <w:rPr>
                <w:strike/>
                <w:color w:val="000000"/>
              </w:rPr>
              <w:t>Cross functional communication and collaboration within teams seems to have been affected when working from home with nearly 60% of respondents confirming this.</w:t>
            </w:r>
          </w:p>
        </w:tc>
      </w:tr>
      <w:tr w:rsidR="00F912EF" w:rsidRPr="00F912EF" w14:paraId="05745EF5" w14:textId="77777777" w:rsidTr="00046654">
        <w:tc>
          <w:tcPr>
            <w:tcW w:w="10060" w:type="dxa"/>
          </w:tcPr>
          <w:p w14:paraId="18796DC2" w14:textId="77777777" w:rsidR="00F912EF" w:rsidRPr="00F912EF" w:rsidRDefault="00F912EF" w:rsidP="00F912EF">
            <w:pPr>
              <w:jc w:val="both"/>
              <w:rPr>
                <w:strike/>
                <w:color w:val="000000"/>
              </w:rPr>
            </w:pPr>
            <w:r w:rsidRPr="00F912EF">
              <w:rPr>
                <w:strike/>
                <w:color w:val="000000"/>
              </w:rPr>
              <w:t>60% of respondents feel more connected to the company culture whilst hybrid working has been implemented.</w:t>
            </w:r>
          </w:p>
        </w:tc>
      </w:tr>
      <w:tr w:rsidR="00F912EF" w:rsidRPr="00F912EF" w14:paraId="24593E74" w14:textId="77777777" w:rsidTr="00046654">
        <w:tc>
          <w:tcPr>
            <w:tcW w:w="10060" w:type="dxa"/>
          </w:tcPr>
          <w:p w14:paraId="5C6B8850" w14:textId="77777777" w:rsidR="00F912EF" w:rsidRPr="00F912EF" w:rsidRDefault="00F912EF" w:rsidP="00F912EF">
            <w:pPr>
              <w:jc w:val="both"/>
              <w:rPr>
                <w:strike/>
                <w:color w:val="000000"/>
              </w:rPr>
            </w:pPr>
            <w:r w:rsidRPr="00F912EF">
              <w:rPr>
                <w:strike/>
                <w:color w:val="000000"/>
              </w:rPr>
              <w:t>Two thirds are of the opinion that working from home does not allow them to meet their targets.</w:t>
            </w:r>
          </w:p>
        </w:tc>
      </w:tr>
      <w:tr w:rsidR="00F912EF" w:rsidRPr="00F912EF" w14:paraId="1F09FFE7" w14:textId="77777777" w:rsidTr="00046654">
        <w:tc>
          <w:tcPr>
            <w:tcW w:w="10060" w:type="dxa"/>
          </w:tcPr>
          <w:p w14:paraId="0EBDB65E" w14:textId="77777777" w:rsidR="00F912EF" w:rsidRPr="00F912EF" w:rsidRDefault="00F912EF" w:rsidP="00F912EF">
            <w:pPr>
              <w:jc w:val="both"/>
              <w:rPr>
                <w:strike/>
                <w:color w:val="000000"/>
              </w:rPr>
            </w:pPr>
            <w:r w:rsidRPr="00F912EF">
              <w:rPr>
                <w:strike/>
                <w:color w:val="000000"/>
              </w:rPr>
              <w:t>Access to resources is easily accessible for 147 out of the 300 surveyed and at the same time 147 find it more difficult to access resources remotely.</w:t>
            </w:r>
          </w:p>
        </w:tc>
      </w:tr>
      <w:tr w:rsidR="00F912EF" w:rsidRPr="00F912EF" w14:paraId="061A8E14" w14:textId="77777777" w:rsidTr="00046654">
        <w:tc>
          <w:tcPr>
            <w:tcW w:w="10060" w:type="dxa"/>
          </w:tcPr>
          <w:p w14:paraId="5DAB0CE5" w14:textId="77777777" w:rsidR="00F912EF" w:rsidRPr="00F912EF" w:rsidRDefault="00F912EF" w:rsidP="00F912EF">
            <w:pPr>
              <w:jc w:val="both"/>
              <w:rPr>
                <w:strike/>
                <w:color w:val="000000"/>
              </w:rPr>
            </w:pPr>
            <w:r w:rsidRPr="00F912EF">
              <w:rPr>
                <w:strike/>
                <w:color w:val="000000"/>
              </w:rPr>
              <w:t>Working from home removes conflict in the opinion of nearly 60% of respondents.</w:t>
            </w:r>
          </w:p>
        </w:tc>
      </w:tr>
      <w:tr w:rsidR="00F912EF" w:rsidRPr="00F912EF" w14:paraId="1B2C5BE1" w14:textId="77777777" w:rsidTr="00046654">
        <w:tc>
          <w:tcPr>
            <w:tcW w:w="10060" w:type="dxa"/>
          </w:tcPr>
          <w:p w14:paraId="43C9436C" w14:textId="77777777" w:rsidR="00F912EF" w:rsidRPr="00F912EF" w:rsidRDefault="00F912EF" w:rsidP="00F912EF">
            <w:pPr>
              <w:jc w:val="both"/>
              <w:rPr>
                <w:strike/>
                <w:color w:val="000000"/>
              </w:rPr>
            </w:pPr>
            <w:r w:rsidRPr="00F912EF">
              <w:rPr>
                <w:strike/>
                <w:color w:val="000000"/>
              </w:rPr>
              <w:t>An overwhelming majority strongly disagree that they are less stressed when away from the workplace.</w:t>
            </w:r>
          </w:p>
        </w:tc>
      </w:tr>
      <w:tr w:rsidR="00F912EF" w:rsidRPr="00F912EF" w14:paraId="6411689D" w14:textId="77777777" w:rsidTr="00046654">
        <w:tc>
          <w:tcPr>
            <w:tcW w:w="10060" w:type="dxa"/>
          </w:tcPr>
          <w:p w14:paraId="0FCD91D2" w14:textId="77777777" w:rsidR="00F912EF" w:rsidRPr="00F912EF" w:rsidRDefault="00F912EF" w:rsidP="00F912EF">
            <w:pPr>
              <w:jc w:val="both"/>
              <w:rPr>
                <w:strike/>
                <w:color w:val="000000"/>
              </w:rPr>
            </w:pPr>
            <w:r w:rsidRPr="00F912EF">
              <w:rPr>
                <w:strike/>
                <w:color w:val="000000"/>
              </w:rPr>
              <w:t>The amount of recognition received for work appears to be relatively similar when working from home.</w:t>
            </w:r>
          </w:p>
          <w:p w14:paraId="5C5FD8EA" w14:textId="77777777" w:rsidR="00F912EF" w:rsidRPr="00F912EF" w:rsidRDefault="00F912EF" w:rsidP="00F912EF">
            <w:pPr>
              <w:jc w:val="both"/>
              <w:rPr>
                <w:strike/>
                <w:color w:val="000000"/>
              </w:rPr>
            </w:pPr>
          </w:p>
        </w:tc>
      </w:tr>
      <w:tr w:rsidR="00F912EF" w:rsidRPr="00F912EF" w14:paraId="658A37D5" w14:textId="77777777" w:rsidTr="00046654">
        <w:tc>
          <w:tcPr>
            <w:tcW w:w="10060" w:type="dxa"/>
          </w:tcPr>
          <w:p w14:paraId="0AE7468D" w14:textId="77777777" w:rsidR="00F912EF" w:rsidRPr="00F912EF" w:rsidRDefault="00F912EF" w:rsidP="00F912EF">
            <w:pPr>
              <w:jc w:val="both"/>
              <w:rPr>
                <w:strike/>
                <w:color w:val="000000"/>
              </w:rPr>
            </w:pPr>
            <w:r w:rsidRPr="00F912EF">
              <w:rPr>
                <w:strike/>
                <w:color w:val="000000"/>
              </w:rPr>
              <w:t>The survey, in its entirety, shows that employees are finding hybrid working practices beneficial in regards to work-life balance and well-being without adverse effects in loss of engagement with colleagues, productivity levels or recognition.</w:t>
            </w:r>
          </w:p>
        </w:tc>
      </w:tr>
      <w:tr w:rsidR="00F912EF" w:rsidRPr="00F912EF" w14:paraId="6F4C1845" w14:textId="77777777" w:rsidTr="00046654">
        <w:tc>
          <w:tcPr>
            <w:tcW w:w="10060" w:type="dxa"/>
          </w:tcPr>
          <w:p w14:paraId="028CD175" w14:textId="77777777" w:rsidR="00F912EF" w:rsidRPr="00F912EF" w:rsidRDefault="00F912EF" w:rsidP="00F912EF">
            <w:pPr>
              <w:jc w:val="both"/>
              <w:rPr>
                <w:strike/>
                <w:color w:val="000000"/>
              </w:rPr>
            </w:pPr>
            <w:r w:rsidRPr="00F912EF">
              <w:rPr>
                <w:strike/>
                <w:color w:val="000000"/>
              </w:rPr>
              <w:t>Improvements can be added in regards to enhanced support when working at home, cross functional communication and collaboration as well as making access to resources when working from home easier.</w:t>
            </w:r>
          </w:p>
        </w:tc>
      </w:tr>
      <w:tr w:rsidR="00F912EF" w:rsidRPr="00F912EF" w14:paraId="5DD0E255" w14:textId="77777777" w:rsidTr="00046654">
        <w:tc>
          <w:tcPr>
            <w:tcW w:w="10060" w:type="dxa"/>
          </w:tcPr>
          <w:p w14:paraId="554BF3B2" w14:textId="77777777" w:rsidR="00F912EF" w:rsidRPr="00F912EF" w:rsidRDefault="00F912EF" w:rsidP="00F912EF">
            <w:pPr>
              <w:jc w:val="both"/>
              <w:rPr>
                <w:strike/>
                <w:color w:val="000000"/>
              </w:rPr>
            </w:pPr>
            <w:r w:rsidRPr="00F912EF">
              <w:rPr>
                <w:strike/>
                <w:color w:val="000000"/>
              </w:rPr>
              <w:t>Particular attention must be paid to stress levels which seem to be present regardless of location of work.</w:t>
            </w:r>
          </w:p>
        </w:tc>
      </w:tr>
    </w:tbl>
    <w:p w14:paraId="7363A678" w14:textId="77777777" w:rsidR="001B7E00" w:rsidRDefault="001B7E00" w:rsidP="001B7E00"/>
    <w:p w14:paraId="37B3DB8A" w14:textId="77777777" w:rsidR="00220128" w:rsidRPr="000A6555" w:rsidRDefault="00220128" w:rsidP="000A6555"/>
    <w:p w14:paraId="3257F3EE" w14:textId="7D0A4231" w:rsidR="007B3C3E" w:rsidRDefault="007B3C3E" w:rsidP="007B3C3E">
      <w:pPr>
        <w:pStyle w:val="Heading2"/>
      </w:pPr>
      <w:bookmarkStart w:id="18" w:name="_Hlk153162863"/>
      <w:bookmarkStart w:id="19" w:name="_Hlk158656499"/>
      <w:r>
        <w:t>AC2.3 Recommendations</w:t>
      </w:r>
    </w:p>
    <w:p w14:paraId="798B8FDE" w14:textId="77777777" w:rsidR="00B8145F" w:rsidRPr="00B8145F" w:rsidRDefault="00B8145F" w:rsidP="00B8145F"/>
    <w:p w14:paraId="64918B8D" w14:textId="18D8DAD9" w:rsidR="00CA2118" w:rsidRPr="002A5C99" w:rsidRDefault="00CA2118" w:rsidP="00FF1E4D">
      <w:pPr>
        <w:jc w:val="both"/>
        <w:rPr>
          <w:b/>
          <w:bCs/>
          <w:color w:val="FF0000"/>
        </w:rPr>
      </w:pPr>
      <w:r w:rsidRPr="00FF1E4D">
        <w:rPr>
          <w:b/>
          <w:bCs/>
          <w:color w:val="FF0000"/>
        </w:rPr>
        <w:t>Table 1:</w:t>
      </w:r>
      <w:r w:rsidR="002A5C99">
        <w:rPr>
          <w:b/>
          <w:bCs/>
          <w:color w:val="FF0000"/>
        </w:rPr>
        <w:t xml:space="preserve"> </w:t>
      </w:r>
      <w:r w:rsidR="00981BB5">
        <w:rPr>
          <w:color w:val="FF0000"/>
        </w:rPr>
        <w:t xml:space="preserve">Overview </w:t>
      </w:r>
    </w:p>
    <w:p w14:paraId="690E588E" w14:textId="025AF12D" w:rsidR="00981BB5" w:rsidRDefault="00981BB5" w:rsidP="00FF1E4D">
      <w:pPr>
        <w:jc w:val="both"/>
        <w:rPr>
          <w:color w:val="FF0000"/>
        </w:rPr>
      </w:pPr>
      <w:r>
        <w:rPr>
          <w:color w:val="FF0000"/>
        </w:rPr>
        <w:t xml:space="preserve">There is a </w:t>
      </w:r>
      <w:r w:rsidRPr="00FF1E4D">
        <w:rPr>
          <w:b/>
          <w:bCs/>
          <w:color w:val="FF0000"/>
        </w:rPr>
        <w:t xml:space="preserve">gender </w:t>
      </w:r>
      <w:r>
        <w:rPr>
          <w:color w:val="FF0000"/>
        </w:rPr>
        <w:t>imbalance</w:t>
      </w:r>
      <w:r w:rsidR="00FF1E4D">
        <w:rPr>
          <w:color w:val="FF0000"/>
        </w:rPr>
        <w:t>, whilst significant, female representation could still benefit from improvement. Non-binary employees represent a very small percentage highlighting a potential need for inclusion efforts.</w:t>
      </w:r>
    </w:p>
    <w:p w14:paraId="1F11E4F1" w14:textId="782869BD" w:rsidR="00FF1E4D" w:rsidRDefault="00FF1E4D" w:rsidP="00FF1E4D">
      <w:pPr>
        <w:jc w:val="both"/>
        <w:rPr>
          <w:color w:val="FF0000"/>
        </w:rPr>
      </w:pPr>
      <w:r w:rsidRPr="00FF1E4D">
        <w:rPr>
          <w:b/>
          <w:bCs/>
          <w:color w:val="FF0000"/>
        </w:rPr>
        <w:t>Ethnicity</w:t>
      </w:r>
      <w:r>
        <w:rPr>
          <w:color w:val="FF0000"/>
        </w:rPr>
        <w:t xml:space="preserve"> is comprised of a dominant majority white British staff leaving a very small percentage for all other ethnicities combined, indicating a probable under-representation.</w:t>
      </w:r>
    </w:p>
    <w:p w14:paraId="1C5A908A" w14:textId="206BCC39" w:rsidR="00FF1E4D" w:rsidRDefault="00FF1E4D" w:rsidP="00FF1E4D">
      <w:pPr>
        <w:jc w:val="both"/>
        <w:rPr>
          <w:color w:val="FF0000"/>
        </w:rPr>
      </w:pPr>
      <w:r w:rsidRPr="00FF1E4D">
        <w:rPr>
          <w:b/>
          <w:bCs/>
          <w:color w:val="FF0000"/>
        </w:rPr>
        <w:t>Disability</w:t>
      </w:r>
      <w:r>
        <w:rPr>
          <w:color w:val="FF0000"/>
        </w:rPr>
        <w:t xml:space="preserve"> seems significantly lower than global averages</w:t>
      </w:r>
      <w:r w:rsidR="00B13EA1">
        <w:rPr>
          <w:color w:val="FF0000"/>
        </w:rPr>
        <w:t xml:space="preserve"> (WHO, 2023)</w:t>
      </w:r>
      <w:r>
        <w:rPr>
          <w:color w:val="FF0000"/>
        </w:rPr>
        <w:t>, however analysing smaller teams would not be reliable due to sample size limitations.</w:t>
      </w:r>
    </w:p>
    <w:p w14:paraId="290D7471" w14:textId="4C192061" w:rsidR="00FF1E4D" w:rsidRDefault="00FF1E4D" w:rsidP="00FF1E4D">
      <w:pPr>
        <w:jc w:val="both"/>
        <w:rPr>
          <w:color w:val="FF0000"/>
        </w:rPr>
      </w:pPr>
      <w:r w:rsidRPr="00B13EA1">
        <w:rPr>
          <w:b/>
          <w:bCs/>
          <w:color w:val="FF0000"/>
        </w:rPr>
        <w:t>Salary</w:t>
      </w:r>
      <w:r>
        <w:rPr>
          <w:color w:val="FF0000"/>
        </w:rPr>
        <w:t xml:space="preserve"> </w:t>
      </w:r>
      <w:r w:rsidR="00B13EA1">
        <w:rPr>
          <w:color w:val="FF0000"/>
        </w:rPr>
        <w:t xml:space="preserve">revealing </w:t>
      </w:r>
      <w:r>
        <w:rPr>
          <w:color w:val="FF0000"/>
        </w:rPr>
        <w:t>slight average salary difference between genders</w:t>
      </w:r>
      <w:r w:rsidR="00B13EA1">
        <w:rPr>
          <w:color w:val="FF0000"/>
        </w:rPr>
        <w:t xml:space="preserve">, with females earning slightly more than males. </w:t>
      </w:r>
      <w:r w:rsidR="00B13EA1" w:rsidRPr="00B13EA1">
        <w:rPr>
          <w:color w:val="FF0000"/>
        </w:rPr>
        <w:t xml:space="preserve">Non-binary employees show a </w:t>
      </w:r>
      <w:r w:rsidR="00B13EA1" w:rsidRPr="00B13EA1">
        <w:rPr>
          <w:b/>
          <w:bCs/>
          <w:color w:val="FF0000"/>
        </w:rPr>
        <w:t>greater difference</w:t>
      </w:r>
      <w:r w:rsidR="00B13EA1" w:rsidRPr="00B13EA1">
        <w:rPr>
          <w:color w:val="FF0000"/>
        </w:rPr>
        <w:t xml:space="preserve"> in average salary, but with only two data points, conclusions are unreliable.</w:t>
      </w:r>
    </w:p>
    <w:p w14:paraId="2EFDFFBC" w14:textId="2F6DA6AD" w:rsidR="00B13EA1" w:rsidRDefault="00B13EA1" w:rsidP="00FF1E4D">
      <w:pPr>
        <w:jc w:val="both"/>
        <w:rPr>
          <w:color w:val="FF0000"/>
        </w:rPr>
      </w:pPr>
      <w:r w:rsidRPr="00B13EA1">
        <w:rPr>
          <w:color w:val="FF0000"/>
        </w:rPr>
        <w:t>Whilst commendable steps have been taken towards gender diversity, other demographic groups seem under represented, potentially limiting inclusivity and diversity of perspectives.</w:t>
      </w:r>
    </w:p>
    <w:p w14:paraId="26A16508" w14:textId="77777777" w:rsidR="00BF31B5" w:rsidRDefault="00BF31B5" w:rsidP="00FF1E4D">
      <w:pPr>
        <w:jc w:val="both"/>
        <w:rPr>
          <w:color w:val="FF0000"/>
          <w:u w:val="single"/>
        </w:rPr>
      </w:pPr>
    </w:p>
    <w:p w14:paraId="00D167EC" w14:textId="038529CE" w:rsidR="008575B7" w:rsidRPr="00B8145F" w:rsidRDefault="008575B7" w:rsidP="00FF1E4D">
      <w:pPr>
        <w:jc w:val="both"/>
        <w:rPr>
          <w:color w:val="FF0000"/>
          <w:u w:val="single"/>
        </w:rPr>
      </w:pPr>
      <w:r w:rsidRPr="00B8145F">
        <w:rPr>
          <w:color w:val="FF0000"/>
          <w:u w:val="single"/>
        </w:rPr>
        <w:t>Recommendations</w:t>
      </w:r>
      <w:r w:rsidR="00B8145F">
        <w:rPr>
          <w:color w:val="FF0000"/>
          <w:u w:val="single"/>
        </w:rPr>
        <w:t>:</w:t>
      </w:r>
    </w:p>
    <w:p w14:paraId="7E21921B" w14:textId="1D3A37CC" w:rsidR="008575B7" w:rsidRDefault="008575B7" w:rsidP="008575B7">
      <w:pPr>
        <w:pStyle w:val="ListParagraph"/>
        <w:numPr>
          <w:ilvl w:val="0"/>
          <w:numId w:val="104"/>
        </w:numPr>
        <w:jc w:val="both"/>
        <w:rPr>
          <w:color w:val="FF0000"/>
        </w:rPr>
      </w:pPr>
      <w:r>
        <w:rPr>
          <w:color w:val="FF0000"/>
        </w:rPr>
        <w:t>Address under-representation</w:t>
      </w:r>
      <w:r w:rsidR="00B31BFC">
        <w:rPr>
          <w:color w:val="FF0000"/>
        </w:rPr>
        <w:t xml:space="preserve"> and specific needs</w:t>
      </w:r>
      <w:r>
        <w:rPr>
          <w:color w:val="FF0000"/>
        </w:rPr>
        <w:t xml:space="preserve"> in various demographics</w:t>
      </w:r>
      <w:r w:rsidR="00991840">
        <w:rPr>
          <w:color w:val="FF0000"/>
        </w:rPr>
        <w:t xml:space="preserve"> by g</w:t>
      </w:r>
      <w:r w:rsidR="00991840" w:rsidRPr="00991840">
        <w:rPr>
          <w:color w:val="FF0000"/>
        </w:rPr>
        <w:t>ather</w:t>
      </w:r>
      <w:r w:rsidR="00991840">
        <w:rPr>
          <w:color w:val="FF0000"/>
        </w:rPr>
        <w:t>ing</w:t>
      </w:r>
      <w:r w:rsidR="00991840" w:rsidRPr="00991840">
        <w:rPr>
          <w:color w:val="FF0000"/>
        </w:rPr>
        <w:t xml:space="preserve"> data on workforce demographics beyond gender, including ethnicity, age, sexual orientation, socioeconomic background, and disability status</w:t>
      </w:r>
      <w:r w:rsidR="00991840">
        <w:rPr>
          <w:color w:val="FF0000"/>
        </w:rPr>
        <w:t xml:space="preserve"> (</w:t>
      </w:r>
      <w:r w:rsidR="00B31BFC">
        <w:rPr>
          <w:color w:val="FF0000"/>
        </w:rPr>
        <w:t xml:space="preserve">Equality Act 2010, </w:t>
      </w:r>
      <w:r w:rsidR="00991840">
        <w:rPr>
          <w:color w:val="FF0000"/>
        </w:rPr>
        <w:t>Stonewall, 2018</w:t>
      </w:r>
      <w:r w:rsidR="007F51DE">
        <w:rPr>
          <w:color w:val="FF0000"/>
        </w:rPr>
        <w:t>,</w:t>
      </w:r>
      <w:r w:rsidR="00991840">
        <w:rPr>
          <w:color w:val="FF0000"/>
        </w:rPr>
        <w:t xml:space="preserve"> Miller, 2023).</w:t>
      </w:r>
    </w:p>
    <w:p w14:paraId="48709D0B" w14:textId="38F8FB8E" w:rsidR="008575B7" w:rsidRDefault="008575B7" w:rsidP="008575B7">
      <w:pPr>
        <w:pStyle w:val="ListParagraph"/>
        <w:numPr>
          <w:ilvl w:val="0"/>
          <w:numId w:val="104"/>
        </w:numPr>
        <w:jc w:val="both"/>
        <w:rPr>
          <w:color w:val="FF0000"/>
        </w:rPr>
      </w:pPr>
      <w:r>
        <w:rPr>
          <w:color w:val="FF0000"/>
        </w:rPr>
        <w:lastRenderedPageBreak/>
        <w:t xml:space="preserve">Create an </w:t>
      </w:r>
      <w:r w:rsidR="00B31BFC">
        <w:rPr>
          <w:color w:val="FF0000"/>
        </w:rPr>
        <w:t xml:space="preserve">equal, diverse and </w:t>
      </w:r>
      <w:r>
        <w:rPr>
          <w:color w:val="FF0000"/>
        </w:rPr>
        <w:t>inclusive workplace culture</w:t>
      </w:r>
      <w:r w:rsidR="00B31BFC">
        <w:rPr>
          <w:color w:val="FF0000"/>
        </w:rPr>
        <w:t xml:space="preserve"> through </w:t>
      </w:r>
      <w:r w:rsidR="00B31BFC" w:rsidRPr="00B31BFC">
        <w:rPr>
          <w:color w:val="FF0000"/>
        </w:rPr>
        <w:t>Standards like BSI, ISO's human resource management suite, and Investors in People</w:t>
      </w:r>
      <w:r w:rsidR="002A5C99">
        <w:rPr>
          <w:color w:val="FF0000"/>
        </w:rPr>
        <w:t xml:space="preserve">, </w:t>
      </w:r>
      <w:r w:rsidR="00B31BFC" w:rsidRPr="00B31BFC">
        <w:rPr>
          <w:color w:val="FF0000"/>
        </w:rPr>
        <w:t>valuable tools for organi</w:t>
      </w:r>
      <w:r w:rsidR="002A5C99">
        <w:rPr>
          <w:color w:val="FF0000"/>
        </w:rPr>
        <w:t>s</w:t>
      </w:r>
      <w:r w:rsidR="00B31BFC" w:rsidRPr="00B31BFC">
        <w:rPr>
          <w:color w:val="FF0000"/>
        </w:rPr>
        <w:t>ations striving to improve their diversity and inclusion</w:t>
      </w:r>
      <w:r w:rsidR="00B31BFC">
        <w:rPr>
          <w:color w:val="FF0000"/>
        </w:rPr>
        <w:t xml:space="preserve"> </w:t>
      </w:r>
      <w:r w:rsidR="00B31BFC" w:rsidRPr="00B31BFC">
        <w:rPr>
          <w:color w:val="FF0000"/>
        </w:rPr>
        <w:t>efforts</w:t>
      </w:r>
      <w:r w:rsidR="00B31BFC">
        <w:rPr>
          <w:color w:val="FF0000"/>
        </w:rPr>
        <w:t xml:space="preserve"> (Ali, 2022).</w:t>
      </w:r>
    </w:p>
    <w:p w14:paraId="4A68AFCE" w14:textId="77777777" w:rsidR="008079BC" w:rsidRDefault="008079BC" w:rsidP="008079BC"/>
    <w:p w14:paraId="176491DA" w14:textId="77777777" w:rsidR="002A5C99" w:rsidRDefault="002A5C99" w:rsidP="002A5C99">
      <w:pPr>
        <w:rPr>
          <w:color w:val="FF0000"/>
        </w:rPr>
      </w:pPr>
      <w:r w:rsidRPr="002A5C99">
        <w:rPr>
          <w:color w:val="FF0000"/>
        </w:rPr>
        <w:t>Table 2</w:t>
      </w:r>
      <w:r>
        <w:rPr>
          <w:color w:val="FF0000"/>
        </w:rPr>
        <w:t>: Overview</w:t>
      </w:r>
    </w:p>
    <w:p w14:paraId="640C72E8" w14:textId="6FBB6521" w:rsidR="002A5C99" w:rsidRPr="00B8145F" w:rsidRDefault="008079BC" w:rsidP="002A5C99">
      <w:pPr>
        <w:jc w:val="both"/>
        <w:rPr>
          <w:color w:val="FF0000"/>
        </w:rPr>
      </w:pPr>
      <w:r w:rsidRPr="00B8145F">
        <w:rPr>
          <w:rStyle w:val="Strong"/>
          <w:color w:val="FF0000"/>
        </w:rPr>
        <w:t>Mixed experiences with hybrid work:</w:t>
      </w:r>
      <w:r w:rsidRPr="00B8145F">
        <w:rPr>
          <w:color w:val="FF0000"/>
        </w:rPr>
        <w:t xml:space="preserve"> </w:t>
      </w:r>
      <w:r w:rsidR="002A5C99" w:rsidRPr="00B8145F">
        <w:rPr>
          <w:color w:val="FF0000"/>
        </w:rPr>
        <w:t>w</w:t>
      </w:r>
      <w:r w:rsidRPr="00B8145F">
        <w:rPr>
          <w:color w:val="FF0000"/>
        </w:rPr>
        <w:t>hil</w:t>
      </w:r>
      <w:r w:rsidR="002A5C99" w:rsidRPr="00B8145F">
        <w:rPr>
          <w:color w:val="FF0000"/>
        </w:rPr>
        <w:t>st</w:t>
      </w:r>
      <w:r w:rsidRPr="00B8145F">
        <w:rPr>
          <w:color w:val="FF0000"/>
        </w:rPr>
        <w:t xml:space="preserve"> some employees thrive in a hybrid environment, others face challenges adapting and may not experience the same benefits.</w:t>
      </w:r>
    </w:p>
    <w:p w14:paraId="41D7EB64" w14:textId="77777777" w:rsidR="002A5C99" w:rsidRPr="00B8145F" w:rsidRDefault="008079BC" w:rsidP="002A5C99">
      <w:pPr>
        <w:jc w:val="both"/>
        <w:rPr>
          <w:color w:val="FF0000"/>
        </w:rPr>
      </w:pPr>
      <w:r w:rsidRPr="00B8145F">
        <w:rPr>
          <w:rStyle w:val="Strong"/>
          <w:color w:val="FF0000"/>
        </w:rPr>
        <w:t>Importance of communication and collaboration:</w:t>
      </w:r>
      <w:r w:rsidRPr="00B8145F">
        <w:rPr>
          <w:color w:val="FF0000"/>
        </w:rPr>
        <w:t xml:space="preserve"> Effective communication and collaboration tools and practices are crucial for success in a hybrid setting, regardless of individual preferences.</w:t>
      </w:r>
    </w:p>
    <w:p w14:paraId="574AE0C2" w14:textId="06DE2B9C" w:rsidR="002A5C99" w:rsidRPr="00B8145F" w:rsidRDefault="008079BC" w:rsidP="002A5C99">
      <w:pPr>
        <w:jc w:val="both"/>
        <w:rPr>
          <w:color w:val="FF0000"/>
        </w:rPr>
      </w:pPr>
      <w:r w:rsidRPr="00B8145F">
        <w:rPr>
          <w:rStyle w:val="Strong"/>
          <w:color w:val="FF0000"/>
        </w:rPr>
        <w:t>Need for support and adaptation:</w:t>
      </w:r>
      <w:r w:rsidRPr="00B8145F">
        <w:rPr>
          <w:color w:val="FF0000"/>
        </w:rPr>
        <w:t xml:space="preserve"> Organi</w:t>
      </w:r>
      <w:r w:rsidR="002A5C99" w:rsidRPr="00B8145F">
        <w:rPr>
          <w:color w:val="FF0000"/>
        </w:rPr>
        <w:t>s</w:t>
      </w:r>
      <w:r w:rsidRPr="00B8145F">
        <w:rPr>
          <w:color w:val="FF0000"/>
        </w:rPr>
        <w:t>ations need to provide targeted support and adapt their policies and practices to address the specific needs and challenges faced by employees working remotely or in a hybrid model.</w:t>
      </w:r>
    </w:p>
    <w:p w14:paraId="551230F0" w14:textId="7D7BD12F" w:rsidR="008079BC" w:rsidRDefault="008079BC" w:rsidP="002A5C99">
      <w:pPr>
        <w:jc w:val="both"/>
        <w:rPr>
          <w:color w:val="FF0000"/>
        </w:rPr>
      </w:pPr>
      <w:r w:rsidRPr="00B8145F">
        <w:rPr>
          <w:rStyle w:val="Strong"/>
          <w:color w:val="FF0000"/>
        </w:rPr>
        <w:t>Individual variations:</w:t>
      </w:r>
      <w:r w:rsidRPr="00B8145F">
        <w:rPr>
          <w:color w:val="FF0000"/>
        </w:rPr>
        <w:t xml:space="preserve"> It</w:t>
      </w:r>
      <w:r w:rsidR="00B8145F">
        <w:rPr>
          <w:color w:val="FF0000"/>
        </w:rPr>
        <w:t xml:space="preserve"> is</w:t>
      </w:r>
      <w:r w:rsidRPr="00B8145F">
        <w:rPr>
          <w:color w:val="FF0000"/>
        </w:rPr>
        <w:t xml:space="preserve"> important to remember that individuals have different preferences and experiences with hybrid work. A one-size-fits-all approach w</w:t>
      </w:r>
      <w:r w:rsidR="002A5C99" w:rsidRPr="00B8145F">
        <w:rPr>
          <w:color w:val="FF0000"/>
        </w:rPr>
        <w:t>ould not</w:t>
      </w:r>
      <w:r w:rsidRPr="00B8145F">
        <w:rPr>
          <w:color w:val="FF0000"/>
        </w:rPr>
        <w:t xml:space="preserve"> work,</w:t>
      </w:r>
      <w:r w:rsidR="00A00B64">
        <w:rPr>
          <w:color w:val="FF0000"/>
        </w:rPr>
        <w:t xml:space="preserve"> </w:t>
      </w:r>
      <w:r w:rsidRPr="00B8145F">
        <w:rPr>
          <w:color w:val="FF0000"/>
        </w:rPr>
        <w:t>flexibility and personali</w:t>
      </w:r>
      <w:r w:rsidR="002A5C99" w:rsidRPr="00B8145F">
        <w:rPr>
          <w:color w:val="FF0000"/>
        </w:rPr>
        <w:t>s</w:t>
      </w:r>
      <w:r w:rsidRPr="00B8145F">
        <w:rPr>
          <w:color w:val="FF0000"/>
        </w:rPr>
        <w:t>ation are key.</w:t>
      </w:r>
    </w:p>
    <w:p w14:paraId="59445D5D" w14:textId="77777777" w:rsidR="00BF31B5" w:rsidRDefault="00BF31B5" w:rsidP="00B8145F">
      <w:pPr>
        <w:jc w:val="both"/>
        <w:rPr>
          <w:color w:val="FF0000"/>
          <w:u w:val="single"/>
        </w:rPr>
      </w:pPr>
    </w:p>
    <w:p w14:paraId="3E015762" w14:textId="18ADA94B" w:rsidR="00B8145F" w:rsidRDefault="00B8145F" w:rsidP="00B8145F">
      <w:pPr>
        <w:jc w:val="both"/>
        <w:rPr>
          <w:color w:val="FF0000"/>
          <w:u w:val="single"/>
        </w:rPr>
      </w:pPr>
      <w:r w:rsidRPr="00B8145F">
        <w:rPr>
          <w:color w:val="FF0000"/>
          <w:u w:val="single"/>
        </w:rPr>
        <w:t>Recommendations</w:t>
      </w:r>
      <w:bookmarkEnd w:id="2"/>
    </w:p>
    <w:p w14:paraId="137C8088" w14:textId="235EA530" w:rsidR="004D634F" w:rsidRPr="00A00B64" w:rsidRDefault="004D634F" w:rsidP="00B8145F">
      <w:pPr>
        <w:pStyle w:val="ListParagraph"/>
        <w:numPr>
          <w:ilvl w:val="0"/>
          <w:numId w:val="34"/>
        </w:numPr>
        <w:jc w:val="both"/>
        <w:rPr>
          <w:color w:val="FF0000"/>
          <w:u w:val="single"/>
        </w:rPr>
      </w:pPr>
      <w:r w:rsidRPr="00A00B64">
        <w:rPr>
          <w:b/>
          <w:bCs/>
          <w:color w:val="FF0000"/>
        </w:rPr>
        <w:t>Invest in remote work infrastructure:</w:t>
      </w:r>
      <w:r w:rsidRPr="00A00B64">
        <w:rPr>
          <w:color w:val="FF0000"/>
        </w:rPr>
        <w:t xml:space="preserve"> Provide resources like ergonomically designed workstations, reliable internet access, and training on relevant technology</w:t>
      </w:r>
      <w:r w:rsidR="00A00B64">
        <w:rPr>
          <w:color w:val="FF0000"/>
        </w:rPr>
        <w:t xml:space="preserve"> (Snow, 2022)</w:t>
      </w:r>
      <w:r w:rsidRPr="00A00B64">
        <w:rPr>
          <w:color w:val="FF0000"/>
        </w:rPr>
        <w:t>.</w:t>
      </w:r>
    </w:p>
    <w:p w14:paraId="2A5BA5AB" w14:textId="2DBF7BB7" w:rsidR="004D634F" w:rsidRPr="00A00B64" w:rsidRDefault="004D634F" w:rsidP="00B8145F">
      <w:pPr>
        <w:numPr>
          <w:ilvl w:val="0"/>
          <w:numId w:val="34"/>
        </w:numPr>
        <w:spacing w:before="100" w:beforeAutospacing="1" w:after="100" w:afterAutospacing="1"/>
        <w:jc w:val="both"/>
        <w:rPr>
          <w:color w:val="FF0000"/>
        </w:rPr>
      </w:pPr>
      <w:r w:rsidRPr="00A00B64">
        <w:rPr>
          <w:b/>
          <w:bCs/>
          <w:color w:val="FF0000"/>
        </w:rPr>
        <w:t>Address productivity concerns:</w:t>
      </w:r>
      <w:r w:rsidRPr="00A00B64">
        <w:rPr>
          <w:color w:val="FF0000"/>
        </w:rPr>
        <w:t xml:space="preserve"> </w:t>
      </w:r>
      <w:r w:rsidR="00A00B64">
        <w:rPr>
          <w:color w:val="FF0000"/>
        </w:rPr>
        <w:t>a</w:t>
      </w:r>
      <w:r w:rsidR="00B8145F" w:rsidRPr="00A00B64">
        <w:rPr>
          <w:color w:val="FF0000"/>
        </w:rPr>
        <w:t>nalyse</w:t>
      </w:r>
      <w:r w:rsidRPr="00A00B64">
        <w:rPr>
          <w:color w:val="FF0000"/>
        </w:rPr>
        <w:t xml:space="preserve"> factors affecting individual and team productivity, provide targeted support, and revisit goal setting and communication strategies</w:t>
      </w:r>
      <w:r w:rsidR="008D4E32">
        <w:rPr>
          <w:color w:val="FF0000"/>
        </w:rPr>
        <w:t xml:space="preserve"> (CIPD, 2017)</w:t>
      </w:r>
      <w:r w:rsidRPr="00A00B64">
        <w:rPr>
          <w:color w:val="FF0000"/>
        </w:rPr>
        <w:t>.</w:t>
      </w:r>
    </w:p>
    <w:p w14:paraId="18EF56CF" w14:textId="57F55187" w:rsidR="004D634F" w:rsidRPr="00A00B64" w:rsidRDefault="004D634F" w:rsidP="00B8145F">
      <w:pPr>
        <w:numPr>
          <w:ilvl w:val="0"/>
          <w:numId w:val="34"/>
        </w:numPr>
        <w:spacing w:before="100" w:beforeAutospacing="1" w:after="100" w:afterAutospacing="1"/>
        <w:jc w:val="both"/>
        <w:rPr>
          <w:color w:val="FF0000"/>
        </w:rPr>
      </w:pPr>
      <w:r w:rsidRPr="00A00B64">
        <w:rPr>
          <w:b/>
          <w:bCs/>
          <w:color w:val="FF0000"/>
        </w:rPr>
        <w:t>Foster collaboration and culture:</w:t>
      </w:r>
      <w:r w:rsidRPr="00A00B64">
        <w:rPr>
          <w:color w:val="FF0000"/>
        </w:rPr>
        <w:t xml:space="preserve"> </w:t>
      </w:r>
      <w:r w:rsidR="00A00B64">
        <w:rPr>
          <w:color w:val="FF0000"/>
        </w:rPr>
        <w:t>i</w:t>
      </w:r>
      <w:r w:rsidRPr="00A00B64">
        <w:rPr>
          <w:color w:val="FF0000"/>
        </w:rPr>
        <w:t>mplement virtual collaboration tools, encourage regular team meetings, and organi</w:t>
      </w:r>
      <w:r w:rsidR="00B8145F" w:rsidRPr="00A00B64">
        <w:rPr>
          <w:color w:val="FF0000"/>
        </w:rPr>
        <w:t>s</w:t>
      </w:r>
      <w:r w:rsidRPr="00A00B64">
        <w:rPr>
          <w:color w:val="FF0000"/>
        </w:rPr>
        <w:t>e company-wide social events to bridge physical and virtual gaps</w:t>
      </w:r>
      <w:r w:rsidR="008D4E32">
        <w:rPr>
          <w:color w:val="FF0000"/>
        </w:rPr>
        <w:t xml:space="preserve"> (Jaramillo and Richardson, 2017</w:t>
      </w:r>
      <w:r w:rsidR="003B6D40">
        <w:rPr>
          <w:color w:val="FF0000"/>
        </w:rPr>
        <w:t xml:space="preserve">; </w:t>
      </w:r>
      <w:r w:rsidR="003B6D40" w:rsidRPr="003B6D40">
        <w:rPr>
          <w:color w:val="FF0000"/>
        </w:rPr>
        <w:t>Tannenbaum, Fernandez Castillo</w:t>
      </w:r>
      <w:r w:rsidR="003B6D40">
        <w:rPr>
          <w:color w:val="FF0000"/>
        </w:rPr>
        <w:t xml:space="preserve"> </w:t>
      </w:r>
      <w:r w:rsidR="003B6D40" w:rsidRPr="003B6D40">
        <w:rPr>
          <w:color w:val="FF0000"/>
        </w:rPr>
        <w:t>and Salas</w:t>
      </w:r>
      <w:r w:rsidR="003B6D40">
        <w:rPr>
          <w:color w:val="FF0000"/>
        </w:rPr>
        <w:t xml:space="preserve">, </w:t>
      </w:r>
      <w:r w:rsidR="003B6D40" w:rsidRPr="003B6D40">
        <w:rPr>
          <w:color w:val="FF0000"/>
        </w:rPr>
        <w:t>2023</w:t>
      </w:r>
      <w:r w:rsidR="003B6D40">
        <w:rPr>
          <w:color w:val="FF0000"/>
        </w:rPr>
        <w:t>).</w:t>
      </w:r>
    </w:p>
    <w:p w14:paraId="30E1F3D4" w14:textId="0B8D95E2" w:rsidR="004D634F" w:rsidRPr="00A00B64" w:rsidRDefault="004D634F" w:rsidP="00B8145F">
      <w:pPr>
        <w:numPr>
          <w:ilvl w:val="0"/>
          <w:numId w:val="34"/>
        </w:numPr>
        <w:spacing w:before="100" w:beforeAutospacing="1" w:after="100" w:afterAutospacing="1"/>
        <w:jc w:val="both"/>
        <w:rPr>
          <w:color w:val="FF0000"/>
        </w:rPr>
      </w:pPr>
      <w:r w:rsidRPr="00A00B64">
        <w:rPr>
          <w:b/>
          <w:bCs/>
          <w:color w:val="FF0000"/>
        </w:rPr>
        <w:t>Review performance management:</w:t>
      </w:r>
      <w:r w:rsidRPr="00A00B64">
        <w:rPr>
          <w:color w:val="FF0000"/>
        </w:rPr>
        <w:t xml:space="preserve"> </w:t>
      </w:r>
      <w:r w:rsidR="00A00B64">
        <w:rPr>
          <w:color w:val="FF0000"/>
        </w:rPr>
        <w:t>a</w:t>
      </w:r>
      <w:r w:rsidRPr="00A00B64">
        <w:rPr>
          <w:color w:val="FF0000"/>
        </w:rPr>
        <w:t>dapt performance reviews to accommodate remote work,</w:t>
      </w:r>
      <w:r w:rsidR="00A90FBC">
        <w:rPr>
          <w:color w:val="FF0000"/>
        </w:rPr>
        <w:t xml:space="preserve"> </w:t>
      </w:r>
      <w:r w:rsidRPr="00A00B64">
        <w:rPr>
          <w:color w:val="FF0000"/>
        </w:rPr>
        <w:t>provide regular feedback and recognition</w:t>
      </w:r>
      <w:r w:rsidR="003B6D40">
        <w:rPr>
          <w:color w:val="FF0000"/>
        </w:rPr>
        <w:t xml:space="preserve"> (</w:t>
      </w:r>
      <w:r w:rsidR="003B6D40" w:rsidRPr="003B6D40">
        <w:rPr>
          <w:color w:val="FF0000"/>
        </w:rPr>
        <w:t>Buckingham</w:t>
      </w:r>
      <w:r w:rsidR="003B6D40">
        <w:rPr>
          <w:color w:val="FF0000"/>
        </w:rPr>
        <w:t xml:space="preserve"> </w:t>
      </w:r>
      <w:r w:rsidR="003B6D40" w:rsidRPr="003B6D40">
        <w:rPr>
          <w:color w:val="FF0000"/>
        </w:rPr>
        <w:t>and Goodhall</w:t>
      </w:r>
      <w:r w:rsidR="009D6DDC">
        <w:rPr>
          <w:color w:val="FF0000"/>
        </w:rPr>
        <w:t>, 2015</w:t>
      </w:r>
      <w:r w:rsidR="003B6D40" w:rsidRPr="003B6D40">
        <w:rPr>
          <w:color w:val="FF0000"/>
        </w:rPr>
        <w:t>).</w:t>
      </w:r>
    </w:p>
    <w:p w14:paraId="6753E16F" w14:textId="12A511A7" w:rsidR="004D634F" w:rsidRPr="00A00B64" w:rsidRDefault="004D634F" w:rsidP="00B8145F">
      <w:pPr>
        <w:numPr>
          <w:ilvl w:val="0"/>
          <w:numId w:val="34"/>
        </w:numPr>
        <w:spacing w:before="100" w:beforeAutospacing="1" w:after="100" w:afterAutospacing="1"/>
        <w:jc w:val="both"/>
        <w:rPr>
          <w:color w:val="FF0000"/>
        </w:rPr>
      </w:pPr>
      <w:r w:rsidRPr="00A00B64">
        <w:rPr>
          <w:b/>
          <w:bCs/>
          <w:color w:val="FF0000"/>
        </w:rPr>
        <w:t>Promote work-life balance:</w:t>
      </w:r>
      <w:r w:rsidRPr="00A00B64">
        <w:rPr>
          <w:color w:val="FF0000"/>
        </w:rPr>
        <w:t xml:space="preserve"> </w:t>
      </w:r>
      <w:r w:rsidR="00A00B64">
        <w:rPr>
          <w:color w:val="FF0000"/>
        </w:rPr>
        <w:t>e</w:t>
      </w:r>
      <w:r w:rsidRPr="00A00B64">
        <w:rPr>
          <w:color w:val="FF0000"/>
        </w:rPr>
        <w:t>ncourage setting boundaries, offer flexible work arrangements, and raise awareness of mental health resources</w:t>
      </w:r>
      <w:r w:rsidR="009D6DDC">
        <w:rPr>
          <w:color w:val="FF0000"/>
        </w:rPr>
        <w:t xml:space="preserve"> (Wood, 2018)</w:t>
      </w:r>
      <w:r w:rsidRPr="00A00B64">
        <w:rPr>
          <w:color w:val="FF0000"/>
        </w:rPr>
        <w:t>.</w:t>
      </w:r>
    </w:p>
    <w:p w14:paraId="17FC3BDD" w14:textId="51DEF45B" w:rsidR="004D634F" w:rsidRPr="00A00B64" w:rsidRDefault="004D634F" w:rsidP="00B8145F">
      <w:pPr>
        <w:numPr>
          <w:ilvl w:val="0"/>
          <w:numId w:val="34"/>
        </w:numPr>
        <w:spacing w:before="100" w:beforeAutospacing="1" w:after="100" w:afterAutospacing="1"/>
        <w:jc w:val="both"/>
        <w:rPr>
          <w:color w:val="FF0000"/>
        </w:rPr>
      </w:pPr>
      <w:r w:rsidRPr="00A00B64">
        <w:rPr>
          <w:b/>
          <w:bCs/>
          <w:color w:val="FF0000"/>
        </w:rPr>
        <w:t>Support remote workers</w:t>
      </w:r>
      <w:r w:rsidR="009D6DDC">
        <w:rPr>
          <w:b/>
          <w:bCs/>
          <w:color w:val="FF0000"/>
        </w:rPr>
        <w:t xml:space="preserve"> when offering hybrid work options</w:t>
      </w:r>
      <w:r w:rsidRPr="00A00B64">
        <w:rPr>
          <w:b/>
          <w:bCs/>
          <w:color w:val="FF0000"/>
        </w:rPr>
        <w:t>:</w:t>
      </w:r>
      <w:r w:rsidRPr="00A00B64">
        <w:rPr>
          <w:color w:val="FF0000"/>
        </w:rPr>
        <w:t xml:space="preserve"> </w:t>
      </w:r>
      <w:r w:rsidR="00A00B64">
        <w:rPr>
          <w:color w:val="FF0000"/>
        </w:rPr>
        <w:t>p</w:t>
      </w:r>
      <w:r w:rsidRPr="00A00B64">
        <w:rPr>
          <w:color w:val="FF0000"/>
        </w:rPr>
        <w:t>rovide training on time management, remote work best practices, and managing distractions</w:t>
      </w:r>
      <w:r w:rsidR="0032588E">
        <w:rPr>
          <w:color w:val="FF0000"/>
        </w:rPr>
        <w:t xml:space="preserve"> (Stone, Horan and Flaxman, 2018)</w:t>
      </w:r>
      <w:r w:rsidRPr="00A00B64">
        <w:rPr>
          <w:color w:val="FF0000"/>
        </w:rPr>
        <w:t>.</w:t>
      </w:r>
      <w:r w:rsidR="009D6DDC">
        <w:rPr>
          <w:color w:val="FF0000"/>
        </w:rPr>
        <w:t xml:space="preserve"> </w:t>
      </w:r>
    </w:p>
    <w:bookmarkEnd w:id="18"/>
    <w:p w14:paraId="716FABB2" w14:textId="25DC1E40" w:rsidR="00EE3951" w:rsidRPr="00A00B64" w:rsidRDefault="00BF31B5" w:rsidP="00A00B64">
      <w:pPr>
        <w:spacing w:before="100" w:beforeAutospacing="1" w:after="100" w:afterAutospacing="1"/>
        <w:jc w:val="both"/>
        <w:rPr>
          <w:color w:val="FF0000"/>
        </w:rPr>
      </w:pPr>
      <w:r>
        <w:rPr>
          <w:color w:val="FF0000"/>
        </w:rPr>
        <w:t>For both tables, t</w:t>
      </w:r>
      <w:r w:rsidR="00A90FBC">
        <w:rPr>
          <w:color w:val="FF0000"/>
        </w:rPr>
        <w:t>he overall benefits</w:t>
      </w:r>
      <w:r>
        <w:rPr>
          <w:color w:val="FF0000"/>
        </w:rPr>
        <w:t xml:space="preserve"> c</w:t>
      </w:r>
      <w:r w:rsidR="00F717E5">
        <w:rPr>
          <w:color w:val="FF0000"/>
        </w:rPr>
        <w:t>ould</w:t>
      </w:r>
      <w:r w:rsidR="00A90FBC">
        <w:rPr>
          <w:color w:val="FF0000"/>
        </w:rPr>
        <w:t xml:space="preserve"> improve employee experience, engagement and well-being; thus, there could be risks such as potential resistance to change and difficulty measuring impact. The financial implication would include costs for initial investment in data collection, training, technology and standards implementation. Nevertheless, b</w:t>
      </w:r>
      <w:r w:rsidR="00A90FBC" w:rsidRPr="00A00B64">
        <w:rPr>
          <w:color w:val="FF0000"/>
        </w:rPr>
        <w:t>y addressing these key areas and implementing targeted interventions, organisations can</w:t>
      </w:r>
      <w:r w:rsidR="00A90FBC">
        <w:rPr>
          <w:color w:val="FF0000"/>
        </w:rPr>
        <w:t xml:space="preserve"> adapt to evolve.</w:t>
      </w:r>
    </w:p>
    <w:bookmarkEnd w:id="19"/>
    <w:p w14:paraId="417666DA" w14:textId="77777777" w:rsidR="00AE19C2" w:rsidRDefault="00AE19C2" w:rsidP="0081102B"/>
    <w:p w14:paraId="171309FC" w14:textId="77777777" w:rsidR="0062575B" w:rsidRDefault="0062575B" w:rsidP="000D1EA1">
      <w:pPr>
        <w:pStyle w:val="Heading1"/>
        <w:tabs>
          <w:tab w:val="left" w:pos="7893"/>
        </w:tabs>
      </w:pPr>
    </w:p>
    <w:p w14:paraId="5C4CCD75" w14:textId="77777777" w:rsidR="007F51DE" w:rsidRPr="007F51DE" w:rsidRDefault="007F51DE" w:rsidP="007F51DE"/>
    <w:p w14:paraId="04394173" w14:textId="77777777" w:rsidR="008A578D" w:rsidRDefault="008A578D" w:rsidP="008A578D">
      <w:pPr>
        <w:spacing w:line="360" w:lineRule="auto"/>
        <w:jc w:val="both"/>
        <w:rPr>
          <w:b/>
          <w:bCs/>
        </w:rPr>
      </w:pPr>
    </w:p>
    <w:p w14:paraId="05D102E5" w14:textId="77777777" w:rsidR="008A578D" w:rsidRDefault="008A578D" w:rsidP="008A578D">
      <w:pPr>
        <w:spacing w:line="360" w:lineRule="auto"/>
        <w:jc w:val="both"/>
        <w:rPr>
          <w:b/>
          <w:bCs/>
        </w:rPr>
      </w:pPr>
    </w:p>
    <w:p w14:paraId="553922D7" w14:textId="605399AF" w:rsidR="008A578D" w:rsidRDefault="008A578D" w:rsidP="008A578D">
      <w:pPr>
        <w:pStyle w:val="Heading1"/>
        <w:rPr>
          <w:b/>
          <w:bCs/>
        </w:rPr>
      </w:pPr>
      <w:r w:rsidRPr="00DD2648">
        <w:rPr>
          <w:b/>
          <w:bCs/>
        </w:rPr>
        <w:lastRenderedPageBreak/>
        <w:t>References</w:t>
      </w:r>
    </w:p>
    <w:p w14:paraId="644E8C48" w14:textId="77777777" w:rsidR="00DD2648" w:rsidRPr="00DD2648" w:rsidRDefault="00DD2648" w:rsidP="00DD2648"/>
    <w:p w14:paraId="23908C41" w14:textId="77777777" w:rsidR="008A578D" w:rsidRPr="002A5C99" w:rsidRDefault="008A578D" w:rsidP="008A578D">
      <w:pPr>
        <w:pStyle w:val="ListParagraph"/>
        <w:numPr>
          <w:ilvl w:val="0"/>
          <w:numId w:val="11"/>
        </w:numPr>
        <w:spacing w:line="360" w:lineRule="auto"/>
        <w:jc w:val="both"/>
        <w:rPr>
          <w:color w:val="FF0000"/>
        </w:rPr>
      </w:pPr>
      <w:r w:rsidRPr="002A5C99">
        <w:rPr>
          <w:color w:val="FF0000"/>
        </w:rPr>
        <w:t xml:space="preserve">Ali, L (2022) Equality, diversity and inclusion (EDI) in the workplace. Available at: </w:t>
      </w:r>
      <w:hyperlink r:id="rId14" w:anchor="Whatis" w:history="1">
        <w:r w:rsidRPr="00902EAB">
          <w:rPr>
            <w:rStyle w:val="Hyperlink"/>
          </w:rPr>
          <w:t>https://www.cipd.org/uk/knowledge/factsheets/diversity-factsheet/#Whatis</w:t>
        </w:r>
      </w:hyperlink>
      <w:r w:rsidRPr="002A5C99">
        <w:rPr>
          <w:color w:val="FF0000"/>
        </w:rPr>
        <w:t xml:space="preserve"> </w:t>
      </w:r>
      <w:bookmarkStart w:id="20" w:name="_Hlk158591230"/>
      <w:r w:rsidRPr="002A5C99">
        <w:rPr>
          <w:color w:val="FF0000"/>
        </w:rPr>
        <w:t>[Accessed 10 Feb 2024]</w:t>
      </w:r>
    </w:p>
    <w:p w14:paraId="7B616B48" w14:textId="29B257E9" w:rsidR="008A578D" w:rsidRPr="00E43CBE" w:rsidRDefault="008A578D" w:rsidP="008A578D">
      <w:pPr>
        <w:pStyle w:val="ListParagraph"/>
        <w:numPr>
          <w:ilvl w:val="0"/>
          <w:numId w:val="11"/>
        </w:numPr>
        <w:spacing w:line="360" w:lineRule="auto"/>
        <w:jc w:val="both"/>
      </w:pPr>
      <w:bookmarkStart w:id="21" w:name="_Hlk158658365"/>
      <w:bookmarkEnd w:id="20"/>
      <w:r w:rsidRPr="00E43CBE">
        <w:t xml:space="preserve">Armstrong, M (2012) </w:t>
      </w:r>
      <w:r w:rsidRPr="00DD2648">
        <w:rPr>
          <w:i/>
          <w:iCs/>
        </w:rPr>
        <w:t>Armstrong’s Handbook of Human Resource Management Practice</w:t>
      </w:r>
      <w:r w:rsidR="00DD2648">
        <w:rPr>
          <w:i/>
          <w:iCs/>
        </w:rPr>
        <w:t>.</w:t>
      </w:r>
      <w:r w:rsidRPr="00DD2648">
        <w:t xml:space="preserve"> </w:t>
      </w:r>
      <w:r w:rsidRPr="00E43CBE">
        <w:t>12</w:t>
      </w:r>
      <w:r w:rsidRPr="00E43CBE">
        <w:rPr>
          <w:vertAlign w:val="superscript"/>
        </w:rPr>
        <w:t>th</w:t>
      </w:r>
      <w:r w:rsidRPr="00E43CBE">
        <w:t xml:space="preserve"> </w:t>
      </w:r>
      <w:proofErr w:type="spellStart"/>
      <w:r w:rsidRPr="00E43CBE">
        <w:t>edn</w:t>
      </w:r>
      <w:proofErr w:type="spellEnd"/>
      <w:r w:rsidRPr="00E43CBE">
        <w:t xml:space="preserve">. London: Kogan Page </w:t>
      </w:r>
    </w:p>
    <w:p w14:paraId="635DA8E8" w14:textId="77777777" w:rsidR="008A578D" w:rsidRPr="00E43CBE" w:rsidRDefault="008A578D" w:rsidP="008A578D">
      <w:pPr>
        <w:pStyle w:val="ListParagraph"/>
        <w:numPr>
          <w:ilvl w:val="0"/>
          <w:numId w:val="11"/>
        </w:numPr>
        <w:spacing w:line="360" w:lineRule="auto"/>
        <w:jc w:val="both"/>
      </w:pPr>
      <w:r w:rsidRPr="00E43CBE">
        <w:t xml:space="preserve">Armstrong, M. and Taylor, S. (2020) </w:t>
      </w:r>
      <w:r w:rsidRPr="00E43CBE">
        <w:rPr>
          <w:i/>
          <w:iCs/>
        </w:rPr>
        <w:t>Armstrong’s Handbook of Human Resource Management Practice</w:t>
      </w:r>
      <w:r w:rsidRPr="00E43CBE">
        <w:t>. 15</w:t>
      </w:r>
      <w:r w:rsidRPr="00E43CBE">
        <w:rPr>
          <w:vertAlign w:val="superscript"/>
        </w:rPr>
        <w:t>th</w:t>
      </w:r>
      <w:r w:rsidRPr="00E43CBE">
        <w:t xml:space="preserve"> </w:t>
      </w:r>
      <w:proofErr w:type="spellStart"/>
      <w:r w:rsidRPr="00E43CBE">
        <w:t>edn</w:t>
      </w:r>
      <w:proofErr w:type="spellEnd"/>
      <w:r w:rsidRPr="00E43CBE">
        <w:t>. London: Kogan Page</w:t>
      </w:r>
    </w:p>
    <w:p w14:paraId="1B25C0F2" w14:textId="77777777" w:rsidR="008A578D" w:rsidRDefault="008A578D" w:rsidP="008A578D">
      <w:pPr>
        <w:pStyle w:val="NormalWeb"/>
        <w:numPr>
          <w:ilvl w:val="0"/>
          <w:numId w:val="11"/>
        </w:numPr>
        <w:spacing w:before="0" w:beforeAutospacing="0" w:after="0" w:afterAutospacing="0" w:line="360" w:lineRule="auto"/>
        <w:jc w:val="both"/>
        <w:rPr>
          <w:color w:val="FF0000"/>
        </w:rPr>
      </w:pPr>
      <w:proofErr w:type="spellStart"/>
      <w:r w:rsidRPr="00D771C7">
        <w:rPr>
          <w:color w:val="FF0000"/>
        </w:rPr>
        <w:t>Avgoustaki</w:t>
      </w:r>
      <w:proofErr w:type="spellEnd"/>
      <w:r w:rsidRPr="00D771C7">
        <w:rPr>
          <w:color w:val="FF0000"/>
        </w:rPr>
        <w:t xml:space="preserve">, A., and </w:t>
      </w:r>
      <w:proofErr w:type="spellStart"/>
      <w:r w:rsidRPr="00D771C7">
        <w:rPr>
          <w:color w:val="FF0000"/>
        </w:rPr>
        <w:t>Frankort</w:t>
      </w:r>
      <w:proofErr w:type="spellEnd"/>
      <w:r w:rsidRPr="00D771C7">
        <w:rPr>
          <w:color w:val="FF0000"/>
        </w:rPr>
        <w:t xml:space="preserve">, H. (2022) </w:t>
      </w:r>
      <w:hyperlink r:id="rId15" w:tooltip="CIPD Applied Research Conference paper:  How fostering intrinsic motivation for high work intensity can benefit employers and employees" w:history="1">
        <w:r w:rsidRPr="00DD2648">
          <w:rPr>
            <w:rStyle w:val="Hyperlink"/>
            <w:color w:val="FF0000"/>
            <w:u w:val="none"/>
          </w:rPr>
          <w:t>How fostering intrinsic motivation for high work intensity can benefit employers and employees</w:t>
        </w:r>
      </w:hyperlink>
      <w:r w:rsidRPr="00DD2648">
        <w:rPr>
          <w:color w:val="FF0000"/>
        </w:rPr>
        <w:t>.</w:t>
      </w:r>
      <w:r w:rsidRPr="00D771C7">
        <w:rPr>
          <w:color w:val="FF0000"/>
        </w:rPr>
        <w:t xml:space="preserve"> </w:t>
      </w:r>
      <w:r w:rsidRPr="00D771C7">
        <w:rPr>
          <w:i/>
          <w:iCs/>
          <w:color w:val="FF0000"/>
        </w:rPr>
        <w:t>CIPD: Applied Research Conference paper</w:t>
      </w:r>
      <w:r>
        <w:rPr>
          <w:i/>
          <w:iCs/>
          <w:color w:val="FF0000"/>
        </w:rPr>
        <w:t xml:space="preserve">. </w:t>
      </w:r>
      <w:r w:rsidRPr="00D771C7">
        <w:rPr>
          <w:color w:val="FF0000"/>
        </w:rPr>
        <w:t xml:space="preserve">Available at: </w:t>
      </w:r>
      <w:hyperlink r:id="rId16" w:history="1">
        <w:r w:rsidRPr="003C6987">
          <w:rPr>
            <w:rStyle w:val="Hyperlink"/>
          </w:rPr>
          <w:t>https://www.cipd.org/globalassets/media/comms/get-involved/events/2023-arc-fostering-intrinsic-motivation-high-work-intensity-8415.pdf</w:t>
        </w:r>
      </w:hyperlink>
      <w:r>
        <w:rPr>
          <w:color w:val="FF0000"/>
        </w:rPr>
        <w:t xml:space="preserve"> </w:t>
      </w:r>
      <w:bookmarkStart w:id="22" w:name="_Hlk158468314"/>
      <w:r w:rsidRPr="00D1713D">
        <w:rPr>
          <w:color w:val="FF0000"/>
        </w:rPr>
        <w:t>[Accessed 7 Feb 2024]</w:t>
      </w:r>
      <w:bookmarkEnd w:id="22"/>
    </w:p>
    <w:p w14:paraId="1267D6A3" w14:textId="228ECC12" w:rsidR="008A578D" w:rsidRPr="00E43CBE" w:rsidRDefault="008A578D" w:rsidP="008A578D">
      <w:pPr>
        <w:pStyle w:val="ListParagraph"/>
        <w:numPr>
          <w:ilvl w:val="0"/>
          <w:numId w:val="11"/>
        </w:numPr>
        <w:spacing w:line="360" w:lineRule="auto"/>
        <w:jc w:val="both"/>
      </w:pPr>
      <w:r w:rsidRPr="00E43CBE">
        <w:t xml:space="preserve">Barends, E. &amp; Rousseau, D.M. (2018) </w:t>
      </w:r>
      <w:r w:rsidRPr="00E43CBE">
        <w:rPr>
          <w:i/>
          <w:iCs/>
        </w:rPr>
        <w:t>Evidence-based management: how to use evidence to make better organi</w:t>
      </w:r>
      <w:r>
        <w:rPr>
          <w:i/>
          <w:iCs/>
        </w:rPr>
        <w:t>s</w:t>
      </w:r>
      <w:r w:rsidRPr="00E43CBE">
        <w:rPr>
          <w:i/>
          <w:iCs/>
        </w:rPr>
        <w:t>ational decisions</w:t>
      </w:r>
      <w:r w:rsidRPr="00E43CBE">
        <w:t>. New York &amp; London: Kogan Page.</w:t>
      </w:r>
    </w:p>
    <w:p w14:paraId="34A1F312" w14:textId="77777777" w:rsidR="008A578D" w:rsidRPr="00E43CBE" w:rsidRDefault="008A578D" w:rsidP="008A578D">
      <w:pPr>
        <w:pStyle w:val="ListParagraph"/>
        <w:numPr>
          <w:ilvl w:val="0"/>
          <w:numId w:val="11"/>
        </w:numPr>
        <w:spacing w:line="360" w:lineRule="auto"/>
        <w:jc w:val="both"/>
      </w:pPr>
      <w:r w:rsidRPr="00E43CBE">
        <w:t xml:space="preserve">Barends, E., Rousseau, D. and Briner, R. (2014) </w:t>
      </w:r>
      <w:r w:rsidRPr="00E43CBE">
        <w:rPr>
          <w:i/>
          <w:iCs/>
        </w:rPr>
        <w:t>Evidence Based Management: The basic principles</w:t>
      </w:r>
      <w:r w:rsidRPr="00E43CBE">
        <w:t xml:space="preserve">, Centre for Evidence-Based Management Amsterdam. Available at: </w:t>
      </w:r>
      <w:hyperlink r:id="rId17" w:history="1">
        <w:r w:rsidRPr="00E43CBE">
          <w:rPr>
            <w:rStyle w:val="Hyperlink"/>
          </w:rPr>
          <w:t>https://cebma.org/assets/Uploads/Evidence-Based-Practice-The-Basic-Principles.pdf</w:t>
        </w:r>
      </w:hyperlink>
      <w:r w:rsidRPr="00E43CBE">
        <w:t xml:space="preserve"> [Accessed 20/11/2023].</w:t>
      </w:r>
    </w:p>
    <w:p w14:paraId="43F6DACC" w14:textId="77777777" w:rsidR="008A578D" w:rsidRPr="007F51DE" w:rsidRDefault="008A578D" w:rsidP="008A578D">
      <w:pPr>
        <w:pStyle w:val="ListParagraph"/>
        <w:numPr>
          <w:ilvl w:val="0"/>
          <w:numId w:val="11"/>
        </w:numPr>
        <w:spacing w:line="360" w:lineRule="auto"/>
        <w:jc w:val="both"/>
        <w:rPr>
          <w:strike/>
        </w:rPr>
      </w:pPr>
      <w:r w:rsidRPr="007F51DE">
        <w:rPr>
          <w:strike/>
          <w:color w:val="000000" w:themeColor="text1"/>
        </w:rPr>
        <w:t xml:space="preserve">Battista, M.  (2023) </w:t>
      </w:r>
      <w:hyperlink r:id="rId18" w:history="1">
        <w:r w:rsidRPr="007F51DE">
          <w:rPr>
            <w:strike/>
            <w:color w:val="0000FF"/>
            <w:u w:val="single"/>
          </w:rPr>
          <w:t>PESTLE analysis</w:t>
        </w:r>
      </w:hyperlink>
      <w:r w:rsidRPr="007F51DE">
        <w:rPr>
          <w:strike/>
        </w:rPr>
        <w:t xml:space="preserve"> Available at: </w:t>
      </w:r>
      <w:hyperlink r:id="rId19" w:history="1">
        <w:r w:rsidRPr="007F51DE">
          <w:rPr>
            <w:rStyle w:val="Hyperlink"/>
            <w:strike/>
          </w:rPr>
          <w:t>https://www.cipd.org/uk/knowledge/factsheets/pestle-analysis-factsheet/</w:t>
        </w:r>
      </w:hyperlink>
      <w:r w:rsidRPr="007F51DE">
        <w:rPr>
          <w:strike/>
        </w:rPr>
        <w:t xml:space="preserve"> [Accessed 28/11/2023]</w:t>
      </w:r>
    </w:p>
    <w:p w14:paraId="2C491436" w14:textId="77777777" w:rsidR="008A578D" w:rsidRPr="00E43CBE" w:rsidRDefault="008A578D" w:rsidP="008A578D">
      <w:pPr>
        <w:pStyle w:val="ListParagraph"/>
        <w:numPr>
          <w:ilvl w:val="0"/>
          <w:numId w:val="11"/>
        </w:numPr>
        <w:spacing w:line="360" w:lineRule="auto"/>
        <w:jc w:val="both"/>
      </w:pPr>
      <w:r w:rsidRPr="00E43CBE">
        <w:rPr>
          <w:rStyle w:val="Emphasis"/>
          <w:rFonts w:eastAsiaTheme="majorEastAsia"/>
          <w:i w:val="0"/>
          <w:iCs w:val="0"/>
        </w:rPr>
        <w:t xml:space="preserve">Bosley, A (2023) Job Design. Available at: </w:t>
      </w:r>
      <w:hyperlink r:id="rId20" w:anchor="assessing-job-quality" w:history="1">
        <w:r w:rsidRPr="00E43CBE">
          <w:rPr>
            <w:rStyle w:val="Hyperlink"/>
            <w:rFonts w:eastAsiaTheme="majorEastAsia"/>
          </w:rPr>
          <w:t>https://www.cipd.org/uk/knowledge/factsheets/job-design-factsheet/#assessing-job-quality</w:t>
        </w:r>
      </w:hyperlink>
      <w:r w:rsidRPr="00E43CBE">
        <w:rPr>
          <w:rStyle w:val="Emphasis"/>
          <w:rFonts w:eastAsiaTheme="majorEastAsia"/>
          <w:i w:val="0"/>
          <w:iCs w:val="0"/>
        </w:rPr>
        <w:t xml:space="preserve"> </w:t>
      </w:r>
      <w:r w:rsidRPr="00E43CBE">
        <w:t>[Accessed 15/11/2023]</w:t>
      </w:r>
    </w:p>
    <w:p w14:paraId="0A992892" w14:textId="77777777" w:rsidR="008A578D" w:rsidRPr="007F51DE" w:rsidRDefault="008A578D" w:rsidP="008A578D">
      <w:pPr>
        <w:pStyle w:val="ListParagraph"/>
        <w:numPr>
          <w:ilvl w:val="0"/>
          <w:numId w:val="11"/>
        </w:numPr>
        <w:spacing w:line="360" w:lineRule="auto"/>
        <w:jc w:val="both"/>
        <w:rPr>
          <w:strike/>
        </w:rPr>
      </w:pPr>
      <w:r w:rsidRPr="007F51DE">
        <w:rPr>
          <w:strike/>
        </w:rPr>
        <w:t xml:space="preserve">Boyce, C and Neale, P. (2006) Conducting In-Depth Interviews: A Guide for Designing and Conducting In-Depth Interviews for Evaluation Input, Monitoring and Evaluation - 2. Pathfinder International Available at: </w:t>
      </w:r>
      <w:hyperlink r:id="rId21" w:history="1">
        <w:r w:rsidRPr="007F51DE">
          <w:rPr>
            <w:rStyle w:val="Hyperlink"/>
            <w:strike/>
          </w:rPr>
          <w:t>https://nyhealthfoundation.org/wp-content/uploads/2019/02/m_e_tool_series_indepth_interviews-1.pdf</w:t>
        </w:r>
      </w:hyperlink>
      <w:r w:rsidRPr="007F51DE">
        <w:rPr>
          <w:strike/>
        </w:rPr>
        <w:t xml:space="preserve"> [Accessed 28/11/2023]</w:t>
      </w:r>
    </w:p>
    <w:p w14:paraId="30B6316C" w14:textId="77777777" w:rsidR="008A578D" w:rsidRPr="00E43CBE" w:rsidRDefault="008A578D" w:rsidP="008A578D">
      <w:pPr>
        <w:pStyle w:val="ListParagraph"/>
        <w:numPr>
          <w:ilvl w:val="0"/>
          <w:numId w:val="11"/>
        </w:numPr>
        <w:spacing w:line="360" w:lineRule="auto"/>
        <w:jc w:val="both"/>
      </w:pPr>
      <w:r w:rsidRPr="00E43CBE">
        <w:t xml:space="preserve">Briner, R. (2019) </w:t>
      </w:r>
      <w:r w:rsidRPr="00E43CBE">
        <w:rPr>
          <w:i/>
          <w:iCs/>
        </w:rPr>
        <w:t>The Basics of Evidence-Based Practice</w:t>
      </w:r>
      <w:r w:rsidRPr="00E43CBE">
        <w:t xml:space="preserve">. People + Strategy Journal Winter 2019 Available at: </w:t>
      </w:r>
      <w:hyperlink r:id="rId22" w:history="1">
        <w:r w:rsidRPr="00E43CBE">
          <w:rPr>
            <w:rStyle w:val="Hyperlink"/>
          </w:rPr>
          <w:t>https://www.shrm.org/executive/resources/people-strategy-journal/winter2019/pages/ebp-briner.aspx</w:t>
        </w:r>
      </w:hyperlink>
      <w:r w:rsidRPr="00E43CBE">
        <w:t xml:space="preserve"> [Accessed 20/11/2023].</w:t>
      </w:r>
    </w:p>
    <w:p w14:paraId="5892C18B" w14:textId="77777777" w:rsidR="008A578D" w:rsidRPr="008A578D" w:rsidRDefault="008A578D" w:rsidP="008A578D">
      <w:pPr>
        <w:pStyle w:val="ListParagraph"/>
        <w:numPr>
          <w:ilvl w:val="0"/>
          <w:numId w:val="11"/>
        </w:numPr>
        <w:spacing w:line="360" w:lineRule="auto"/>
        <w:jc w:val="both"/>
        <w:rPr>
          <w:strike/>
        </w:rPr>
      </w:pPr>
      <w:r w:rsidRPr="008A578D">
        <w:rPr>
          <w:strike/>
        </w:rPr>
        <w:lastRenderedPageBreak/>
        <w:t xml:space="preserve">Briner, R. (2023) </w:t>
      </w:r>
      <w:r w:rsidRPr="008A578D">
        <w:rPr>
          <w:rFonts w:eastAsiaTheme="minorHAnsi"/>
          <w:strike/>
        </w:rPr>
        <w:t>Aligning HR with the business through the evidence-based HR process</w:t>
      </w:r>
      <w:r w:rsidRPr="008A578D">
        <w:rPr>
          <w:strike/>
        </w:rPr>
        <w:t xml:space="preserve"> Available at: </w:t>
      </w:r>
      <w:hyperlink r:id="rId23" w:history="1">
        <w:r w:rsidRPr="008A578D">
          <w:rPr>
            <w:rStyle w:val="Hyperlink"/>
            <w:strike/>
          </w:rPr>
          <w:t>https://www.hrdconnect.com/2023/10/03/aligning-hr-with-the-business-through-the-evidence-based-hr-process/?fbclid=IwAR2Vap6WGIjgC4GfRObldULYTv_BlRlfj27QjkcpujxNQwArTxIKDYtrq8Y</w:t>
        </w:r>
      </w:hyperlink>
      <w:r w:rsidRPr="008A578D">
        <w:rPr>
          <w:strike/>
        </w:rPr>
        <w:t xml:space="preserve"> [Accessed 20/11/2023].</w:t>
      </w:r>
    </w:p>
    <w:p w14:paraId="1117CC03" w14:textId="77777777" w:rsidR="008A578D" w:rsidRPr="009D6DDC" w:rsidRDefault="008A578D" w:rsidP="008A578D">
      <w:pPr>
        <w:pStyle w:val="NormalWeb"/>
        <w:numPr>
          <w:ilvl w:val="0"/>
          <w:numId w:val="11"/>
        </w:numPr>
        <w:spacing w:before="0" w:beforeAutospacing="0" w:after="0" w:afterAutospacing="0" w:line="360" w:lineRule="auto"/>
        <w:jc w:val="both"/>
        <w:rPr>
          <w:color w:val="FF0000"/>
        </w:rPr>
      </w:pPr>
      <w:bookmarkStart w:id="23" w:name="_Hlk158592176"/>
      <w:bookmarkStart w:id="24" w:name="_Hlk153026121"/>
      <w:r w:rsidRPr="009D6DDC">
        <w:rPr>
          <w:color w:val="FF0000"/>
        </w:rPr>
        <w:t xml:space="preserve">Buckingham, M. and Goodhall, A (2015). </w:t>
      </w:r>
      <w:bookmarkEnd w:id="23"/>
      <w:r w:rsidRPr="009D6DDC">
        <w:rPr>
          <w:i/>
          <w:iCs/>
          <w:color w:val="FF0000"/>
        </w:rPr>
        <w:t xml:space="preserve">HBR’s 10 Must Reads on Performance Management (with bonus article ‘Reinventing Performance Management’ </w:t>
      </w:r>
      <w:r>
        <w:rPr>
          <w:color w:val="FF0000"/>
        </w:rPr>
        <w:t xml:space="preserve">Available at: </w:t>
      </w:r>
      <w:hyperlink r:id="rId24" w:history="1">
        <w:r w:rsidRPr="00902EAB">
          <w:rPr>
            <w:rStyle w:val="Hyperlink"/>
          </w:rPr>
          <w:t>https://hbr.org/2015/04/reinventing-performance-management</w:t>
        </w:r>
      </w:hyperlink>
      <w:r>
        <w:rPr>
          <w:color w:val="FF0000"/>
        </w:rPr>
        <w:t xml:space="preserve"> </w:t>
      </w:r>
      <w:r w:rsidRPr="008D4E32">
        <w:rPr>
          <w:color w:val="FF0000"/>
        </w:rPr>
        <w:t>[Accessed 10 Feb 2024]</w:t>
      </w:r>
    </w:p>
    <w:bookmarkEnd w:id="24"/>
    <w:p w14:paraId="58FA52C0" w14:textId="77777777" w:rsidR="008A578D" w:rsidRDefault="008A578D" w:rsidP="008A578D">
      <w:pPr>
        <w:pStyle w:val="NormalWeb"/>
        <w:numPr>
          <w:ilvl w:val="0"/>
          <w:numId w:val="11"/>
        </w:numPr>
        <w:spacing w:before="0" w:beforeAutospacing="0" w:after="0" w:afterAutospacing="0" w:line="360" w:lineRule="auto"/>
        <w:jc w:val="both"/>
        <w:rPr>
          <w:color w:val="FF0000"/>
        </w:rPr>
      </w:pPr>
      <w:r w:rsidRPr="00CB79C2">
        <w:rPr>
          <w:color w:val="FF0000"/>
        </w:rPr>
        <w:t>Bullock, A., Jennings, C. and Timbrell, N. (2019)</w:t>
      </w:r>
      <w:r>
        <w:rPr>
          <w:color w:val="FF0000"/>
        </w:rPr>
        <w:t xml:space="preserve"> </w:t>
      </w:r>
      <w:r w:rsidRPr="00CB79C2">
        <w:rPr>
          <w:i/>
          <w:iCs/>
          <w:color w:val="FF0000"/>
        </w:rPr>
        <w:t>A Dictionary of Publishing</w:t>
      </w:r>
      <w:r w:rsidRPr="00CB79C2">
        <w:rPr>
          <w:color w:val="FF0000"/>
        </w:rPr>
        <w:t>. Oxford University P</w:t>
      </w:r>
      <w:r>
        <w:rPr>
          <w:color w:val="FF0000"/>
        </w:rPr>
        <w:t>r</w:t>
      </w:r>
      <w:r w:rsidRPr="00CB79C2">
        <w:rPr>
          <w:color w:val="FF0000"/>
        </w:rPr>
        <w:t>ess.</w:t>
      </w:r>
    </w:p>
    <w:p w14:paraId="16456A6B" w14:textId="77777777" w:rsidR="008A578D" w:rsidRPr="00E43CBE" w:rsidRDefault="008A578D" w:rsidP="008A578D">
      <w:pPr>
        <w:pStyle w:val="ListParagraph"/>
        <w:numPr>
          <w:ilvl w:val="0"/>
          <w:numId w:val="11"/>
        </w:numPr>
        <w:spacing w:line="360" w:lineRule="auto"/>
        <w:jc w:val="both"/>
      </w:pPr>
      <w:r w:rsidRPr="00E43CBE">
        <w:t xml:space="preserve">Capezio, A. and </w:t>
      </w:r>
      <w:proofErr w:type="spellStart"/>
      <w:r w:rsidRPr="00E43CBE">
        <w:t>L’Espoir</w:t>
      </w:r>
      <w:proofErr w:type="spellEnd"/>
      <w:r w:rsidRPr="00E43CBE">
        <w:t xml:space="preserve"> Decosta, P.J-N. (2023) Evidence-Based Decision-Making and Practice in Organizations Available at: </w:t>
      </w:r>
      <w:hyperlink r:id="rId25" w:history="1">
        <w:r w:rsidRPr="00E43CBE">
          <w:rPr>
            <w:rStyle w:val="Hyperlink"/>
          </w:rPr>
          <w:t>https://oxfordre.com/psychology/display/10.1093/acrefore/9780190236557.001.0001/acrefore-9780190236557-e-9</w:t>
        </w:r>
      </w:hyperlink>
      <w:r w:rsidRPr="00E43CBE">
        <w:t xml:space="preserve"> [Accessed 20/11/2023].</w:t>
      </w:r>
    </w:p>
    <w:p w14:paraId="0010361C" w14:textId="77777777" w:rsidR="008A578D" w:rsidRPr="00E43CBE" w:rsidRDefault="008A578D" w:rsidP="008A578D">
      <w:pPr>
        <w:pStyle w:val="ListParagraph"/>
        <w:numPr>
          <w:ilvl w:val="0"/>
          <w:numId w:val="11"/>
        </w:numPr>
        <w:spacing w:line="360" w:lineRule="auto"/>
        <w:jc w:val="both"/>
      </w:pPr>
      <w:r w:rsidRPr="00E43CBE">
        <w:t xml:space="preserve">Channell, M. (2021) </w:t>
      </w:r>
      <w:r w:rsidRPr="002F5B33">
        <w:t>The Six Thinking Hats: How to Improve Decision Making, with Examples</w:t>
      </w:r>
      <w:r w:rsidRPr="00E43CBE">
        <w:t xml:space="preserve"> available at: </w:t>
      </w:r>
      <w:hyperlink r:id="rId26" w:history="1">
        <w:r w:rsidRPr="00E43CBE">
          <w:rPr>
            <w:rStyle w:val="Hyperlink"/>
          </w:rPr>
          <w:t>https://www.tsw.co.uk/blog/leadership-and-management/six-thinking-hats/</w:t>
        </w:r>
      </w:hyperlink>
      <w:r w:rsidRPr="00E43CBE">
        <w:t xml:space="preserve"> [Accessed 30/11/2023].</w:t>
      </w:r>
    </w:p>
    <w:p w14:paraId="08F87C3C" w14:textId="77777777" w:rsidR="008A578D" w:rsidRDefault="008A578D" w:rsidP="008A578D">
      <w:pPr>
        <w:pStyle w:val="NormalWeb"/>
        <w:numPr>
          <w:ilvl w:val="0"/>
          <w:numId w:val="11"/>
        </w:numPr>
        <w:spacing w:before="0" w:beforeAutospacing="0" w:after="0" w:afterAutospacing="0" w:line="360" w:lineRule="auto"/>
        <w:jc w:val="both"/>
        <w:rPr>
          <w:color w:val="FF0000"/>
        </w:rPr>
      </w:pPr>
      <w:r w:rsidRPr="00D1713D">
        <w:rPr>
          <w:color w:val="FF0000"/>
        </w:rPr>
        <w:t xml:space="preserve">CIPD (2015). </w:t>
      </w:r>
      <w:r w:rsidRPr="00D1713D">
        <w:rPr>
          <w:i/>
          <w:iCs/>
          <w:color w:val="FF0000"/>
        </w:rPr>
        <w:t>Ethical decision-making: Eight perspectives on workplace dilemmas</w:t>
      </w:r>
      <w:r w:rsidRPr="00D1713D">
        <w:rPr>
          <w:color w:val="FF0000"/>
        </w:rPr>
        <w:t xml:space="preserve">. [online] Available at: </w:t>
      </w:r>
      <w:hyperlink r:id="rId27" w:history="1">
        <w:r w:rsidRPr="000F6A5F">
          <w:rPr>
            <w:rStyle w:val="Hyperlink"/>
          </w:rPr>
          <w:t>https://www.cipd.org/globalassets/media/knowledge/knowledge-hub/reports/ethical-decision-making-2015-eight-perspectives-on-workplace-dilemmas_tcm18-9564.pdf</w:t>
        </w:r>
      </w:hyperlink>
      <w:r w:rsidRPr="00D1713D">
        <w:rPr>
          <w:color w:val="FF0000"/>
        </w:rPr>
        <w:t>.</w:t>
      </w:r>
      <w:r>
        <w:rPr>
          <w:color w:val="FF0000"/>
        </w:rPr>
        <w:t xml:space="preserve"> </w:t>
      </w:r>
      <w:r w:rsidRPr="00D1713D">
        <w:rPr>
          <w:color w:val="FF0000"/>
        </w:rPr>
        <w:t>[Accessed 7 Feb 2024]</w:t>
      </w:r>
    </w:p>
    <w:p w14:paraId="3FC2B5C8" w14:textId="77777777" w:rsidR="008A578D" w:rsidRPr="008D4E32" w:rsidRDefault="008A578D" w:rsidP="008A578D">
      <w:pPr>
        <w:pStyle w:val="ListParagraph"/>
        <w:numPr>
          <w:ilvl w:val="0"/>
          <w:numId w:val="11"/>
        </w:numPr>
        <w:spacing w:line="360" w:lineRule="auto"/>
        <w:jc w:val="both"/>
        <w:rPr>
          <w:color w:val="FF0000"/>
        </w:rPr>
      </w:pPr>
      <w:r w:rsidRPr="008D4E32">
        <w:rPr>
          <w:color w:val="FF0000"/>
        </w:rPr>
        <w:t xml:space="preserve"> CIPD (2017)  </w:t>
      </w:r>
      <w:hyperlink r:id="rId28" w:history="1">
        <w:r w:rsidRPr="008D4E32">
          <w:rPr>
            <w:rStyle w:val="Hyperlink"/>
            <w:color w:val="FF0000"/>
            <w:u w:val="none"/>
          </w:rPr>
          <w:t>News analysis: Should more organisations offer remote working?</w:t>
        </w:r>
      </w:hyperlink>
      <w:r w:rsidRPr="008D4E32">
        <w:rPr>
          <w:color w:val="FF0000"/>
        </w:rPr>
        <w:t xml:space="preserve"> Available at: </w:t>
      </w:r>
      <w:hyperlink r:id="rId29" w:history="1">
        <w:r w:rsidRPr="00902EAB">
          <w:rPr>
            <w:rStyle w:val="Hyperlink"/>
          </w:rPr>
          <w:t>https://www.cipd.org/uk/about/news-archive/news-analysis-remote-working/</w:t>
        </w:r>
      </w:hyperlink>
      <w:r w:rsidRPr="008D4E32">
        <w:rPr>
          <w:color w:val="FF0000"/>
        </w:rPr>
        <w:t xml:space="preserve"> [Accessed 10 Feb 2024]</w:t>
      </w:r>
    </w:p>
    <w:p w14:paraId="2BC492B1" w14:textId="6ED50B0E" w:rsidR="008A578D" w:rsidRPr="003250F6" w:rsidRDefault="008A578D" w:rsidP="008A578D">
      <w:pPr>
        <w:pStyle w:val="ListParagraph"/>
        <w:numPr>
          <w:ilvl w:val="0"/>
          <w:numId w:val="11"/>
        </w:numPr>
        <w:spacing w:line="360" w:lineRule="auto"/>
        <w:jc w:val="both"/>
        <w:rPr>
          <w:strike/>
        </w:rPr>
      </w:pPr>
      <w:r w:rsidRPr="003250F6">
        <w:rPr>
          <w:strike/>
        </w:rPr>
        <w:t>CIPD (2017</w:t>
      </w:r>
      <w:r w:rsidR="003250F6">
        <w:rPr>
          <w:strike/>
        </w:rPr>
        <w:t>a</w:t>
      </w:r>
      <w:r w:rsidRPr="003250F6">
        <w:rPr>
          <w:strike/>
        </w:rPr>
        <w:t xml:space="preserve">) Human capital analytics and reporting: exploring theory and evidence. Research report. London: Chartered Institute of Personnel and Development. Available at: </w:t>
      </w:r>
      <w:hyperlink r:id="rId30" w:history="1">
        <w:r w:rsidRPr="003250F6">
          <w:rPr>
            <w:rStyle w:val="Hyperlink"/>
            <w:strike/>
          </w:rPr>
          <w:t>https://www.cipd.org/globalassets/media/knowledge/knowledge-hub/reports/human-capital-analytics-and-reporting_tcm18-22281.pdf</w:t>
        </w:r>
      </w:hyperlink>
      <w:r w:rsidRPr="003250F6">
        <w:rPr>
          <w:strike/>
        </w:rPr>
        <w:t xml:space="preserve"> [Accessed 20/11/2023].</w:t>
      </w:r>
      <w:bookmarkStart w:id="25" w:name="_Hlk153168003"/>
    </w:p>
    <w:bookmarkEnd w:id="25"/>
    <w:p w14:paraId="2F3C5A2E" w14:textId="77777777" w:rsidR="008A578D" w:rsidRPr="00FC049F" w:rsidRDefault="008A578D" w:rsidP="008A578D">
      <w:pPr>
        <w:pStyle w:val="NormalWeb"/>
        <w:numPr>
          <w:ilvl w:val="0"/>
          <w:numId w:val="11"/>
        </w:numPr>
        <w:spacing w:before="0" w:beforeAutospacing="0" w:after="240" w:line="360" w:lineRule="auto"/>
        <w:jc w:val="both"/>
        <w:rPr>
          <w:b/>
          <w:bCs/>
          <w:color w:val="FF0000"/>
        </w:rPr>
      </w:pPr>
      <w:r>
        <w:rPr>
          <w:color w:val="FF0000"/>
        </w:rPr>
        <w:t xml:space="preserve">CIPD (2023) </w:t>
      </w:r>
      <w:r w:rsidRPr="00FC049F">
        <w:rPr>
          <w:color w:val="FF0000"/>
        </w:rPr>
        <w:t>People analytics: Guide for people professionals</w:t>
      </w:r>
      <w:r>
        <w:rPr>
          <w:color w:val="FF0000"/>
        </w:rPr>
        <w:t xml:space="preserve">. Available at: </w:t>
      </w:r>
      <w:hyperlink r:id="rId31" w:anchor="what-is-people-analytics" w:history="1">
        <w:r w:rsidRPr="003C6987">
          <w:rPr>
            <w:rStyle w:val="Hyperlink"/>
          </w:rPr>
          <w:t>https://www.cipd.org/uk/knowledge/guides/analytics-practitioner-guide/#what-is-people-analytics</w:t>
        </w:r>
      </w:hyperlink>
      <w:r>
        <w:rPr>
          <w:color w:val="FF0000"/>
        </w:rPr>
        <w:t xml:space="preserve"> </w:t>
      </w:r>
      <w:r w:rsidRPr="00FC049F">
        <w:rPr>
          <w:color w:val="FF0000"/>
        </w:rPr>
        <w:t xml:space="preserve">[Accessed </w:t>
      </w:r>
      <w:r>
        <w:rPr>
          <w:color w:val="FF0000"/>
        </w:rPr>
        <w:t>10</w:t>
      </w:r>
      <w:r w:rsidRPr="00FC049F">
        <w:rPr>
          <w:color w:val="FF0000"/>
        </w:rPr>
        <w:t xml:space="preserve"> Feb 2024]</w:t>
      </w:r>
    </w:p>
    <w:p w14:paraId="395C744C" w14:textId="77777777" w:rsidR="008A578D" w:rsidRPr="007F51DE" w:rsidRDefault="008A578D" w:rsidP="008A578D">
      <w:pPr>
        <w:pStyle w:val="ListParagraph"/>
        <w:numPr>
          <w:ilvl w:val="0"/>
          <w:numId w:val="11"/>
        </w:numPr>
        <w:spacing w:line="360" w:lineRule="auto"/>
        <w:jc w:val="both"/>
        <w:rPr>
          <w:strike/>
        </w:rPr>
      </w:pPr>
      <w:r w:rsidRPr="007F51DE">
        <w:rPr>
          <w:rStyle w:val="hgkelc"/>
          <w:strike/>
          <w:lang w:val="en"/>
        </w:rPr>
        <w:lastRenderedPageBreak/>
        <w:t xml:space="preserve">Connelly, M. (2023) </w:t>
      </w:r>
      <w:r w:rsidRPr="007F51DE">
        <w:rPr>
          <w:strike/>
        </w:rPr>
        <w:t xml:space="preserve">Force Field Analysis - Kurt Lewin </w:t>
      </w:r>
      <w:r w:rsidRPr="007F51DE">
        <w:rPr>
          <w:rStyle w:val="hgkelc"/>
          <w:strike/>
        </w:rPr>
        <w:t>Available at:</w:t>
      </w:r>
      <w:r w:rsidRPr="007F51DE">
        <w:rPr>
          <w:rStyle w:val="hgkelc"/>
          <w:strike/>
          <w:lang w:val="en"/>
        </w:rPr>
        <w:t xml:space="preserve"> </w:t>
      </w:r>
      <w:hyperlink r:id="rId32" w:history="1">
        <w:r w:rsidRPr="007F51DE">
          <w:rPr>
            <w:rStyle w:val="Hyperlink"/>
            <w:strike/>
            <w:lang w:val="en"/>
          </w:rPr>
          <w:t>https://www.change-management-coach.com/force-field-analysis.html</w:t>
        </w:r>
      </w:hyperlink>
      <w:r w:rsidRPr="007F51DE">
        <w:rPr>
          <w:rStyle w:val="hgkelc"/>
          <w:strike/>
          <w:lang w:val="en"/>
        </w:rPr>
        <w:t xml:space="preserve"> </w:t>
      </w:r>
      <w:bookmarkStart w:id="26" w:name="_Hlk152796409"/>
      <w:r w:rsidRPr="007F51DE">
        <w:rPr>
          <w:strike/>
        </w:rPr>
        <w:t>[Accessed 28/11/2023].</w:t>
      </w:r>
      <w:bookmarkEnd w:id="26"/>
    </w:p>
    <w:p w14:paraId="2AE65C6E" w14:textId="77777777" w:rsidR="008A578D" w:rsidRPr="007F51DE" w:rsidRDefault="008A578D" w:rsidP="008A578D">
      <w:pPr>
        <w:pStyle w:val="ListParagraph"/>
        <w:numPr>
          <w:ilvl w:val="0"/>
          <w:numId w:val="11"/>
        </w:numPr>
        <w:spacing w:line="360" w:lineRule="auto"/>
        <w:jc w:val="both"/>
        <w:rPr>
          <w:strike/>
        </w:rPr>
      </w:pPr>
      <w:r w:rsidRPr="007F51DE">
        <w:rPr>
          <w:strike/>
        </w:rPr>
        <w:t xml:space="preserve">Corbin, J., &amp; Strauss, A. (2007) Basics of qualitative research: Techniques and procedures for developing grounded theory (3rd </w:t>
      </w:r>
      <w:proofErr w:type="spellStart"/>
      <w:r w:rsidRPr="007F51DE">
        <w:rPr>
          <w:strike/>
        </w:rPr>
        <w:t>edn</w:t>
      </w:r>
      <w:proofErr w:type="spellEnd"/>
      <w:r w:rsidRPr="007F51DE">
        <w:rPr>
          <w:strike/>
        </w:rPr>
        <w:t>.) Thousand Oaks, CA: Sage</w:t>
      </w:r>
    </w:p>
    <w:p w14:paraId="6274B31D" w14:textId="77777777" w:rsidR="008A578D" w:rsidRPr="00E43CBE" w:rsidRDefault="008A578D" w:rsidP="008A578D">
      <w:pPr>
        <w:pStyle w:val="ListParagraph"/>
        <w:numPr>
          <w:ilvl w:val="0"/>
          <w:numId w:val="11"/>
        </w:numPr>
        <w:spacing w:line="360" w:lineRule="auto"/>
        <w:jc w:val="both"/>
      </w:pPr>
      <w:r w:rsidRPr="00E43CBE">
        <w:t xml:space="preserve">Cottrell, S (2013) The study skills handbook, Hampshire: Palgrave Macmillan </w:t>
      </w:r>
    </w:p>
    <w:p w14:paraId="3208407E" w14:textId="3770AFD0" w:rsidR="008A578D" w:rsidRDefault="008A578D" w:rsidP="008A578D">
      <w:pPr>
        <w:pStyle w:val="NormalWeb"/>
        <w:numPr>
          <w:ilvl w:val="0"/>
          <w:numId w:val="11"/>
        </w:numPr>
        <w:spacing w:before="0" w:beforeAutospacing="0" w:after="0" w:afterAutospacing="0" w:line="360" w:lineRule="auto"/>
        <w:jc w:val="both"/>
        <w:rPr>
          <w:color w:val="FF0000"/>
        </w:rPr>
      </w:pPr>
      <w:r w:rsidRPr="00690D90">
        <w:rPr>
          <w:color w:val="FF0000"/>
        </w:rPr>
        <w:t>Cox, J. (2023). The Extra-Mile Manager. Author</w:t>
      </w:r>
      <w:r>
        <w:rPr>
          <w:color w:val="FF0000"/>
        </w:rPr>
        <w:t xml:space="preserve"> </w:t>
      </w:r>
      <w:r w:rsidRPr="00690D90">
        <w:rPr>
          <w:color w:val="FF0000"/>
        </w:rPr>
        <w:t>House</w:t>
      </w:r>
    </w:p>
    <w:p w14:paraId="019EFD44" w14:textId="77777777" w:rsidR="008A578D" w:rsidRPr="007F51DE" w:rsidRDefault="008A578D" w:rsidP="008A578D">
      <w:pPr>
        <w:pStyle w:val="ListParagraph"/>
        <w:numPr>
          <w:ilvl w:val="0"/>
          <w:numId w:val="11"/>
        </w:numPr>
        <w:spacing w:line="360" w:lineRule="auto"/>
        <w:jc w:val="both"/>
        <w:rPr>
          <w:rStyle w:val="Emphasis"/>
          <w:rFonts w:eastAsiaTheme="majorEastAsia"/>
          <w:i w:val="0"/>
          <w:iCs w:val="0"/>
          <w:strike/>
        </w:rPr>
      </w:pPr>
      <w:r w:rsidRPr="007F51DE">
        <w:rPr>
          <w:rStyle w:val="Emphasis"/>
          <w:rFonts w:eastAsiaTheme="majorEastAsia"/>
          <w:i w:val="0"/>
          <w:iCs w:val="0"/>
          <w:strike/>
        </w:rPr>
        <w:t>Creswell</w:t>
      </w:r>
      <w:r w:rsidRPr="007F51DE">
        <w:rPr>
          <w:i/>
          <w:iCs/>
          <w:strike/>
        </w:rPr>
        <w:t xml:space="preserve">, </w:t>
      </w:r>
      <w:r w:rsidRPr="007F51DE">
        <w:rPr>
          <w:rStyle w:val="Emphasis"/>
          <w:rFonts w:eastAsiaTheme="majorEastAsia"/>
          <w:i w:val="0"/>
          <w:iCs w:val="0"/>
          <w:strike/>
        </w:rPr>
        <w:t>J. W.</w:t>
      </w:r>
      <w:r w:rsidRPr="007F51DE">
        <w:rPr>
          <w:i/>
          <w:iCs/>
          <w:strike/>
        </w:rPr>
        <w:t xml:space="preserve">, &amp; </w:t>
      </w:r>
      <w:r w:rsidRPr="007F51DE">
        <w:rPr>
          <w:rStyle w:val="Emphasis"/>
          <w:rFonts w:eastAsiaTheme="majorEastAsia"/>
          <w:i w:val="0"/>
          <w:iCs w:val="0"/>
          <w:strike/>
        </w:rPr>
        <w:t>Plano Clark</w:t>
      </w:r>
      <w:r w:rsidRPr="007F51DE">
        <w:rPr>
          <w:i/>
          <w:iCs/>
          <w:strike/>
        </w:rPr>
        <w:t xml:space="preserve">, </w:t>
      </w:r>
      <w:r w:rsidRPr="007F51DE">
        <w:rPr>
          <w:rStyle w:val="Emphasis"/>
          <w:rFonts w:eastAsiaTheme="majorEastAsia"/>
          <w:i w:val="0"/>
          <w:iCs w:val="0"/>
          <w:strike/>
        </w:rPr>
        <w:t>V. L.</w:t>
      </w:r>
      <w:r w:rsidRPr="007F51DE">
        <w:rPr>
          <w:i/>
          <w:iCs/>
          <w:strike/>
        </w:rPr>
        <w:t xml:space="preserve"> (</w:t>
      </w:r>
      <w:r w:rsidRPr="007F51DE">
        <w:rPr>
          <w:rStyle w:val="Emphasis"/>
          <w:rFonts w:eastAsiaTheme="majorEastAsia"/>
          <w:i w:val="0"/>
          <w:iCs w:val="0"/>
          <w:strike/>
        </w:rPr>
        <w:t>2018</w:t>
      </w:r>
      <w:r w:rsidRPr="007F51DE">
        <w:rPr>
          <w:i/>
          <w:iCs/>
          <w:strike/>
        </w:rPr>
        <w:t xml:space="preserve">). </w:t>
      </w:r>
      <w:r w:rsidRPr="007F51DE">
        <w:rPr>
          <w:rStyle w:val="Emphasis"/>
          <w:rFonts w:eastAsiaTheme="majorEastAsia"/>
          <w:i w:val="0"/>
          <w:iCs w:val="0"/>
          <w:strike/>
        </w:rPr>
        <w:t>Designing</w:t>
      </w:r>
      <w:r w:rsidRPr="007F51DE">
        <w:rPr>
          <w:i/>
          <w:iCs/>
          <w:strike/>
        </w:rPr>
        <w:t xml:space="preserve"> </w:t>
      </w:r>
      <w:r w:rsidRPr="007F51DE">
        <w:rPr>
          <w:strike/>
        </w:rPr>
        <w:t>and</w:t>
      </w:r>
      <w:r w:rsidRPr="007F51DE">
        <w:rPr>
          <w:i/>
          <w:iCs/>
          <w:strike/>
        </w:rPr>
        <w:t xml:space="preserve"> </w:t>
      </w:r>
      <w:r w:rsidRPr="007F51DE">
        <w:rPr>
          <w:rStyle w:val="Emphasis"/>
          <w:rFonts w:eastAsiaTheme="majorEastAsia"/>
          <w:i w:val="0"/>
          <w:iCs w:val="0"/>
          <w:strike/>
        </w:rPr>
        <w:t>Conducting Mixed Methods Research</w:t>
      </w:r>
      <w:r w:rsidRPr="007F51DE">
        <w:rPr>
          <w:i/>
          <w:iCs/>
          <w:strike/>
        </w:rPr>
        <w:t xml:space="preserve"> </w:t>
      </w:r>
      <w:r w:rsidRPr="007F51DE">
        <w:rPr>
          <w:strike/>
        </w:rPr>
        <w:t xml:space="preserve">(3rd </w:t>
      </w:r>
      <w:proofErr w:type="spellStart"/>
      <w:r w:rsidRPr="007F51DE">
        <w:rPr>
          <w:strike/>
        </w:rPr>
        <w:t>edn</w:t>
      </w:r>
      <w:proofErr w:type="spellEnd"/>
      <w:r w:rsidRPr="007F51DE">
        <w:rPr>
          <w:strike/>
        </w:rPr>
        <w:t xml:space="preserve">.) Thousand Oaks, CA: </w:t>
      </w:r>
      <w:r w:rsidRPr="007F51DE">
        <w:rPr>
          <w:rStyle w:val="Emphasis"/>
          <w:rFonts w:eastAsiaTheme="majorEastAsia"/>
          <w:i w:val="0"/>
          <w:iCs w:val="0"/>
          <w:strike/>
        </w:rPr>
        <w:t>Sage</w:t>
      </w:r>
    </w:p>
    <w:p w14:paraId="4B66C4DD" w14:textId="77777777" w:rsidR="008A578D" w:rsidRPr="00E43CBE" w:rsidRDefault="00000000" w:rsidP="008A578D">
      <w:pPr>
        <w:pStyle w:val="ListParagraph"/>
        <w:numPr>
          <w:ilvl w:val="0"/>
          <w:numId w:val="11"/>
        </w:numPr>
        <w:spacing w:line="360" w:lineRule="auto"/>
        <w:jc w:val="both"/>
        <w:rPr>
          <w:rStyle w:val="Emphasis"/>
          <w:rFonts w:eastAsiaTheme="majorEastAsia"/>
          <w:i w:val="0"/>
          <w:iCs w:val="0"/>
        </w:rPr>
      </w:pPr>
      <w:hyperlink r:id="rId33" w:history="1">
        <w:r w:rsidR="008A578D" w:rsidRPr="009B3ACB">
          <w:rPr>
            <w:rStyle w:val="Hyperlink"/>
            <w:rFonts w:eastAsiaTheme="majorEastAsia"/>
            <w:color w:val="000000" w:themeColor="text1"/>
            <w:u w:val="none"/>
          </w:rPr>
          <w:t>De Bono, E.</w:t>
        </w:r>
      </w:hyperlink>
      <w:r w:rsidR="008A578D" w:rsidRPr="009B3ACB">
        <w:rPr>
          <w:rFonts w:eastAsiaTheme="majorEastAsia"/>
          <w:color w:val="000000" w:themeColor="text1"/>
        </w:rPr>
        <w:t xml:space="preserve"> </w:t>
      </w:r>
      <w:r w:rsidR="008A578D" w:rsidRPr="009B3ACB">
        <w:rPr>
          <w:rFonts w:eastAsiaTheme="majorEastAsia"/>
        </w:rPr>
        <w:t xml:space="preserve">(1985). </w:t>
      </w:r>
      <w:r w:rsidR="008A578D" w:rsidRPr="009B3ACB">
        <w:rPr>
          <w:rFonts w:eastAsiaTheme="majorEastAsia"/>
          <w:i/>
          <w:iCs/>
        </w:rPr>
        <w:t>Six Thinking Hats: An Essential Approach to Business Management</w:t>
      </w:r>
      <w:r w:rsidR="008A578D" w:rsidRPr="009B3ACB">
        <w:rPr>
          <w:rFonts w:eastAsiaTheme="majorEastAsia"/>
        </w:rPr>
        <w:t>. Little, Brown, and Company</w:t>
      </w:r>
    </w:p>
    <w:p w14:paraId="409B1DBD" w14:textId="77777777" w:rsidR="008A578D" w:rsidRPr="007F51DE" w:rsidRDefault="008A578D" w:rsidP="008A578D">
      <w:pPr>
        <w:pStyle w:val="ListParagraph"/>
        <w:numPr>
          <w:ilvl w:val="0"/>
          <w:numId w:val="11"/>
        </w:numPr>
        <w:spacing w:line="360" w:lineRule="auto"/>
        <w:jc w:val="both"/>
        <w:rPr>
          <w:strike/>
        </w:rPr>
      </w:pPr>
      <w:r w:rsidRPr="007F51DE">
        <w:rPr>
          <w:strike/>
        </w:rPr>
        <w:t xml:space="preserve">de Vaus, D. (2009) </w:t>
      </w:r>
      <w:r w:rsidRPr="007F51DE">
        <w:rPr>
          <w:i/>
          <w:iCs/>
          <w:strike/>
        </w:rPr>
        <w:t>Research design in social research</w:t>
      </w:r>
      <w:r w:rsidRPr="007F51DE">
        <w:rPr>
          <w:strike/>
        </w:rPr>
        <w:t xml:space="preserve">, Thousand Oaks, CA: Sage </w:t>
      </w:r>
    </w:p>
    <w:p w14:paraId="19D0BD98" w14:textId="77777777" w:rsidR="008A578D" w:rsidRPr="008A578D" w:rsidRDefault="008A578D" w:rsidP="008A578D">
      <w:pPr>
        <w:pStyle w:val="ListParagraph"/>
        <w:numPr>
          <w:ilvl w:val="0"/>
          <w:numId w:val="11"/>
        </w:numPr>
        <w:spacing w:line="360" w:lineRule="auto"/>
        <w:jc w:val="both"/>
        <w:rPr>
          <w:strike/>
        </w:rPr>
      </w:pPr>
      <w:r w:rsidRPr="008A578D">
        <w:rPr>
          <w:strike/>
        </w:rPr>
        <w:t xml:space="preserve">DOBBS, M.E. (2014) </w:t>
      </w:r>
      <w:r w:rsidRPr="008A578D">
        <w:rPr>
          <w:i/>
          <w:iCs/>
          <w:strike/>
        </w:rPr>
        <w:t>Guidelines for applying Porter's five forces framework: a set of industry analysis templates</w:t>
      </w:r>
      <w:r w:rsidRPr="008A578D">
        <w:rPr>
          <w:strike/>
        </w:rPr>
        <w:t>. </w:t>
      </w:r>
      <w:r w:rsidRPr="008A578D">
        <w:rPr>
          <w:rStyle w:val="Emphasis"/>
          <w:rFonts w:eastAsiaTheme="majorEastAsia"/>
          <w:i w:val="0"/>
          <w:iCs w:val="0"/>
          <w:strike/>
        </w:rPr>
        <w:t>Competitiveness Review</w:t>
      </w:r>
      <w:r w:rsidRPr="008A578D">
        <w:rPr>
          <w:strike/>
        </w:rPr>
        <w:t>. Vol 24, No 1, pp32-45.</w:t>
      </w:r>
    </w:p>
    <w:p w14:paraId="78063334" w14:textId="77777777" w:rsidR="008A578D" w:rsidRPr="007F51DE" w:rsidRDefault="008A578D" w:rsidP="008A578D">
      <w:pPr>
        <w:pStyle w:val="ListParagraph"/>
        <w:numPr>
          <w:ilvl w:val="0"/>
          <w:numId w:val="11"/>
        </w:numPr>
        <w:spacing w:line="360" w:lineRule="auto"/>
        <w:jc w:val="both"/>
        <w:rPr>
          <w:strike/>
        </w:rPr>
      </w:pPr>
      <w:r w:rsidRPr="007F51DE">
        <w:rPr>
          <w:strike/>
        </w:rPr>
        <w:t>Du Plessis, M. (2007), “The role of knowledge management in innovation”, Journal of</w:t>
      </w:r>
    </w:p>
    <w:p w14:paraId="20E73A91" w14:textId="77777777" w:rsidR="008A578D" w:rsidRPr="00E43CBE" w:rsidRDefault="008A578D" w:rsidP="008A578D">
      <w:pPr>
        <w:pStyle w:val="ListParagraph"/>
        <w:numPr>
          <w:ilvl w:val="0"/>
          <w:numId w:val="11"/>
        </w:numPr>
        <w:spacing w:line="360" w:lineRule="auto"/>
        <w:jc w:val="both"/>
      </w:pPr>
      <w:r w:rsidRPr="00E43CBE">
        <w:t xml:space="preserve">Elder, L., &amp; Paul, R. (2010) </w:t>
      </w:r>
      <w:r w:rsidRPr="00EE51E7">
        <w:rPr>
          <w:i/>
          <w:iCs/>
        </w:rPr>
        <w:t>Critical thinking development: A stage theory</w:t>
      </w:r>
      <w:r w:rsidRPr="00E43CBE">
        <w:t xml:space="preserve">. Available at: </w:t>
      </w:r>
      <w:hyperlink r:id="rId34" w:history="1">
        <w:r w:rsidRPr="00E43CBE">
          <w:rPr>
            <w:rStyle w:val="Hyperlink"/>
          </w:rPr>
          <w:t>https://www.criticalthinking.org/pages/critical-thinking-development-a-stage-theory/483</w:t>
        </w:r>
      </w:hyperlink>
      <w:r w:rsidRPr="00E43CBE">
        <w:t xml:space="preserve">  [Accessed 20/11/2023].</w:t>
      </w:r>
    </w:p>
    <w:p w14:paraId="61BE9D12" w14:textId="77777777" w:rsidR="008A578D" w:rsidRPr="002A5C99" w:rsidRDefault="008A578D" w:rsidP="008A578D">
      <w:pPr>
        <w:pStyle w:val="ListParagraph"/>
        <w:numPr>
          <w:ilvl w:val="0"/>
          <w:numId w:val="11"/>
        </w:numPr>
        <w:spacing w:line="360" w:lineRule="auto"/>
        <w:jc w:val="both"/>
        <w:rPr>
          <w:color w:val="FF0000"/>
        </w:rPr>
      </w:pPr>
      <w:r w:rsidRPr="002A5C99">
        <w:rPr>
          <w:color w:val="FF0000"/>
        </w:rPr>
        <w:t xml:space="preserve">Equality Act 2010: guidance. Available at: </w:t>
      </w:r>
      <w:hyperlink r:id="rId35" w:history="1">
        <w:r w:rsidRPr="00902EAB">
          <w:rPr>
            <w:rStyle w:val="Hyperlink"/>
          </w:rPr>
          <w:t>https://www.gov.uk/guidance/equality-act-2010-guidance</w:t>
        </w:r>
      </w:hyperlink>
      <w:r w:rsidRPr="002A5C99">
        <w:rPr>
          <w:color w:val="FF0000"/>
        </w:rPr>
        <w:t xml:space="preserve"> [Accessed 10 Feb 2024]</w:t>
      </w:r>
    </w:p>
    <w:p w14:paraId="689CB7EB" w14:textId="77777777" w:rsidR="008A578D" w:rsidRPr="008A578D" w:rsidRDefault="008A578D" w:rsidP="008A578D">
      <w:pPr>
        <w:pStyle w:val="ListParagraph"/>
        <w:numPr>
          <w:ilvl w:val="0"/>
          <w:numId w:val="11"/>
        </w:numPr>
        <w:spacing w:line="360" w:lineRule="auto"/>
        <w:jc w:val="both"/>
        <w:rPr>
          <w:b/>
          <w:bCs/>
          <w:strike/>
        </w:rPr>
      </w:pPr>
      <w:r w:rsidRPr="00E43CBE">
        <w:t xml:space="preserve"> </w:t>
      </w:r>
      <w:r w:rsidRPr="008A578D">
        <w:rPr>
          <w:strike/>
        </w:rPr>
        <w:t xml:space="preserve">Gavin, M. (2020) </w:t>
      </w:r>
      <w:r w:rsidRPr="008A578D">
        <w:rPr>
          <w:i/>
          <w:iCs/>
          <w:strike/>
        </w:rPr>
        <w:t>8 Steps in the Decision-Making Process</w:t>
      </w:r>
      <w:r w:rsidRPr="008A578D">
        <w:rPr>
          <w:strike/>
        </w:rPr>
        <w:t xml:space="preserve">   Available at:</w:t>
      </w:r>
      <w:r w:rsidRPr="008A578D">
        <w:rPr>
          <w:b/>
          <w:bCs/>
          <w:strike/>
        </w:rPr>
        <w:t xml:space="preserve"> </w:t>
      </w:r>
      <w:hyperlink r:id="rId36" w:history="1">
        <w:r w:rsidRPr="008A578D">
          <w:rPr>
            <w:rStyle w:val="Hyperlink"/>
            <w:strike/>
          </w:rPr>
          <w:t>https://online.hbs.edu/blog/post/decision-making-process</w:t>
        </w:r>
      </w:hyperlink>
      <w:r w:rsidRPr="008A578D">
        <w:rPr>
          <w:strike/>
        </w:rPr>
        <w:t xml:space="preserve"> [Accessed 30/11/2023].</w:t>
      </w:r>
    </w:p>
    <w:p w14:paraId="5F48A04A" w14:textId="77777777" w:rsidR="008A578D" w:rsidRPr="008A578D" w:rsidRDefault="008A578D" w:rsidP="008A578D">
      <w:pPr>
        <w:pStyle w:val="ListParagraph"/>
        <w:numPr>
          <w:ilvl w:val="0"/>
          <w:numId w:val="11"/>
        </w:numPr>
        <w:spacing w:line="360" w:lineRule="auto"/>
        <w:jc w:val="both"/>
        <w:rPr>
          <w:strike/>
        </w:rPr>
      </w:pPr>
      <w:r w:rsidRPr="008A578D">
        <w:rPr>
          <w:strike/>
        </w:rPr>
        <w:t xml:space="preserve">Gill, C. (2018) </w:t>
      </w:r>
      <w:r w:rsidRPr="008A578D">
        <w:rPr>
          <w:i/>
          <w:iCs/>
          <w:strike/>
        </w:rPr>
        <w:t>Don’t know, don’t care: An exploration of evidence-based knowledge and practice in human resource management</w:t>
      </w:r>
      <w:r w:rsidRPr="008A578D">
        <w:rPr>
          <w:strike/>
        </w:rPr>
        <w:t xml:space="preserve">. Human Resource Management Review, 28(2), pp.103-115. Available at: https://www.sciencedirect.com/science/article/pii/S1053482217300451 </w:t>
      </w:r>
      <w:bookmarkStart w:id="27" w:name="_Hlk153170402"/>
      <w:r w:rsidRPr="008A578D">
        <w:rPr>
          <w:strike/>
        </w:rPr>
        <w:t>[Accessed 28/11/2023]</w:t>
      </w:r>
      <w:bookmarkEnd w:id="27"/>
      <w:r w:rsidRPr="008A578D">
        <w:rPr>
          <w:strike/>
        </w:rPr>
        <w:t>.</w:t>
      </w:r>
    </w:p>
    <w:p w14:paraId="003A22A2" w14:textId="77777777" w:rsidR="008A578D" w:rsidRDefault="008A578D" w:rsidP="008A578D">
      <w:pPr>
        <w:pStyle w:val="ListParagraph"/>
        <w:numPr>
          <w:ilvl w:val="0"/>
          <w:numId w:val="11"/>
        </w:numPr>
        <w:spacing w:line="360" w:lineRule="auto"/>
        <w:jc w:val="both"/>
      </w:pPr>
      <w:r w:rsidRPr="00E43CBE">
        <w:t xml:space="preserve">Glaser, E (1941) </w:t>
      </w:r>
      <w:r w:rsidRPr="00EE51E7">
        <w:rPr>
          <w:i/>
          <w:iCs/>
        </w:rPr>
        <w:t>An Experiment in the Development of Critical Thinking</w:t>
      </w:r>
      <w:r w:rsidRPr="00E43CBE">
        <w:t>. New Yook: Teachers’ College, Columbia University</w:t>
      </w:r>
    </w:p>
    <w:p w14:paraId="514F5BF8" w14:textId="77777777" w:rsidR="008A578D" w:rsidRPr="008A578D" w:rsidRDefault="008A578D" w:rsidP="008A578D">
      <w:pPr>
        <w:pStyle w:val="NormalWeb"/>
        <w:numPr>
          <w:ilvl w:val="0"/>
          <w:numId w:val="11"/>
        </w:numPr>
        <w:spacing w:before="0" w:beforeAutospacing="0" w:line="360" w:lineRule="auto"/>
        <w:jc w:val="both"/>
        <w:rPr>
          <w:strike/>
        </w:rPr>
      </w:pPr>
      <w:r w:rsidRPr="008A578D">
        <w:rPr>
          <w:strike/>
        </w:rPr>
        <w:t xml:space="preserve">Goebel, G. and Seabert, D. (2006) </w:t>
      </w:r>
      <w:r w:rsidRPr="008A578D">
        <w:rPr>
          <w:i/>
          <w:iCs/>
          <w:strike/>
        </w:rPr>
        <w:t>Put on your thinking hats</w:t>
      </w:r>
      <w:r w:rsidRPr="008A578D">
        <w:rPr>
          <w:strike/>
        </w:rPr>
        <w:t>. Journal of School Health, 76(7):393-395. Available at: http://dx.doi.org/10.1111/j.1746-1561.2006.00131.x [Accessed 09/12/2023]</w:t>
      </w:r>
    </w:p>
    <w:p w14:paraId="6C881EFF" w14:textId="77777777" w:rsidR="008A578D" w:rsidRPr="008A578D" w:rsidRDefault="008A578D" w:rsidP="008A578D">
      <w:pPr>
        <w:pStyle w:val="NormalWeb"/>
        <w:numPr>
          <w:ilvl w:val="0"/>
          <w:numId w:val="11"/>
        </w:numPr>
        <w:spacing w:before="0" w:beforeAutospacing="0" w:line="360" w:lineRule="auto"/>
        <w:jc w:val="both"/>
        <w:rPr>
          <w:strike/>
        </w:rPr>
      </w:pPr>
      <w:r w:rsidRPr="008A578D">
        <w:rPr>
          <w:strike/>
        </w:rPr>
        <w:t xml:space="preserve">Goffman E. 1974. </w:t>
      </w:r>
      <w:r w:rsidRPr="008A578D">
        <w:rPr>
          <w:i/>
          <w:iCs/>
          <w:strike/>
        </w:rPr>
        <w:t>Frame Analysis: An Essay on the Organization of the Experience</w:t>
      </w:r>
      <w:r w:rsidRPr="008A578D">
        <w:rPr>
          <w:strike/>
        </w:rPr>
        <w:t xml:space="preserve">. New York: Harper </w:t>
      </w:r>
      <w:proofErr w:type="spellStart"/>
      <w:r w:rsidRPr="008A578D">
        <w:rPr>
          <w:strike/>
        </w:rPr>
        <w:t>Colopho</w:t>
      </w:r>
      <w:proofErr w:type="spellEnd"/>
    </w:p>
    <w:p w14:paraId="3D1A0610" w14:textId="77777777" w:rsidR="008A578D" w:rsidRPr="007F51DE" w:rsidRDefault="008A578D" w:rsidP="008A578D">
      <w:pPr>
        <w:pStyle w:val="ListParagraph"/>
        <w:numPr>
          <w:ilvl w:val="0"/>
          <w:numId w:val="11"/>
        </w:numPr>
        <w:spacing w:line="360" w:lineRule="auto"/>
        <w:jc w:val="both"/>
        <w:rPr>
          <w:strike/>
        </w:rPr>
      </w:pPr>
      <w:r w:rsidRPr="007F51DE">
        <w:rPr>
          <w:strike/>
        </w:rPr>
        <w:lastRenderedPageBreak/>
        <w:t xml:space="preserve">Hann, S. (2023) </w:t>
      </w:r>
      <w:r w:rsidRPr="007F51DE">
        <w:rPr>
          <w:i/>
          <w:iCs/>
          <w:strike/>
        </w:rPr>
        <w:t>SWOT analysis</w:t>
      </w:r>
      <w:r w:rsidRPr="007F51DE">
        <w:rPr>
          <w:strike/>
        </w:rPr>
        <w:t xml:space="preserve">. Available at: </w:t>
      </w:r>
      <w:hyperlink r:id="rId37" w:history="1">
        <w:r w:rsidRPr="007F51DE">
          <w:rPr>
            <w:rStyle w:val="Hyperlink"/>
            <w:strike/>
          </w:rPr>
          <w:t>https://www.cipd.org/uk/knowledge/factsheets/swot-analysis-factsheet/</w:t>
        </w:r>
      </w:hyperlink>
      <w:r w:rsidRPr="007F51DE">
        <w:rPr>
          <w:strike/>
        </w:rPr>
        <w:t xml:space="preserve"> </w:t>
      </w:r>
      <w:bookmarkStart w:id="28" w:name="_Hlk152796615"/>
      <w:r w:rsidRPr="007F51DE">
        <w:rPr>
          <w:strike/>
        </w:rPr>
        <w:t>[Accessed 28/11/2023].</w:t>
      </w:r>
    </w:p>
    <w:bookmarkEnd w:id="28"/>
    <w:p w14:paraId="2A675D2B" w14:textId="77777777" w:rsidR="008A578D" w:rsidRPr="007F51DE" w:rsidRDefault="008A578D" w:rsidP="008A578D">
      <w:pPr>
        <w:pStyle w:val="ListParagraph"/>
        <w:numPr>
          <w:ilvl w:val="0"/>
          <w:numId w:val="11"/>
        </w:numPr>
        <w:spacing w:line="360" w:lineRule="auto"/>
        <w:jc w:val="both"/>
        <w:rPr>
          <w:strike/>
        </w:rPr>
      </w:pPr>
      <w:r w:rsidRPr="007F51DE">
        <w:rPr>
          <w:strike/>
        </w:rPr>
        <w:t xml:space="preserve">Hargreaves, A. and Fullan, M. (2012) </w:t>
      </w:r>
      <w:r w:rsidRPr="007F51DE">
        <w:rPr>
          <w:i/>
          <w:iCs/>
          <w:strike/>
        </w:rPr>
        <w:t>Professional Capital: Transforming, teaching in every school.</w:t>
      </w:r>
      <w:r w:rsidRPr="007F51DE">
        <w:rPr>
          <w:strike/>
        </w:rPr>
        <w:t xml:space="preserve"> Abingdon: Routledge</w:t>
      </w:r>
    </w:p>
    <w:p w14:paraId="5A6E0DCA" w14:textId="77777777" w:rsidR="008A578D" w:rsidRDefault="008A578D" w:rsidP="008A578D">
      <w:pPr>
        <w:pStyle w:val="ListParagraph"/>
        <w:numPr>
          <w:ilvl w:val="0"/>
          <w:numId w:val="11"/>
        </w:numPr>
        <w:spacing w:line="360" w:lineRule="auto"/>
        <w:jc w:val="both"/>
      </w:pPr>
      <w:r w:rsidRPr="00512595">
        <w:t xml:space="preserve">Harrin, E. (2023) The Impact of Framing in Decision Making. Available at:  </w:t>
      </w:r>
      <w:hyperlink r:id="rId38" w:history="1">
        <w:r w:rsidRPr="00512595">
          <w:rPr>
            <w:rStyle w:val="Hyperlink"/>
          </w:rPr>
          <w:t>https://rebelsguidetopm.com/the-impact-of-framing-in-decision-making/</w:t>
        </w:r>
      </w:hyperlink>
      <w:r>
        <w:t xml:space="preserve"> </w:t>
      </w:r>
      <w:r w:rsidRPr="00E43CBE">
        <w:t xml:space="preserve">[Accessed </w:t>
      </w:r>
      <w:r>
        <w:t>10</w:t>
      </w:r>
      <w:r w:rsidRPr="00E43CBE">
        <w:t>/1</w:t>
      </w:r>
      <w:r>
        <w:t>2</w:t>
      </w:r>
      <w:r w:rsidRPr="00E43CBE">
        <w:t>/2023]</w:t>
      </w:r>
    </w:p>
    <w:p w14:paraId="4B13F00C" w14:textId="77777777" w:rsidR="008A578D" w:rsidRPr="007F51DE" w:rsidRDefault="008A578D" w:rsidP="008A578D">
      <w:pPr>
        <w:pStyle w:val="ListParagraph"/>
        <w:numPr>
          <w:ilvl w:val="0"/>
          <w:numId w:val="11"/>
        </w:numPr>
        <w:spacing w:line="360" w:lineRule="auto"/>
        <w:jc w:val="both"/>
        <w:rPr>
          <w:strike/>
        </w:rPr>
      </w:pPr>
      <w:r w:rsidRPr="007F51DE">
        <w:rPr>
          <w:strike/>
        </w:rPr>
        <w:t xml:space="preserve">Hooley, G., Piercy, N.F. and </w:t>
      </w:r>
      <w:proofErr w:type="spellStart"/>
      <w:r w:rsidRPr="007F51DE">
        <w:rPr>
          <w:strike/>
        </w:rPr>
        <w:t>Nicoulaud</w:t>
      </w:r>
      <w:proofErr w:type="spellEnd"/>
      <w:r w:rsidRPr="007F51DE">
        <w:rPr>
          <w:strike/>
        </w:rPr>
        <w:t xml:space="preserve">, B. (2008) </w:t>
      </w:r>
      <w:r w:rsidRPr="007F51DE">
        <w:rPr>
          <w:i/>
          <w:iCs/>
          <w:strike/>
        </w:rPr>
        <w:t>Marketing Strategy and competitive Positioning</w:t>
      </w:r>
      <w:r w:rsidRPr="007F51DE">
        <w:rPr>
          <w:strike/>
        </w:rPr>
        <w:t xml:space="preserve"> 4th </w:t>
      </w:r>
      <w:proofErr w:type="spellStart"/>
      <w:r w:rsidRPr="007F51DE">
        <w:rPr>
          <w:strike/>
        </w:rPr>
        <w:t>edn</w:t>
      </w:r>
      <w:proofErr w:type="spellEnd"/>
      <w:r w:rsidRPr="007F51DE">
        <w:rPr>
          <w:strike/>
        </w:rPr>
        <w:t>. Harlow: FT Prentice Hall</w:t>
      </w:r>
    </w:p>
    <w:p w14:paraId="56ECEB41" w14:textId="77777777" w:rsidR="008A578D" w:rsidRPr="00E43CBE" w:rsidRDefault="008A578D" w:rsidP="008A578D">
      <w:pPr>
        <w:pStyle w:val="ListParagraph"/>
        <w:numPr>
          <w:ilvl w:val="0"/>
          <w:numId w:val="11"/>
        </w:numPr>
        <w:spacing w:line="360" w:lineRule="auto"/>
        <w:jc w:val="both"/>
      </w:pPr>
      <w:r w:rsidRPr="005E1117">
        <w:t xml:space="preserve">Howlett, W. and Coburn, T. (2019) </w:t>
      </w:r>
      <w:r w:rsidRPr="003E096C">
        <w:rPr>
          <w:i/>
          <w:iCs/>
        </w:rPr>
        <w:t>Critical thinking | Podcast</w:t>
      </w:r>
      <w:r>
        <w:t xml:space="preserve"> </w:t>
      </w:r>
      <w:r w:rsidRPr="005E1117">
        <w:t xml:space="preserve">CIPD. Available at: </w:t>
      </w:r>
      <w:hyperlink r:id="rId39" w:anchor="gref" w:tgtFrame="_blank" w:history="1">
        <w:r w:rsidRPr="003E096C">
          <w:rPr>
            <w:color w:val="0000FF"/>
            <w:u w:val="single"/>
          </w:rPr>
          <w:t>https://www.cipd.co.uk/podcasts/critical-thinking#gref</w:t>
        </w:r>
      </w:hyperlink>
      <w:r w:rsidRPr="005E1117">
        <w:t xml:space="preserve"> [</w:t>
      </w:r>
      <w:r>
        <w:t>09/11/2023</w:t>
      </w:r>
      <w:r w:rsidRPr="005E1117">
        <w:t>].</w:t>
      </w:r>
    </w:p>
    <w:p w14:paraId="5A09EFDB" w14:textId="7751E84D" w:rsidR="008A578D" w:rsidRPr="00E43CBE" w:rsidRDefault="00000000" w:rsidP="008A578D">
      <w:pPr>
        <w:pStyle w:val="ListParagraph"/>
        <w:numPr>
          <w:ilvl w:val="0"/>
          <w:numId w:val="11"/>
        </w:numPr>
        <w:spacing w:line="360" w:lineRule="auto"/>
        <w:jc w:val="both"/>
        <w:rPr>
          <w:b/>
          <w:bCs/>
        </w:rPr>
      </w:pPr>
      <w:hyperlink r:id="rId40" w:history="1">
        <w:r w:rsidR="008A578D" w:rsidRPr="00E43CBE">
          <w:rPr>
            <w:color w:val="000000" w:themeColor="text1"/>
          </w:rPr>
          <w:t>Information Resources Management Association</w:t>
        </w:r>
      </w:hyperlink>
      <w:r w:rsidR="008A578D" w:rsidRPr="00E43CBE">
        <w:rPr>
          <w:color w:val="000000" w:themeColor="text1"/>
        </w:rPr>
        <w:t>,</w:t>
      </w:r>
      <w:r w:rsidR="008A578D" w:rsidRPr="00E43CBE">
        <w:t xml:space="preserve"> (2021) </w:t>
      </w:r>
      <w:r w:rsidR="008A578D" w:rsidRPr="00E43CBE">
        <w:rPr>
          <w:i/>
          <w:iCs/>
        </w:rPr>
        <w:t>Research Anthology on Developing Critical Thinking Skills in Students</w:t>
      </w:r>
      <w:r w:rsidR="008A578D" w:rsidRPr="00E43CBE">
        <w:t xml:space="preserve">. Available at: </w:t>
      </w:r>
      <w:hyperlink r:id="rId41" w:history="1">
        <w:r w:rsidR="00DD2648" w:rsidRPr="000F7C82">
          <w:rPr>
            <w:rStyle w:val="Hyperlink"/>
          </w:rPr>
          <w:t>https://doi-org.ezproxy.uwtsd.ac.uk/10.4018/978-1-7998-3022-1</w:t>
        </w:r>
      </w:hyperlink>
      <w:bookmarkStart w:id="29" w:name="_Hlk153014266"/>
      <w:r w:rsidR="00DD2648">
        <w:t xml:space="preserve"> </w:t>
      </w:r>
      <w:r w:rsidR="008A578D" w:rsidRPr="00E43CBE">
        <w:t>[Accessed 20/11/2023].</w:t>
      </w:r>
      <w:bookmarkEnd w:id="29"/>
    </w:p>
    <w:p w14:paraId="1EF24B93" w14:textId="39D2E0F2" w:rsidR="008A578D" w:rsidRPr="008A578D" w:rsidRDefault="008A578D" w:rsidP="008A578D">
      <w:pPr>
        <w:pStyle w:val="NormalWeb"/>
        <w:numPr>
          <w:ilvl w:val="0"/>
          <w:numId w:val="11"/>
        </w:numPr>
        <w:spacing w:before="0" w:beforeAutospacing="0" w:after="0" w:afterAutospacing="0" w:line="360" w:lineRule="auto"/>
        <w:jc w:val="both"/>
        <w:rPr>
          <w:color w:val="FF0000"/>
        </w:rPr>
      </w:pPr>
      <w:r w:rsidRPr="008D4E32">
        <w:rPr>
          <w:color w:val="FF0000"/>
        </w:rPr>
        <w:t xml:space="preserve">Jaramillo, S. and Richardson, T. (2017). </w:t>
      </w:r>
      <w:r w:rsidRPr="008D4E32">
        <w:rPr>
          <w:i/>
          <w:iCs/>
          <w:color w:val="FF0000"/>
        </w:rPr>
        <w:t>Agile engagement: how to drive lasting results by cultivating a flexible, responsive, and collaborative culture</w:t>
      </w:r>
      <w:r w:rsidRPr="008D4E32">
        <w:rPr>
          <w:color w:val="FF0000"/>
        </w:rPr>
        <w:t>. Hoboken, New Jersey: John Wiley &amp; Sons, Inc</w:t>
      </w:r>
    </w:p>
    <w:p w14:paraId="504A1A06" w14:textId="77777777" w:rsidR="008A578D" w:rsidRPr="007F51DE" w:rsidRDefault="008A578D" w:rsidP="008A578D">
      <w:pPr>
        <w:pStyle w:val="ListParagraph"/>
        <w:numPr>
          <w:ilvl w:val="0"/>
          <w:numId w:val="11"/>
        </w:numPr>
        <w:spacing w:line="360" w:lineRule="auto"/>
        <w:jc w:val="both"/>
        <w:rPr>
          <w:strike/>
        </w:rPr>
      </w:pPr>
      <w:r w:rsidRPr="007F51DE">
        <w:rPr>
          <w:strike/>
        </w:rPr>
        <w:t xml:space="preserve">Kumar, A. (2022) Decision Making Models: Concepts, Examples, Importance Available at: </w:t>
      </w:r>
      <w:hyperlink r:id="rId42" w:history="1">
        <w:r w:rsidRPr="007F51DE">
          <w:rPr>
            <w:rStyle w:val="Hyperlink"/>
            <w:strike/>
          </w:rPr>
          <w:t>https://vitalflux.com/decision-making-models-concepts-examples-importance/</w:t>
        </w:r>
      </w:hyperlink>
      <w:r w:rsidRPr="007F51DE">
        <w:rPr>
          <w:strike/>
        </w:rPr>
        <w:t xml:space="preserve"> [Accessed 28/11/2023]</w:t>
      </w:r>
    </w:p>
    <w:p w14:paraId="45D526EE" w14:textId="77777777" w:rsidR="008A578D" w:rsidRPr="00F717E5" w:rsidRDefault="008A578D" w:rsidP="008A578D">
      <w:pPr>
        <w:pStyle w:val="ListParagraph"/>
        <w:numPr>
          <w:ilvl w:val="0"/>
          <w:numId w:val="11"/>
        </w:numPr>
        <w:spacing w:line="360" w:lineRule="auto"/>
        <w:jc w:val="both"/>
      </w:pPr>
      <w:r w:rsidRPr="00F717E5">
        <w:t>Lawton, A. (1988) Ethical Management for the Public Services, Open University Press</w:t>
      </w:r>
    </w:p>
    <w:p w14:paraId="1D434EA2" w14:textId="77777777" w:rsidR="008A578D" w:rsidRPr="00E43CBE" w:rsidRDefault="008A578D" w:rsidP="008A578D">
      <w:pPr>
        <w:pStyle w:val="ListParagraph"/>
        <w:numPr>
          <w:ilvl w:val="0"/>
          <w:numId w:val="11"/>
        </w:numPr>
        <w:spacing w:line="360" w:lineRule="auto"/>
        <w:jc w:val="both"/>
      </w:pPr>
      <w:r w:rsidRPr="00E43CBE">
        <w:t xml:space="preserve">LinkedIn (2023b) What are the advantages and disadvantages of using questionnaires for job analysis? Available at: </w:t>
      </w:r>
      <w:hyperlink r:id="rId43" w:history="1">
        <w:r w:rsidRPr="00E43CBE">
          <w:rPr>
            <w:rStyle w:val="Hyperlink"/>
          </w:rPr>
          <w:t>https://www.linkedin.com/advice/1/what-advantages-disadvantages-using-7045065278488993792</w:t>
        </w:r>
      </w:hyperlink>
      <w:r w:rsidRPr="00E43CBE">
        <w:t xml:space="preserve"> [Accessed 15/11/2023]</w:t>
      </w:r>
    </w:p>
    <w:p w14:paraId="3A2C4BFB" w14:textId="77777777" w:rsidR="008A578D" w:rsidRPr="00E43CBE" w:rsidRDefault="008A578D" w:rsidP="008A578D">
      <w:pPr>
        <w:pStyle w:val="ListParagraph"/>
        <w:numPr>
          <w:ilvl w:val="0"/>
          <w:numId w:val="11"/>
        </w:numPr>
        <w:spacing w:line="360" w:lineRule="auto"/>
        <w:jc w:val="both"/>
      </w:pPr>
      <w:r w:rsidRPr="00E43CBE">
        <w:t xml:space="preserve">LinkedIn (2023c) What are some strategies to critically analyse and compare different types of evidence? Available at: </w:t>
      </w:r>
      <w:hyperlink r:id="rId44" w:history="1">
        <w:r w:rsidRPr="00E43CBE">
          <w:rPr>
            <w:rStyle w:val="Hyperlink"/>
          </w:rPr>
          <w:t>https://www.linkedin.com/advice/3/what-some-strategies-critically-analyze-compare</w:t>
        </w:r>
      </w:hyperlink>
      <w:r w:rsidRPr="00E43CBE">
        <w:rPr>
          <w:rStyle w:val="Hyperlink"/>
        </w:rPr>
        <w:t xml:space="preserve"> </w:t>
      </w:r>
      <w:bookmarkStart w:id="30" w:name="_Hlk153044549"/>
      <w:r w:rsidRPr="00E43CBE">
        <w:t>[Accessed 30/11/2023].</w:t>
      </w:r>
      <w:bookmarkEnd w:id="30"/>
    </w:p>
    <w:p w14:paraId="506BBFB0" w14:textId="77777777" w:rsidR="008A578D" w:rsidRDefault="008A578D" w:rsidP="008A578D">
      <w:pPr>
        <w:pStyle w:val="ListParagraph"/>
        <w:numPr>
          <w:ilvl w:val="0"/>
          <w:numId w:val="11"/>
        </w:numPr>
        <w:spacing w:line="360" w:lineRule="auto"/>
        <w:jc w:val="both"/>
      </w:pPr>
      <w:r w:rsidRPr="00E43CBE">
        <w:t xml:space="preserve">LinkedIn, (2023a) What are the advantages and disadvantages of the Ansoff matrix? Available at: </w:t>
      </w:r>
      <w:hyperlink r:id="rId45" w:history="1">
        <w:r w:rsidRPr="00E43CBE">
          <w:rPr>
            <w:rStyle w:val="Hyperlink"/>
          </w:rPr>
          <w:t>https://www.linkedin.com/advice/0/what-advantages-disadvantages-ansoff-matrix</w:t>
        </w:r>
      </w:hyperlink>
      <w:r w:rsidRPr="00E43CBE">
        <w:t xml:space="preserve"> </w:t>
      </w:r>
      <w:bookmarkStart w:id="31" w:name="_Hlk153221539"/>
      <w:r w:rsidRPr="00E43CBE">
        <w:t>[Accessed 30/11/2023]</w:t>
      </w:r>
      <w:bookmarkEnd w:id="31"/>
    </w:p>
    <w:p w14:paraId="50A5A52B" w14:textId="77777777" w:rsidR="008A578D" w:rsidRPr="00E43CBE" w:rsidRDefault="008A578D" w:rsidP="008A578D">
      <w:pPr>
        <w:pStyle w:val="ListParagraph"/>
        <w:numPr>
          <w:ilvl w:val="0"/>
          <w:numId w:val="11"/>
        </w:numPr>
        <w:spacing w:line="360" w:lineRule="auto"/>
        <w:jc w:val="both"/>
      </w:pPr>
      <w:r w:rsidRPr="00EE3951">
        <w:t xml:space="preserve">McCartney, C. (2023) </w:t>
      </w:r>
      <w:r w:rsidRPr="00EE3951">
        <w:rPr>
          <w:i/>
          <w:iCs/>
        </w:rPr>
        <w:t>Flexible working practices</w:t>
      </w:r>
      <w:r w:rsidRPr="00EE3951">
        <w:t xml:space="preserve"> Available at: </w:t>
      </w:r>
      <w:hyperlink r:id="rId46" w:history="1">
        <w:r w:rsidRPr="0053271F">
          <w:rPr>
            <w:rStyle w:val="Hyperlink"/>
          </w:rPr>
          <w:t>https://www.cipd.org/uk/knowledge/factsheets/flexible-working-factsheet/</w:t>
        </w:r>
      </w:hyperlink>
      <w:r>
        <w:t xml:space="preserve"> </w:t>
      </w:r>
      <w:r w:rsidRPr="00EE3951">
        <w:t xml:space="preserve">[Accessed </w:t>
      </w:r>
      <w:r>
        <w:t>11</w:t>
      </w:r>
      <w:r w:rsidRPr="00EE3951">
        <w:t>/1</w:t>
      </w:r>
      <w:r>
        <w:t>2</w:t>
      </w:r>
      <w:r w:rsidRPr="00EE3951">
        <w:t>/2023]</w:t>
      </w:r>
    </w:p>
    <w:p w14:paraId="7DBE417A" w14:textId="77777777" w:rsidR="008A578D" w:rsidRDefault="008A578D" w:rsidP="008A578D">
      <w:pPr>
        <w:pStyle w:val="NormalWeb"/>
        <w:numPr>
          <w:ilvl w:val="0"/>
          <w:numId w:val="11"/>
        </w:numPr>
        <w:spacing w:before="0" w:beforeAutospacing="0" w:after="0" w:afterAutospacing="0" w:line="360" w:lineRule="auto"/>
        <w:jc w:val="both"/>
        <w:rPr>
          <w:color w:val="FF0000"/>
        </w:rPr>
      </w:pPr>
      <w:r>
        <w:rPr>
          <w:color w:val="FF0000"/>
        </w:rPr>
        <w:lastRenderedPageBreak/>
        <w:t xml:space="preserve">Miller, J (2023) </w:t>
      </w:r>
      <w:r w:rsidRPr="008575B7">
        <w:rPr>
          <w:color w:val="FF0000"/>
        </w:rPr>
        <w:t>Disability and employment</w:t>
      </w:r>
      <w:r>
        <w:rPr>
          <w:color w:val="FF0000"/>
        </w:rPr>
        <w:t xml:space="preserve">. Available at: </w:t>
      </w:r>
      <w:hyperlink r:id="rId47" w:anchor="Goodemploymentpractices" w:history="1">
        <w:r w:rsidRPr="00902EAB">
          <w:rPr>
            <w:rStyle w:val="Hyperlink"/>
          </w:rPr>
          <w:t>https://www.cipd.org/uk/knowledge/factsheets/disability-discrimination-factsheet/#Goodemploymentpractices</w:t>
        </w:r>
      </w:hyperlink>
      <w:r>
        <w:rPr>
          <w:color w:val="FF0000"/>
        </w:rPr>
        <w:t xml:space="preserve"> </w:t>
      </w:r>
      <w:r w:rsidRPr="00FC049F">
        <w:rPr>
          <w:color w:val="FF0000"/>
        </w:rPr>
        <w:t xml:space="preserve">[Accessed </w:t>
      </w:r>
      <w:r>
        <w:rPr>
          <w:color w:val="FF0000"/>
        </w:rPr>
        <w:t>10</w:t>
      </w:r>
      <w:r w:rsidRPr="00FC049F">
        <w:rPr>
          <w:color w:val="FF0000"/>
        </w:rPr>
        <w:t xml:space="preserve"> Feb 2024]</w:t>
      </w:r>
    </w:p>
    <w:p w14:paraId="06E2E3E1" w14:textId="77777777" w:rsidR="008A578D" w:rsidRPr="007F51DE" w:rsidRDefault="008A578D" w:rsidP="008A578D">
      <w:pPr>
        <w:pStyle w:val="ListParagraph"/>
        <w:numPr>
          <w:ilvl w:val="0"/>
          <w:numId w:val="11"/>
        </w:numPr>
        <w:spacing w:line="360" w:lineRule="auto"/>
        <w:jc w:val="both"/>
        <w:rPr>
          <w:strike/>
        </w:rPr>
      </w:pPr>
      <w:r w:rsidRPr="007F51DE">
        <w:rPr>
          <w:strike/>
        </w:rPr>
        <w:t xml:space="preserve">MindManager Blog (2023) The six thinking hats method: how to use it for effective brainstorming. Available at: </w:t>
      </w:r>
      <w:hyperlink r:id="rId48" w:history="1">
        <w:r w:rsidRPr="007F51DE">
          <w:rPr>
            <w:rStyle w:val="Hyperlink"/>
            <w:strike/>
          </w:rPr>
          <w:t>https://blog.mindmanager.com/six-thinking-hats-method/</w:t>
        </w:r>
      </w:hyperlink>
      <w:r w:rsidRPr="007F51DE">
        <w:rPr>
          <w:strike/>
        </w:rPr>
        <w:t xml:space="preserve"> [Accessed 11/12/2023]</w:t>
      </w:r>
    </w:p>
    <w:p w14:paraId="494CDA45" w14:textId="77777777" w:rsidR="008A578D" w:rsidRPr="00E43CBE" w:rsidRDefault="008A578D" w:rsidP="008A578D">
      <w:pPr>
        <w:pStyle w:val="ListParagraph"/>
        <w:numPr>
          <w:ilvl w:val="0"/>
          <w:numId w:val="11"/>
        </w:numPr>
        <w:spacing w:line="360" w:lineRule="auto"/>
        <w:jc w:val="both"/>
      </w:pPr>
      <w:r w:rsidRPr="00E43CBE">
        <w:t xml:space="preserve">Mulder, P. (2019) </w:t>
      </w:r>
      <w:r w:rsidRPr="00E43CBE">
        <w:rPr>
          <w:i/>
          <w:iCs/>
        </w:rPr>
        <w:t xml:space="preserve">Six Thinking Hats by Edward De Bono, a decision making tool | </w:t>
      </w:r>
      <w:proofErr w:type="spellStart"/>
      <w:r w:rsidRPr="00E43CBE">
        <w:rPr>
          <w:i/>
          <w:iCs/>
        </w:rPr>
        <w:t>ToolsHero</w:t>
      </w:r>
      <w:proofErr w:type="spellEnd"/>
      <w:r w:rsidRPr="00E43CBE">
        <w:t xml:space="preserve">. [online] </w:t>
      </w:r>
      <w:proofErr w:type="spellStart"/>
      <w:r w:rsidRPr="00E43CBE">
        <w:t>ToolsHero</w:t>
      </w:r>
      <w:proofErr w:type="spellEnd"/>
      <w:r w:rsidRPr="00E43CBE">
        <w:t xml:space="preserve">. Available at: </w:t>
      </w:r>
      <w:hyperlink r:id="rId49" w:tgtFrame="_blank" w:history="1">
        <w:r w:rsidRPr="00E43CBE">
          <w:rPr>
            <w:rStyle w:val="Hyperlink"/>
          </w:rPr>
          <w:t>https://www.toolshero.com/decision-making/six-thinking-hats-de-bono/</w:t>
        </w:r>
      </w:hyperlink>
      <w:r w:rsidRPr="00E43CBE">
        <w:t xml:space="preserve"> [Accessed 28/11/ 2023]</w:t>
      </w:r>
    </w:p>
    <w:p w14:paraId="245E775D" w14:textId="77777777" w:rsidR="008A578D" w:rsidRPr="007F51DE" w:rsidRDefault="008A578D" w:rsidP="008A578D">
      <w:pPr>
        <w:pStyle w:val="ListParagraph"/>
        <w:numPr>
          <w:ilvl w:val="0"/>
          <w:numId w:val="11"/>
        </w:numPr>
        <w:spacing w:line="360" w:lineRule="auto"/>
        <w:jc w:val="both"/>
        <w:rPr>
          <w:strike/>
        </w:rPr>
      </w:pPr>
      <w:r w:rsidRPr="007F51DE">
        <w:rPr>
          <w:strike/>
        </w:rPr>
        <w:t xml:space="preserve">Nunan, D. (1999). </w:t>
      </w:r>
      <w:r w:rsidRPr="007F51DE">
        <w:rPr>
          <w:i/>
          <w:iCs/>
          <w:strike/>
        </w:rPr>
        <w:t>Research methods in language learning</w:t>
      </w:r>
      <w:r w:rsidRPr="007F51DE">
        <w:rPr>
          <w:strike/>
        </w:rPr>
        <w:t>. Eighth printing. Cambridge: CUP</w:t>
      </w:r>
    </w:p>
    <w:p w14:paraId="5715ECA5" w14:textId="77777777" w:rsidR="008A578D" w:rsidRPr="00E43CBE" w:rsidRDefault="008A578D" w:rsidP="008A578D">
      <w:pPr>
        <w:pStyle w:val="ListParagraph"/>
        <w:numPr>
          <w:ilvl w:val="0"/>
          <w:numId w:val="11"/>
        </w:numPr>
        <w:spacing w:line="360" w:lineRule="auto"/>
        <w:jc w:val="both"/>
      </w:pPr>
      <w:r w:rsidRPr="003C75B9">
        <w:t>Ovenstone, O</w:t>
      </w:r>
      <w:r>
        <w:t>.</w:t>
      </w:r>
      <w:r w:rsidRPr="003C75B9">
        <w:t xml:space="preserve"> (2020) </w:t>
      </w:r>
      <w:r w:rsidRPr="003C75B9">
        <w:rPr>
          <w:i/>
          <w:iCs/>
        </w:rPr>
        <w:t>An Exploration of Ethical Trading Challenges in Educational Psychology</w:t>
      </w:r>
      <w:r w:rsidRPr="003C75B9">
        <w:t xml:space="preserve"> Available at: </w:t>
      </w:r>
      <w:hyperlink r:id="rId50" w:history="1">
        <w:r w:rsidRPr="0053271F">
          <w:rPr>
            <w:rStyle w:val="Hyperlink"/>
          </w:rPr>
          <w:t>https://www.proquest.com/openview/7c478dfdbc70c0d59c16a827e6b3865d/1?pq-origsite=gscholar&amp;cbl=2026366&amp;diss=y</w:t>
        </w:r>
      </w:hyperlink>
      <w:r>
        <w:t xml:space="preserve"> </w:t>
      </w:r>
      <w:r w:rsidRPr="00E43CBE">
        <w:t xml:space="preserve">[Accessed </w:t>
      </w:r>
      <w:r>
        <w:t>11</w:t>
      </w:r>
      <w:r w:rsidRPr="00E43CBE">
        <w:t>/1</w:t>
      </w:r>
      <w:r>
        <w:t>2</w:t>
      </w:r>
      <w:r w:rsidRPr="00E43CBE">
        <w:t>/ 2023]</w:t>
      </w:r>
    </w:p>
    <w:p w14:paraId="7F24692D" w14:textId="77777777" w:rsidR="008A578D" w:rsidRPr="007F51DE" w:rsidRDefault="008A578D" w:rsidP="008A578D">
      <w:pPr>
        <w:pStyle w:val="ListParagraph"/>
        <w:numPr>
          <w:ilvl w:val="0"/>
          <w:numId w:val="11"/>
        </w:numPr>
        <w:spacing w:line="360" w:lineRule="auto"/>
        <w:jc w:val="both"/>
        <w:rPr>
          <w:strike/>
        </w:rPr>
      </w:pPr>
      <w:r w:rsidRPr="007F51DE">
        <w:rPr>
          <w:strike/>
        </w:rPr>
        <w:t xml:space="preserve">Patton, M. Q. (2002). </w:t>
      </w:r>
      <w:r w:rsidRPr="007F51DE">
        <w:rPr>
          <w:i/>
          <w:iCs/>
          <w:strike/>
        </w:rPr>
        <w:t>Qualitative research and evaluation methods</w:t>
      </w:r>
      <w:r w:rsidRPr="007F51DE">
        <w:rPr>
          <w:strike/>
        </w:rPr>
        <w:t xml:space="preserve"> </w:t>
      </w:r>
      <w:bookmarkStart w:id="32" w:name="_Hlk152997026"/>
      <w:r w:rsidRPr="007F51DE">
        <w:rPr>
          <w:strike/>
        </w:rPr>
        <w:t xml:space="preserve">(3rd </w:t>
      </w:r>
      <w:proofErr w:type="spellStart"/>
      <w:r w:rsidRPr="007F51DE">
        <w:rPr>
          <w:strike/>
        </w:rPr>
        <w:t>edn</w:t>
      </w:r>
      <w:proofErr w:type="spellEnd"/>
      <w:r w:rsidRPr="007F51DE">
        <w:rPr>
          <w:strike/>
        </w:rPr>
        <w:t>.)</w:t>
      </w:r>
      <w:bookmarkEnd w:id="32"/>
      <w:r w:rsidRPr="007F51DE">
        <w:rPr>
          <w:strike/>
        </w:rPr>
        <w:t>. Thousand Oaks, CA: Sage</w:t>
      </w:r>
    </w:p>
    <w:p w14:paraId="32E3F17D" w14:textId="77777777" w:rsidR="008A578D" w:rsidRDefault="008A578D" w:rsidP="008A578D">
      <w:pPr>
        <w:pStyle w:val="NormalWeb"/>
        <w:numPr>
          <w:ilvl w:val="0"/>
          <w:numId w:val="11"/>
        </w:numPr>
        <w:spacing w:before="0" w:beforeAutospacing="0" w:after="0" w:afterAutospacing="0" w:line="360" w:lineRule="auto"/>
        <w:jc w:val="both"/>
        <w:rPr>
          <w:color w:val="FF0000"/>
        </w:rPr>
      </w:pPr>
      <w:r>
        <w:rPr>
          <w:color w:val="FF0000"/>
        </w:rPr>
        <w:t xml:space="preserve"> </w:t>
      </w:r>
      <w:r w:rsidRPr="00433AD3">
        <w:rPr>
          <w:color w:val="FF0000"/>
        </w:rPr>
        <w:t xml:space="preserve">Payette, P. and Barnes, B. (2017). Teaching for Critical Thinking: Edward de Bono’s Six Thinking Hats. </w:t>
      </w:r>
      <w:r w:rsidRPr="00433AD3">
        <w:rPr>
          <w:i/>
          <w:iCs/>
          <w:color w:val="FF0000"/>
        </w:rPr>
        <w:t>The National Teaching &amp; Learning Forum</w:t>
      </w:r>
      <w:r w:rsidRPr="00433AD3">
        <w:rPr>
          <w:color w:val="FF0000"/>
        </w:rPr>
        <w:t xml:space="preserve">, 26(3), pp.8–10. </w:t>
      </w:r>
      <w:r>
        <w:rPr>
          <w:color w:val="FF0000"/>
        </w:rPr>
        <w:t xml:space="preserve">Available at: </w:t>
      </w:r>
      <w:hyperlink r:id="rId51" w:history="1">
        <w:r w:rsidRPr="000F6A5F">
          <w:rPr>
            <w:rStyle w:val="Hyperlink"/>
          </w:rPr>
          <w:t>https://doi.org/10.1002/ntlf.30110</w:t>
        </w:r>
      </w:hyperlink>
      <w:r w:rsidRPr="00433AD3">
        <w:rPr>
          <w:color w:val="FF0000"/>
        </w:rPr>
        <w:t>.</w:t>
      </w:r>
      <w:r>
        <w:rPr>
          <w:color w:val="FF0000"/>
        </w:rPr>
        <w:t xml:space="preserve"> </w:t>
      </w:r>
      <w:r w:rsidRPr="00433AD3">
        <w:rPr>
          <w:color w:val="FF0000"/>
        </w:rPr>
        <w:t>[Accessed 7 Feb 2024]</w:t>
      </w:r>
    </w:p>
    <w:p w14:paraId="6DB411EA" w14:textId="77777777" w:rsidR="008A578D" w:rsidRPr="00E43CBE" w:rsidRDefault="00000000" w:rsidP="008A578D">
      <w:pPr>
        <w:pStyle w:val="ListParagraph"/>
        <w:numPr>
          <w:ilvl w:val="0"/>
          <w:numId w:val="11"/>
        </w:numPr>
        <w:spacing w:line="360" w:lineRule="auto"/>
        <w:jc w:val="both"/>
      </w:pPr>
      <w:hyperlink r:id="rId52" w:history="1">
        <w:r w:rsidR="008A578D" w:rsidRPr="00E43CBE">
          <w:rPr>
            <w:color w:val="0000FF"/>
            <w:u w:val="single"/>
          </w:rPr>
          <w:t>Peterdy</w:t>
        </w:r>
      </w:hyperlink>
      <w:r w:rsidR="008A578D" w:rsidRPr="00E43CBE">
        <w:t xml:space="preserve">, K. (2023) Ansoff Matrix The Product/Market Expansion Grid Available at: </w:t>
      </w:r>
      <w:hyperlink r:id="rId53" w:history="1">
        <w:r w:rsidR="008A578D" w:rsidRPr="00E43CBE">
          <w:rPr>
            <w:rStyle w:val="Hyperlink"/>
          </w:rPr>
          <w:t>https://corporatefinanceinstitute.com/resources/management/ansoff-matrix/</w:t>
        </w:r>
      </w:hyperlink>
      <w:r w:rsidR="008A578D" w:rsidRPr="00E43CBE">
        <w:t xml:space="preserve"> </w:t>
      </w:r>
      <w:bookmarkStart w:id="33" w:name="_Hlk152826128"/>
      <w:r w:rsidR="008A578D" w:rsidRPr="00E43CBE">
        <w:t>[Accessed 28/11/2023]</w:t>
      </w:r>
    </w:p>
    <w:bookmarkEnd w:id="33"/>
    <w:p w14:paraId="30201F1E" w14:textId="77777777" w:rsidR="008A578D" w:rsidRPr="007F51DE" w:rsidRDefault="008A578D" w:rsidP="008A578D">
      <w:pPr>
        <w:pStyle w:val="ListParagraph"/>
        <w:numPr>
          <w:ilvl w:val="0"/>
          <w:numId w:val="11"/>
        </w:numPr>
        <w:spacing w:line="360" w:lineRule="auto"/>
        <w:jc w:val="both"/>
        <w:rPr>
          <w:strike/>
        </w:rPr>
      </w:pPr>
      <w:proofErr w:type="spellStart"/>
      <w:r w:rsidRPr="007F51DE">
        <w:rPr>
          <w:strike/>
        </w:rPr>
        <w:t>Peterdy</w:t>
      </w:r>
      <w:proofErr w:type="spellEnd"/>
      <w:r w:rsidRPr="007F51DE">
        <w:rPr>
          <w:strike/>
        </w:rPr>
        <w:t xml:space="preserve">, K. (2023) </w:t>
      </w:r>
      <w:r w:rsidRPr="007F51DE">
        <w:rPr>
          <w:i/>
          <w:iCs/>
          <w:strike/>
        </w:rPr>
        <w:t>SWOT Analysis A framework to understand and analyse a company’s Strengths, Weaknesses, Opportunities, and Threats</w:t>
      </w:r>
      <w:r w:rsidRPr="007F51DE">
        <w:rPr>
          <w:strike/>
        </w:rPr>
        <w:t xml:space="preserve"> Available at: </w:t>
      </w:r>
      <w:hyperlink r:id="rId54" w:history="1">
        <w:r w:rsidRPr="007F51DE">
          <w:rPr>
            <w:rStyle w:val="Hyperlink"/>
            <w:strike/>
          </w:rPr>
          <w:t>https://corporatefinanceinstitute.com/resources/management/swot-analysis/</w:t>
        </w:r>
      </w:hyperlink>
      <w:r w:rsidRPr="007F51DE">
        <w:rPr>
          <w:strike/>
        </w:rPr>
        <w:t xml:space="preserve"> [Accessed 28/11/2023].</w:t>
      </w:r>
    </w:p>
    <w:p w14:paraId="5B5684F5" w14:textId="77777777" w:rsidR="008A578D" w:rsidRPr="007F51DE" w:rsidRDefault="00000000" w:rsidP="008A578D">
      <w:pPr>
        <w:pStyle w:val="ListParagraph"/>
        <w:numPr>
          <w:ilvl w:val="0"/>
          <w:numId w:val="11"/>
        </w:numPr>
        <w:spacing w:line="360" w:lineRule="auto"/>
        <w:jc w:val="both"/>
        <w:rPr>
          <w:strike/>
        </w:rPr>
      </w:pPr>
      <w:hyperlink r:id="rId55" w:history="1">
        <w:r w:rsidR="008A578D" w:rsidRPr="007F51DE">
          <w:rPr>
            <w:strike/>
            <w:color w:val="0000FF"/>
            <w:u w:val="single"/>
          </w:rPr>
          <w:t>Pfeffer</w:t>
        </w:r>
      </w:hyperlink>
      <w:r w:rsidR="008A578D" w:rsidRPr="007F51DE">
        <w:rPr>
          <w:strike/>
        </w:rPr>
        <w:t xml:space="preserve">, J. and </w:t>
      </w:r>
      <w:hyperlink r:id="rId56" w:history="1">
        <w:r w:rsidR="008A578D" w:rsidRPr="007F51DE">
          <w:rPr>
            <w:strike/>
            <w:color w:val="0000FF"/>
            <w:u w:val="single"/>
          </w:rPr>
          <w:t>Sutton</w:t>
        </w:r>
      </w:hyperlink>
      <w:r w:rsidR="008A578D" w:rsidRPr="007F51DE">
        <w:rPr>
          <w:strike/>
        </w:rPr>
        <w:t xml:space="preserve">, R. I. (2000) </w:t>
      </w:r>
      <w:r w:rsidR="008A578D" w:rsidRPr="007F51DE">
        <w:rPr>
          <w:i/>
          <w:iCs/>
          <w:strike/>
        </w:rPr>
        <w:t>The Knowing-doing Gap: How Smart Companies Turn Knowledge Into Action</w:t>
      </w:r>
      <w:r w:rsidR="008A578D" w:rsidRPr="007F51DE">
        <w:rPr>
          <w:strike/>
        </w:rPr>
        <w:t>. Boston, MA: Harvard Business School Press.</w:t>
      </w:r>
    </w:p>
    <w:p w14:paraId="21379AA6" w14:textId="77777777" w:rsidR="008A578D" w:rsidRDefault="008A578D" w:rsidP="008A578D">
      <w:pPr>
        <w:pStyle w:val="NormalWeb"/>
        <w:numPr>
          <w:ilvl w:val="0"/>
          <w:numId w:val="11"/>
        </w:numPr>
        <w:spacing w:before="0" w:beforeAutospacing="0" w:after="0" w:afterAutospacing="0" w:line="360" w:lineRule="auto"/>
        <w:jc w:val="both"/>
        <w:rPr>
          <w:color w:val="FF0000"/>
        </w:rPr>
      </w:pPr>
      <w:r w:rsidRPr="0088211F">
        <w:rPr>
          <w:color w:val="FF0000"/>
        </w:rPr>
        <w:t xml:space="preserve">Pham, C. T. A., </w:t>
      </w:r>
      <w:proofErr w:type="spellStart"/>
      <w:r w:rsidRPr="0088211F">
        <w:rPr>
          <w:color w:val="FF0000"/>
        </w:rPr>
        <w:t>Magistretti</w:t>
      </w:r>
      <w:proofErr w:type="spellEnd"/>
      <w:r w:rsidRPr="0088211F">
        <w:rPr>
          <w:color w:val="FF0000"/>
        </w:rPr>
        <w:t xml:space="preserve">, S., &amp; </w:t>
      </w:r>
      <w:proofErr w:type="spellStart"/>
      <w:r w:rsidRPr="0088211F">
        <w:rPr>
          <w:color w:val="FF0000"/>
        </w:rPr>
        <w:t>Dell’Era</w:t>
      </w:r>
      <w:proofErr w:type="spellEnd"/>
      <w:r w:rsidRPr="0088211F">
        <w:rPr>
          <w:color w:val="FF0000"/>
        </w:rPr>
        <w:t xml:space="preserve">, C. (2023). How do you frame ill‐defined problems? A study on creative logics in action. Creativity and Innovation Management, 32(3), 493–516. </w:t>
      </w:r>
      <w:r>
        <w:rPr>
          <w:color w:val="FF0000"/>
        </w:rPr>
        <w:t xml:space="preserve">Available at: </w:t>
      </w:r>
      <w:hyperlink r:id="rId57" w:history="1">
        <w:r w:rsidRPr="000F6A5F">
          <w:rPr>
            <w:rStyle w:val="Hyperlink"/>
          </w:rPr>
          <w:t>https://doi.org/10.1111/caim.12543</w:t>
        </w:r>
      </w:hyperlink>
      <w:r>
        <w:rPr>
          <w:color w:val="FF0000"/>
        </w:rPr>
        <w:t xml:space="preserve"> </w:t>
      </w:r>
      <w:r w:rsidRPr="00CB79C2">
        <w:rPr>
          <w:color w:val="FF0000"/>
        </w:rPr>
        <w:t>[Accessed 7 Feb 2024]</w:t>
      </w:r>
    </w:p>
    <w:p w14:paraId="5DB1E985" w14:textId="5E86FD15" w:rsidR="00CD65C4" w:rsidRPr="00CD65C4" w:rsidRDefault="00CD65C4" w:rsidP="00CD65C4">
      <w:pPr>
        <w:pStyle w:val="NormalWeb"/>
        <w:numPr>
          <w:ilvl w:val="0"/>
          <w:numId w:val="11"/>
        </w:numPr>
        <w:spacing w:before="0" w:beforeAutospacing="0" w:after="0" w:afterAutospacing="0" w:line="360" w:lineRule="auto"/>
        <w:jc w:val="both"/>
        <w:rPr>
          <w:color w:val="FF0000"/>
        </w:rPr>
      </w:pPr>
      <w:r w:rsidRPr="00CD65C4">
        <w:rPr>
          <w:color w:val="FF0000"/>
        </w:rPr>
        <w:lastRenderedPageBreak/>
        <w:t xml:space="preserve">Rachlin, R. (2019). </w:t>
      </w:r>
      <w:r w:rsidRPr="00CD65C4">
        <w:rPr>
          <w:i/>
          <w:iCs/>
          <w:color w:val="FF0000"/>
        </w:rPr>
        <w:t>Return on Investment Manual: Tools and Applications for Managing Financial Results</w:t>
      </w:r>
      <w:r w:rsidRPr="00CD65C4">
        <w:rPr>
          <w:color w:val="FF0000"/>
        </w:rPr>
        <w:t>. Routledge.</w:t>
      </w:r>
    </w:p>
    <w:p w14:paraId="6D349E81" w14:textId="77777777" w:rsidR="008A578D" w:rsidRDefault="008A578D" w:rsidP="00CD65C4">
      <w:pPr>
        <w:pStyle w:val="NormalWeb"/>
        <w:numPr>
          <w:ilvl w:val="0"/>
          <w:numId w:val="11"/>
        </w:numPr>
        <w:spacing w:before="0" w:beforeAutospacing="0" w:after="0" w:afterAutospacing="0" w:line="360" w:lineRule="auto"/>
        <w:jc w:val="both"/>
        <w:rPr>
          <w:color w:val="FF0000"/>
        </w:rPr>
      </w:pPr>
      <w:r w:rsidRPr="00CD65C4">
        <w:rPr>
          <w:color w:val="FF0000"/>
        </w:rPr>
        <w:t xml:space="preserve">Rees, G. and French, R. (2023) </w:t>
      </w:r>
      <w:r w:rsidRPr="00CD65C4">
        <w:rPr>
          <w:i/>
          <w:iCs/>
          <w:color w:val="FF0000"/>
        </w:rPr>
        <w:t xml:space="preserve">Strategic people management </w:t>
      </w:r>
      <w:r w:rsidRPr="00DD468F">
        <w:rPr>
          <w:i/>
          <w:iCs/>
          <w:color w:val="FF0000"/>
        </w:rPr>
        <w:t>and development: theory and practice</w:t>
      </w:r>
      <w:r w:rsidRPr="00DD468F">
        <w:rPr>
          <w:color w:val="FF0000"/>
        </w:rPr>
        <w:t xml:space="preserve">. </w:t>
      </w:r>
      <w:r>
        <w:rPr>
          <w:color w:val="FF0000"/>
        </w:rPr>
        <w:t>(6</w:t>
      </w:r>
      <w:r w:rsidRPr="00DD468F">
        <w:rPr>
          <w:color w:val="FF0000"/>
          <w:vertAlign w:val="superscript"/>
        </w:rPr>
        <w:t>th</w:t>
      </w:r>
      <w:r>
        <w:rPr>
          <w:color w:val="FF0000"/>
        </w:rPr>
        <w:t xml:space="preserve"> </w:t>
      </w:r>
      <w:proofErr w:type="spellStart"/>
      <w:r>
        <w:rPr>
          <w:color w:val="FF0000"/>
        </w:rPr>
        <w:t>edn</w:t>
      </w:r>
      <w:proofErr w:type="spellEnd"/>
      <w:r>
        <w:rPr>
          <w:color w:val="FF0000"/>
        </w:rPr>
        <w:t>)</w:t>
      </w:r>
      <w:r w:rsidRPr="00DD468F">
        <w:rPr>
          <w:color w:val="FF0000"/>
        </w:rPr>
        <w:t xml:space="preserve"> London: Kogan</w:t>
      </w:r>
      <w:r>
        <w:rPr>
          <w:color w:val="FF0000"/>
        </w:rPr>
        <w:t xml:space="preserve"> </w:t>
      </w:r>
      <w:r w:rsidRPr="00DD468F">
        <w:rPr>
          <w:color w:val="FF0000"/>
        </w:rPr>
        <w:t>Page</w:t>
      </w:r>
    </w:p>
    <w:p w14:paraId="16B1B0A7" w14:textId="77777777" w:rsidR="008A578D" w:rsidRPr="003250F6" w:rsidRDefault="008A578D" w:rsidP="008A578D">
      <w:pPr>
        <w:pStyle w:val="ListParagraph"/>
        <w:numPr>
          <w:ilvl w:val="0"/>
          <w:numId w:val="11"/>
        </w:numPr>
        <w:spacing w:line="360" w:lineRule="auto"/>
        <w:jc w:val="both"/>
      </w:pPr>
      <w:r w:rsidRPr="003250F6">
        <w:rPr>
          <w:rStyle w:val="authorname"/>
          <w:rFonts w:eastAsiaTheme="majorEastAsia"/>
        </w:rPr>
        <w:t>Reid Elder, S. and Nikodem, M.</w:t>
      </w:r>
      <w:r w:rsidRPr="003250F6">
        <w:t xml:space="preserve"> (2023) </w:t>
      </w:r>
      <w:r w:rsidRPr="003250F6">
        <w:rPr>
          <w:i/>
          <w:iCs/>
        </w:rPr>
        <w:t>Considering the application and relevance of evidence-based HR</w:t>
      </w:r>
      <w:r w:rsidRPr="003250F6">
        <w:t xml:space="preserve"> Available at: </w:t>
      </w:r>
      <w:hyperlink r:id="rId58" w:history="1">
        <w:r w:rsidRPr="003250F6">
          <w:rPr>
            <w:rStyle w:val="Hyperlink"/>
          </w:rPr>
          <w:t>https://www.peoplemanagement.co.uk/article/1845833/considering-application-relevance-evidence-based-hr</w:t>
        </w:r>
      </w:hyperlink>
      <w:r w:rsidRPr="003250F6">
        <w:t xml:space="preserve"> [Accessed 20/11/2023].</w:t>
      </w:r>
    </w:p>
    <w:p w14:paraId="39D2BED3" w14:textId="77777777" w:rsidR="008A578D" w:rsidRDefault="008A578D" w:rsidP="008A578D">
      <w:pPr>
        <w:pStyle w:val="ListParagraph"/>
        <w:numPr>
          <w:ilvl w:val="0"/>
          <w:numId w:val="11"/>
        </w:numPr>
        <w:spacing w:line="360" w:lineRule="auto"/>
        <w:jc w:val="both"/>
      </w:pPr>
      <w:r>
        <w:t xml:space="preserve">Russell, T. and Weeks, A. (2019) Ethics at work: An employer’s guide Available at: </w:t>
      </w:r>
      <w:hyperlink r:id="rId59" w:history="1">
        <w:r w:rsidRPr="0053271F">
          <w:rPr>
            <w:rStyle w:val="Hyperlink"/>
          </w:rPr>
          <w:t>https://www.cipd.org/uk/knowledge/guides/ethics-work-guide/</w:t>
        </w:r>
      </w:hyperlink>
      <w:r>
        <w:t xml:space="preserve"> </w:t>
      </w:r>
      <w:r w:rsidRPr="00E43CBE">
        <w:t xml:space="preserve">[Accessed </w:t>
      </w:r>
      <w:r>
        <w:t>11</w:t>
      </w:r>
      <w:r w:rsidRPr="00E43CBE">
        <w:t>/1</w:t>
      </w:r>
      <w:r>
        <w:t>2</w:t>
      </w:r>
      <w:r w:rsidRPr="00E43CBE">
        <w:t>/2023]</w:t>
      </w:r>
    </w:p>
    <w:p w14:paraId="64EF7B6B" w14:textId="77777777" w:rsidR="008A578D" w:rsidRDefault="008A578D" w:rsidP="008A578D">
      <w:pPr>
        <w:pStyle w:val="NormalWeb"/>
        <w:numPr>
          <w:ilvl w:val="0"/>
          <w:numId w:val="11"/>
        </w:numPr>
        <w:spacing w:before="0" w:beforeAutospacing="0" w:after="0" w:afterAutospacing="0" w:line="360" w:lineRule="auto"/>
        <w:jc w:val="both"/>
        <w:rPr>
          <w:color w:val="FF0000"/>
        </w:rPr>
      </w:pPr>
      <w:r w:rsidRPr="00666817">
        <w:rPr>
          <w:color w:val="FF0000"/>
        </w:rPr>
        <w:t>Sekaran, U. (2019) RESEARCH</w:t>
      </w:r>
      <w:r w:rsidRPr="00666817">
        <w:rPr>
          <w:i/>
          <w:iCs/>
          <w:color w:val="FF0000"/>
        </w:rPr>
        <w:t xml:space="preserve"> METHODS for BUSINESS: A Skill Building Approach, Evaluation Copy.</w:t>
      </w:r>
      <w:r w:rsidRPr="00666817">
        <w:rPr>
          <w:color w:val="FF0000"/>
        </w:rPr>
        <w:t xml:space="preserve"> S.L.: John Wiley</w:t>
      </w:r>
    </w:p>
    <w:p w14:paraId="525E9EBF" w14:textId="77777777" w:rsidR="008A578D" w:rsidRDefault="008A578D" w:rsidP="008A578D">
      <w:pPr>
        <w:pStyle w:val="NormalWeb"/>
        <w:numPr>
          <w:ilvl w:val="0"/>
          <w:numId w:val="11"/>
        </w:numPr>
        <w:spacing w:before="0" w:beforeAutospacing="0" w:line="360" w:lineRule="auto"/>
        <w:jc w:val="both"/>
      </w:pPr>
      <w:r w:rsidRPr="000C5B45">
        <w:t xml:space="preserve">Serat, O. (2017) </w:t>
      </w:r>
      <w:r w:rsidRPr="000C5B45">
        <w:rPr>
          <w:i/>
          <w:iCs/>
        </w:rPr>
        <w:t>Action Learning</w:t>
      </w:r>
      <w:r w:rsidRPr="000C5B45">
        <w:t>. Available at:</w:t>
      </w:r>
      <w:r>
        <w:t xml:space="preserve"> </w:t>
      </w:r>
      <w:hyperlink r:id="rId60" w:history="1">
        <w:r w:rsidRPr="0053271F">
          <w:rPr>
            <w:rStyle w:val="Hyperlink"/>
          </w:rPr>
          <w:t>https://link.springer.com/chapter/10.1007/978-981-10-0983-9_62</w:t>
        </w:r>
      </w:hyperlink>
      <w:r>
        <w:t xml:space="preserve"> </w:t>
      </w:r>
      <w:r w:rsidRPr="00E43CBE">
        <w:t xml:space="preserve">[Accessed </w:t>
      </w:r>
      <w:r>
        <w:t>11</w:t>
      </w:r>
      <w:r w:rsidRPr="00E43CBE">
        <w:t>/1</w:t>
      </w:r>
      <w:r>
        <w:t>2</w:t>
      </w:r>
      <w:r w:rsidRPr="00E43CBE">
        <w:t>/2023]</w:t>
      </w:r>
    </w:p>
    <w:p w14:paraId="12FCEE4A" w14:textId="77777777" w:rsidR="008A578D" w:rsidRPr="000C5B45" w:rsidRDefault="008A578D" w:rsidP="008A578D">
      <w:pPr>
        <w:pStyle w:val="NormalWeb"/>
        <w:numPr>
          <w:ilvl w:val="0"/>
          <w:numId w:val="11"/>
        </w:numPr>
        <w:spacing w:before="0" w:beforeAutospacing="0" w:line="360" w:lineRule="auto"/>
        <w:jc w:val="both"/>
      </w:pPr>
      <w:r>
        <w:t xml:space="preserve">Sinnott-Armstrong, W. (2003) </w:t>
      </w:r>
      <w:r w:rsidRPr="00CC762F">
        <w:rPr>
          <w:i/>
          <w:iCs/>
        </w:rPr>
        <w:t xml:space="preserve">Gert Contra </w:t>
      </w:r>
      <w:r w:rsidRPr="00CC762F">
        <w:t xml:space="preserve">Consequentialism in </w:t>
      </w:r>
      <w:r w:rsidRPr="00CC762F">
        <w:rPr>
          <w:rStyle w:val="Emphasis"/>
          <w:rFonts w:eastAsiaTheme="majorEastAsia"/>
        </w:rPr>
        <w:t>Rationality</w:t>
      </w:r>
      <w:r>
        <w:rPr>
          <w:rStyle w:val="Emphasis"/>
          <w:rFonts w:eastAsiaTheme="majorEastAsia"/>
        </w:rPr>
        <w:t>, Rules, and Ideals</w:t>
      </w:r>
      <w:r>
        <w:t>, New York: Rowman and Littlefield</w:t>
      </w:r>
    </w:p>
    <w:p w14:paraId="0C4E4BC0" w14:textId="77777777" w:rsidR="008A578D" w:rsidRPr="00A00B64" w:rsidRDefault="008A578D" w:rsidP="008A578D">
      <w:pPr>
        <w:pStyle w:val="NormalWeb"/>
        <w:numPr>
          <w:ilvl w:val="0"/>
          <w:numId w:val="11"/>
        </w:numPr>
        <w:spacing w:before="0" w:beforeAutospacing="0" w:after="0" w:afterAutospacing="0" w:line="360" w:lineRule="auto"/>
        <w:jc w:val="both"/>
        <w:rPr>
          <w:color w:val="FF0000"/>
        </w:rPr>
      </w:pPr>
      <w:r w:rsidRPr="00A00B64">
        <w:rPr>
          <w:color w:val="FF0000"/>
        </w:rPr>
        <w:t xml:space="preserve">Snow, M.A. (2022). </w:t>
      </w:r>
      <w:r w:rsidRPr="00A00B64">
        <w:rPr>
          <w:i/>
          <w:iCs/>
          <w:color w:val="FF0000"/>
        </w:rPr>
        <w:t>The Remote Work Handbook The Definitive Guide for Operationalising Remote Work As a Competitive Business Strategy</w:t>
      </w:r>
      <w:r w:rsidRPr="00A00B64">
        <w:rPr>
          <w:color w:val="FF0000"/>
        </w:rPr>
        <w:t>. Milton: Productivity Press.</w:t>
      </w:r>
    </w:p>
    <w:p w14:paraId="32BCC770" w14:textId="77777777" w:rsidR="008A578D" w:rsidRDefault="008A578D" w:rsidP="008A578D">
      <w:pPr>
        <w:pStyle w:val="NormalWeb"/>
        <w:numPr>
          <w:ilvl w:val="0"/>
          <w:numId w:val="11"/>
        </w:numPr>
        <w:spacing w:before="0" w:beforeAutospacing="0" w:after="0" w:afterAutospacing="0" w:line="360" w:lineRule="auto"/>
        <w:jc w:val="both"/>
        <w:rPr>
          <w:color w:val="FF0000"/>
        </w:rPr>
      </w:pPr>
      <w:r w:rsidRPr="00DD468F">
        <w:rPr>
          <w:color w:val="FF0000"/>
        </w:rPr>
        <w:t xml:space="preserve">Snow, N.E. (2020) </w:t>
      </w:r>
      <w:r w:rsidRPr="00DD468F">
        <w:rPr>
          <w:i/>
          <w:iCs/>
          <w:color w:val="FF0000"/>
        </w:rPr>
        <w:t>Contemporary virtue ethics</w:t>
      </w:r>
      <w:r w:rsidRPr="00DD468F">
        <w:rPr>
          <w:color w:val="FF0000"/>
        </w:rPr>
        <w:t>. Cambridge: Cambridge University Press.</w:t>
      </w:r>
    </w:p>
    <w:p w14:paraId="0F3BE07E" w14:textId="77777777" w:rsidR="008A578D" w:rsidRDefault="008A578D" w:rsidP="008A578D">
      <w:pPr>
        <w:pStyle w:val="NormalWeb"/>
        <w:numPr>
          <w:ilvl w:val="0"/>
          <w:numId w:val="11"/>
        </w:numPr>
        <w:spacing w:before="0" w:beforeAutospacing="0" w:after="0" w:afterAutospacing="0" w:line="360" w:lineRule="auto"/>
        <w:jc w:val="both"/>
        <w:rPr>
          <w:color w:val="FF0000"/>
        </w:rPr>
      </w:pPr>
      <w:r w:rsidRPr="0032588E">
        <w:rPr>
          <w:color w:val="FF0000"/>
        </w:rPr>
        <w:t>Stone,</w:t>
      </w:r>
      <w:r>
        <w:rPr>
          <w:color w:val="FF0000"/>
        </w:rPr>
        <w:t xml:space="preserve"> C., </w:t>
      </w:r>
      <w:r w:rsidRPr="0032588E">
        <w:rPr>
          <w:color w:val="FF0000"/>
        </w:rPr>
        <w:t>Horan</w:t>
      </w:r>
      <w:r>
        <w:rPr>
          <w:color w:val="FF0000"/>
        </w:rPr>
        <w:t>, S.,</w:t>
      </w:r>
      <w:r w:rsidRPr="0032588E">
        <w:rPr>
          <w:color w:val="FF0000"/>
        </w:rPr>
        <w:t xml:space="preserve"> and</w:t>
      </w:r>
      <w:r>
        <w:rPr>
          <w:color w:val="FF0000"/>
        </w:rPr>
        <w:t xml:space="preserve"> </w:t>
      </w:r>
      <w:r w:rsidRPr="0032588E">
        <w:rPr>
          <w:color w:val="FF0000"/>
        </w:rPr>
        <w:t>Flaxman</w:t>
      </w:r>
      <w:r>
        <w:rPr>
          <w:color w:val="FF0000"/>
        </w:rPr>
        <w:t xml:space="preserve">, P (2018) </w:t>
      </w:r>
      <w:r w:rsidRPr="0032588E">
        <w:rPr>
          <w:color w:val="FF0000"/>
        </w:rPr>
        <w:t>What does the future hold?</w:t>
      </w:r>
      <w:r>
        <w:rPr>
          <w:color w:val="FF0000"/>
        </w:rPr>
        <w:t xml:space="preserve"> </w:t>
      </w:r>
      <w:r w:rsidRPr="0032588E">
        <w:rPr>
          <w:color w:val="FF0000"/>
        </w:rPr>
        <w:t>Investigating the benefits and</w:t>
      </w:r>
      <w:r>
        <w:rPr>
          <w:color w:val="FF0000"/>
        </w:rPr>
        <w:t xml:space="preserve"> </w:t>
      </w:r>
      <w:r w:rsidRPr="0032588E">
        <w:rPr>
          <w:color w:val="FF0000"/>
        </w:rPr>
        <w:t>challenges of agile and remote working</w:t>
      </w:r>
      <w:r>
        <w:rPr>
          <w:color w:val="FF0000"/>
        </w:rPr>
        <w:t xml:space="preserve"> Available at: </w:t>
      </w:r>
      <w:hyperlink r:id="rId61" w:history="1">
        <w:r w:rsidRPr="00902EAB">
          <w:rPr>
            <w:rStyle w:val="Hyperlink"/>
          </w:rPr>
          <w:t>https://www.cipd.org/globalassets/media/comms/get-involved/events/investigating-the-benefits-and-challenges-of-agile-and-remote-working_tcm18-57296.pdf</w:t>
        </w:r>
      </w:hyperlink>
      <w:r>
        <w:rPr>
          <w:color w:val="FF0000"/>
        </w:rPr>
        <w:t xml:space="preserve"> </w:t>
      </w:r>
      <w:r w:rsidRPr="008D4E32">
        <w:rPr>
          <w:color w:val="FF0000"/>
        </w:rPr>
        <w:t>[Accessed 1</w:t>
      </w:r>
      <w:r>
        <w:rPr>
          <w:color w:val="FF0000"/>
        </w:rPr>
        <w:t>1</w:t>
      </w:r>
      <w:r w:rsidRPr="008D4E32">
        <w:rPr>
          <w:color w:val="FF0000"/>
        </w:rPr>
        <w:t xml:space="preserve"> Feb 2024]</w:t>
      </w:r>
    </w:p>
    <w:p w14:paraId="071FFC39" w14:textId="77777777" w:rsidR="008A578D" w:rsidRPr="00991840" w:rsidRDefault="008A578D" w:rsidP="008A578D">
      <w:pPr>
        <w:pStyle w:val="NormalWeb"/>
        <w:numPr>
          <w:ilvl w:val="0"/>
          <w:numId w:val="11"/>
        </w:numPr>
        <w:spacing w:before="0" w:beforeAutospacing="0" w:after="240" w:line="360" w:lineRule="auto"/>
        <w:jc w:val="both"/>
        <w:rPr>
          <w:color w:val="FF0000"/>
        </w:rPr>
      </w:pPr>
      <w:r w:rsidRPr="00991840">
        <w:rPr>
          <w:color w:val="FF0000"/>
        </w:rPr>
        <w:t>Stonewall (2018) LGBT in Britain - Work Report</w:t>
      </w:r>
      <w:r>
        <w:rPr>
          <w:color w:val="FF0000"/>
        </w:rPr>
        <w:t xml:space="preserve">. Available at: </w:t>
      </w:r>
      <w:hyperlink r:id="rId62" w:history="1">
        <w:r w:rsidRPr="00902EAB">
          <w:rPr>
            <w:rStyle w:val="Hyperlink"/>
          </w:rPr>
          <w:t>https://www.stonewall.org.uk/resources/lgbt-britain-work-report-2018</w:t>
        </w:r>
      </w:hyperlink>
      <w:r>
        <w:rPr>
          <w:color w:val="FF0000"/>
        </w:rPr>
        <w:t xml:space="preserve"> </w:t>
      </w:r>
      <w:bookmarkStart w:id="34" w:name="_Hlk158589175"/>
      <w:r w:rsidRPr="00FC049F">
        <w:rPr>
          <w:color w:val="FF0000"/>
        </w:rPr>
        <w:t xml:space="preserve">[Accessed </w:t>
      </w:r>
      <w:r>
        <w:rPr>
          <w:color w:val="FF0000"/>
        </w:rPr>
        <w:t>10</w:t>
      </w:r>
      <w:r w:rsidRPr="00FC049F">
        <w:rPr>
          <w:color w:val="FF0000"/>
        </w:rPr>
        <w:t xml:space="preserve"> Feb 2024]</w:t>
      </w:r>
    </w:p>
    <w:bookmarkEnd w:id="34"/>
    <w:p w14:paraId="711BBDE4" w14:textId="77777777" w:rsidR="008A578D" w:rsidRDefault="008A578D" w:rsidP="008A578D">
      <w:pPr>
        <w:pStyle w:val="NormalWeb"/>
        <w:numPr>
          <w:ilvl w:val="0"/>
          <w:numId w:val="11"/>
        </w:numPr>
        <w:spacing w:before="0" w:beforeAutospacing="0" w:after="240" w:line="360" w:lineRule="auto"/>
        <w:jc w:val="both"/>
        <w:rPr>
          <w:color w:val="FF0000"/>
        </w:rPr>
      </w:pPr>
      <w:r w:rsidRPr="003B6D40">
        <w:rPr>
          <w:color w:val="FF0000"/>
        </w:rPr>
        <w:t xml:space="preserve">Tannenbaum, S., Fernandez Castillo, G and Salas, E. (2023) </w:t>
      </w:r>
      <w:hyperlink r:id="rId63" w:tgtFrame="_blank" w:tooltip="Organizational Dynamics | How to overcome the nine most common team work barriers" w:history="1">
        <w:r w:rsidRPr="003B6D40">
          <w:rPr>
            <w:rStyle w:val="Hyperlink"/>
            <w:color w:val="FF0000"/>
            <w:u w:val="none"/>
          </w:rPr>
          <w:t>How to overcome the nine most common team work barriers</w:t>
        </w:r>
      </w:hyperlink>
      <w:r w:rsidRPr="003B6D40">
        <w:rPr>
          <w:color w:val="FF0000"/>
        </w:rPr>
        <w:t>.</w:t>
      </w:r>
      <w:r>
        <w:rPr>
          <w:color w:val="FF0000"/>
        </w:rPr>
        <w:t xml:space="preserve"> Available at: </w:t>
      </w:r>
      <w:hyperlink r:id="rId64" w:history="1">
        <w:r w:rsidRPr="00902EAB">
          <w:rPr>
            <w:rStyle w:val="Hyperlink"/>
          </w:rPr>
          <w:t>https://www.sciencedirect.com/science/article/abs/pii/S0090261623000505?via%3Dihub</w:t>
        </w:r>
      </w:hyperlink>
      <w:r>
        <w:rPr>
          <w:color w:val="FF0000"/>
        </w:rPr>
        <w:t xml:space="preserve"> </w:t>
      </w:r>
      <w:bookmarkStart w:id="35" w:name="_Hlk158592749"/>
      <w:r w:rsidRPr="008D4E32">
        <w:rPr>
          <w:color w:val="FF0000"/>
        </w:rPr>
        <w:t>[Accessed 10 Feb 2024]</w:t>
      </w:r>
      <w:bookmarkEnd w:id="35"/>
    </w:p>
    <w:p w14:paraId="5050D3F4" w14:textId="77777777" w:rsidR="008A578D" w:rsidRPr="00E43CBE" w:rsidRDefault="008A578D" w:rsidP="008A578D">
      <w:pPr>
        <w:pStyle w:val="ListParagraph"/>
        <w:numPr>
          <w:ilvl w:val="0"/>
          <w:numId w:val="11"/>
        </w:numPr>
        <w:spacing w:line="360" w:lineRule="auto"/>
        <w:jc w:val="both"/>
      </w:pPr>
      <w:bookmarkStart w:id="36" w:name="_Hlk152538947"/>
      <w:r w:rsidRPr="00E43CBE">
        <w:lastRenderedPageBreak/>
        <w:t>Taylor, S., &amp; Woodhams, C. (2016)</w:t>
      </w:r>
      <w:bookmarkEnd w:id="36"/>
      <w:r w:rsidRPr="00E43CBE">
        <w:t xml:space="preserve"> </w:t>
      </w:r>
      <w:r w:rsidRPr="00E43CBE">
        <w:rPr>
          <w:i/>
          <w:iCs/>
        </w:rPr>
        <w:t>Studying Human Resource Management</w:t>
      </w:r>
      <w:r w:rsidRPr="00E43CBE">
        <w:t>. 2</w:t>
      </w:r>
      <w:r w:rsidRPr="00E43CBE">
        <w:rPr>
          <w:vertAlign w:val="superscript"/>
        </w:rPr>
        <w:t>nd</w:t>
      </w:r>
      <w:r w:rsidRPr="00E43CBE">
        <w:t xml:space="preserve"> </w:t>
      </w:r>
      <w:proofErr w:type="spellStart"/>
      <w:r w:rsidRPr="00E43CBE">
        <w:t>edn</w:t>
      </w:r>
      <w:proofErr w:type="spellEnd"/>
      <w:r w:rsidRPr="00E43CBE">
        <w:t>. London: CIPD.</w:t>
      </w:r>
    </w:p>
    <w:p w14:paraId="47E028DB" w14:textId="77777777" w:rsidR="008A578D" w:rsidRDefault="008A578D" w:rsidP="008A578D">
      <w:pPr>
        <w:pStyle w:val="NormalWeb"/>
        <w:numPr>
          <w:ilvl w:val="0"/>
          <w:numId w:val="11"/>
        </w:numPr>
        <w:spacing w:before="0" w:beforeAutospacing="0" w:after="0" w:afterAutospacing="0" w:line="360" w:lineRule="auto"/>
        <w:jc w:val="both"/>
        <w:rPr>
          <w:color w:val="FF0000"/>
        </w:rPr>
      </w:pPr>
      <w:r w:rsidRPr="00DD468F">
        <w:rPr>
          <w:color w:val="FF0000"/>
        </w:rPr>
        <w:t xml:space="preserve">Torrington, D. </w:t>
      </w:r>
      <w:r w:rsidRPr="00DD468F">
        <w:rPr>
          <w:i/>
          <w:iCs/>
          <w:color w:val="FF0000"/>
        </w:rPr>
        <w:t>et al.</w:t>
      </w:r>
      <w:r w:rsidRPr="00DD468F">
        <w:rPr>
          <w:color w:val="FF0000"/>
        </w:rPr>
        <w:t xml:space="preserve"> (2020) </w:t>
      </w:r>
      <w:r w:rsidRPr="00DD468F">
        <w:rPr>
          <w:i/>
          <w:iCs/>
          <w:color w:val="FF0000"/>
        </w:rPr>
        <w:t>Human resource management</w:t>
      </w:r>
      <w:r w:rsidRPr="00DD468F">
        <w:rPr>
          <w:color w:val="FF0000"/>
        </w:rPr>
        <w:t xml:space="preserve">. </w:t>
      </w:r>
      <w:r>
        <w:rPr>
          <w:color w:val="FF0000"/>
        </w:rPr>
        <w:t>(</w:t>
      </w:r>
      <w:r w:rsidRPr="00DD468F">
        <w:rPr>
          <w:color w:val="FF0000"/>
        </w:rPr>
        <w:t xml:space="preserve">11th </w:t>
      </w:r>
      <w:proofErr w:type="spellStart"/>
      <w:r w:rsidRPr="00DD468F">
        <w:rPr>
          <w:color w:val="FF0000"/>
        </w:rPr>
        <w:t>ed</w:t>
      </w:r>
      <w:r>
        <w:rPr>
          <w:color w:val="FF0000"/>
        </w:rPr>
        <w:t>n</w:t>
      </w:r>
      <w:proofErr w:type="spellEnd"/>
      <w:r>
        <w:rPr>
          <w:color w:val="FF0000"/>
        </w:rPr>
        <w:t>)</w:t>
      </w:r>
      <w:r w:rsidRPr="00DD468F">
        <w:rPr>
          <w:color w:val="FF0000"/>
        </w:rPr>
        <w:t xml:space="preserve">. Harlow: Pearson Education Limited. </w:t>
      </w:r>
    </w:p>
    <w:p w14:paraId="7D8C4501" w14:textId="77777777" w:rsidR="008A578D" w:rsidRPr="007F51DE" w:rsidRDefault="008A578D" w:rsidP="008A578D">
      <w:pPr>
        <w:pStyle w:val="ListParagraph"/>
        <w:numPr>
          <w:ilvl w:val="0"/>
          <w:numId w:val="11"/>
        </w:numPr>
        <w:spacing w:line="360" w:lineRule="auto"/>
        <w:jc w:val="both"/>
        <w:rPr>
          <w:strike/>
        </w:rPr>
      </w:pPr>
      <w:proofErr w:type="spellStart"/>
      <w:r w:rsidRPr="007F51DE">
        <w:rPr>
          <w:strike/>
        </w:rPr>
        <w:t>Uzonwanne</w:t>
      </w:r>
      <w:proofErr w:type="spellEnd"/>
      <w:r w:rsidRPr="007F51DE">
        <w:rPr>
          <w:strike/>
        </w:rPr>
        <w:t xml:space="preserve">, F.C. (2016). </w:t>
      </w:r>
      <w:r w:rsidRPr="007F51DE">
        <w:rPr>
          <w:i/>
          <w:iCs/>
          <w:strike/>
        </w:rPr>
        <w:t>Rational Model of Decision Making</w:t>
      </w:r>
      <w:r w:rsidRPr="007F51DE">
        <w:rPr>
          <w:strike/>
        </w:rPr>
        <w:t xml:space="preserve">. In: </w:t>
      </w:r>
      <w:proofErr w:type="spellStart"/>
      <w:r w:rsidRPr="007F51DE">
        <w:rPr>
          <w:strike/>
        </w:rPr>
        <w:t>Farazmand</w:t>
      </w:r>
      <w:proofErr w:type="spellEnd"/>
      <w:r w:rsidRPr="007F51DE">
        <w:rPr>
          <w:strike/>
        </w:rPr>
        <w:t xml:space="preserve">, A. (eds) Global </w:t>
      </w:r>
      <w:proofErr w:type="spellStart"/>
      <w:r w:rsidRPr="007F51DE">
        <w:rPr>
          <w:strike/>
        </w:rPr>
        <w:t>Encyclopedia</w:t>
      </w:r>
      <w:proofErr w:type="spellEnd"/>
      <w:r w:rsidRPr="007F51DE">
        <w:rPr>
          <w:strike/>
        </w:rPr>
        <w:t xml:space="preserve"> of Public Administration, Public Policy, and Governance. Springer, Cham. Available at: </w:t>
      </w:r>
      <w:hyperlink r:id="rId65" w:history="1">
        <w:r w:rsidRPr="007F51DE">
          <w:rPr>
            <w:rStyle w:val="Hyperlink"/>
            <w:strike/>
          </w:rPr>
          <w:t>https://doi.org/10.1007/978-3-319-31816-5_2474-1</w:t>
        </w:r>
      </w:hyperlink>
      <w:r w:rsidRPr="007F51DE">
        <w:rPr>
          <w:strike/>
        </w:rPr>
        <w:t xml:space="preserve"> [Accessed 28/11/2023]</w:t>
      </w:r>
    </w:p>
    <w:p w14:paraId="09402357" w14:textId="77777777" w:rsidR="008A578D" w:rsidRPr="00E43CBE" w:rsidRDefault="008A578D" w:rsidP="008A578D">
      <w:pPr>
        <w:pStyle w:val="ListParagraph"/>
        <w:numPr>
          <w:ilvl w:val="0"/>
          <w:numId w:val="11"/>
        </w:numPr>
        <w:spacing w:line="360" w:lineRule="auto"/>
        <w:jc w:val="both"/>
      </w:pPr>
      <w:r w:rsidRPr="00E43CBE">
        <w:t xml:space="preserve">Waite, K. et al (2021) </w:t>
      </w:r>
      <w:r w:rsidRPr="00E43CBE">
        <w:rPr>
          <w:i/>
          <w:iCs/>
        </w:rPr>
        <w:t>People Practice: A Complete Guide</w:t>
      </w:r>
      <w:r w:rsidRPr="00E43CBE">
        <w:t>. London: Kogan Page.</w:t>
      </w:r>
    </w:p>
    <w:p w14:paraId="7C986A56" w14:textId="77777777" w:rsidR="008A578D" w:rsidRDefault="008A578D" w:rsidP="008A578D">
      <w:pPr>
        <w:pStyle w:val="ListParagraph"/>
        <w:numPr>
          <w:ilvl w:val="0"/>
          <w:numId w:val="11"/>
        </w:numPr>
        <w:spacing w:line="360" w:lineRule="auto"/>
        <w:jc w:val="both"/>
      </w:pPr>
      <w:bookmarkStart w:id="37" w:name="_Hlk152497054"/>
      <w:r w:rsidRPr="00E43CBE">
        <w:t xml:space="preserve">Weber, E., </w:t>
      </w:r>
      <w:proofErr w:type="spellStart"/>
      <w:r w:rsidRPr="00E43CBE">
        <w:t>Wyverkens</w:t>
      </w:r>
      <w:proofErr w:type="spellEnd"/>
      <w:r w:rsidRPr="00E43CBE">
        <w:t xml:space="preserve">, A. and </w:t>
      </w:r>
      <w:proofErr w:type="spellStart"/>
      <w:r w:rsidRPr="00E43CBE">
        <w:t>Leuridan</w:t>
      </w:r>
      <w:proofErr w:type="spellEnd"/>
      <w:r w:rsidRPr="00E43CBE">
        <w:t xml:space="preserve">, B. (2023) Rethinking Evidence-Based Management. </w:t>
      </w:r>
      <w:r w:rsidRPr="00E43CBE">
        <w:rPr>
          <w:i/>
          <w:iCs/>
        </w:rPr>
        <w:t>Philosophy of Management</w:t>
      </w:r>
      <w:r w:rsidRPr="00E43CBE">
        <w:t xml:space="preserve">. </w:t>
      </w:r>
      <w:bookmarkEnd w:id="37"/>
      <w:r w:rsidRPr="00E43CBE">
        <w:t xml:space="preserve">Available at: </w:t>
      </w:r>
      <w:hyperlink r:id="rId66" w:history="1">
        <w:r w:rsidRPr="00E43CBE">
          <w:rPr>
            <w:rStyle w:val="Hyperlink"/>
          </w:rPr>
          <w:t>https://doi.org/10.1007/s40926-023-00236-5</w:t>
        </w:r>
      </w:hyperlink>
      <w:r w:rsidRPr="00E43CBE">
        <w:t xml:space="preserve"> </w:t>
      </w:r>
      <w:bookmarkStart w:id="38" w:name="_Hlk153222847"/>
      <w:r w:rsidRPr="00E43CBE">
        <w:t>[Accessed 20/11/2023].</w:t>
      </w:r>
      <w:bookmarkEnd w:id="38"/>
    </w:p>
    <w:p w14:paraId="7E346C1C" w14:textId="77777777" w:rsidR="008A578D" w:rsidRPr="00E43CBE" w:rsidRDefault="008A578D" w:rsidP="008A578D">
      <w:pPr>
        <w:pStyle w:val="ListParagraph"/>
        <w:numPr>
          <w:ilvl w:val="0"/>
          <w:numId w:val="11"/>
        </w:numPr>
        <w:spacing w:line="360" w:lineRule="auto"/>
        <w:jc w:val="both"/>
      </w:pPr>
      <w:r w:rsidRPr="000C5B45">
        <w:t xml:space="preserve">WIAL (2023) </w:t>
      </w:r>
      <w:r w:rsidRPr="000C5B45">
        <w:rPr>
          <w:i/>
          <w:iCs/>
        </w:rPr>
        <w:t>What is Action Learning?</w:t>
      </w:r>
      <w:r w:rsidRPr="000C5B45">
        <w:t xml:space="preserve"> Available at: </w:t>
      </w:r>
      <w:hyperlink r:id="rId67" w:history="1">
        <w:r w:rsidRPr="0053271F">
          <w:rPr>
            <w:rStyle w:val="Hyperlink"/>
          </w:rPr>
          <w:t>https://wial.org/action-learning/</w:t>
        </w:r>
      </w:hyperlink>
      <w:r>
        <w:t xml:space="preserve"> </w:t>
      </w:r>
      <w:r w:rsidRPr="00E43CBE">
        <w:t>[Accessed 20/11/2023].</w:t>
      </w:r>
    </w:p>
    <w:p w14:paraId="3C246C94" w14:textId="77777777" w:rsidR="008A578D" w:rsidRPr="007F51DE" w:rsidRDefault="008A578D" w:rsidP="008A578D">
      <w:pPr>
        <w:pStyle w:val="ListParagraph"/>
        <w:numPr>
          <w:ilvl w:val="0"/>
          <w:numId w:val="11"/>
        </w:numPr>
        <w:spacing w:line="360" w:lineRule="auto"/>
        <w:jc w:val="both"/>
        <w:rPr>
          <w:strike/>
          <w:color w:val="000000" w:themeColor="text1"/>
        </w:rPr>
      </w:pPr>
      <w:r w:rsidRPr="007F51DE">
        <w:rPr>
          <w:strike/>
          <w:color w:val="000000" w:themeColor="text1"/>
        </w:rPr>
        <w:t xml:space="preserve">Wisker, G. (2008) </w:t>
      </w:r>
      <w:r w:rsidRPr="007F51DE">
        <w:rPr>
          <w:i/>
          <w:iCs/>
          <w:strike/>
          <w:color w:val="000000" w:themeColor="text1"/>
        </w:rPr>
        <w:t>The Postgraduate Research Handbook</w:t>
      </w:r>
      <w:r w:rsidRPr="007F51DE">
        <w:rPr>
          <w:strike/>
          <w:color w:val="000000" w:themeColor="text1"/>
        </w:rPr>
        <w:t xml:space="preserve"> 2</w:t>
      </w:r>
      <w:r w:rsidRPr="007F51DE">
        <w:rPr>
          <w:strike/>
          <w:color w:val="000000" w:themeColor="text1"/>
          <w:vertAlign w:val="superscript"/>
        </w:rPr>
        <w:t>nd</w:t>
      </w:r>
      <w:r w:rsidRPr="007F51DE">
        <w:rPr>
          <w:strike/>
          <w:color w:val="000000" w:themeColor="text1"/>
        </w:rPr>
        <w:t xml:space="preserve"> </w:t>
      </w:r>
      <w:proofErr w:type="spellStart"/>
      <w:r w:rsidRPr="007F51DE">
        <w:rPr>
          <w:strike/>
          <w:color w:val="000000" w:themeColor="text1"/>
        </w:rPr>
        <w:t>edn</w:t>
      </w:r>
      <w:proofErr w:type="spellEnd"/>
      <w:r w:rsidRPr="007F51DE">
        <w:rPr>
          <w:strike/>
          <w:color w:val="000000" w:themeColor="text1"/>
        </w:rPr>
        <w:t>, Hampshire: Palgrave Macmillan</w:t>
      </w:r>
    </w:p>
    <w:p w14:paraId="5C662DB9" w14:textId="77777777" w:rsidR="008A578D" w:rsidRDefault="008A578D" w:rsidP="008A578D">
      <w:pPr>
        <w:pStyle w:val="NormalWeb"/>
        <w:numPr>
          <w:ilvl w:val="0"/>
          <w:numId w:val="11"/>
        </w:numPr>
        <w:spacing w:before="0" w:beforeAutospacing="0" w:after="240" w:line="360" w:lineRule="auto"/>
        <w:jc w:val="both"/>
        <w:rPr>
          <w:color w:val="FF0000"/>
        </w:rPr>
      </w:pPr>
      <w:r>
        <w:rPr>
          <w:color w:val="FF0000"/>
        </w:rPr>
        <w:t xml:space="preserve">Wood, S. (2018) </w:t>
      </w:r>
      <w:r w:rsidRPr="009D6DDC">
        <w:rPr>
          <w:color w:val="FF0000"/>
        </w:rPr>
        <w:t>Work–life balance supports can improve</w:t>
      </w:r>
      <w:r>
        <w:rPr>
          <w:color w:val="FF0000"/>
        </w:rPr>
        <w:t xml:space="preserve"> </w:t>
      </w:r>
      <w:r w:rsidRPr="009D6DDC">
        <w:rPr>
          <w:color w:val="FF0000"/>
        </w:rPr>
        <w:t>employee well-being</w:t>
      </w:r>
      <w:r>
        <w:rPr>
          <w:color w:val="FF0000"/>
        </w:rPr>
        <w:t xml:space="preserve"> Available at:  </w:t>
      </w:r>
      <w:hyperlink r:id="rId68" w:history="1">
        <w:r w:rsidRPr="00902EAB">
          <w:rPr>
            <w:rStyle w:val="Hyperlink"/>
          </w:rPr>
          <w:t>https://www.cipd.org/globalassets/media/comms/get-involved/events/work-life-balance-supports_tcm18-57294.pdf</w:t>
        </w:r>
      </w:hyperlink>
      <w:r>
        <w:rPr>
          <w:color w:val="FF0000"/>
        </w:rPr>
        <w:t xml:space="preserve"> </w:t>
      </w:r>
      <w:bookmarkStart w:id="39" w:name="_Hlk158593035"/>
      <w:r w:rsidRPr="008D4E32">
        <w:rPr>
          <w:color w:val="FF0000"/>
        </w:rPr>
        <w:t>[Accessed 1</w:t>
      </w:r>
      <w:r>
        <w:rPr>
          <w:color w:val="FF0000"/>
        </w:rPr>
        <w:t>1</w:t>
      </w:r>
      <w:r w:rsidRPr="008D4E32">
        <w:rPr>
          <w:color w:val="FF0000"/>
        </w:rPr>
        <w:t xml:space="preserve"> Feb 2024]</w:t>
      </w:r>
    </w:p>
    <w:bookmarkEnd w:id="39"/>
    <w:p w14:paraId="56F508BE" w14:textId="77777777" w:rsidR="008A578D" w:rsidRDefault="008A578D" w:rsidP="008A578D">
      <w:pPr>
        <w:pStyle w:val="NormalWeb"/>
        <w:numPr>
          <w:ilvl w:val="0"/>
          <w:numId w:val="11"/>
        </w:numPr>
        <w:spacing w:before="0" w:beforeAutospacing="0" w:after="0" w:afterAutospacing="0" w:line="360" w:lineRule="auto"/>
        <w:jc w:val="both"/>
        <w:rPr>
          <w:color w:val="FF0000"/>
        </w:rPr>
      </w:pPr>
      <w:r>
        <w:rPr>
          <w:color w:val="FF0000"/>
        </w:rPr>
        <w:t xml:space="preserve">World Health Organisation (2023) Disability. Available at: </w:t>
      </w:r>
      <w:hyperlink r:id="rId69" w:history="1">
        <w:r w:rsidRPr="00902EAB">
          <w:rPr>
            <w:rStyle w:val="Hyperlink"/>
          </w:rPr>
          <w:t>https://www.who.int/en/news-room/fact-sheets/detail/disability-and-health</w:t>
        </w:r>
      </w:hyperlink>
      <w:r>
        <w:rPr>
          <w:color w:val="FF0000"/>
        </w:rPr>
        <w:t xml:space="preserve"> </w:t>
      </w:r>
      <w:bookmarkStart w:id="40" w:name="_Hlk158587472"/>
      <w:r w:rsidRPr="00FC049F">
        <w:rPr>
          <w:color w:val="FF0000"/>
        </w:rPr>
        <w:t xml:space="preserve">[Accessed </w:t>
      </w:r>
      <w:r>
        <w:rPr>
          <w:color w:val="FF0000"/>
        </w:rPr>
        <w:t>10</w:t>
      </w:r>
      <w:r w:rsidRPr="00FC049F">
        <w:rPr>
          <w:color w:val="FF0000"/>
        </w:rPr>
        <w:t xml:space="preserve"> Feb 2024]</w:t>
      </w:r>
    </w:p>
    <w:bookmarkEnd w:id="40"/>
    <w:p w14:paraId="115D4881" w14:textId="77777777" w:rsidR="008A578D" w:rsidRDefault="008A578D" w:rsidP="008A578D">
      <w:pPr>
        <w:pStyle w:val="NormalWeb"/>
        <w:numPr>
          <w:ilvl w:val="0"/>
          <w:numId w:val="11"/>
        </w:numPr>
        <w:spacing w:before="0" w:beforeAutospacing="0" w:after="0" w:afterAutospacing="0" w:line="360" w:lineRule="auto"/>
        <w:jc w:val="both"/>
        <w:rPr>
          <w:color w:val="FF0000"/>
        </w:rPr>
      </w:pPr>
      <w:r w:rsidRPr="00D771C7">
        <w:rPr>
          <w:color w:val="FF0000"/>
        </w:rPr>
        <w:t>Yaneva, M. (2021). Employee Satisfaction vs. Employee Engagement vs. Employee NPS. European Journal of Economics and Business Studies, 4(1), pp.221–227.</w:t>
      </w:r>
    </w:p>
    <w:p w14:paraId="42B32A6B" w14:textId="77777777" w:rsidR="008A578D" w:rsidRDefault="008A578D" w:rsidP="008A578D">
      <w:pPr>
        <w:pStyle w:val="ListParagraph"/>
        <w:numPr>
          <w:ilvl w:val="0"/>
          <w:numId w:val="11"/>
        </w:numPr>
        <w:spacing w:line="360" w:lineRule="auto"/>
        <w:jc w:val="both"/>
      </w:pPr>
      <w:r w:rsidRPr="00E43CBE">
        <w:t xml:space="preserve">Young, J. (2023) </w:t>
      </w:r>
      <w:r w:rsidRPr="00E43CBE">
        <w:rPr>
          <w:rStyle w:val="Emphasis"/>
        </w:rPr>
        <w:t>Evidence-based Practice for Effective Decision-Making | Factsheets</w:t>
      </w:r>
      <w:r w:rsidRPr="00E43CBE">
        <w:t xml:space="preserve">. [online] CIPD. Available at: </w:t>
      </w:r>
      <w:hyperlink r:id="rId70" w:anchor="gref" w:tgtFrame="_blank" w:history="1">
        <w:r w:rsidRPr="00E43CBE">
          <w:rPr>
            <w:rStyle w:val="Hyperlink"/>
          </w:rPr>
          <w:t>https://www.cipd.co.uk/knowledge/strategy/analytics/evidence-based-practice-factsheet#gref</w:t>
        </w:r>
      </w:hyperlink>
      <w:r w:rsidRPr="00E43CBE">
        <w:t xml:space="preserve"> </w:t>
      </w:r>
      <w:bookmarkStart w:id="41" w:name="_Hlk152409835"/>
      <w:r w:rsidRPr="00E43CBE">
        <w:t>[Accessed 20/11/2023].</w:t>
      </w:r>
      <w:bookmarkEnd w:id="41"/>
    </w:p>
    <w:p w14:paraId="6E6F357E" w14:textId="77777777" w:rsidR="008A578D" w:rsidRDefault="008A578D" w:rsidP="008A578D">
      <w:pPr>
        <w:pStyle w:val="NormalWeb"/>
        <w:numPr>
          <w:ilvl w:val="0"/>
          <w:numId w:val="11"/>
        </w:numPr>
        <w:spacing w:before="0" w:beforeAutospacing="0" w:after="240" w:afterAutospacing="0" w:line="360" w:lineRule="auto"/>
        <w:jc w:val="both"/>
        <w:rPr>
          <w:color w:val="FF0000"/>
        </w:rPr>
      </w:pPr>
      <w:r w:rsidRPr="00CB79C2">
        <w:rPr>
          <w:color w:val="FF0000"/>
        </w:rPr>
        <w:t>Zugay, B. and Zakaria, R.</w:t>
      </w:r>
      <w:r>
        <w:rPr>
          <w:color w:val="FF0000"/>
        </w:rPr>
        <w:t xml:space="preserve"> (</w:t>
      </w:r>
      <w:r w:rsidRPr="00CB79C2">
        <w:rPr>
          <w:color w:val="FF0000"/>
        </w:rPr>
        <w:t>2023</w:t>
      </w:r>
      <w:r>
        <w:rPr>
          <w:color w:val="FF0000"/>
        </w:rPr>
        <w:t>)</w:t>
      </w:r>
      <w:r w:rsidRPr="00CB79C2">
        <w:rPr>
          <w:color w:val="FF0000"/>
        </w:rPr>
        <w:t xml:space="preserve"> Ansoff Matrix. London: Sage Publications, Inc. Available at: &lt;https://doi.org/10.4135/9781071924136&gt; [Accessed 7 Feb 2024]</w:t>
      </w:r>
    </w:p>
    <w:bookmarkEnd w:id="21"/>
    <w:p w14:paraId="7D20AB5F" w14:textId="77777777" w:rsidR="00D34558" w:rsidRPr="00A57789" w:rsidRDefault="00D34558" w:rsidP="00D34558">
      <w:pPr>
        <w:jc w:val="both"/>
        <w:rPr>
          <w:rFonts w:asciiTheme="minorHAnsi" w:hAnsiTheme="minorHAnsi" w:cstheme="minorHAnsi"/>
        </w:rPr>
      </w:pPr>
    </w:p>
    <w:p w14:paraId="3F7B7EEE" w14:textId="77777777" w:rsidR="00E029D4" w:rsidRPr="00A57789" w:rsidRDefault="00E029D4" w:rsidP="00D34558">
      <w:pPr>
        <w:jc w:val="both"/>
        <w:rPr>
          <w:rFonts w:asciiTheme="minorHAnsi" w:hAnsiTheme="minorHAnsi" w:cstheme="minorHAnsi"/>
        </w:rPr>
      </w:pPr>
    </w:p>
    <w:sectPr w:rsidR="00E029D4" w:rsidRPr="00A57789">
      <w:footerReference w:type="default" r:id="rId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149EF6" w14:textId="77777777" w:rsidR="008275E6" w:rsidRDefault="008275E6" w:rsidP="00DC7A87">
      <w:r>
        <w:separator/>
      </w:r>
    </w:p>
  </w:endnote>
  <w:endnote w:type="continuationSeparator" w:id="0">
    <w:p w14:paraId="6AABE860" w14:textId="77777777" w:rsidR="008275E6" w:rsidRDefault="008275E6" w:rsidP="00DC7A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3900238"/>
      <w:docPartObj>
        <w:docPartGallery w:val="Page Numbers (Bottom of Page)"/>
        <w:docPartUnique/>
      </w:docPartObj>
    </w:sdtPr>
    <w:sdtEndPr>
      <w:rPr>
        <w:color w:val="7F7F7F" w:themeColor="background1" w:themeShade="7F"/>
        <w:spacing w:val="60"/>
      </w:rPr>
    </w:sdtEndPr>
    <w:sdtContent>
      <w:p w14:paraId="52F1AB52" w14:textId="4E5D0D53" w:rsidR="00DC7A87" w:rsidRDefault="00DC7A8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3DD3959" w14:textId="77777777" w:rsidR="00DC7A87" w:rsidRDefault="00DC7A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6BD5C6" w14:textId="77777777" w:rsidR="008275E6" w:rsidRDefault="008275E6" w:rsidP="00DC7A87">
      <w:r>
        <w:separator/>
      </w:r>
    </w:p>
  </w:footnote>
  <w:footnote w:type="continuationSeparator" w:id="0">
    <w:p w14:paraId="1CE9E961" w14:textId="77777777" w:rsidR="008275E6" w:rsidRDefault="008275E6" w:rsidP="00DC7A8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77FDD"/>
    <w:multiLevelType w:val="multilevel"/>
    <w:tmpl w:val="383A60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CA1EA0"/>
    <w:multiLevelType w:val="multilevel"/>
    <w:tmpl w:val="4F0AA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107BB2"/>
    <w:multiLevelType w:val="multilevel"/>
    <w:tmpl w:val="48D48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2F1A00"/>
    <w:multiLevelType w:val="multilevel"/>
    <w:tmpl w:val="60C84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DE4F33"/>
    <w:multiLevelType w:val="multilevel"/>
    <w:tmpl w:val="26A87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9397892"/>
    <w:multiLevelType w:val="multilevel"/>
    <w:tmpl w:val="9B1AC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98E320A"/>
    <w:multiLevelType w:val="multilevel"/>
    <w:tmpl w:val="F06889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B200AD3"/>
    <w:multiLevelType w:val="multilevel"/>
    <w:tmpl w:val="EA6CF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C706266"/>
    <w:multiLevelType w:val="multilevel"/>
    <w:tmpl w:val="393E4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D7F0252"/>
    <w:multiLevelType w:val="multilevel"/>
    <w:tmpl w:val="49162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D9E259A"/>
    <w:multiLevelType w:val="multilevel"/>
    <w:tmpl w:val="8534C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DD5635C"/>
    <w:multiLevelType w:val="multilevel"/>
    <w:tmpl w:val="20B414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0E226167"/>
    <w:multiLevelType w:val="multilevel"/>
    <w:tmpl w:val="DBBC4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04673CA"/>
    <w:multiLevelType w:val="multilevel"/>
    <w:tmpl w:val="B3C05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37A62B1"/>
    <w:multiLevelType w:val="multilevel"/>
    <w:tmpl w:val="D8221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4900AB8"/>
    <w:multiLevelType w:val="multilevel"/>
    <w:tmpl w:val="A6A22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4D26CD0"/>
    <w:multiLevelType w:val="multilevel"/>
    <w:tmpl w:val="71A2C3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76B0F67"/>
    <w:multiLevelType w:val="multilevel"/>
    <w:tmpl w:val="41D2A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82E45E2"/>
    <w:multiLevelType w:val="multilevel"/>
    <w:tmpl w:val="4B60F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B292222"/>
    <w:multiLevelType w:val="multilevel"/>
    <w:tmpl w:val="5F4AF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CB0444B"/>
    <w:multiLevelType w:val="multilevel"/>
    <w:tmpl w:val="6AEEC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CBA362C"/>
    <w:multiLevelType w:val="multilevel"/>
    <w:tmpl w:val="F0ACA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F250EDC"/>
    <w:multiLevelType w:val="multilevel"/>
    <w:tmpl w:val="7CEAA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0132C68"/>
    <w:multiLevelType w:val="multilevel"/>
    <w:tmpl w:val="8C168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08A068A"/>
    <w:multiLevelType w:val="multilevel"/>
    <w:tmpl w:val="27A0A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183652F"/>
    <w:multiLevelType w:val="multilevel"/>
    <w:tmpl w:val="15CA2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1847089"/>
    <w:multiLevelType w:val="multilevel"/>
    <w:tmpl w:val="F2089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3B64559"/>
    <w:multiLevelType w:val="multilevel"/>
    <w:tmpl w:val="6EE4A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47B3739"/>
    <w:multiLevelType w:val="multilevel"/>
    <w:tmpl w:val="73E45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53639FA"/>
    <w:multiLevelType w:val="hybridMultilevel"/>
    <w:tmpl w:val="F4FE4C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25963726"/>
    <w:multiLevelType w:val="multilevel"/>
    <w:tmpl w:val="BF98A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5AA1DA5"/>
    <w:multiLevelType w:val="multilevel"/>
    <w:tmpl w:val="D26ADC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91C5AB5"/>
    <w:multiLevelType w:val="multilevel"/>
    <w:tmpl w:val="58E81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92655BC"/>
    <w:multiLevelType w:val="multilevel"/>
    <w:tmpl w:val="37B0B00E"/>
    <w:lvl w:ilvl="0">
      <w:start w:val="1"/>
      <w:numFmt w:val="decimal"/>
      <w:lvlText w:val="%1."/>
      <w:lvlJc w:val="left"/>
      <w:pPr>
        <w:tabs>
          <w:tab w:val="num" w:pos="720"/>
        </w:tabs>
        <w:ind w:left="720" w:hanging="360"/>
      </w:pPr>
      <w:rPr>
        <w:rFonts w:ascii="Times New Roman" w:eastAsia="Times New Roman" w:hAnsi="Times New Roman" w:cs="Times New Roman"/>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A1F0FC2"/>
    <w:multiLevelType w:val="multilevel"/>
    <w:tmpl w:val="4C327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B297558"/>
    <w:multiLevelType w:val="multilevel"/>
    <w:tmpl w:val="27401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2E245A58"/>
    <w:multiLevelType w:val="multilevel"/>
    <w:tmpl w:val="425E5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2EF82E72"/>
    <w:multiLevelType w:val="multilevel"/>
    <w:tmpl w:val="2BB4E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18A2BCF"/>
    <w:multiLevelType w:val="hybridMultilevel"/>
    <w:tmpl w:val="08B420EC"/>
    <w:lvl w:ilvl="0" w:tplc="91EEBE0A">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32CD2F84"/>
    <w:multiLevelType w:val="multilevel"/>
    <w:tmpl w:val="4672F62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34AC5A94"/>
    <w:multiLevelType w:val="multilevel"/>
    <w:tmpl w:val="72A81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35E2649C"/>
    <w:multiLevelType w:val="multilevel"/>
    <w:tmpl w:val="12BE8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362B51C4"/>
    <w:multiLevelType w:val="multilevel"/>
    <w:tmpl w:val="315E4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36576298"/>
    <w:multiLevelType w:val="hybridMultilevel"/>
    <w:tmpl w:val="6C2A2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39262D5D"/>
    <w:multiLevelType w:val="multilevel"/>
    <w:tmpl w:val="F12E3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39871C9F"/>
    <w:multiLevelType w:val="multilevel"/>
    <w:tmpl w:val="79EE1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3BDF2B8C"/>
    <w:multiLevelType w:val="multilevel"/>
    <w:tmpl w:val="CDD03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3C6945B7"/>
    <w:multiLevelType w:val="multilevel"/>
    <w:tmpl w:val="68EA3F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3D96575D"/>
    <w:multiLevelType w:val="hybridMultilevel"/>
    <w:tmpl w:val="ACD03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3DC856CD"/>
    <w:multiLevelType w:val="multilevel"/>
    <w:tmpl w:val="8D00A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3F667C0B"/>
    <w:multiLevelType w:val="multilevel"/>
    <w:tmpl w:val="ECE6D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42574D78"/>
    <w:multiLevelType w:val="multilevel"/>
    <w:tmpl w:val="6E841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42EF0BF4"/>
    <w:multiLevelType w:val="multilevel"/>
    <w:tmpl w:val="A6408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31D02DE"/>
    <w:multiLevelType w:val="multilevel"/>
    <w:tmpl w:val="739EDC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442625E8"/>
    <w:multiLevelType w:val="multilevel"/>
    <w:tmpl w:val="C090E4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45047794"/>
    <w:multiLevelType w:val="multilevel"/>
    <w:tmpl w:val="5E2075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451E56FF"/>
    <w:multiLevelType w:val="multilevel"/>
    <w:tmpl w:val="663A1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4541130A"/>
    <w:multiLevelType w:val="multilevel"/>
    <w:tmpl w:val="13867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454951D0"/>
    <w:multiLevelType w:val="multilevel"/>
    <w:tmpl w:val="A470C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47DF7248"/>
    <w:multiLevelType w:val="multilevel"/>
    <w:tmpl w:val="00AAE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4AB00E30"/>
    <w:multiLevelType w:val="multilevel"/>
    <w:tmpl w:val="175455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4AE04696"/>
    <w:multiLevelType w:val="multilevel"/>
    <w:tmpl w:val="4BAC8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4B506E92"/>
    <w:multiLevelType w:val="multilevel"/>
    <w:tmpl w:val="691CC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4CCE3360"/>
    <w:multiLevelType w:val="multilevel"/>
    <w:tmpl w:val="3162F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4D72470A"/>
    <w:multiLevelType w:val="multilevel"/>
    <w:tmpl w:val="21F29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4DE20C03"/>
    <w:multiLevelType w:val="multilevel"/>
    <w:tmpl w:val="033EC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4F3E397C"/>
    <w:multiLevelType w:val="multilevel"/>
    <w:tmpl w:val="08D2A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5329130A"/>
    <w:multiLevelType w:val="multilevel"/>
    <w:tmpl w:val="15C6C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541749BC"/>
    <w:multiLevelType w:val="multilevel"/>
    <w:tmpl w:val="FD820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54CB286F"/>
    <w:multiLevelType w:val="multilevel"/>
    <w:tmpl w:val="DF823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558814A0"/>
    <w:multiLevelType w:val="multilevel"/>
    <w:tmpl w:val="09CC1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564B3EBB"/>
    <w:multiLevelType w:val="multilevel"/>
    <w:tmpl w:val="9A54E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581E3F08"/>
    <w:multiLevelType w:val="multilevel"/>
    <w:tmpl w:val="CA3E33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596F39C9"/>
    <w:multiLevelType w:val="multilevel"/>
    <w:tmpl w:val="49966F7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59D05AC2"/>
    <w:multiLevelType w:val="multilevel"/>
    <w:tmpl w:val="09FEA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5B2F763C"/>
    <w:multiLevelType w:val="multilevel"/>
    <w:tmpl w:val="45D68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5BA468F2"/>
    <w:multiLevelType w:val="multilevel"/>
    <w:tmpl w:val="D77A0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5BCB55E0"/>
    <w:multiLevelType w:val="hybridMultilevel"/>
    <w:tmpl w:val="9AE839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8" w15:restartNumberingAfterBreak="0">
    <w:nsid w:val="5D402D1B"/>
    <w:multiLevelType w:val="multilevel"/>
    <w:tmpl w:val="4BB02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5DE97202"/>
    <w:multiLevelType w:val="multilevel"/>
    <w:tmpl w:val="0688E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5E4246C9"/>
    <w:multiLevelType w:val="multilevel"/>
    <w:tmpl w:val="8D4CFD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5E5D64D2"/>
    <w:multiLevelType w:val="multilevel"/>
    <w:tmpl w:val="32240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5F9E7CC4"/>
    <w:multiLevelType w:val="multilevel"/>
    <w:tmpl w:val="5B60F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61942D34"/>
    <w:multiLevelType w:val="multilevel"/>
    <w:tmpl w:val="E5A8E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62BE6F44"/>
    <w:multiLevelType w:val="multilevel"/>
    <w:tmpl w:val="98C67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63A34308"/>
    <w:multiLevelType w:val="multilevel"/>
    <w:tmpl w:val="B5FC2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641F432E"/>
    <w:multiLevelType w:val="multilevel"/>
    <w:tmpl w:val="E3FCEE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647531B7"/>
    <w:multiLevelType w:val="multilevel"/>
    <w:tmpl w:val="025A80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64A9777C"/>
    <w:multiLevelType w:val="multilevel"/>
    <w:tmpl w:val="48DC8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699E139F"/>
    <w:multiLevelType w:val="multilevel"/>
    <w:tmpl w:val="B78AD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6AE06114"/>
    <w:multiLevelType w:val="multilevel"/>
    <w:tmpl w:val="2D9E9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6CEB3D1F"/>
    <w:multiLevelType w:val="multilevel"/>
    <w:tmpl w:val="08145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6E07470A"/>
    <w:multiLevelType w:val="multilevel"/>
    <w:tmpl w:val="FC7E09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3" w15:restartNumberingAfterBreak="0">
    <w:nsid w:val="709B323E"/>
    <w:multiLevelType w:val="multilevel"/>
    <w:tmpl w:val="76061E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71285CDF"/>
    <w:multiLevelType w:val="multilevel"/>
    <w:tmpl w:val="28AE1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75CB5017"/>
    <w:multiLevelType w:val="multilevel"/>
    <w:tmpl w:val="9788B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75F75BA4"/>
    <w:multiLevelType w:val="multilevel"/>
    <w:tmpl w:val="D33C2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77A66DEC"/>
    <w:multiLevelType w:val="multilevel"/>
    <w:tmpl w:val="6D4ECF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784D69B8"/>
    <w:multiLevelType w:val="multilevel"/>
    <w:tmpl w:val="07C0C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9" w15:restartNumberingAfterBreak="0">
    <w:nsid w:val="78AB0F70"/>
    <w:multiLevelType w:val="multilevel"/>
    <w:tmpl w:val="C83AD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78FC1E39"/>
    <w:multiLevelType w:val="multilevel"/>
    <w:tmpl w:val="4B623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1" w15:restartNumberingAfterBreak="0">
    <w:nsid w:val="79075C00"/>
    <w:multiLevelType w:val="multilevel"/>
    <w:tmpl w:val="671C2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2" w15:restartNumberingAfterBreak="0">
    <w:nsid w:val="79BA15E0"/>
    <w:multiLevelType w:val="multilevel"/>
    <w:tmpl w:val="DF4C2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3" w15:restartNumberingAfterBreak="0">
    <w:nsid w:val="7CCE3662"/>
    <w:multiLevelType w:val="multilevel"/>
    <w:tmpl w:val="33328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14963781">
    <w:abstractNumId w:val="11"/>
  </w:num>
  <w:num w:numId="2" w16cid:durableId="1714690661">
    <w:abstractNumId w:val="92"/>
  </w:num>
  <w:num w:numId="3" w16cid:durableId="979920049">
    <w:abstractNumId w:val="70"/>
  </w:num>
  <w:num w:numId="4" w16cid:durableId="1585720148">
    <w:abstractNumId w:val="42"/>
  </w:num>
  <w:num w:numId="5" w16cid:durableId="967011718">
    <w:abstractNumId w:val="6"/>
  </w:num>
  <w:num w:numId="6" w16cid:durableId="1894196833">
    <w:abstractNumId w:val="101"/>
  </w:num>
  <w:num w:numId="7" w16cid:durableId="1373847579">
    <w:abstractNumId w:val="82"/>
  </w:num>
  <w:num w:numId="8" w16cid:durableId="963536776">
    <w:abstractNumId w:val="12"/>
  </w:num>
  <w:num w:numId="9" w16cid:durableId="1279097037">
    <w:abstractNumId w:val="16"/>
  </w:num>
  <w:num w:numId="10" w16cid:durableId="1653752786">
    <w:abstractNumId w:val="13"/>
  </w:num>
  <w:num w:numId="11" w16cid:durableId="59913353">
    <w:abstractNumId w:val="38"/>
  </w:num>
  <w:num w:numId="12" w16cid:durableId="252279865">
    <w:abstractNumId w:val="77"/>
  </w:num>
  <w:num w:numId="13" w16cid:durableId="935794409">
    <w:abstractNumId w:val="59"/>
  </w:num>
  <w:num w:numId="14" w16cid:durableId="1019698511">
    <w:abstractNumId w:val="26"/>
  </w:num>
  <w:num w:numId="15" w16cid:durableId="1685090973">
    <w:abstractNumId w:val="84"/>
  </w:num>
  <w:num w:numId="16" w16cid:durableId="1394082423">
    <w:abstractNumId w:val="51"/>
  </w:num>
  <w:num w:numId="17" w16cid:durableId="787823073">
    <w:abstractNumId w:val="37"/>
  </w:num>
  <w:num w:numId="18" w16cid:durableId="691567494">
    <w:abstractNumId w:val="25"/>
  </w:num>
  <w:num w:numId="19" w16cid:durableId="881163766">
    <w:abstractNumId w:val="40"/>
  </w:num>
  <w:num w:numId="20" w16cid:durableId="250966453">
    <w:abstractNumId w:val="17"/>
  </w:num>
  <w:num w:numId="21" w16cid:durableId="785808794">
    <w:abstractNumId w:val="5"/>
  </w:num>
  <w:num w:numId="22" w16cid:durableId="1310939217">
    <w:abstractNumId w:val="71"/>
  </w:num>
  <w:num w:numId="23" w16cid:durableId="2090881301">
    <w:abstractNumId w:val="94"/>
  </w:num>
  <w:num w:numId="24" w16cid:durableId="862858998">
    <w:abstractNumId w:val="74"/>
  </w:num>
  <w:num w:numId="25" w16cid:durableId="1133600662">
    <w:abstractNumId w:val="50"/>
  </w:num>
  <w:num w:numId="26" w16cid:durableId="6563682">
    <w:abstractNumId w:val="56"/>
  </w:num>
  <w:num w:numId="27" w16cid:durableId="1678313646">
    <w:abstractNumId w:val="81"/>
  </w:num>
  <w:num w:numId="28" w16cid:durableId="1337223410">
    <w:abstractNumId w:val="44"/>
  </w:num>
  <w:num w:numId="29" w16cid:durableId="1697389160">
    <w:abstractNumId w:val="90"/>
  </w:num>
  <w:num w:numId="30" w16cid:durableId="2030836209">
    <w:abstractNumId w:val="35"/>
  </w:num>
  <w:num w:numId="31" w16cid:durableId="1396121614">
    <w:abstractNumId w:val="100"/>
  </w:num>
  <w:num w:numId="32" w16cid:durableId="613294446">
    <w:abstractNumId w:val="96"/>
  </w:num>
  <w:num w:numId="33" w16cid:durableId="1725986250">
    <w:abstractNumId w:val="30"/>
  </w:num>
  <w:num w:numId="34" w16cid:durableId="444423267">
    <w:abstractNumId w:val="33"/>
  </w:num>
  <w:num w:numId="35" w16cid:durableId="383523137">
    <w:abstractNumId w:val="53"/>
  </w:num>
  <w:num w:numId="36" w16cid:durableId="537863769">
    <w:abstractNumId w:val="3"/>
  </w:num>
  <w:num w:numId="37" w16cid:durableId="567886939">
    <w:abstractNumId w:val="83"/>
  </w:num>
  <w:num w:numId="38" w16cid:durableId="1814247262">
    <w:abstractNumId w:val="10"/>
  </w:num>
  <w:num w:numId="39" w16cid:durableId="1445418491">
    <w:abstractNumId w:val="24"/>
  </w:num>
  <w:num w:numId="40" w16cid:durableId="474369785">
    <w:abstractNumId w:val="41"/>
  </w:num>
  <w:num w:numId="41" w16cid:durableId="1504660848">
    <w:abstractNumId w:val="88"/>
  </w:num>
  <w:num w:numId="42" w16cid:durableId="738675823">
    <w:abstractNumId w:val="9"/>
  </w:num>
  <w:num w:numId="43" w16cid:durableId="106046858">
    <w:abstractNumId w:val="7"/>
  </w:num>
  <w:num w:numId="44" w16cid:durableId="34623392">
    <w:abstractNumId w:val="67"/>
  </w:num>
  <w:num w:numId="45" w16cid:durableId="1594700521">
    <w:abstractNumId w:val="61"/>
  </w:num>
  <w:num w:numId="46" w16cid:durableId="1130128859">
    <w:abstractNumId w:val="55"/>
  </w:num>
  <w:num w:numId="47" w16cid:durableId="524027447">
    <w:abstractNumId w:val="79"/>
  </w:num>
  <w:num w:numId="48" w16cid:durableId="1455246533">
    <w:abstractNumId w:val="15"/>
  </w:num>
  <w:num w:numId="49" w16cid:durableId="691495239">
    <w:abstractNumId w:val="47"/>
  </w:num>
  <w:num w:numId="50" w16cid:durableId="1888105478">
    <w:abstractNumId w:val="36"/>
  </w:num>
  <w:num w:numId="51" w16cid:durableId="1663385551">
    <w:abstractNumId w:val="99"/>
  </w:num>
  <w:num w:numId="52" w16cid:durableId="1857695225">
    <w:abstractNumId w:val="85"/>
  </w:num>
  <w:num w:numId="53" w16cid:durableId="573859606">
    <w:abstractNumId w:val="69"/>
  </w:num>
  <w:num w:numId="54" w16cid:durableId="28605548">
    <w:abstractNumId w:val="0"/>
  </w:num>
  <w:num w:numId="55" w16cid:durableId="1540359241">
    <w:abstractNumId w:val="8"/>
  </w:num>
  <w:num w:numId="56" w16cid:durableId="2060591815">
    <w:abstractNumId w:val="52"/>
  </w:num>
  <w:num w:numId="57" w16cid:durableId="2134472989">
    <w:abstractNumId w:val="78"/>
  </w:num>
  <w:num w:numId="58" w16cid:durableId="748621909">
    <w:abstractNumId w:val="39"/>
  </w:num>
  <w:num w:numId="59" w16cid:durableId="1003553654">
    <w:abstractNumId w:val="63"/>
  </w:num>
  <w:num w:numId="60" w16cid:durableId="1101268357">
    <w:abstractNumId w:val="2"/>
  </w:num>
  <w:num w:numId="61" w16cid:durableId="531260001">
    <w:abstractNumId w:val="21"/>
  </w:num>
  <w:num w:numId="62" w16cid:durableId="1359547435">
    <w:abstractNumId w:val="89"/>
  </w:num>
  <w:num w:numId="63" w16cid:durableId="1243419168">
    <w:abstractNumId w:val="103"/>
  </w:num>
  <w:num w:numId="64" w16cid:durableId="2137603291">
    <w:abstractNumId w:val="97"/>
  </w:num>
  <w:num w:numId="65" w16cid:durableId="167256316">
    <w:abstractNumId w:val="75"/>
  </w:num>
  <w:num w:numId="66" w16cid:durableId="1916091065">
    <w:abstractNumId w:val="32"/>
  </w:num>
  <w:num w:numId="67" w16cid:durableId="240136946">
    <w:abstractNumId w:val="46"/>
  </w:num>
  <w:num w:numId="68" w16cid:durableId="480118556">
    <w:abstractNumId w:val="49"/>
  </w:num>
  <w:num w:numId="69" w16cid:durableId="1889564889">
    <w:abstractNumId w:val="76"/>
  </w:num>
  <w:num w:numId="70" w16cid:durableId="645403565">
    <w:abstractNumId w:val="87"/>
  </w:num>
  <w:num w:numId="71" w16cid:durableId="2899922">
    <w:abstractNumId w:val="1"/>
  </w:num>
  <w:num w:numId="72" w16cid:durableId="2002930221">
    <w:abstractNumId w:val="34"/>
  </w:num>
  <w:num w:numId="73" w16cid:durableId="674575595">
    <w:abstractNumId w:val="72"/>
  </w:num>
  <w:num w:numId="74" w16cid:durableId="1736971379">
    <w:abstractNumId w:val="86"/>
  </w:num>
  <w:num w:numId="75" w16cid:durableId="2128767070">
    <w:abstractNumId w:val="28"/>
  </w:num>
  <w:num w:numId="76" w16cid:durableId="624502165">
    <w:abstractNumId w:val="23"/>
  </w:num>
  <w:num w:numId="77" w16cid:durableId="1206134604">
    <w:abstractNumId w:val="19"/>
  </w:num>
  <w:num w:numId="78" w16cid:durableId="230316965">
    <w:abstractNumId w:val="62"/>
  </w:num>
  <w:num w:numId="79" w16cid:durableId="650909438">
    <w:abstractNumId w:val="20"/>
  </w:num>
  <w:num w:numId="80" w16cid:durableId="416444591">
    <w:abstractNumId w:val="64"/>
  </w:num>
  <w:num w:numId="81" w16cid:durableId="18285252">
    <w:abstractNumId w:val="93"/>
  </w:num>
  <w:num w:numId="82" w16cid:durableId="1400442411">
    <w:abstractNumId w:val="54"/>
  </w:num>
  <w:num w:numId="83" w16cid:durableId="1358116145">
    <w:abstractNumId w:val="58"/>
  </w:num>
  <w:num w:numId="84" w16cid:durableId="1000088186">
    <w:abstractNumId w:val="68"/>
  </w:num>
  <w:num w:numId="85" w16cid:durableId="961808786">
    <w:abstractNumId w:val="91"/>
  </w:num>
  <w:num w:numId="86" w16cid:durableId="1296109151">
    <w:abstractNumId w:val="73"/>
  </w:num>
  <w:num w:numId="87" w16cid:durableId="75589227">
    <w:abstractNumId w:val="102"/>
  </w:num>
  <w:num w:numId="88" w16cid:durableId="1527478260">
    <w:abstractNumId w:val="80"/>
  </w:num>
  <w:num w:numId="89" w16cid:durableId="1938831722">
    <w:abstractNumId w:val="18"/>
  </w:num>
  <w:num w:numId="90" w16cid:durableId="1588416127">
    <w:abstractNumId w:val="65"/>
  </w:num>
  <w:num w:numId="91" w16cid:durableId="849374367">
    <w:abstractNumId w:val="22"/>
  </w:num>
  <w:num w:numId="92" w16cid:durableId="135689872">
    <w:abstractNumId w:val="98"/>
  </w:num>
  <w:num w:numId="93" w16cid:durableId="1587419435">
    <w:abstractNumId w:val="57"/>
  </w:num>
  <w:num w:numId="94" w16cid:durableId="2017415883">
    <w:abstractNumId w:val="60"/>
  </w:num>
  <w:num w:numId="95" w16cid:durableId="1896239195">
    <w:abstractNumId w:val="95"/>
  </w:num>
  <w:num w:numId="96" w16cid:durableId="1603874307">
    <w:abstractNumId w:val="4"/>
  </w:num>
  <w:num w:numId="97" w16cid:durableId="761682707">
    <w:abstractNumId w:val="45"/>
  </w:num>
  <w:num w:numId="98" w16cid:durableId="2051108345">
    <w:abstractNumId w:val="27"/>
  </w:num>
  <w:num w:numId="99" w16cid:durableId="1132166694">
    <w:abstractNumId w:val="31"/>
  </w:num>
  <w:num w:numId="100" w16cid:durableId="906769959">
    <w:abstractNumId w:val="48"/>
  </w:num>
  <w:num w:numId="101" w16cid:durableId="840703845">
    <w:abstractNumId w:val="66"/>
  </w:num>
  <w:num w:numId="102" w16cid:durableId="870457525">
    <w:abstractNumId w:val="14"/>
  </w:num>
  <w:num w:numId="103" w16cid:durableId="1481657136">
    <w:abstractNumId w:val="43"/>
  </w:num>
  <w:num w:numId="104" w16cid:durableId="191572140">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7D3A"/>
    <w:rsid w:val="00021C30"/>
    <w:rsid w:val="000244DC"/>
    <w:rsid w:val="00025374"/>
    <w:rsid w:val="00032DB0"/>
    <w:rsid w:val="00035E7C"/>
    <w:rsid w:val="0004429E"/>
    <w:rsid w:val="000463A6"/>
    <w:rsid w:val="00046A11"/>
    <w:rsid w:val="000763F2"/>
    <w:rsid w:val="00083446"/>
    <w:rsid w:val="00093DF6"/>
    <w:rsid w:val="000940C8"/>
    <w:rsid w:val="0009462B"/>
    <w:rsid w:val="000A6555"/>
    <w:rsid w:val="000B06FC"/>
    <w:rsid w:val="000B1AF7"/>
    <w:rsid w:val="000B1C46"/>
    <w:rsid w:val="000B37DD"/>
    <w:rsid w:val="000B44FB"/>
    <w:rsid w:val="000C5B45"/>
    <w:rsid w:val="000D02F6"/>
    <w:rsid w:val="000D1EA1"/>
    <w:rsid w:val="000D34C2"/>
    <w:rsid w:val="000D5C9D"/>
    <w:rsid w:val="000F094D"/>
    <w:rsid w:val="00116D1A"/>
    <w:rsid w:val="0012557F"/>
    <w:rsid w:val="00126CBC"/>
    <w:rsid w:val="00127F8D"/>
    <w:rsid w:val="00135A83"/>
    <w:rsid w:val="00137E74"/>
    <w:rsid w:val="001741D5"/>
    <w:rsid w:val="00183EDA"/>
    <w:rsid w:val="00186C5B"/>
    <w:rsid w:val="001A7FB5"/>
    <w:rsid w:val="001B0B7D"/>
    <w:rsid w:val="001B197F"/>
    <w:rsid w:val="001B29DC"/>
    <w:rsid w:val="001B7969"/>
    <w:rsid w:val="001B7E00"/>
    <w:rsid w:val="001C7F93"/>
    <w:rsid w:val="001D330F"/>
    <w:rsid w:val="001E3AC3"/>
    <w:rsid w:val="001F0653"/>
    <w:rsid w:val="001F4AD6"/>
    <w:rsid w:val="001F4B98"/>
    <w:rsid w:val="002008A3"/>
    <w:rsid w:val="002012E0"/>
    <w:rsid w:val="00212428"/>
    <w:rsid w:val="00215E08"/>
    <w:rsid w:val="00220128"/>
    <w:rsid w:val="00241462"/>
    <w:rsid w:val="00244670"/>
    <w:rsid w:val="002458CA"/>
    <w:rsid w:val="0024794D"/>
    <w:rsid w:val="00253357"/>
    <w:rsid w:val="002568D6"/>
    <w:rsid w:val="00260318"/>
    <w:rsid w:val="002650E5"/>
    <w:rsid w:val="00266AC4"/>
    <w:rsid w:val="00271D6F"/>
    <w:rsid w:val="0027253F"/>
    <w:rsid w:val="002753DB"/>
    <w:rsid w:val="002805C3"/>
    <w:rsid w:val="002A5C99"/>
    <w:rsid w:val="002B4F51"/>
    <w:rsid w:val="002B7165"/>
    <w:rsid w:val="002C38F2"/>
    <w:rsid w:val="002C4777"/>
    <w:rsid w:val="002F2A69"/>
    <w:rsid w:val="002F4793"/>
    <w:rsid w:val="002F5B33"/>
    <w:rsid w:val="00306635"/>
    <w:rsid w:val="00306C25"/>
    <w:rsid w:val="00311CC0"/>
    <w:rsid w:val="00313205"/>
    <w:rsid w:val="00322B7C"/>
    <w:rsid w:val="003250F6"/>
    <w:rsid w:val="0032588E"/>
    <w:rsid w:val="00335F17"/>
    <w:rsid w:val="00337E48"/>
    <w:rsid w:val="0034072F"/>
    <w:rsid w:val="00341B94"/>
    <w:rsid w:val="00341C28"/>
    <w:rsid w:val="00354AD1"/>
    <w:rsid w:val="00355CD9"/>
    <w:rsid w:val="003703EB"/>
    <w:rsid w:val="00381ADC"/>
    <w:rsid w:val="003866CE"/>
    <w:rsid w:val="0039018E"/>
    <w:rsid w:val="003920CC"/>
    <w:rsid w:val="003921BF"/>
    <w:rsid w:val="003A6F27"/>
    <w:rsid w:val="003B021D"/>
    <w:rsid w:val="003B2367"/>
    <w:rsid w:val="003B6D40"/>
    <w:rsid w:val="003C0E2A"/>
    <w:rsid w:val="003C1D01"/>
    <w:rsid w:val="003C3ABF"/>
    <w:rsid w:val="003C75B9"/>
    <w:rsid w:val="003D6B18"/>
    <w:rsid w:val="003D7B55"/>
    <w:rsid w:val="003E096C"/>
    <w:rsid w:val="003E5272"/>
    <w:rsid w:val="003E667E"/>
    <w:rsid w:val="003F2B8F"/>
    <w:rsid w:val="003F44C1"/>
    <w:rsid w:val="0040269F"/>
    <w:rsid w:val="00411B52"/>
    <w:rsid w:val="004171C9"/>
    <w:rsid w:val="00433AD3"/>
    <w:rsid w:val="00435BF4"/>
    <w:rsid w:val="00443C6D"/>
    <w:rsid w:val="00446B1B"/>
    <w:rsid w:val="004514D9"/>
    <w:rsid w:val="004539E6"/>
    <w:rsid w:val="00460270"/>
    <w:rsid w:val="00461823"/>
    <w:rsid w:val="0046704B"/>
    <w:rsid w:val="00467E55"/>
    <w:rsid w:val="00476474"/>
    <w:rsid w:val="00482CCC"/>
    <w:rsid w:val="004838FD"/>
    <w:rsid w:val="004853E9"/>
    <w:rsid w:val="00497BAE"/>
    <w:rsid w:val="004A0332"/>
    <w:rsid w:val="004C0A4D"/>
    <w:rsid w:val="004D5854"/>
    <w:rsid w:val="004D634F"/>
    <w:rsid w:val="004D742F"/>
    <w:rsid w:val="004E53EE"/>
    <w:rsid w:val="004E71E0"/>
    <w:rsid w:val="004F15BC"/>
    <w:rsid w:val="00503956"/>
    <w:rsid w:val="00512595"/>
    <w:rsid w:val="00512CA9"/>
    <w:rsid w:val="005170DA"/>
    <w:rsid w:val="00517320"/>
    <w:rsid w:val="005250B5"/>
    <w:rsid w:val="00532805"/>
    <w:rsid w:val="00535CD9"/>
    <w:rsid w:val="005548A1"/>
    <w:rsid w:val="00562BE7"/>
    <w:rsid w:val="00571FB0"/>
    <w:rsid w:val="00574B13"/>
    <w:rsid w:val="005767E9"/>
    <w:rsid w:val="0059118B"/>
    <w:rsid w:val="005A1EC8"/>
    <w:rsid w:val="005C0302"/>
    <w:rsid w:val="005D23E0"/>
    <w:rsid w:val="005D456B"/>
    <w:rsid w:val="005D68E2"/>
    <w:rsid w:val="005E0059"/>
    <w:rsid w:val="005E1117"/>
    <w:rsid w:val="005E3555"/>
    <w:rsid w:val="00601D89"/>
    <w:rsid w:val="00610C3F"/>
    <w:rsid w:val="0062575B"/>
    <w:rsid w:val="00634EAE"/>
    <w:rsid w:val="00635A2A"/>
    <w:rsid w:val="0063647A"/>
    <w:rsid w:val="006368F3"/>
    <w:rsid w:val="00640DFB"/>
    <w:rsid w:val="00641D2D"/>
    <w:rsid w:val="0065004C"/>
    <w:rsid w:val="00653B7A"/>
    <w:rsid w:val="00662C13"/>
    <w:rsid w:val="00666817"/>
    <w:rsid w:val="006729C8"/>
    <w:rsid w:val="00675360"/>
    <w:rsid w:val="00690D90"/>
    <w:rsid w:val="00695B51"/>
    <w:rsid w:val="006A4960"/>
    <w:rsid w:val="006A68DA"/>
    <w:rsid w:val="006A6CC9"/>
    <w:rsid w:val="006B20EA"/>
    <w:rsid w:val="006B4874"/>
    <w:rsid w:val="006B4E65"/>
    <w:rsid w:val="006C07C6"/>
    <w:rsid w:val="006C1E95"/>
    <w:rsid w:val="006C7A94"/>
    <w:rsid w:val="006D1DC6"/>
    <w:rsid w:val="006D2E7A"/>
    <w:rsid w:val="006D4F78"/>
    <w:rsid w:val="006E7AF5"/>
    <w:rsid w:val="006F00D5"/>
    <w:rsid w:val="006F260D"/>
    <w:rsid w:val="0070373F"/>
    <w:rsid w:val="00713DA7"/>
    <w:rsid w:val="00723664"/>
    <w:rsid w:val="00735114"/>
    <w:rsid w:val="00735124"/>
    <w:rsid w:val="00744162"/>
    <w:rsid w:val="007455A5"/>
    <w:rsid w:val="007575C4"/>
    <w:rsid w:val="00757707"/>
    <w:rsid w:val="007611FF"/>
    <w:rsid w:val="00766CA0"/>
    <w:rsid w:val="00772869"/>
    <w:rsid w:val="00787FB7"/>
    <w:rsid w:val="007A019B"/>
    <w:rsid w:val="007A0DCB"/>
    <w:rsid w:val="007A2C09"/>
    <w:rsid w:val="007A5EBE"/>
    <w:rsid w:val="007B3C3E"/>
    <w:rsid w:val="007C520C"/>
    <w:rsid w:val="007D2D7F"/>
    <w:rsid w:val="007D6178"/>
    <w:rsid w:val="007E087C"/>
    <w:rsid w:val="007E5A06"/>
    <w:rsid w:val="007E61A3"/>
    <w:rsid w:val="007F0D82"/>
    <w:rsid w:val="007F51DE"/>
    <w:rsid w:val="00805E14"/>
    <w:rsid w:val="008079BC"/>
    <w:rsid w:val="0081102B"/>
    <w:rsid w:val="008144B5"/>
    <w:rsid w:val="00815216"/>
    <w:rsid w:val="008275E6"/>
    <w:rsid w:val="008275FC"/>
    <w:rsid w:val="0084353D"/>
    <w:rsid w:val="008466BC"/>
    <w:rsid w:val="008518C8"/>
    <w:rsid w:val="0085432D"/>
    <w:rsid w:val="008575B7"/>
    <w:rsid w:val="00862C15"/>
    <w:rsid w:val="00867B2A"/>
    <w:rsid w:val="00870170"/>
    <w:rsid w:val="00870F01"/>
    <w:rsid w:val="0087248B"/>
    <w:rsid w:val="0088211F"/>
    <w:rsid w:val="008A1F4C"/>
    <w:rsid w:val="008A578D"/>
    <w:rsid w:val="008B1B8F"/>
    <w:rsid w:val="008B36B9"/>
    <w:rsid w:val="008B4BA6"/>
    <w:rsid w:val="008C14BA"/>
    <w:rsid w:val="008D4E32"/>
    <w:rsid w:val="008D7488"/>
    <w:rsid w:val="008E0505"/>
    <w:rsid w:val="008F2AA9"/>
    <w:rsid w:val="009109B7"/>
    <w:rsid w:val="00920521"/>
    <w:rsid w:val="00924A44"/>
    <w:rsid w:val="00930765"/>
    <w:rsid w:val="00931639"/>
    <w:rsid w:val="009374F6"/>
    <w:rsid w:val="00941347"/>
    <w:rsid w:val="0095190E"/>
    <w:rsid w:val="00954D01"/>
    <w:rsid w:val="00961607"/>
    <w:rsid w:val="00961E50"/>
    <w:rsid w:val="009738C7"/>
    <w:rsid w:val="00981BB5"/>
    <w:rsid w:val="00985542"/>
    <w:rsid w:val="009859F7"/>
    <w:rsid w:val="00991840"/>
    <w:rsid w:val="00994FB5"/>
    <w:rsid w:val="009B0878"/>
    <w:rsid w:val="009B3ACB"/>
    <w:rsid w:val="009C5261"/>
    <w:rsid w:val="009D6DDC"/>
    <w:rsid w:val="009E0F6B"/>
    <w:rsid w:val="009E47D1"/>
    <w:rsid w:val="009F171E"/>
    <w:rsid w:val="009F46B6"/>
    <w:rsid w:val="00A002F4"/>
    <w:rsid w:val="00A00B64"/>
    <w:rsid w:val="00A046D1"/>
    <w:rsid w:val="00A10AC6"/>
    <w:rsid w:val="00A16B17"/>
    <w:rsid w:val="00A235B2"/>
    <w:rsid w:val="00A24BF7"/>
    <w:rsid w:val="00A2633D"/>
    <w:rsid w:val="00A3622F"/>
    <w:rsid w:val="00A406AD"/>
    <w:rsid w:val="00A4434F"/>
    <w:rsid w:val="00A4759A"/>
    <w:rsid w:val="00A572C3"/>
    <w:rsid w:val="00A57789"/>
    <w:rsid w:val="00A61525"/>
    <w:rsid w:val="00A70F88"/>
    <w:rsid w:val="00A76963"/>
    <w:rsid w:val="00A84D23"/>
    <w:rsid w:val="00A90FBC"/>
    <w:rsid w:val="00AB21EE"/>
    <w:rsid w:val="00AC6AEB"/>
    <w:rsid w:val="00AC7876"/>
    <w:rsid w:val="00AD31D9"/>
    <w:rsid w:val="00AD3384"/>
    <w:rsid w:val="00AE19C2"/>
    <w:rsid w:val="00AE6A13"/>
    <w:rsid w:val="00AE7579"/>
    <w:rsid w:val="00AF5F51"/>
    <w:rsid w:val="00AF63CC"/>
    <w:rsid w:val="00B13EA1"/>
    <w:rsid w:val="00B17576"/>
    <w:rsid w:val="00B22F96"/>
    <w:rsid w:val="00B25ABE"/>
    <w:rsid w:val="00B31BFC"/>
    <w:rsid w:val="00B3453B"/>
    <w:rsid w:val="00B37EFC"/>
    <w:rsid w:val="00B4150F"/>
    <w:rsid w:val="00B41B53"/>
    <w:rsid w:val="00B43135"/>
    <w:rsid w:val="00B44488"/>
    <w:rsid w:val="00B50094"/>
    <w:rsid w:val="00B55138"/>
    <w:rsid w:val="00B62D0C"/>
    <w:rsid w:val="00B66588"/>
    <w:rsid w:val="00B73792"/>
    <w:rsid w:val="00B76FC1"/>
    <w:rsid w:val="00B8145F"/>
    <w:rsid w:val="00B921B4"/>
    <w:rsid w:val="00B975DE"/>
    <w:rsid w:val="00BA0104"/>
    <w:rsid w:val="00BB151D"/>
    <w:rsid w:val="00BB5153"/>
    <w:rsid w:val="00BC39AB"/>
    <w:rsid w:val="00BC543D"/>
    <w:rsid w:val="00BD7CA9"/>
    <w:rsid w:val="00BE2933"/>
    <w:rsid w:val="00BF31B5"/>
    <w:rsid w:val="00BF603B"/>
    <w:rsid w:val="00C00C05"/>
    <w:rsid w:val="00C13EC2"/>
    <w:rsid w:val="00C14E6A"/>
    <w:rsid w:val="00C15F3D"/>
    <w:rsid w:val="00C1650B"/>
    <w:rsid w:val="00C27B66"/>
    <w:rsid w:val="00C40243"/>
    <w:rsid w:val="00C4301C"/>
    <w:rsid w:val="00C53168"/>
    <w:rsid w:val="00C53532"/>
    <w:rsid w:val="00C73F6C"/>
    <w:rsid w:val="00C77ECE"/>
    <w:rsid w:val="00C805A6"/>
    <w:rsid w:val="00C81DCC"/>
    <w:rsid w:val="00C84EF1"/>
    <w:rsid w:val="00C9518A"/>
    <w:rsid w:val="00CA2118"/>
    <w:rsid w:val="00CA63D0"/>
    <w:rsid w:val="00CA661F"/>
    <w:rsid w:val="00CB005C"/>
    <w:rsid w:val="00CB093C"/>
    <w:rsid w:val="00CB79C2"/>
    <w:rsid w:val="00CC762F"/>
    <w:rsid w:val="00CD0403"/>
    <w:rsid w:val="00CD0C7B"/>
    <w:rsid w:val="00CD46B6"/>
    <w:rsid w:val="00CD65C4"/>
    <w:rsid w:val="00CE328F"/>
    <w:rsid w:val="00CF4FFE"/>
    <w:rsid w:val="00D052AC"/>
    <w:rsid w:val="00D114D6"/>
    <w:rsid w:val="00D11A47"/>
    <w:rsid w:val="00D123E1"/>
    <w:rsid w:val="00D1713D"/>
    <w:rsid w:val="00D20D36"/>
    <w:rsid w:val="00D227D5"/>
    <w:rsid w:val="00D30F74"/>
    <w:rsid w:val="00D32D66"/>
    <w:rsid w:val="00D3329D"/>
    <w:rsid w:val="00D34558"/>
    <w:rsid w:val="00D43AD1"/>
    <w:rsid w:val="00D44D2A"/>
    <w:rsid w:val="00D46F98"/>
    <w:rsid w:val="00D50510"/>
    <w:rsid w:val="00D53866"/>
    <w:rsid w:val="00D57D3A"/>
    <w:rsid w:val="00D635EA"/>
    <w:rsid w:val="00D6476A"/>
    <w:rsid w:val="00D709FE"/>
    <w:rsid w:val="00D74857"/>
    <w:rsid w:val="00D75AB0"/>
    <w:rsid w:val="00D771C7"/>
    <w:rsid w:val="00D8630F"/>
    <w:rsid w:val="00D87A57"/>
    <w:rsid w:val="00D930DE"/>
    <w:rsid w:val="00D96E2C"/>
    <w:rsid w:val="00D96FFB"/>
    <w:rsid w:val="00DA303C"/>
    <w:rsid w:val="00DA6FFF"/>
    <w:rsid w:val="00DB579E"/>
    <w:rsid w:val="00DC7A87"/>
    <w:rsid w:val="00DD2648"/>
    <w:rsid w:val="00DD2796"/>
    <w:rsid w:val="00DD37D0"/>
    <w:rsid w:val="00DD468F"/>
    <w:rsid w:val="00DE256A"/>
    <w:rsid w:val="00DE6DE8"/>
    <w:rsid w:val="00DF023D"/>
    <w:rsid w:val="00E029D4"/>
    <w:rsid w:val="00E137DD"/>
    <w:rsid w:val="00E1645F"/>
    <w:rsid w:val="00E210BF"/>
    <w:rsid w:val="00E22BA3"/>
    <w:rsid w:val="00E27EBA"/>
    <w:rsid w:val="00E34244"/>
    <w:rsid w:val="00E43CBE"/>
    <w:rsid w:val="00E507FC"/>
    <w:rsid w:val="00E61BF7"/>
    <w:rsid w:val="00E61E96"/>
    <w:rsid w:val="00E638AC"/>
    <w:rsid w:val="00E66C25"/>
    <w:rsid w:val="00E70F51"/>
    <w:rsid w:val="00E727F8"/>
    <w:rsid w:val="00E92BF8"/>
    <w:rsid w:val="00E9585A"/>
    <w:rsid w:val="00EA7002"/>
    <w:rsid w:val="00EB1AE7"/>
    <w:rsid w:val="00EB334A"/>
    <w:rsid w:val="00EB7456"/>
    <w:rsid w:val="00ED26EE"/>
    <w:rsid w:val="00ED410A"/>
    <w:rsid w:val="00ED790C"/>
    <w:rsid w:val="00EE09C9"/>
    <w:rsid w:val="00EE2ADB"/>
    <w:rsid w:val="00EE3951"/>
    <w:rsid w:val="00EE51E7"/>
    <w:rsid w:val="00EF2333"/>
    <w:rsid w:val="00EF56B7"/>
    <w:rsid w:val="00EF5FD6"/>
    <w:rsid w:val="00F00357"/>
    <w:rsid w:val="00F006CB"/>
    <w:rsid w:val="00F01C1D"/>
    <w:rsid w:val="00F20EC3"/>
    <w:rsid w:val="00F22BF2"/>
    <w:rsid w:val="00F33DA1"/>
    <w:rsid w:val="00F33DC2"/>
    <w:rsid w:val="00F37E14"/>
    <w:rsid w:val="00F40BF2"/>
    <w:rsid w:val="00F420C2"/>
    <w:rsid w:val="00F45D6E"/>
    <w:rsid w:val="00F5456A"/>
    <w:rsid w:val="00F60E10"/>
    <w:rsid w:val="00F623B5"/>
    <w:rsid w:val="00F717E5"/>
    <w:rsid w:val="00F763B9"/>
    <w:rsid w:val="00F766BB"/>
    <w:rsid w:val="00F76C95"/>
    <w:rsid w:val="00F777D8"/>
    <w:rsid w:val="00F82286"/>
    <w:rsid w:val="00F82F28"/>
    <w:rsid w:val="00F85BD0"/>
    <w:rsid w:val="00F90555"/>
    <w:rsid w:val="00F912EF"/>
    <w:rsid w:val="00F97956"/>
    <w:rsid w:val="00FA0572"/>
    <w:rsid w:val="00FA5CD3"/>
    <w:rsid w:val="00FB13FA"/>
    <w:rsid w:val="00FB53D4"/>
    <w:rsid w:val="00FC049F"/>
    <w:rsid w:val="00FC0FE5"/>
    <w:rsid w:val="00FC1540"/>
    <w:rsid w:val="00FD4FFD"/>
    <w:rsid w:val="00FE1D05"/>
    <w:rsid w:val="00FF0541"/>
    <w:rsid w:val="00FF1E4D"/>
    <w:rsid w:val="00FF4989"/>
    <w:rsid w:val="00FF5C1E"/>
    <w:rsid w:val="00FF6D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E9800F"/>
  <w15:chartTrackingRefBased/>
  <w15:docId w15:val="{9CAE5F68-9C98-4A9C-8580-74FDC621AE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6C25"/>
    <w:pPr>
      <w:spacing w:after="0" w:line="240" w:lineRule="auto"/>
    </w:pPr>
    <w:rPr>
      <w:rFonts w:ascii="Times New Roman" w:eastAsia="Times New Roman" w:hAnsi="Times New Roman" w:cs="Times New Roman"/>
      <w:kern w:val="0"/>
      <w:sz w:val="24"/>
      <w:szCs w:val="24"/>
      <w:lang w:eastAsia="en-GB"/>
      <w14:ligatures w14:val="none"/>
    </w:rPr>
  </w:style>
  <w:style w:type="paragraph" w:styleId="Heading1">
    <w:name w:val="heading 1"/>
    <w:basedOn w:val="Normal"/>
    <w:next w:val="Normal"/>
    <w:link w:val="Heading1Char"/>
    <w:uiPriority w:val="9"/>
    <w:qFormat/>
    <w:rsid w:val="00D57D3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57D3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B06FC"/>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BA0104"/>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7D3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57D3A"/>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E507FC"/>
    <w:rPr>
      <w:i/>
      <w:iCs/>
    </w:rPr>
  </w:style>
  <w:style w:type="character" w:styleId="Hyperlink">
    <w:name w:val="Hyperlink"/>
    <w:basedOn w:val="DefaultParagraphFont"/>
    <w:uiPriority w:val="99"/>
    <w:unhideWhenUsed/>
    <w:rsid w:val="00E507FC"/>
    <w:rPr>
      <w:color w:val="0000FF"/>
      <w:u w:val="single"/>
    </w:rPr>
  </w:style>
  <w:style w:type="character" w:styleId="FollowedHyperlink">
    <w:name w:val="FollowedHyperlink"/>
    <w:basedOn w:val="DefaultParagraphFont"/>
    <w:uiPriority w:val="99"/>
    <w:semiHidden/>
    <w:unhideWhenUsed/>
    <w:rsid w:val="00E507FC"/>
    <w:rPr>
      <w:color w:val="954F72" w:themeColor="followedHyperlink"/>
      <w:u w:val="single"/>
    </w:rPr>
  </w:style>
  <w:style w:type="character" w:styleId="UnresolvedMention">
    <w:name w:val="Unresolved Mention"/>
    <w:basedOn w:val="DefaultParagraphFont"/>
    <w:uiPriority w:val="99"/>
    <w:semiHidden/>
    <w:unhideWhenUsed/>
    <w:rsid w:val="004838FD"/>
    <w:rPr>
      <w:color w:val="605E5C"/>
      <w:shd w:val="clear" w:color="auto" w:fill="E1DFDD"/>
    </w:rPr>
  </w:style>
  <w:style w:type="table" w:styleId="TableGrid">
    <w:name w:val="Table Grid"/>
    <w:basedOn w:val="TableNormal"/>
    <w:uiPriority w:val="39"/>
    <w:rsid w:val="006500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C7A87"/>
    <w:pPr>
      <w:tabs>
        <w:tab w:val="center" w:pos="4513"/>
        <w:tab w:val="right" w:pos="9026"/>
      </w:tabs>
    </w:pPr>
  </w:style>
  <w:style w:type="character" w:customStyle="1" w:styleId="HeaderChar">
    <w:name w:val="Header Char"/>
    <w:basedOn w:val="DefaultParagraphFont"/>
    <w:link w:val="Header"/>
    <w:uiPriority w:val="99"/>
    <w:rsid w:val="00DC7A87"/>
    <w:rPr>
      <w:rFonts w:ascii="Times New Roman" w:eastAsia="Times New Roman" w:hAnsi="Times New Roman" w:cs="Times New Roman"/>
      <w:kern w:val="0"/>
      <w:sz w:val="24"/>
      <w:szCs w:val="24"/>
      <w:lang w:eastAsia="en-GB"/>
      <w14:ligatures w14:val="none"/>
    </w:rPr>
  </w:style>
  <w:style w:type="paragraph" w:styleId="Footer">
    <w:name w:val="footer"/>
    <w:basedOn w:val="Normal"/>
    <w:link w:val="FooterChar"/>
    <w:uiPriority w:val="99"/>
    <w:unhideWhenUsed/>
    <w:rsid w:val="00DC7A87"/>
    <w:pPr>
      <w:tabs>
        <w:tab w:val="center" w:pos="4513"/>
        <w:tab w:val="right" w:pos="9026"/>
      </w:tabs>
    </w:pPr>
  </w:style>
  <w:style w:type="character" w:customStyle="1" w:styleId="FooterChar">
    <w:name w:val="Footer Char"/>
    <w:basedOn w:val="DefaultParagraphFont"/>
    <w:link w:val="Footer"/>
    <w:uiPriority w:val="99"/>
    <w:rsid w:val="00DC7A87"/>
    <w:rPr>
      <w:rFonts w:ascii="Times New Roman" w:eastAsia="Times New Roman" w:hAnsi="Times New Roman" w:cs="Times New Roman"/>
      <w:kern w:val="0"/>
      <w:sz w:val="24"/>
      <w:szCs w:val="24"/>
      <w:lang w:eastAsia="en-GB"/>
      <w14:ligatures w14:val="none"/>
    </w:rPr>
  </w:style>
  <w:style w:type="character" w:customStyle="1" w:styleId="Heading3Char">
    <w:name w:val="Heading 3 Char"/>
    <w:basedOn w:val="DefaultParagraphFont"/>
    <w:link w:val="Heading3"/>
    <w:uiPriority w:val="9"/>
    <w:rsid w:val="000B06FC"/>
    <w:rPr>
      <w:rFonts w:asciiTheme="majorHAnsi" w:eastAsiaTheme="majorEastAsia" w:hAnsiTheme="majorHAnsi" w:cstheme="majorBidi"/>
      <w:color w:val="1F3763" w:themeColor="accent1" w:themeShade="7F"/>
      <w:kern w:val="0"/>
      <w:sz w:val="24"/>
      <w:szCs w:val="24"/>
      <w:lang w:eastAsia="en-GB"/>
      <w14:ligatures w14:val="none"/>
    </w:rPr>
  </w:style>
  <w:style w:type="character" w:customStyle="1" w:styleId="authorname">
    <w:name w:val="authorname"/>
    <w:basedOn w:val="DefaultParagraphFont"/>
    <w:rsid w:val="004539E6"/>
  </w:style>
  <w:style w:type="character" w:customStyle="1" w:styleId="Heading4Char">
    <w:name w:val="Heading 4 Char"/>
    <w:basedOn w:val="DefaultParagraphFont"/>
    <w:link w:val="Heading4"/>
    <w:uiPriority w:val="9"/>
    <w:semiHidden/>
    <w:rsid w:val="00BA0104"/>
    <w:rPr>
      <w:rFonts w:asciiTheme="majorHAnsi" w:eastAsiaTheme="majorEastAsia" w:hAnsiTheme="majorHAnsi" w:cstheme="majorBidi"/>
      <w:i/>
      <w:iCs/>
      <w:color w:val="2F5496" w:themeColor="accent1" w:themeShade="BF"/>
      <w:kern w:val="0"/>
      <w:sz w:val="24"/>
      <w:szCs w:val="24"/>
      <w:lang w:eastAsia="en-GB"/>
      <w14:ligatures w14:val="none"/>
    </w:rPr>
  </w:style>
  <w:style w:type="paragraph" w:styleId="NormalWeb">
    <w:name w:val="Normal (Web)"/>
    <w:basedOn w:val="Normal"/>
    <w:uiPriority w:val="99"/>
    <w:unhideWhenUsed/>
    <w:rsid w:val="00BA0104"/>
    <w:pPr>
      <w:spacing w:before="100" w:beforeAutospacing="1" w:after="100" w:afterAutospacing="1"/>
    </w:pPr>
  </w:style>
  <w:style w:type="character" w:customStyle="1" w:styleId="hgkelc">
    <w:name w:val="hgkelc"/>
    <w:basedOn w:val="DefaultParagraphFont"/>
    <w:rsid w:val="006D1DC6"/>
  </w:style>
  <w:style w:type="character" w:styleId="Strong">
    <w:name w:val="Strong"/>
    <w:basedOn w:val="DefaultParagraphFont"/>
    <w:uiPriority w:val="22"/>
    <w:qFormat/>
    <w:rsid w:val="00135A83"/>
    <w:rPr>
      <w:b/>
      <w:bCs/>
    </w:rPr>
  </w:style>
  <w:style w:type="paragraph" w:customStyle="1" w:styleId="navigation-list-item">
    <w:name w:val="navigation-list-item"/>
    <w:basedOn w:val="Normal"/>
    <w:rsid w:val="002805C3"/>
    <w:pPr>
      <w:spacing w:before="100" w:beforeAutospacing="1" w:after="100" w:afterAutospacing="1"/>
    </w:pPr>
  </w:style>
  <w:style w:type="character" w:customStyle="1" w:styleId="like-count">
    <w:name w:val="like-count"/>
    <w:basedOn w:val="DefaultParagraphFont"/>
    <w:rsid w:val="002805C3"/>
  </w:style>
  <w:style w:type="paragraph" w:styleId="ListParagraph">
    <w:name w:val="List Paragraph"/>
    <w:basedOn w:val="Normal"/>
    <w:uiPriority w:val="34"/>
    <w:qFormat/>
    <w:rsid w:val="000D1EA1"/>
    <w:pPr>
      <w:ind w:left="720"/>
      <w:contextualSpacing/>
    </w:pPr>
  </w:style>
  <w:style w:type="character" w:customStyle="1" w:styleId="lewnzc">
    <w:name w:val="lewnzc"/>
    <w:basedOn w:val="DefaultParagraphFont"/>
    <w:rsid w:val="003C75B9"/>
  </w:style>
  <w:style w:type="character" w:styleId="CommentReference">
    <w:name w:val="annotation reference"/>
    <w:basedOn w:val="DefaultParagraphFont"/>
    <w:uiPriority w:val="99"/>
    <w:semiHidden/>
    <w:unhideWhenUsed/>
    <w:rsid w:val="00A2633D"/>
    <w:rPr>
      <w:sz w:val="16"/>
      <w:szCs w:val="16"/>
    </w:rPr>
  </w:style>
  <w:style w:type="paragraph" w:styleId="CommentText">
    <w:name w:val="annotation text"/>
    <w:basedOn w:val="Normal"/>
    <w:link w:val="CommentTextChar"/>
    <w:uiPriority w:val="99"/>
    <w:semiHidden/>
    <w:unhideWhenUsed/>
    <w:rsid w:val="00A2633D"/>
    <w:rPr>
      <w:sz w:val="20"/>
      <w:szCs w:val="20"/>
    </w:rPr>
  </w:style>
  <w:style w:type="character" w:customStyle="1" w:styleId="CommentTextChar">
    <w:name w:val="Comment Text Char"/>
    <w:basedOn w:val="DefaultParagraphFont"/>
    <w:link w:val="CommentText"/>
    <w:uiPriority w:val="99"/>
    <w:semiHidden/>
    <w:rsid w:val="00A2633D"/>
    <w:rPr>
      <w:rFonts w:ascii="Times New Roman" w:eastAsia="Times New Roman" w:hAnsi="Times New Roman" w:cs="Times New Roman"/>
      <w:kern w:val="0"/>
      <w:sz w:val="20"/>
      <w:szCs w:val="20"/>
      <w:lang w:eastAsia="en-GB"/>
      <w14:ligatures w14:val="none"/>
    </w:rPr>
  </w:style>
  <w:style w:type="paragraph" w:styleId="CommentSubject">
    <w:name w:val="annotation subject"/>
    <w:basedOn w:val="CommentText"/>
    <w:next w:val="CommentText"/>
    <w:link w:val="CommentSubjectChar"/>
    <w:uiPriority w:val="99"/>
    <w:semiHidden/>
    <w:unhideWhenUsed/>
    <w:rsid w:val="00A2633D"/>
    <w:rPr>
      <w:b/>
      <w:bCs/>
    </w:rPr>
  </w:style>
  <w:style w:type="character" w:customStyle="1" w:styleId="CommentSubjectChar">
    <w:name w:val="Comment Subject Char"/>
    <w:basedOn w:val="CommentTextChar"/>
    <w:link w:val="CommentSubject"/>
    <w:uiPriority w:val="99"/>
    <w:semiHidden/>
    <w:rsid w:val="00A2633D"/>
    <w:rPr>
      <w:rFonts w:ascii="Times New Roman" w:eastAsia="Times New Roman" w:hAnsi="Times New Roman" w:cs="Times New Roman"/>
      <w:b/>
      <w:bCs/>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98155">
      <w:bodyDiv w:val="1"/>
      <w:marLeft w:val="0"/>
      <w:marRight w:val="0"/>
      <w:marTop w:val="0"/>
      <w:marBottom w:val="0"/>
      <w:divBdr>
        <w:top w:val="none" w:sz="0" w:space="0" w:color="auto"/>
        <w:left w:val="none" w:sz="0" w:space="0" w:color="auto"/>
        <w:bottom w:val="none" w:sz="0" w:space="0" w:color="auto"/>
        <w:right w:val="none" w:sz="0" w:space="0" w:color="auto"/>
      </w:divBdr>
    </w:div>
    <w:div w:id="24252550">
      <w:bodyDiv w:val="1"/>
      <w:marLeft w:val="0"/>
      <w:marRight w:val="0"/>
      <w:marTop w:val="0"/>
      <w:marBottom w:val="0"/>
      <w:divBdr>
        <w:top w:val="none" w:sz="0" w:space="0" w:color="auto"/>
        <w:left w:val="none" w:sz="0" w:space="0" w:color="auto"/>
        <w:bottom w:val="none" w:sz="0" w:space="0" w:color="auto"/>
        <w:right w:val="none" w:sz="0" w:space="0" w:color="auto"/>
      </w:divBdr>
      <w:divsChild>
        <w:div w:id="1713000093">
          <w:marLeft w:val="0"/>
          <w:marRight w:val="0"/>
          <w:marTop w:val="0"/>
          <w:marBottom w:val="0"/>
          <w:divBdr>
            <w:top w:val="none" w:sz="0" w:space="0" w:color="auto"/>
            <w:left w:val="none" w:sz="0" w:space="0" w:color="auto"/>
            <w:bottom w:val="none" w:sz="0" w:space="0" w:color="auto"/>
            <w:right w:val="none" w:sz="0" w:space="0" w:color="auto"/>
          </w:divBdr>
        </w:div>
      </w:divsChild>
    </w:div>
    <w:div w:id="57555504">
      <w:bodyDiv w:val="1"/>
      <w:marLeft w:val="0"/>
      <w:marRight w:val="0"/>
      <w:marTop w:val="0"/>
      <w:marBottom w:val="0"/>
      <w:divBdr>
        <w:top w:val="none" w:sz="0" w:space="0" w:color="auto"/>
        <w:left w:val="none" w:sz="0" w:space="0" w:color="auto"/>
        <w:bottom w:val="none" w:sz="0" w:space="0" w:color="auto"/>
        <w:right w:val="none" w:sz="0" w:space="0" w:color="auto"/>
      </w:divBdr>
    </w:div>
    <w:div w:id="58094824">
      <w:bodyDiv w:val="1"/>
      <w:marLeft w:val="0"/>
      <w:marRight w:val="0"/>
      <w:marTop w:val="0"/>
      <w:marBottom w:val="0"/>
      <w:divBdr>
        <w:top w:val="none" w:sz="0" w:space="0" w:color="auto"/>
        <w:left w:val="none" w:sz="0" w:space="0" w:color="auto"/>
        <w:bottom w:val="none" w:sz="0" w:space="0" w:color="auto"/>
        <w:right w:val="none" w:sz="0" w:space="0" w:color="auto"/>
      </w:divBdr>
      <w:divsChild>
        <w:div w:id="370153761">
          <w:marLeft w:val="0"/>
          <w:marRight w:val="0"/>
          <w:marTop w:val="0"/>
          <w:marBottom w:val="0"/>
          <w:divBdr>
            <w:top w:val="none" w:sz="0" w:space="0" w:color="auto"/>
            <w:left w:val="none" w:sz="0" w:space="0" w:color="auto"/>
            <w:bottom w:val="none" w:sz="0" w:space="0" w:color="auto"/>
            <w:right w:val="none" w:sz="0" w:space="0" w:color="auto"/>
          </w:divBdr>
          <w:divsChild>
            <w:div w:id="245458108">
              <w:marLeft w:val="0"/>
              <w:marRight w:val="0"/>
              <w:marTop w:val="0"/>
              <w:marBottom w:val="0"/>
              <w:divBdr>
                <w:top w:val="none" w:sz="0" w:space="0" w:color="auto"/>
                <w:left w:val="none" w:sz="0" w:space="0" w:color="auto"/>
                <w:bottom w:val="none" w:sz="0" w:space="0" w:color="auto"/>
                <w:right w:val="none" w:sz="0" w:space="0" w:color="auto"/>
              </w:divBdr>
              <w:divsChild>
                <w:div w:id="266543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461696">
      <w:bodyDiv w:val="1"/>
      <w:marLeft w:val="0"/>
      <w:marRight w:val="0"/>
      <w:marTop w:val="0"/>
      <w:marBottom w:val="0"/>
      <w:divBdr>
        <w:top w:val="none" w:sz="0" w:space="0" w:color="auto"/>
        <w:left w:val="none" w:sz="0" w:space="0" w:color="auto"/>
        <w:bottom w:val="none" w:sz="0" w:space="0" w:color="auto"/>
        <w:right w:val="none" w:sz="0" w:space="0" w:color="auto"/>
      </w:divBdr>
    </w:div>
    <w:div w:id="91821072">
      <w:bodyDiv w:val="1"/>
      <w:marLeft w:val="0"/>
      <w:marRight w:val="0"/>
      <w:marTop w:val="0"/>
      <w:marBottom w:val="0"/>
      <w:divBdr>
        <w:top w:val="none" w:sz="0" w:space="0" w:color="auto"/>
        <w:left w:val="none" w:sz="0" w:space="0" w:color="auto"/>
        <w:bottom w:val="none" w:sz="0" w:space="0" w:color="auto"/>
        <w:right w:val="none" w:sz="0" w:space="0" w:color="auto"/>
      </w:divBdr>
    </w:div>
    <w:div w:id="103698484">
      <w:bodyDiv w:val="1"/>
      <w:marLeft w:val="0"/>
      <w:marRight w:val="0"/>
      <w:marTop w:val="0"/>
      <w:marBottom w:val="0"/>
      <w:divBdr>
        <w:top w:val="none" w:sz="0" w:space="0" w:color="auto"/>
        <w:left w:val="none" w:sz="0" w:space="0" w:color="auto"/>
        <w:bottom w:val="none" w:sz="0" w:space="0" w:color="auto"/>
        <w:right w:val="none" w:sz="0" w:space="0" w:color="auto"/>
      </w:divBdr>
      <w:divsChild>
        <w:div w:id="1549411851">
          <w:marLeft w:val="0"/>
          <w:marRight w:val="0"/>
          <w:marTop w:val="0"/>
          <w:marBottom w:val="0"/>
          <w:divBdr>
            <w:top w:val="none" w:sz="0" w:space="0" w:color="auto"/>
            <w:left w:val="none" w:sz="0" w:space="0" w:color="auto"/>
            <w:bottom w:val="none" w:sz="0" w:space="0" w:color="auto"/>
            <w:right w:val="none" w:sz="0" w:space="0" w:color="auto"/>
          </w:divBdr>
        </w:div>
      </w:divsChild>
    </w:div>
    <w:div w:id="123894255">
      <w:bodyDiv w:val="1"/>
      <w:marLeft w:val="0"/>
      <w:marRight w:val="0"/>
      <w:marTop w:val="0"/>
      <w:marBottom w:val="0"/>
      <w:divBdr>
        <w:top w:val="none" w:sz="0" w:space="0" w:color="auto"/>
        <w:left w:val="none" w:sz="0" w:space="0" w:color="auto"/>
        <w:bottom w:val="none" w:sz="0" w:space="0" w:color="auto"/>
        <w:right w:val="none" w:sz="0" w:space="0" w:color="auto"/>
      </w:divBdr>
    </w:div>
    <w:div w:id="145753746">
      <w:bodyDiv w:val="1"/>
      <w:marLeft w:val="0"/>
      <w:marRight w:val="0"/>
      <w:marTop w:val="0"/>
      <w:marBottom w:val="0"/>
      <w:divBdr>
        <w:top w:val="none" w:sz="0" w:space="0" w:color="auto"/>
        <w:left w:val="none" w:sz="0" w:space="0" w:color="auto"/>
        <w:bottom w:val="none" w:sz="0" w:space="0" w:color="auto"/>
        <w:right w:val="none" w:sz="0" w:space="0" w:color="auto"/>
      </w:divBdr>
      <w:divsChild>
        <w:div w:id="1506750444">
          <w:marLeft w:val="0"/>
          <w:marRight w:val="0"/>
          <w:marTop w:val="0"/>
          <w:marBottom w:val="0"/>
          <w:divBdr>
            <w:top w:val="none" w:sz="0" w:space="0" w:color="auto"/>
            <w:left w:val="none" w:sz="0" w:space="0" w:color="auto"/>
            <w:bottom w:val="none" w:sz="0" w:space="0" w:color="auto"/>
            <w:right w:val="none" w:sz="0" w:space="0" w:color="auto"/>
          </w:divBdr>
        </w:div>
      </w:divsChild>
    </w:div>
    <w:div w:id="150484522">
      <w:bodyDiv w:val="1"/>
      <w:marLeft w:val="0"/>
      <w:marRight w:val="0"/>
      <w:marTop w:val="0"/>
      <w:marBottom w:val="0"/>
      <w:divBdr>
        <w:top w:val="none" w:sz="0" w:space="0" w:color="auto"/>
        <w:left w:val="none" w:sz="0" w:space="0" w:color="auto"/>
        <w:bottom w:val="none" w:sz="0" w:space="0" w:color="auto"/>
        <w:right w:val="none" w:sz="0" w:space="0" w:color="auto"/>
      </w:divBdr>
    </w:div>
    <w:div w:id="161746016">
      <w:bodyDiv w:val="1"/>
      <w:marLeft w:val="0"/>
      <w:marRight w:val="0"/>
      <w:marTop w:val="0"/>
      <w:marBottom w:val="0"/>
      <w:divBdr>
        <w:top w:val="none" w:sz="0" w:space="0" w:color="auto"/>
        <w:left w:val="none" w:sz="0" w:space="0" w:color="auto"/>
        <w:bottom w:val="none" w:sz="0" w:space="0" w:color="auto"/>
        <w:right w:val="none" w:sz="0" w:space="0" w:color="auto"/>
      </w:divBdr>
    </w:div>
    <w:div w:id="204291311">
      <w:bodyDiv w:val="1"/>
      <w:marLeft w:val="0"/>
      <w:marRight w:val="0"/>
      <w:marTop w:val="0"/>
      <w:marBottom w:val="0"/>
      <w:divBdr>
        <w:top w:val="none" w:sz="0" w:space="0" w:color="auto"/>
        <w:left w:val="none" w:sz="0" w:space="0" w:color="auto"/>
        <w:bottom w:val="none" w:sz="0" w:space="0" w:color="auto"/>
        <w:right w:val="none" w:sz="0" w:space="0" w:color="auto"/>
      </w:divBdr>
    </w:div>
    <w:div w:id="244806566">
      <w:bodyDiv w:val="1"/>
      <w:marLeft w:val="0"/>
      <w:marRight w:val="0"/>
      <w:marTop w:val="0"/>
      <w:marBottom w:val="0"/>
      <w:divBdr>
        <w:top w:val="none" w:sz="0" w:space="0" w:color="auto"/>
        <w:left w:val="none" w:sz="0" w:space="0" w:color="auto"/>
        <w:bottom w:val="none" w:sz="0" w:space="0" w:color="auto"/>
        <w:right w:val="none" w:sz="0" w:space="0" w:color="auto"/>
      </w:divBdr>
    </w:div>
    <w:div w:id="270091851">
      <w:bodyDiv w:val="1"/>
      <w:marLeft w:val="0"/>
      <w:marRight w:val="0"/>
      <w:marTop w:val="0"/>
      <w:marBottom w:val="0"/>
      <w:divBdr>
        <w:top w:val="none" w:sz="0" w:space="0" w:color="auto"/>
        <w:left w:val="none" w:sz="0" w:space="0" w:color="auto"/>
        <w:bottom w:val="none" w:sz="0" w:space="0" w:color="auto"/>
        <w:right w:val="none" w:sz="0" w:space="0" w:color="auto"/>
      </w:divBdr>
    </w:div>
    <w:div w:id="301931071">
      <w:bodyDiv w:val="1"/>
      <w:marLeft w:val="0"/>
      <w:marRight w:val="0"/>
      <w:marTop w:val="0"/>
      <w:marBottom w:val="0"/>
      <w:divBdr>
        <w:top w:val="none" w:sz="0" w:space="0" w:color="auto"/>
        <w:left w:val="none" w:sz="0" w:space="0" w:color="auto"/>
        <w:bottom w:val="none" w:sz="0" w:space="0" w:color="auto"/>
        <w:right w:val="none" w:sz="0" w:space="0" w:color="auto"/>
      </w:divBdr>
    </w:div>
    <w:div w:id="302084783">
      <w:bodyDiv w:val="1"/>
      <w:marLeft w:val="0"/>
      <w:marRight w:val="0"/>
      <w:marTop w:val="0"/>
      <w:marBottom w:val="0"/>
      <w:divBdr>
        <w:top w:val="none" w:sz="0" w:space="0" w:color="auto"/>
        <w:left w:val="none" w:sz="0" w:space="0" w:color="auto"/>
        <w:bottom w:val="none" w:sz="0" w:space="0" w:color="auto"/>
        <w:right w:val="none" w:sz="0" w:space="0" w:color="auto"/>
      </w:divBdr>
    </w:div>
    <w:div w:id="340815068">
      <w:bodyDiv w:val="1"/>
      <w:marLeft w:val="0"/>
      <w:marRight w:val="0"/>
      <w:marTop w:val="0"/>
      <w:marBottom w:val="0"/>
      <w:divBdr>
        <w:top w:val="none" w:sz="0" w:space="0" w:color="auto"/>
        <w:left w:val="none" w:sz="0" w:space="0" w:color="auto"/>
        <w:bottom w:val="none" w:sz="0" w:space="0" w:color="auto"/>
        <w:right w:val="none" w:sz="0" w:space="0" w:color="auto"/>
      </w:divBdr>
      <w:divsChild>
        <w:div w:id="1960910864">
          <w:marLeft w:val="0"/>
          <w:marRight w:val="0"/>
          <w:marTop w:val="0"/>
          <w:marBottom w:val="0"/>
          <w:divBdr>
            <w:top w:val="none" w:sz="0" w:space="0" w:color="auto"/>
            <w:left w:val="none" w:sz="0" w:space="0" w:color="auto"/>
            <w:bottom w:val="none" w:sz="0" w:space="0" w:color="auto"/>
            <w:right w:val="none" w:sz="0" w:space="0" w:color="auto"/>
          </w:divBdr>
        </w:div>
      </w:divsChild>
    </w:div>
    <w:div w:id="353463522">
      <w:bodyDiv w:val="1"/>
      <w:marLeft w:val="0"/>
      <w:marRight w:val="0"/>
      <w:marTop w:val="0"/>
      <w:marBottom w:val="0"/>
      <w:divBdr>
        <w:top w:val="none" w:sz="0" w:space="0" w:color="auto"/>
        <w:left w:val="none" w:sz="0" w:space="0" w:color="auto"/>
        <w:bottom w:val="none" w:sz="0" w:space="0" w:color="auto"/>
        <w:right w:val="none" w:sz="0" w:space="0" w:color="auto"/>
      </w:divBdr>
      <w:divsChild>
        <w:div w:id="210846533">
          <w:marLeft w:val="0"/>
          <w:marRight w:val="0"/>
          <w:marTop w:val="0"/>
          <w:marBottom w:val="0"/>
          <w:divBdr>
            <w:top w:val="none" w:sz="0" w:space="0" w:color="auto"/>
            <w:left w:val="none" w:sz="0" w:space="0" w:color="auto"/>
            <w:bottom w:val="none" w:sz="0" w:space="0" w:color="auto"/>
            <w:right w:val="none" w:sz="0" w:space="0" w:color="auto"/>
          </w:divBdr>
        </w:div>
        <w:div w:id="40635320">
          <w:marLeft w:val="0"/>
          <w:marRight w:val="0"/>
          <w:marTop w:val="0"/>
          <w:marBottom w:val="0"/>
          <w:divBdr>
            <w:top w:val="none" w:sz="0" w:space="0" w:color="auto"/>
            <w:left w:val="none" w:sz="0" w:space="0" w:color="auto"/>
            <w:bottom w:val="none" w:sz="0" w:space="0" w:color="auto"/>
            <w:right w:val="none" w:sz="0" w:space="0" w:color="auto"/>
          </w:divBdr>
        </w:div>
      </w:divsChild>
    </w:div>
    <w:div w:id="403113514">
      <w:bodyDiv w:val="1"/>
      <w:marLeft w:val="0"/>
      <w:marRight w:val="0"/>
      <w:marTop w:val="0"/>
      <w:marBottom w:val="0"/>
      <w:divBdr>
        <w:top w:val="none" w:sz="0" w:space="0" w:color="auto"/>
        <w:left w:val="none" w:sz="0" w:space="0" w:color="auto"/>
        <w:bottom w:val="none" w:sz="0" w:space="0" w:color="auto"/>
        <w:right w:val="none" w:sz="0" w:space="0" w:color="auto"/>
      </w:divBdr>
    </w:div>
    <w:div w:id="420956906">
      <w:bodyDiv w:val="1"/>
      <w:marLeft w:val="0"/>
      <w:marRight w:val="0"/>
      <w:marTop w:val="0"/>
      <w:marBottom w:val="0"/>
      <w:divBdr>
        <w:top w:val="none" w:sz="0" w:space="0" w:color="auto"/>
        <w:left w:val="none" w:sz="0" w:space="0" w:color="auto"/>
        <w:bottom w:val="none" w:sz="0" w:space="0" w:color="auto"/>
        <w:right w:val="none" w:sz="0" w:space="0" w:color="auto"/>
      </w:divBdr>
      <w:divsChild>
        <w:div w:id="1520199634">
          <w:marLeft w:val="0"/>
          <w:marRight w:val="0"/>
          <w:marTop w:val="0"/>
          <w:marBottom w:val="0"/>
          <w:divBdr>
            <w:top w:val="none" w:sz="0" w:space="0" w:color="auto"/>
            <w:left w:val="none" w:sz="0" w:space="0" w:color="auto"/>
            <w:bottom w:val="none" w:sz="0" w:space="0" w:color="auto"/>
            <w:right w:val="none" w:sz="0" w:space="0" w:color="auto"/>
          </w:divBdr>
          <w:divsChild>
            <w:div w:id="1953509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3652061">
      <w:bodyDiv w:val="1"/>
      <w:marLeft w:val="0"/>
      <w:marRight w:val="0"/>
      <w:marTop w:val="0"/>
      <w:marBottom w:val="0"/>
      <w:divBdr>
        <w:top w:val="none" w:sz="0" w:space="0" w:color="auto"/>
        <w:left w:val="none" w:sz="0" w:space="0" w:color="auto"/>
        <w:bottom w:val="none" w:sz="0" w:space="0" w:color="auto"/>
        <w:right w:val="none" w:sz="0" w:space="0" w:color="auto"/>
      </w:divBdr>
      <w:divsChild>
        <w:div w:id="18437627">
          <w:marLeft w:val="0"/>
          <w:marRight w:val="0"/>
          <w:marTop w:val="0"/>
          <w:marBottom w:val="0"/>
          <w:divBdr>
            <w:top w:val="none" w:sz="0" w:space="0" w:color="auto"/>
            <w:left w:val="none" w:sz="0" w:space="0" w:color="auto"/>
            <w:bottom w:val="none" w:sz="0" w:space="0" w:color="auto"/>
            <w:right w:val="none" w:sz="0" w:space="0" w:color="auto"/>
          </w:divBdr>
        </w:div>
      </w:divsChild>
    </w:div>
    <w:div w:id="458694609">
      <w:bodyDiv w:val="1"/>
      <w:marLeft w:val="0"/>
      <w:marRight w:val="0"/>
      <w:marTop w:val="0"/>
      <w:marBottom w:val="0"/>
      <w:divBdr>
        <w:top w:val="none" w:sz="0" w:space="0" w:color="auto"/>
        <w:left w:val="none" w:sz="0" w:space="0" w:color="auto"/>
        <w:bottom w:val="none" w:sz="0" w:space="0" w:color="auto"/>
        <w:right w:val="none" w:sz="0" w:space="0" w:color="auto"/>
      </w:divBdr>
      <w:divsChild>
        <w:div w:id="25832075">
          <w:marLeft w:val="0"/>
          <w:marRight w:val="0"/>
          <w:marTop w:val="0"/>
          <w:marBottom w:val="0"/>
          <w:divBdr>
            <w:top w:val="none" w:sz="0" w:space="0" w:color="auto"/>
            <w:left w:val="none" w:sz="0" w:space="0" w:color="auto"/>
            <w:bottom w:val="none" w:sz="0" w:space="0" w:color="auto"/>
            <w:right w:val="none" w:sz="0" w:space="0" w:color="auto"/>
          </w:divBdr>
        </w:div>
      </w:divsChild>
    </w:div>
    <w:div w:id="464130603">
      <w:bodyDiv w:val="1"/>
      <w:marLeft w:val="0"/>
      <w:marRight w:val="0"/>
      <w:marTop w:val="0"/>
      <w:marBottom w:val="0"/>
      <w:divBdr>
        <w:top w:val="none" w:sz="0" w:space="0" w:color="auto"/>
        <w:left w:val="none" w:sz="0" w:space="0" w:color="auto"/>
        <w:bottom w:val="none" w:sz="0" w:space="0" w:color="auto"/>
        <w:right w:val="none" w:sz="0" w:space="0" w:color="auto"/>
      </w:divBdr>
    </w:div>
    <w:div w:id="465701026">
      <w:bodyDiv w:val="1"/>
      <w:marLeft w:val="0"/>
      <w:marRight w:val="0"/>
      <w:marTop w:val="0"/>
      <w:marBottom w:val="0"/>
      <w:divBdr>
        <w:top w:val="none" w:sz="0" w:space="0" w:color="auto"/>
        <w:left w:val="none" w:sz="0" w:space="0" w:color="auto"/>
        <w:bottom w:val="none" w:sz="0" w:space="0" w:color="auto"/>
        <w:right w:val="none" w:sz="0" w:space="0" w:color="auto"/>
      </w:divBdr>
      <w:divsChild>
        <w:div w:id="1039355490">
          <w:marLeft w:val="0"/>
          <w:marRight w:val="0"/>
          <w:marTop w:val="0"/>
          <w:marBottom w:val="0"/>
          <w:divBdr>
            <w:top w:val="none" w:sz="0" w:space="0" w:color="auto"/>
            <w:left w:val="none" w:sz="0" w:space="0" w:color="auto"/>
            <w:bottom w:val="none" w:sz="0" w:space="0" w:color="auto"/>
            <w:right w:val="none" w:sz="0" w:space="0" w:color="auto"/>
          </w:divBdr>
        </w:div>
      </w:divsChild>
    </w:div>
    <w:div w:id="476921483">
      <w:bodyDiv w:val="1"/>
      <w:marLeft w:val="0"/>
      <w:marRight w:val="0"/>
      <w:marTop w:val="0"/>
      <w:marBottom w:val="0"/>
      <w:divBdr>
        <w:top w:val="none" w:sz="0" w:space="0" w:color="auto"/>
        <w:left w:val="none" w:sz="0" w:space="0" w:color="auto"/>
        <w:bottom w:val="none" w:sz="0" w:space="0" w:color="auto"/>
        <w:right w:val="none" w:sz="0" w:space="0" w:color="auto"/>
      </w:divBdr>
    </w:div>
    <w:div w:id="495608429">
      <w:bodyDiv w:val="1"/>
      <w:marLeft w:val="0"/>
      <w:marRight w:val="0"/>
      <w:marTop w:val="0"/>
      <w:marBottom w:val="0"/>
      <w:divBdr>
        <w:top w:val="none" w:sz="0" w:space="0" w:color="auto"/>
        <w:left w:val="none" w:sz="0" w:space="0" w:color="auto"/>
        <w:bottom w:val="none" w:sz="0" w:space="0" w:color="auto"/>
        <w:right w:val="none" w:sz="0" w:space="0" w:color="auto"/>
      </w:divBdr>
    </w:div>
    <w:div w:id="539707334">
      <w:bodyDiv w:val="1"/>
      <w:marLeft w:val="0"/>
      <w:marRight w:val="0"/>
      <w:marTop w:val="0"/>
      <w:marBottom w:val="0"/>
      <w:divBdr>
        <w:top w:val="none" w:sz="0" w:space="0" w:color="auto"/>
        <w:left w:val="none" w:sz="0" w:space="0" w:color="auto"/>
        <w:bottom w:val="none" w:sz="0" w:space="0" w:color="auto"/>
        <w:right w:val="none" w:sz="0" w:space="0" w:color="auto"/>
      </w:divBdr>
    </w:div>
    <w:div w:id="541093437">
      <w:bodyDiv w:val="1"/>
      <w:marLeft w:val="0"/>
      <w:marRight w:val="0"/>
      <w:marTop w:val="0"/>
      <w:marBottom w:val="0"/>
      <w:divBdr>
        <w:top w:val="none" w:sz="0" w:space="0" w:color="auto"/>
        <w:left w:val="none" w:sz="0" w:space="0" w:color="auto"/>
        <w:bottom w:val="none" w:sz="0" w:space="0" w:color="auto"/>
        <w:right w:val="none" w:sz="0" w:space="0" w:color="auto"/>
      </w:divBdr>
    </w:div>
    <w:div w:id="541671516">
      <w:bodyDiv w:val="1"/>
      <w:marLeft w:val="0"/>
      <w:marRight w:val="0"/>
      <w:marTop w:val="0"/>
      <w:marBottom w:val="0"/>
      <w:divBdr>
        <w:top w:val="none" w:sz="0" w:space="0" w:color="auto"/>
        <w:left w:val="none" w:sz="0" w:space="0" w:color="auto"/>
        <w:bottom w:val="none" w:sz="0" w:space="0" w:color="auto"/>
        <w:right w:val="none" w:sz="0" w:space="0" w:color="auto"/>
      </w:divBdr>
    </w:div>
    <w:div w:id="556865189">
      <w:bodyDiv w:val="1"/>
      <w:marLeft w:val="0"/>
      <w:marRight w:val="0"/>
      <w:marTop w:val="0"/>
      <w:marBottom w:val="0"/>
      <w:divBdr>
        <w:top w:val="none" w:sz="0" w:space="0" w:color="auto"/>
        <w:left w:val="none" w:sz="0" w:space="0" w:color="auto"/>
        <w:bottom w:val="none" w:sz="0" w:space="0" w:color="auto"/>
        <w:right w:val="none" w:sz="0" w:space="0" w:color="auto"/>
      </w:divBdr>
    </w:div>
    <w:div w:id="584193781">
      <w:bodyDiv w:val="1"/>
      <w:marLeft w:val="0"/>
      <w:marRight w:val="0"/>
      <w:marTop w:val="0"/>
      <w:marBottom w:val="0"/>
      <w:divBdr>
        <w:top w:val="none" w:sz="0" w:space="0" w:color="auto"/>
        <w:left w:val="none" w:sz="0" w:space="0" w:color="auto"/>
        <w:bottom w:val="none" w:sz="0" w:space="0" w:color="auto"/>
        <w:right w:val="none" w:sz="0" w:space="0" w:color="auto"/>
      </w:divBdr>
    </w:div>
    <w:div w:id="601651147">
      <w:bodyDiv w:val="1"/>
      <w:marLeft w:val="0"/>
      <w:marRight w:val="0"/>
      <w:marTop w:val="0"/>
      <w:marBottom w:val="0"/>
      <w:divBdr>
        <w:top w:val="none" w:sz="0" w:space="0" w:color="auto"/>
        <w:left w:val="none" w:sz="0" w:space="0" w:color="auto"/>
        <w:bottom w:val="none" w:sz="0" w:space="0" w:color="auto"/>
        <w:right w:val="none" w:sz="0" w:space="0" w:color="auto"/>
      </w:divBdr>
      <w:divsChild>
        <w:div w:id="779377330">
          <w:marLeft w:val="0"/>
          <w:marRight w:val="0"/>
          <w:marTop w:val="0"/>
          <w:marBottom w:val="0"/>
          <w:divBdr>
            <w:top w:val="none" w:sz="0" w:space="0" w:color="auto"/>
            <w:left w:val="none" w:sz="0" w:space="0" w:color="auto"/>
            <w:bottom w:val="none" w:sz="0" w:space="0" w:color="auto"/>
            <w:right w:val="none" w:sz="0" w:space="0" w:color="auto"/>
          </w:divBdr>
        </w:div>
        <w:div w:id="207256352">
          <w:marLeft w:val="0"/>
          <w:marRight w:val="0"/>
          <w:marTop w:val="0"/>
          <w:marBottom w:val="0"/>
          <w:divBdr>
            <w:top w:val="none" w:sz="0" w:space="0" w:color="auto"/>
            <w:left w:val="none" w:sz="0" w:space="0" w:color="auto"/>
            <w:bottom w:val="none" w:sz="0" w:space="0" w:color="auto"/>
            <w:right w:val="none" w:sz="0" w:space="0" w:color="auto"/>
          </w:divBdr>
          <w:divsChild>
            <w:div w:id="2145536739">
              <w:marLeft w:val="0"/>
              <w:marRight w:val="0"/>
              <w:marTop w:val="0"/>
              <w:marBottom w:val="0"/>
              <w:divBdr>
                <w:top w:val="none" w:sz="0" w:space="0" w:color="auto"/>
                <w:left w:val="none" w:sz="0" w:space="0" w:color="auto"/>
                <w:bottom w:val="none" w:sz="0" w:space="0" w:color="auto"/>
                <w:right w:val="none" w:sz="0" w:space="0" w:color="auto"/>
              </w:divBdr>
              <w:divsChild>
                <w:div w:id="95374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2439799">
      <w:bodyDiv w:val="1"/>
      <w:marLeft w:val="0"/>
      <w:marRight w:val="0"/>
      <w:marTop w:val="0"/>
      <w:marBottom w:val="0"/>
      <w:divBdr>
        <w:top w:val="none" w:sz="0" w:space="0" w:color="auto"/>
        <w:left w:val="none" w:sz="0" w:space="0" w:color="auto"/>
        <w:bottom w:val="none" w:sz="0" w:space="0" w:color="auto"/>
        <w:right w:val="none" w:sz="0" w:space="0" w:color="auto"/>
      </w:divBdr>
    </w:div>
    <w:div w:id="622537165">
      <w:bodyDiv w:val="1"/>
      <w:marLeft w:val="0"/>
      <w:marRight w:val="0"/>
      <w:marTop w:val="0"/>
      <w:marBottom w:val="0"/>
      <w:divBdr>
        <w:top w:val="none" w:sz="0" w:space="0" w:color="auto"/>
        <w:left w:val="none" w:sz="0" w:space="0" w:color="auto"/>
        <w:bottom w:val="none" w:sz="0" w:space="0" w:color="auto"/>
        <w:right w:val="none" w:sz="0" w:space="0" w:color="auto"/>
      </w:divBdr>
    </w:div>
    <w:div w:id="623996954">
      <w:bodyDiv w:val="1"/>
      <w:marLeft w:val="0"/>
      <w:marRight w:val="0"/>
      <w:marTop w:val="0"/>
      <w:marBottom w:val="0"/>
      <w:divBdr>
        <w:top w:val="none" w:sz="0" w:space="0" w:color="auto"/>
        <w:left w:val="none" w:sz="0" w:space="0" w:color="auto"/>
        <w:bottom w:val="none" w:sz="0" w:space="0" w:color="auto"/>
        <w:right w:val="none" w:sz="0" w:space="0" w:color="auto"/>
      </w:divBdr>
    </w:div>
    <w:div w:id="692154058">
      <w:bodyDiv w:val="1"/>
      <w:marLeft w:val="0"/>
      <w:marRight w:val="0"/>
      <w:marTop w:val="0"/>
      <w:marBottom w:val="0"/>
      <w:divBdr>
        <w:top w:val="none" w:sz="0" w:space="0" w:color="auto"/>
        <w:left w:val="none" w:sz="0" w:space="0" w:color="auto"/>
        <w:bottom w:val="none" w:sz="0" w:space="0" w:color="auto"/>
        <w:right w:val="none" w:sz="0" w:space="0" w:color="auto"/>
      </w:divBdr>
    </w:div>
    <w:div w:id="702898853">
      <w:bodyDiv w:val="1"/>
      <w:marLeft w:val="0"/>
      <w:marRight w:val="0"/>
      <w:marTop w:val="0"/>
      <w:marBottom w:val="0"/>
      <w:divBdr>
        <w:top w:val="none" w:sz="0" w:space="0" w:color="auto"/>
        <w:left w:val="none" w:sz="0" w:space="0" w:color="auto"/>
        <w:bottom w:val="none" w:sz="0" w:space="0" w:color="auto"/>
        <w:right w:val="none" w:sz="0" w:space="0" w:color="auto"/>
      </w:divBdr>
      <w:divsChild>
        <w:div w:id="39090592">
          <w:marLeft w:val="0"/>
          <w:marRight w:val="0"/>
          <w:marTop w:val="0"/>
          <w:marBottom w:val="0"/>
          <w:divBdr>
            <w:top w:val="none" w:sz="0" w:space="0" w:color="auto"/>
            <w:left w:val="none" w:sz="0" w:space="0" w:color="auto"/>
            <w:bottom w:val="none" w:sz="0" w:space="0" w:color="auto"/>
            <w:right w:val="none" w:sz="0" w:space="0" w:color="auto"/>
          </w:divBdr>
          <w:divsChild>
            <w:div w:id="498155101">
              <w:marLeft w:val="0"/>
              <w:marRight w:val="0"/>
              <w:marTop w:val="0"/>
              <w:marBottom w:val="0"/>
              <w:divBdr>
                <w:top w:val="none" w:sz="0" w:space="0" w:color="auto"/>
                <w:left w:val="none" w:sz="0" w:space="0" w:color="auto"/>
                <w:bottom w:val="none" w:sz="0" w:space="0" w:color="auto"/>
                <w:right w:val="none" w:sz="0" w:space="0" w:color="auto"/>
              </w:divBdr>
              <w:divsChild>
                <w:div w:id="1684353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6218892">
      <w:bodyDiv w:val="1"/>
      <w:marLeft w:val="0"/>
      <w:marRight w:val="0"/>
      <w:marTop w:val="0"/>
      <w:marBottom w:val="0"/>
      <w:divBdr>
        <w:top w:val="none" w:sz="0" w:space="0" w:color="auto"/>
        <w:left w:val="none" w:sz="0" w:space="0" w:color="auto"/>
        <w:bottom w:val="none" w:sz="0" w:space="0" w:color="auto"/>
        <w:right w:val="none" w:sz="0" w:space="0" w:color="auto"/>
      </w:divBdr>
      <w:divsChild>
        <w:div w:id="474030710">
          <w:marLeft w:val="0"/>
          <w:marRight w:val="0"/>
          <w:marTop w:val="0"/>
          <w:marBottom w:val="0"/>
          <w:divBdr>
            <w:top w:val="none" w:sz="0" w:space="0" w:color="auto"/>
            <w:left w:val="none" w:sz="0" w:space="0" w:color="auto"/>
            <w:bottom w:val="none" w:sz="0" w:space="0" w:color="auto"/>
            <w:right w:val="none" w:sz="0" w:space="0" w:color="auto"/>
          </w:divBdr>
        </w:div>
      </w:divsChild>
    </w:div>
    <w:div w:id="743187580">
      <w:bodyDiv w:val="1"/>
      <w:marLeft w:val="0"/>
      <w:marRight w:val="0"/>
      <w:marTop w:val="0"/>
      <w:marBottom w:val="0"/>
      <w:divBdr>
        <w:top w:val="none" w:sz="0" w:space="0" w:color="auto"/>
        <w:left w:val="none" w:sz="0" w:space="0" w:color="auto"/>
        <w:bottom w:val="none" w:sz="0" w:space="0" w:color="auto"/>
        <w:right w:val="none" w:sz="0" w:space="0" w:color="auto"/>
      </w:divBdr>
    </w:div>
    <w:div w:id="754279870">
      <w:bodyDiv w:val="1"/>
      <w:marLeft w:val="0"/>
      <w:marRight w:val="0"/>
      <w:marTop w:val="0"/>
      <w:marBottom w:val="0"/>
      <w:divBdr>
        <w:top w:val="none" w:sz="0" w:space="0" w:color="auto"/>
        <w:left w:val="none" w:sz="0" w:space="0" w:color="auto"/>
        <w:bottom w:val="none" w:sz="0" w:space="0" w:color="auto"/>
        <w:right w:val="none" w:sz="0" w:space="0" w:color="auto"/>
      </w:divBdr>
    </w:div>
    <w:div w:id="786971609">
      <w:bodyDiv w:val="1"/>
      <w:marLeft w:val="0"/>
      <w:marRight w:val="0"/>
      <w:marTop w:val="0"/>
      <w:marBottom w:val="0"/>
      <w:divBdr>
        <w:top w:val="none" w:sz="0" w:space="0" w:color="auto"/>
        <w:left w:val="none" w:sz="0" w:space="0" w:color="auto"/>
        <w:bottom w:val="none" w:sz="0" w:space="0" w:color="auto"/>
        <w:right w:val="none" w:sz="0" w:space="0" w:color="auto"/>
      </w:divBdr>
    </w:div>
    <w:div w:id="789586521">
      <w:bodyDiv w:val="1"/>
      <w:marLeft w:val="0"/>
      <w:marRight w:val="0"/>
      <w:marTop w:val="0"/>
      <w:marBottom w:val="0"/>
      <w:divBdr>
        <w:top w:val="none" w:sz="0" w:space="0" w:color="auto"/>
        <w:left w:val="none" w:sz="0" w:space="0" w:color="auto"/>
        <w:bottom w:val="none" w:sz="0" w:space="0" w:color="auto"/>
        <w:right w:val="none" w:sz="0" w:space="0" w:color="auto"/>
      </w:divBdr>
    </w:div>
    <w:div w:id="825513459">
      <w:bodyDiv w:val="1"/>
      <w:marLeft w:val="0"/>
      <w:marRight w:val="0"/>
      <w:marTop w:val="0"/>
      <w:marBottom w:val="0"/>
      <w:divBdr>
        <w:top w:val="none" w:sz="0" w:space="0" w:color="auto"/>
        <w:left w:val="none" w:sz="0" w:space="0" w:color="auto"/>
        <w:bottom w:val="none" w:sz="0" w:space="0" w:color="auto"/>
        <w:right w:val="none" w:sz="0" w:space="0" w:color="auto"/>
      </w:divBdr>
    </w:div>
    <w:div w:id="860127106">
      <w:bodyDiv w:val="1"/>
      <w:marLeft w:val="0"/>
      <w:marRight w:val="0"/>
      <w:marTop w:val="0"/>
      <w:marBottom w:val="0"/>
      <w:divBdr>
        <w:top w:val="none" w:sz="0" w:space="0" w:color="auto"/>
        <w:left w:val="none" w:sz="0" w:space="0" w:color="auto"/>
        <w:bottom w:val="none" w:sz="0" w:space="0" w:color="auto"/>
        <w:right w:val="none" w:sz="0" w:space="0" w:color="auto"/>
      </w:divBdr>
    </w:div>
    <w:div w:id="907378428">
      <w:bodyDiv w:val="1"/>
      <w:marLeft w:val="0"/>
      <w:marRight w:val="0"/>
      <w:marTop w:val="0"/>
      <w:marBottom w:val="0"/>
      <w:divBdr>
        <w:top w:val="none" w:sz="0" w:space="0" w:color="auto"/>
        <w:left w:val="none" w:sz="0" w:space="0" w:color="auto"/>
        <w:bottom w:val="none" w:sz="0" w:space="0" w:color="auto"/>
        <w:right w:val="none" w:sz="0" w:space="0" w:color="auto"/>
      </w:divBdr>
    </w:div>
    <w:div w:id="945112573">
      <w:bodyDiv w:val="1"/>
      <w:marLeft w:val="0"/>
      <w:marRight w:val="0"/>
      <w:marTop w:val="0"/>
      <w:marBottom w:val="0"/>
      <w:divBdr>
        <w:top w:val="none" w:sz="0" w:space="0" w:color="auto"/>
        <w:left w:val="none" w:sz="0" w:space="0" w:color="auto"/>
        <w:bottom w:val="none" w:sz="0" w:space="0" w:color="auto"/>
        <w:right w:val="none" w:sz="0" w:space="0" w:color="auto"/>
      </w:divBdr>
    </w:div>
    <w:div w:id="949356421">
      <w:bodyDiv w:val="1"/>
      <w:marLeft w:val="0"/>
      <w:marRight w:val="0"/>
      <w:marTop w:val="0"/>
      <w:marBottom w:val="0"/>
      <w:divBdr>
        <w:top w:val="none" w:sz="0" w:space="0" w:color="auto"/>
        <w:left w:val="none" w:sz="0" w:space="0" w:color="auto"/>
        <w:bottom w:val="none" w:sz="0" w:space="0" w:color="auto"/>
        <w:right w:val="none" w:sz="0" w:space="0" w:color="auto"/>
      </w:divBdr>
    </w:div>
    <w:div w:id="956251051">
      <w:bodyDiv w:val="1"/>
      <w:marLeft w:val="0"/>
      <w:marRight w:val="0"/>
      <w:marTop w:val="0"/>
      <w:marBottom w:val="0"/>
      <w:divBdr>
        <w:top w:val="none" w:sz="0" w:space="0" w:color="auto"/>
        <w:left w:val="none" w:sz="0" w:space="0" w:color="auto"/>
        <w:bottom w:val="none" w:sz="0" w:space="0" w:color="auto"/>
        <w:right w:val="none" w:sz="0" w:space="0" w:color="auto"/>
      </w:divBdr>
    </w:div>
    <w:div w:id="990672500">
      <w:bodyDiv w:val="1"/>
      <w:marLeft w:val="0"/>
      <w:marRight w:val="0"/>
      <w:marTop w:val="0"/>
      <w:marBottom w:val="0"/>
      <w:divBdr>
        <w:top w:val="none" w:sz="0" w:space="0" w:color="auto"/>
        <w:left w:val="none" w:sz="0" w:space="0" w:color="auto"/>
        <w:bottom w:val="none" w:sz="0" w:space="0" w:color="auto"/>
        <w:right w:val="none" w:sz="0" w:space="0" w:color="auto"/>
      </w:divBdr>
    </w:div>
    <w:div w:id="1002246183">
      <w:bodyDiv w:val="1"/>
      <w:marLeft w:val="0"/>
      <w:marRight w:val="0"/>
      <w:marTop w:val="0"/>
      <w:marBottom w:val="0"/>
      <w:divBdr>
        <w:top w:val="none" w:sz="0" w:space="0" w:color="auto"/>
        <w:left w:val="none" w:sz="0" w:space="0" w:color="auto"/>
        <w:bottom w:val="none" w:sz="0" w:space="0" w:color="auto"/>
        <w:right w:val="none" w:sz="0" w:space="0" w:color="auto"/>
      </w:divBdr>
    </w:div>
    <w:div w:id="1028260528">
      <w:bodyDiv w:val="1"/>
      <w:marLeft w:val="0"/>
      <w:marRight w:val="0"/>
      <w:marTop w:val="0"/>
      <w:marBottom w:val="0"/>
      <w:divBdr>
        <w:top w:val="none" w:sz="0" w:space="0" w:color="auto"/>
        <w:left w:val="none" w:sz="0" w:space="0" w:color="auto"/>
        <w:bottom w:val="none" w:sz="0" w:space="0" w:color="auto"/>
        <w:right w:val="none" w:sz="0" w:space="0" w:color="auto"/>
      </w:divBdr>
      <w:divsChild>
        <w:div w:id="1608779663">
          <w:marLeft w:val="0"/>
          <w:marRight w:val="0"/>
          <w:marTop w:val="0"/>
          <w:marBottom w:val="0"/>
          <w:divBdr>
            <w:top w:val="none" w:sz="0" w:space="0" w:color="auto"/>
            <w:left w:val="none" w:sz="0" w:space="0" w:color="auto"/>
            <w:bottom w:val="none" w:sz="0" w:space="0" w:color="auto"/>
            <w:right w:val="none" w:sz="0" w:space="0" w:color="auto"/>
          </w:divBdr>
        </w:div>
        <w:div w:id="87124124">
          <w:marLeft w:val="0"/>
          <w:marRight w:val="0"/>
          <w:marTop w:val="0"/>
          <w:marBottom w:val="0"/>
          <w:divBdr>
            <w:top w:val="none" w:sz="0" w:space="0" w:color="auto"/>
            <w:left w:val="none" w:sz="0" w:space="0" w:color="auto"/>
            <w:bottom w:val="none" w:sz="0" w:space="0" w:color="auto"/>
            <w:right w:val="none" w:sz="0" w:space="0" w:color="auto"/>
          </w:divBdr>
        </w:div>
      </w:divsChild>
    </w:div>
    <w:div w:id="1060983464">
      <w:bodyDiv w:val="1"/>
      <w:marLeft w:val="0"/>
      <w:marRight w:val="0"/>
      <w:marTop w:val="0"/>
      <w:marBottom w:val="0"/>
      <w:divBdr>
        <w:top w:val="none" w:sz="0" w:space="0" w:color="auto"/>
        <w:left w:val="none" w:sz="0" w:space="0" w:color="auto"/>
        <w:bottom w:val="none" w:sz="0" w:space="0" w:color="auto"/>
        <w:right w:val="none" w:sz="0" w:space="0" w:color="auto"/>
      </w:divBdr>
    </w:div>
    <w:div w:id="1064067702">
      <w:bodyDiv w:val="1"/>
      <w:marLeft w:val="0"/>
      <w:marRight w:val="0"/>
      <w:marTop w:val="0"/>
      <w:marBottom w:val="0"/>
      <w:divBdr>
        <w:top w:val="none" w:sz="0" w:space="0" w:color="auto"/>
        <w:left w:val="none" w:sz="0" w:space="0" w:color="auto"/>
        <w:bottom w:val="none" w:sz="0" w:space="0" w:color="auto"/>
        <w:right w:val="none" w:sz="0" w:space="0" w:color="auto"/>
      </w:divBdr>
    </w:div>
    <w:div w:id="1071392585">
      <w:bodyDiv w:val="1"/>
      <w:marLeft w:val="0"/>
      <w:marRight w:val="0"/>
      <w:marTop w:val="0"/>
      <w:marBottom w:val="0"/>
      <w:divBdr>
        <w:top w:val="none" w:sz="0" w:space="0" w:color="auto"/>
        <w:left w:val="none" w:sz="0" w:space="0" w:color="auto"/>
        <w:bottom w:val="none" w:sz="0" w:space="0" w:color="auto"/>
        <w:right w:val="none" w:sz="0" w:space="0" w:color="auto"/>
      </w:divBdr>
    </w:div>
    <w:div w:id="1074232143">
      <w:bodyDiv w:val="1"/>
      <w:marLeft w:val="0"/>
      <w:marRight w:val="0"/>
      <w:marTop w:val="0"/>
      <w:marBottom w:val="0"/>
      <w:divBdr>
        <w:top w:val="none" w:sz="0" w:space="0" w:color="auto"/>
        <w:left w:val="none" w:sz="0" w:space="0" w:color="auto"/>
        <w:bottom w:val="none" w:sz="0" w:space="0" w:color="auto"/>
        <w:right w:val="none" w:sz="0" w:space="0" w:color="auto"/>
      </w:divBdr>
      <w:divsChild>
        <w:div w:id="1392122029">
          <w:marLeft w:val="0"/>
          <w:marRight w:val="0"/>
          <w:marTop w:val="0"/>
          <w:marBottom w:val="0"/>
          <w:divBdr>
            <w:top w:val="none" w:sz="0" w:space="0" w:color="auto"/>
            <w:left w:val="none" w:sz="0" w:space="0" w:color="auto"/>
            <w:bottom w:val="none" w:sz="0" w:space="0" w:color="auto"/>
            <w:right w:val="none" w:sz="0" w:space="0" w:color="auto"/>
          </w:divBdr>
        </w:div>
      </w:divsChild>
    </w:div>
    <w:div w:id="1090077692">
      <w:bodyDiv w:val="1"/>
      <w:marLeft w:val="0"/>
      <w:marRight w:val="0"/>
      <w:marTop w:val="0"/>
      <w:marBottom w:val="0"/>
      <w:divBdr>
        <w:top w:val="none" w:sz="0" w:space="0" w:color="auto"/>
        <w:left w:val="none" w:sz="0" w:space="0" w:color="auto"/>
        <w:bottom w:val="none" w:sz="0" w:space="0" w:color="auto"/>
        <w:right w:val="none" w:sz="0" w:space="0" w:color="auto"/>
      </w:divBdr>
    </w:div>
    <w:div w:id="1111704484">
      <w:bodyDiv w:val="1"/>
      <w:marLeft w:val="0"/>
      <w:marRight w:val="0"/>
      <w:marTop w:val="0"/>
      <w:marBottom w:val="0"/>
      <w:divBdr>
        <w:top w:val="none" w:sz="0" w:space="0" w:color="auto"/>
        <w:left w:val="none" w:sz="0" w:space="0" w:color="auto"/>
        <w:bottom w:val="none" w:sz="0" w:space="0" w:color="auto"/>
        <w:right w:val="none" w:sz="0" w:space="0" w:color="auto"/>
      </w:divBdr>
    </w:div>
    <w:div w:id="1138182548">
      <w:bodyDiv w:val="1"/>
      <w:marLeft w:val="0"/>
      <w:marRight w:val="0"/>
      <w:marTop w:val="0"/>
      <w:marBottom w:val="0"/>
      <w:divBdr>
        <w:top w:val="none" w:sz="0" w:space="0" w:color="auto"/>
        <w:left w:val="none" w:sz="0" w:space="0" w:color="auto"/>
        <w:bottom w:val="none" w:sz="0" w:space="0" w:color="auto"/>
        <w:right w:val="none" w:sz="0" w:space="0" w:color="auto"/>
      </w:divBdr>
    </w:div>
    <w:div w:id="1148790667">
      <w:bodyDiv w:val="1"/>
      <w:marLeft w:val="0"/>
      <w:marRight w:val="0"/>
      <w:marTop w:val="0"/>
      <w:marBottom w:val="0"/>
      <w:divBdr>
        <w:top w:val="none" w:sz="0" w:space="0" w:color="auto"/>
        <w:left w:val="none" w:sz="0" w:space="0" w:color="auto"/>
        <w:bottom w:val="none" w:sz="0" w:space="0" w:color="auto"/>
        <w:right w:val="none" w:sz="0" w:space="0" w:color="auto"/>
      </w:divBdr>
      <w:divsChild>
        <w:div w:id="1485273629">
          <w:marLeft w:val="0"/>
          <w:marRight w:val="0"/>
          <w:marTop w:val="0"/>
          <w:marBottom w:val="0"/>
          <w:divBdr>
            <w:top w:val="none" w:sz="0" w:space="0" w:color="auto"/>
            <w:left w:val="none" w:sz="0" w:space="0" w:color="auto"/>
            <w:bottom w:val="none" w:sz="0" w:space="0" w:color="auto"/>
            <w:right w:val="none" w:sz="0" w:space="0" w:color="auto"/>
          </w:divBdr>
        </w:div>
      </w:divsChild>
    </w:div>
    <w:div w:id="1184053643">
      <w:bodyDiv w:val="1"/>
      <w:marLeft w:val="0"/>
      <w:marRight w:val="0"/>
      <w:marTop w:val="0"/>
      <w:marBottom w:val="0"/>
      <w:divBdr>
        <w:top w:val="none" w:sz="0" w:space="0" w:color="auto"/>
        <w:left w:val="none" w:sz="0" w:space="0" w:color="auto"/>
        <w:bottom w:val="none" w:sz="0" w:space="0" w:color="auto"/>
        <w:right w:val="none" w:sz="0" w:space="0" w:color="auto"/>
      </w:divBdr>
      <w:divsChild>
        <w:div w:id="828133150">
          <w:marLeft w:val="-720"/>
          <w:marRight w:val="0"/>
          <w:marTop w:val="0"/>
          <w:marBottom w:val="0"/>
          <w:divBdr>
            <w:top w:val="none" w:sz="0" w:space="0" w:color="auto"/>
            <w:left w:val="none" w:sz="0" w:space="0" w:color="auto"/>
            <w:bottom w:val="none" w:sz="0" w:space="0" w:color="auto"/>
            <w:right w:val="none" w:sz="0" w:space="0" w:color="auto"/>
          </w:divBdr>
        </w:div>
      </w:divsChild>
    </w:div>
    <w:div w:id="1184632268">
      <w:bodyDiv w:val="1"/>
      <w:marLeft w:val="0"/>
      <w:marRight w:val="0"/>
      <w:marTop w:val="0"/>
      <w:marBottom w:val="0"/>
      <w:divBdr>
        <w:top w:val="none" w:sz="0" w:space="0" w:color="auto"/>
        <w:left w:val="none" w:sz="0" w:space="0" w:color="auto"/>
        <w:bottom w:val="none" w:sz="0" w:space="0" w:color="auto"/>
        <w:right w:val="none" w:sz="0" w:space="0" w:color="auto"/>
      </w:divBdr>
    </w:div>
    <w:div w:id="1185899483">
      <w:bodyDiv w:val="1"/>
      <w:marLeft w:val="0"/>
      <w:marRight w:val="0"/>
      <w:marTop w:val="0"/>
      <w:marBottom w:val="0"/>
      <w:divBdr>
        <w:top w:val="none" w:sz="0" w:space="0" w:color="auto"/>
        <w:left w:val="none" w:sz="0" w:space="0" w:color="auto"/>
        <w:bottom w:val="none" w:sz="0" w:space="0" w:color="auto"/>
        <w:right w:val="none" w:sz="0" w:space="0" w:color="auto"/>
      </w:divBdr>
    </w:div>
    <w:div w:id="1186408325">
      <w:bodyDiv w:val="1"/>
      <w:marLeft w:val="0"/>
      <w:marRight w:val="0"/>
      <w:marTop w:val="0"/>
      <w:marBottom w:val="0"/>
      <w:divBdr>
        <w:top w:val="none" w:sz="0" w:space="0" w:color="auto"/>
        <w:left w:val="none" w:sz="0" w:space="0" w:color="auto"/>
        <w:bottom w:val="none" w:sz="0" w:space="0" w:color="auto"/>
        <w:right w:val="none" w:sz="0" w:space="0" w:color="auto"/>
      </w:divBdr>
    </w:div>
    <w:div w:id="1198159356">
      <w:bodyDiv w:val="1"/>
      <w:marLeft w:val="0"/>
      <w:marRight w:val="0"/>
      <w:marTop w:val="0"/>
      <w:marBottom w:val="0"/>
      <w:divBdr>
        <w:top w:val="none" w:sz="0" w:space="0" w:color="auto"/>
        <w:left w:val="none" w:sz="0" w:space="0" w:color="auto"/>
        <w:bottom w:val="none" w:sz="0" w:space="0" w:color="auto"/>
        <w:right w:val="none" w:sz="0" w:space="0" w:color="auto"/>
      </w:divBdr>
      <w:divsChild>
        <w:div w:id="1515726392">
          <w:marLeft w:val="0"/>
          <w:marRight w:val="0"/>
          <w:marTop w:val="0"/>
          <w:marBottom w:val="0"/>
          <w:divBdr>
            <w:top w:val="none" w:sz="0" w:space="0" w:color="auto"/>
            <w:left w:val="none" w:sz="0" w:space="0" w:color="auto"/>
            <w:bottom w:val="none" w:sz="0" w:space="0" w:color="auto"/>
            <w:right w:val="none" w:sz="0" w:space="0" w:color="auto"/>
          </w:divBdr>
        </w:div>
      </w:divsChild>
    </w:div>
    <w:div w:id="1202328627">
      <w:bodyDiv w:val="1"/>
      <w:marLeft w:val="0"/>
      <w:marRight w:val="0"/>
      <w:marTop w:val="0"/>
      <w:marBottom w:val="0"/>
      <w:divBdr>
        <w:top w:val="none" w:sz="0" w:space="0" w:color="auto"/>
        <w:left w:val="none" w:sz="0" w:space="0" w:color="auto"/>
        <w:bottom w:val="none" w:sz="0" w:space="0" w:color="auto"/>
        <w:right w:val="none" w:sz="0" w:space="0" w:color="auto"/>
      </w:divBdr>
    </w:div>
    <w:div w:id="1216820416">
      <w:bodyDiv w:val="1"/>
      <w:marLeft w:val="0"/>
      <w:marRight w:val="0"/>
      <w:marTop w:val="0"/>
      <w:marBottom w:val="0"/>
      <w:divBdr>
        <w:top w:val="none" w:sz="0" w:space="0" w:color="auto"/>
        <w:left w:val="none" w:sz="0" w:space="0" w:color="auto"/>
        <w:bottom w:val="none" w:sz="0" w:space="0" w:color="auto"/>
        <w:right w:val="none" w:sz="0" w:space="0" w:color="auto"/>
      </w:divBdr>
    </w:div>
    <w:div w:id="1229920907">
      <w:bodyDiv w:val="1"/>
      <w:marLeft w:val="0"/>
      <w:marRight w:val="0"/>
      <w:marTop w:val="0"/>
      <w:marBottom w:val="0"/>
      <w:divBdr>
        <w:top w:val="none" w:sz="0" w:space="0" w:color="auto"/>
        <w:left w:val="none" w:sz="0" w:space="0" w:color="auto"/>
        <w:bottom w:val="none" w:sz="0" w:space="0" w:color="auto"/>
        <w:right w:val="none" w:sz="0" w:space="0" w:color="auto"/>
      </w:divBdr>
    </w:div>
    <w:div w:id="1275289246">
      <w:bodyDiv w:val="1"/>
      <w:marLeft w:val="0"/>
      <w:marRight w:val="0"/>
      <w:marTop w:val="0"/>
      <w:marBottom w:val="0"/>
      <w:divBdr>
        <w:top w:val="none" w:sz="0" w:space="0" w:color="auto"/>
        <w:left w:val="none" w:sz="0" w:space="0" w:color="auto"/>
        <w:bottom w:val="none" w:sz="0" w:space="0" w:color="auto"/>
        <w:right w:val="none" w:sz="0" w:space="0" w:color="auto"/>
      </w:divBdr>
    </w:div>
    <w:div w:id="1320695738">
      <w:bodyDiv w:val="1"/>
      <w:marLeft w:val="0"/>
      <w:marRight w:val="0"/>
      <w:marTop w:val="0"/>
      <w:marBottom w:val="0"/>
      <w:divBdr>
        <w:top w:val="none" w:sz="0" w:space="0" w:color="auto"/>
        <w:left w:val="none" w:sz="0" w:space="0" w:color="auto"/>
        <w:bottom w:val="none" w:sz="0" w:space="0" w:color="auto"/>
        <w:right w:val="none" w:sz="0" w:space="0" w:color="auto"/>
      </w:divBdr>
    </w:div>
    <w:div w:id="1325626056">
      <w:bodyDiv w:val="1"/>
      <w:marLeft w:val="0"/>
      <w:marRight w:val="0"/>
      <w:marTop w:val="0"/>
      <w:marBottom w:val="0"/>
      <w:divBdr>
        <w:top w:val="none" w:sz="0" w:space="0" w:color="auto"/>
        <w:left w:val="none" w:sz="0" w:space="0" w:color="auto"/>
        <w:bottom w:val="none" w:sz="0" w:space="0" w:color="auto"/>
        <w:right w:val="none" w:sz="0" w:space="0" w:color="auto"/>
      </w:divBdr>
    </w:div>
    <w:div w:id="1329941867">
      <w:bodyDiv w:val="1"/>
      <w:marLeft w:val="0"/>
      <w:marRight w:val="0"/>
      <w:marTop w:val="0"/>
      <w:marBottom w:val="0"/>
      <w:divBdr>
        <w:top w:val="none" w:sz="0" w:space="0" w:color="auto"/>
        <w:left w:val="none" w:sz="0" w:space="0" w:color="auto"/>
        <w:bottom w:val="none" w:sz="0" w:space="0" w:color="auto"/>
        <w:right w:val="none" w:sz="0" w:space="0" w:color="auto"/>
      </w:divBdr>
      <w:divsChild>
        <w:div w:id="1479027951">
          <w:marLeft w:val="0"/>
          <w:marRight w:val="0"/>
          <w:marTop w:val="0"/>
          <w:marBottom w:val="0"/>
          <w:divBdr>
            <w:top w:val="none" w:sz="0" w:space="0" w:color="auto"/>
            <w:left w:val="none" w:sz="0" w:space="0" w:color="auto"/>
            <w:bottom w:val="none" w:sz="0" w:space="0" w:color="auto"/>
            <w:right w:val="none" w:sz="0" w:space="0" w:color="auto"/>
          </w:divBdr>
          <w:divsChild>
            <w:div w:id="341201031">
              <w:marLeft w:val="0"/>
              <w:marRight w:val="0"/>
              <w:marTop w:val="0"/>
              <w:marBottom w:val="0"/>
              <w:divBdr>
                <w:top w:val="none" w:sz="0" w:space="0" w:color="auto"/>
                <w:left w:val="none" w:sz="0" w:space="0" w:color="auto"/>
                <w:bottom w:val="none" w:sz="0" w:space="0" w:color="auto"/>
                <w:right w:val="none" w:sz="0" w:space="0" w:color="auto"/>
              </w:divBdr>
              <w:divsChild>
                <w:div w:id="1866558309">
                  <w:marLeft w:val="0"/>
                  <w:marRight w:val="0"/>
                  <w:marTop w:val="0"/>
                  <w:marBottom w:val="0"/>
                  <w:divBdr>
                    <w:top w:val="none" w:sz="0" w:space="0" w:color="auto"/>
                    <w:left w:val="none" w:sz="0" w:space="0" w:color="auto"/>
                    <w:bottom w:val="none" w:sz="0" w:space="0" w:color="auto"/>
                    <w:right w:val="none" w:sz="0" w:space="0" w:color="auto"/>
                  </w:divBdr>
                </w:div>
                <w:div w:id="644504928">
                  <w:marLeft w:val="0"/>
                  <w:marRight w:val="0"/>
                  <w:marTop w:val="0"/>
                  <w:marBottom w:val="0"/>
                  <w:divBdr>
                    <w:top w:val="none" w:sz="0" w:space="0" w:color="auto"/>
                    <w:left w:val="none" w:sz="0" w:space="0" w:color="auto"/>
                    <w:bottom w:val="none" w:sz="0" w:space="0" w:color="auto"/>
                    <w:right w:val="none" w:sz="0" w:space="0" w:color="auto"/>
                  </w:divBdr>
                  <w:divsChild>
                    <w:div w:id="1165707680">
                      <w:marLeft w:val="0"/>
                      <w:marRight w:val="0"/>
                      <w:marTop w:val="0"/>
                      <w:marBottom w:val="0"/>
                      <w:divBdr>
                        <w:top w:val="none" w:sz="0" w:space="0" w:color="auto"/>
                        <w:left w:val="none" w:sz="0" w:space="0" w:color="auto"/>
                        <w:bottom w:val="none" w:sz="0" w:space="0" w:color="auto"/>
                        <w:right w:val="none" w:sz="0" w:space="0" w:color="auto"/>
                      </w:divBdr>
                      <w:divsChild>
                        <w:div w:id="958604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3676819">
                  <w:marLeft w:val="0"/>
                  <w:marRight w:val="0"/>
                  <w:marTop w:val="0"/>
                  <w:marBottom w:val="0"/>
                  <w:divBdr>
                    <w:top w:val="none" w:sz="0" w:space="0" w:color="auto"/>
                    <w:left w:val="none" w:sz="0" w:space="0" w:color="auto"/>
                    <w:bottom w:val="none" w:sz="0" w:space="0" w:color="auto"/>
                    <w:right w:val="none" w:sz="0" w:space="0" w:color="auto"/>
                  </w:divBdr>
                  <w:divsChild>
                    <w:div w:id="1281914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7291644">
      <w:bodyDiv w:val="1"/>
      <w:marLeft w:val="0"/>
      <w:marRight w:val="0"/>
      <w:marTop w:val="0"/>
      <w:marBottom w:val="0"/>
      <w:divBdr>
        <w:top w:val="none" w:sz="0" w:space="0" w:color="auto"/>
        <w:left w:val="none" w:sz="0" w:space="0" w:color="auto"/>
        <w:bottom w:val="none" w:sz="0" w:space="0" w:color="auto"/>
        <w:right w:val="none" w:sz="0" w:space="0" w:color="auto"/>
      </w:divBdr>
      <w:divsChild>
        <w:div w:id="461659772">
          <w:marLeft w:val="0"/>
          <w:marRight w:val="0"/>
          <w:marTop w:val="0"/>
          <w:marBottom w:val="0"/>
          <w:divBdr>
            <w:top w:val="none" w:sz="0" w:space="0" w:color="auto"/>
            <w:left w:val="none" w:sz="0" w:space="0" w:color="auto"/>
            <w:bottom w:val="none" w:sz="0" w:space="0" w:color="auto"/>
            <w:right w:val="none" w:sz="0" w:space="0" w:color="auto"/>
          </w:divBdr>
          <w:divsChild>
            <w:div w:id="87241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1323342">
      <w:bodyDiv w:val="1"/>
      <w:marLeft w:val="0"/>
      <w:marRight w:val="0"/>
      <w:marTop w:val="0"/>
      <w:marBottom w:val="0"/>
      <w:divBdr>
        <w:top w:val="none" w:sz="0" w:space="0" w:color="auto"/>
        <w:left w:val="none" w:sz="0" w:space="0" w:color="auto"/>
        <w:bottom w:val="none" w:sz="0" w:space="0" w:color="auto"/>
        <w:right w:val="none" w:sz="0" w:space="0" w:color="auto"/>
      </w:divBdr>
    </w:div>
    <w:div w:id="1379236024">
      <w:bodyDiv w:val="1"/>
      <w:marLeft w:val="0"/>
      <w:marRight w:val="0"/>
      <w:marTop w:val="0"/>
      <w:marBottom w:val="0"/>
      <w:divBdr>
        <w:top w:val="none" w:sz="0" w:space="0" w:color="auto"/>
        <w:left w:val="none" w:sz="0" w:space="0" w:color="auto"/>
        <w:bottom w:val="none" w:sz="0" w:space="0" w:color="auto"/>
        <w:right w:val="none" w:sz="0" w:space="0" w:color="auto"/>
      </w:divBdr>
    </w:div>
    <w:div w:id="1386680831">
      <w:bodyDiv w:val="1"/>
      <w:marLeft w:val="0"/>
      <w:marRight w:val="0"/>
      <w:marTop w:val="0"/>
      <w:marBottom w:val="0"/>
      <w:divBdr>
        <w:top w:val="none" w:sz="0" w:space="0" w:color="auto"/>
        <w:left w:val="none" w:sz="0" w:space="0" w:color="auto"/>
        <w:bottom w:val="none" w:sz="0" w:space="0" w:color="auto"/>
        <w:right w:val="none" w:sz="0" w:space="0" w:color="auto"/>
      </w:divBdr>
    </w:div>
    <w:div w:id="1402370417">
      <w:bodyDiv w:val="1"/>
      <w:marLeft w:val="0"/>
      <w:marRight w:val="0"/>
      <w:marTop w:val="0"/>
      <w:marBottom w:val="0"/>
      <w:divBdr>
        <w:top w:val="none" w:sz="0" w:space="0" w:color="auto"/>
        <w:left w:val="none" w:sz="0" w:space="0" w:color="auto"/>
        <w:bottom w:val="none" w:sz="0" w:space="0" w:color="auto"/>
        <w:right w:val="none" w:sz="0" w:space="0" w:color="auto"/>
      </w:divBdr>
    </w:div>
    <w:div w:id="1404183215">
      <w:bodyDiv w:val="1"/>
      <w:marLeft w:val="0"/>
      <w:marRight w:val="0"/>
      <w:marTop w:val="0"/>
      <w:marBottom w:val="0"/>
      <w:divBdr>
        <w:top w:val="none" w:sz="0" w:space="0" w:color="auto"/>
        <w:left w:val="none" w:sz="0" w:space="0" w:color="auto"/>
        <w:bottom w:val="none" w:sz="0" w:space="0" w:color="auto"/>
        <w:right w:val="none" w:sz="0" w:space="0" w:color="auto"/>
      </w:divBdr>
      <w:divsChild>
        <w:div w:id="6642690">
          <w:marLeft w:val="0"/>
          <w:marRight w:val="0"/>
          <w:marTop w:val="0"/>
          <w:marBottom w:val="0"/>
          <w:divBdr>
            <w:top w:val="none" w:sz="0" w:space="0" w:color="auto"/>
            <w:left w:val="none" w:sz="0" w:space="0" w:color="auto"/>
            <w:bottom w:val="none" w:sz="0" w:space="0" w:color="auto"/>
            <w:right w:val="none" w:sz="0" w:space="0" w:color="auto"/>
          </w:divBdr>
          <w:divsChild>
            <w:div w:id="581840802">
              <w:marLeft w:val="0"/>
              <w:marRight w:val="0"/>
              <w:marTop w:val="0"/>
              <w:marBottom w:val="0"/>
              <w:divBdr>
                <w:top w:val="none" w:sz="0" w:space="0" w:color="auto"/>
                <w:left w:val="none" w:sz="0" w:space="0" w:color="auto"/>
                <w:bottom w:val="none" w:sz="0" w:space="0" w:color="auto"/>
                <w:right w:val="none" w:sz="0" w:space="0" w:color="auto"/>
              </w:divBdr>
              <w:divsChild>
                <w:div w:id="600181204">
                  <w:marLeft w:val="0"/>
                  <w:marRight w:val="0"/>
                  <w:marTop w:val="0"/>
                  <w:marBottom w:val="0"/>
                  <w:divBdr>
                    <w:top w:val="none" w:sz="0" w:space="0" w:color="auto"/>
                    <w:left w:val="none" w:sz="0" w:space="0" w:color="auto"/>
                    <w:bottom w:val="none" w:sz="0" w:space="0" w:color="auto"/>
                    <w:right w:val="none" w:sz="0" w:space="0" w:color="auto"/>
                  </w:divBdr>
                  <w:divsChild>
                    <w:div w:id="1177961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5730591">
      <w:bodyDiv w:val="1"/>
      <w:marLeft w:val="0"/>
      <w:marRight w:val="0"/>
      <w:marTop w:val="0"/>
      <w:marBottom w:val="0"/>
      <w:divBdr>
        <w:top w:val="none" w:sz="0" w:space="0" w:color="auto"/>
        <w:left w:val="none" w:sz="0" w:space="0" w:color="auto"/>
        <w:bottom w:val="none" w:sz="0" w:space="0" w:color="auto"/>
        <w:right w:val="none" w:sz="0" w:space="0" w:color="auto"/>
      </w:divBdr>
    </w:div>
    <w:div w:id="1488597086">
      <w:bodyDiv w:val="1"/>
      <w:marLeft w:val="0"/>
      <w:marRight w:val="0"/>
      <w:marTop w:val="0"/>
      <w:marBottom w:val="0"/>
      <w:divBdr>
        <w:top w:val="none" w:sz="0" w:space="0" w:color="auto"/>
        <w:left w:val="none" w:sz="0" w:space="0" w:color="auto"/>
        <w:bottom w:val="none" w:sz="0" w:space="0" w:color="auto"/>
        <w:right w:val="none" w:sz="0" w:space="0" w:color="auto"/>
      </w:divBdr>
    </w:div>
    <w:div w:id="1489593469">
      <w:bodyDiv w:val="1"/>
      <w:marLeft w:val="0"/>
      <w:marRight w:val="0"/>
      <w:marTop w:val="0"/>
      <w:marBottom w:val="0"/>
      <w:divBdr>
        <w:top w:val="none" w:sz="0" w:space="0" w:color="auto"/>
        <w:left w:val="none" w:sz="0" w:space="0" w:color="auto"/>
        <w:bottom w:val="none" w:sz="0" w:space="0" w:color="auto"/>
        <w:right w:val="none" w:sz="0" w:space="0" w:color="auto"/>
      </w:divBdr>
    </w:div>
    <w:div w:id="1510486170">
      <w:bodyDiv w:val="1"/>
      <w:marLeft w:val="0"/>
      <w:marRight w:val="0"/>
      <w:marTop w:val="0"/>
      <w:marBottom w:val="0"/>
      <w:divBdr>
        <w:top w:val="none" w:sz="0" w:space="0" w:color="auto"/>
        <w:left w:val="none" w:sz="0" w:space="0" w:color="auto"/>
        <w:bottom w:val="none" w:sz="0" w:space="0" w:color="auto"/>
        <w:right w:val="none" w:sz="0" w:space="0" w:color="auto"/>
      </w:divBdr>
    </w:div>
    <w:div w:id="1547064067">
      <w:bodyDiv w:val="1"/>
      <w:marLeft w:val="0"/>
      <w:marRight w:val="0"/>
      <w:marTop w:val="0"/>
      <w:marBottom w:val="0"/>
      <w:divBdr>
        <w:top w:val="none" w:sz="0" w:space="0" w:color="auto"/>
        <w:left w:val="none" w:sz="0" w:space="0" w:color="auto"/>
        <w:bottom w:val="none" w:sz="0" w:space="0" w:color="auto"/>
        <w:right w:val="none" w:sz="0" w:space="0" w:color="auto"/>
      </w:divBdr>
    </w:div>
    <w:div w:id="1561212760">
      <w:bodyDiv w:val="1"/>
      <w:marLeft w:val="0"/>
      <w:marRight w:val="0"/>
      <w:marTop w:val="0"/>
      <w:marBottom w:val="0"/>
      <w:divBdr>
        <w:top w:val="none" w:sz="0" w:space="0" w:color="auto"/>
        <w:left w:val="none" w:sz="0" w:space="0" w:color="auto"/>
        <w:bottom w:val="none" w:sz="0" w:space="0" w:color="auto"/>
        <w:right w:val="none" w:sz="0" w:space="0" w:color="auto"/>
      </w:divBdr>
    </w:div>
    <w:div w:id="1562132031">
      <w:bodyDiv w:val="1"/>
      <w:marLeft w:val="0"/>
      <w:marRight w:val="0"/>
      <w:marTop w:val="0"/>
      <w:marBottom w:val="0"/>
      <w:divBdr>
        <w:top w:val="none" w:sz="0" w:space="0" w:color="auto"/>
        <w:left w:val="none" w:sz="0" w:space="0" w:color="auto"/>
        <w:bottom w:val="none" w:sz="0" w:space="0" w:color="auto"/>
        <w:right w:val="none" w:sz="0" w:space="0" w:color="auto"/>
      </w:divBdr>
      <w:divsChild>
        <w:div w:id="65810564">
          <w:marLeft w:val="0"/>
          <w:marRight w:val="0"/>
          <w:marTop w:val="0"/>
          <w:marBottom w:val="0"/>
          <w:divBdr>
            <w:top w:val="none" w:sz="0" w:space="0" w:color="auto"/>
            <w:left w:val="none" w:sz="0" w:space="0" w:color="auto"/>
            <w:bottom w:val="none" w:sz="0" w:space="0" w:color="auto"/>
            <w:right w:val="none" w:sz="0" w:space="0" w:color="auto"/>
          </w:divBdr>
          <w:divsChild>
            <w:div w:id="1426418699">
              <w:marLeft w:val="0"/>
              <w:marRight w:val="0"/>
              <w:marTop w:val="0"/>
              <w:marBottom w:val="0"/>
              <w:divBdr>
                <w:top w:val="none" w:sz="0" w:space="0" w:color="auto"/>
                <w:left w:val="none" w:sz="0" w:space="0" w:color="auto"/>
                <w:bottom w:val="none" w:sz="0" w:space="0" w:color="auto"/>
                <w:right w:val="none" w:sz="0" w:space="0" w:color="auto"/>
              </w:divBdr>
              <w:divsChild>
                <w:div w:id="296302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1113527">
      <w:bodyDiv w:val="1"/>
      <w:marLeft w:val="0"/>
      <w:marRight w:val="0"/>
      <w:marTop w:val="0"/>
      <w:marBottom w:val="0"/>
      <w:divBdr>
        <w:top w:val="none" w:sz="0" w:space="0" w:color="auto"/>
        <w:left w:val="none" w:sz="0" w:space="0" w:color="auto"/>
        <w:bottom w:val="none" w:sz="0" w:space="0" w:color="auto"/>
        <w:right w:val="none" w:sz="0" w:space="0" w:color="auto"/>
      </w:divBdr>
    </w:div>
    <w:div w:id="1571648648">
      <w:bodyDiv w:val="1"/>
      <w:marLeft w:val="0"/>
      <w:marRight w:val="0"/>
      <w:marTop w:val="0"/>
      <w:marBottom w:val="0"/>
      <w:divBdr>
        <w:top w:val="none" w:sz="0" w:space="0" w:color="auto"/>
        <w:left w:val="none" w:sz="0" w:space="0" w:color="auto"/>
        <w:bottom w:val="none" w:sz="0" w:space="0" w:color="auto"/>
        <w:right w:val="none" w:sz="0" w:space="0" w:color="auto"/>
      </w:divBdr>
      <w:divsChild>
        <w:div w:id="701445896">
          <w:marLeft w:val="0"/>
          <w:marRight w:val="0"/>
          <w:marTop w:val="0"/>
          <w:marBottom w:val="0"/>
          <w:divBdr>
            <w:top w:val="none" w:sz="0" w:space="0" w:color="auto"/>
            <w:left w:val="none" w:sz="0" w:space="0" w:color="auto"/>
            <w:bottom w:val="none" w:sz="0" w:space="0" w:color="auto"/>
            <w:right w:val="none" w:sz="0" w:space="0" w:color="auto"/>
          </w:divBdr>
        </w:div>
        <w:div w:id="1870560851">
          <w:marLeft w:val="0"/>
          <w:marRight w:val="0"/>
          <w:marTop w:val="0"/>
          <w:marBottom w:val="0"/>
          <w:divBdr>
            <w:top w:val="none" w:sz="0" w:space="0" w:color="auto"/>
            <w:left w:val="none" w:sz="0" w:space="0" w:color="auto"/>
            <w:bottom w:val="none" w:sz="0" w:space="0" w:color="auto"/>
            <w:right w:val="none" w:sz="0" w:space="0" w:color="auto"/>
          </w:divBdr>
        </w:div>
      </w:divsChild>
    </w:div>
    <w:div w:id="1575506929">
      <w:bodyDiv w:val="1"/>
      <w:marLeft w:val="0"/>
      <w:marRight w:val="0"/>
      <w:marTop w:val="0"/>
      <w:marBottom w:val="0"/>
      <w:divBdr>
        <w:top w:val="none" w:sz="0" w:space="0" w:color="auto"/>
        <w:left w:val="none" w:sz="0" w:space="0" w:color="auto"/>
        <w:bottom w:val="none" w:sz="0" w:space="0" w:color="auto"/>
        <w:right w:val="none" w:sz="0" w:space="0" w:color="auto"/>
      </w:divBdr>
    </w:div>
    <w:div w:id="1623532655">
      <w:bodyDiv w:val="1"/>
      <w:marLeft w:val="0"/>
      <w:marRight w:val="0"/>
      <w:marTop w:val="0"/>
      <w:marBottom w:val="0"/>
      <w:divBdr>
        <w:top w:val="none" w:sz="0" w:space="0" w:color="auto"/>
        <w:left w:val="none" w:sz="0" w:space="0" w:color="auto"/>
        <w:bottom w:val="none" w:sz="0" w:space="0" w:color="auto"/>
        <w:right w:val="none" w:sz="0" w:space="0" w:color="auto"/>
      </w:divBdr>
    </w:div>
    <w:div w:id="1625572621">
      <w:bodyDiv w:val="1"/>
      <w:marLeft w:val="0"/>
      <w:marRight w:val="0"/>
      <w:marTop w:val="0"/>
      <w:marBottom w:val="0"/>
      <w:divBdr>
        <w:top w:val="none" w:sz="0" w:space="0" w:color="auto"/>
        <w:left w:val="none" w:sz="0" w:space="0" w:color="auto"/>
        <w:bottom w:val="none" w:sz="0" w:space="0" w:color="auto"/>
        <w:right w:val="none" w:sz="0" w:space="0" w:color="auto"/>
      </w:divBdr>
    </w:div>
    <w:div w:id="1653093557">
      <w:bodyDiv w:val="1"/>
      <w:marLeft w:val="0"/>
      <w:marRight w:val="0"/>
      <w:marTop w:val="0"/>
      <w:marBottom w:val="0"/>
      <w:divBdr>
        <w:top w:val="none" w:sz="0" w:space="0" w:color="auto"/>
        <w:left w:val="none" w:sz="0" w:space="0" w:color="auto"/>
        <w:bottom w:val="none" w:sz="0" w:space="0" w:color="auto"/>
        <w:right w:val="none" w:sz="0" w:space="0" w:color="auto"/>
      </w:divBdr>
    </w:div>
    <w:div w:id="1661233951">
      <w:bodyDiv w:val="1"/>
      <w:marLeft w:val="0"/>
      <w:marRight w:val="0"/>
      <w:marTop w:val="0"/>
      <w:marBottom w:val="0"/>
      <w:divBdr>
        <w:top w:val="none" w:sz="0" w:space="0" w:color="auto"/>
        <w:left w:val="none" w:sz="0" w:space="0" w:color="auto"/>
        <w:bottom w:val="none" w:sz="0" w:space="0" w:color="auto"/>
        <w:right w:val="none" w:sz="0" w:space="0" w:color="auto"/>
      </w:divBdr>
    </w:div>
    <w:div w:id="1667242293">
      <w:bodyDiv w:val="1"/>
      <w:marLeft w:val="0"/>
      <w:marRight w:val="0"/>
      <w:marTop w:val="0"/>
      <w:marBottom w:val="0"/>
      <w:divBdr>
        <w:top w:val="none" w:sz="0" w:space="0" w:color="auto"/>
        <w:left w:val="none" w:sz="0" w:space="0" w:color="auto"/>
        <w:bottom w:val="none" w:sz="0" w:space="0" w:color="auto"/>
        <w:right w:val="none" w:sz="0" w:space="0" w:color="auto"/>
      </w:divBdr>
    </w:div>
    <w:div w:id="1713187136">
      <w:bodyDiv w:val="1"/>
      <w:marLeft w:val="0"/>
      <w:marRight w:val="0"/>
      <w:marTop w:val="0"/>
      <w:marBottom w:val="0"/>
      <w:divBdr>
        <w:top w:val="none" w:sz="0" w:space="0" w:color="auto"/>
        <w:left w:val="none" w:sz="0" w:space="0" w:color="auto"/>
        <w:bottom w:val="none" w:sz="0" w:space="0" w:color="auto"/>
        <w:right w:val="none" w:sz="0" w:space="0" w:color="auto"/>
      </w:divBdr>
    </w:div>
    <w:div w:id="1741516469">
      <w:bodyDiv w:val="1"/>
      <w:marLeft w:val="0"/>
      <w:marRight w:val="0"/>
      <w:marTop w:val="0"/>
      <w:marBottom w:val="0"/>
      <w:divBdr>
        <w:top w:val="none" w:sz="0" w:space="0" w:color="auto"/>
        <w:left w:val="none" w:sz="0" w:space="0" w:color="auto"/>
        <w:bottom w:val="none" w:sz="0" w:space="0" w:color="auto"/>
        <w:right w:val="none" w:sz="0" w:space="0" w:color="auto"/>
      </w:divBdr>
      <w:divsChild>
        <w:div w:id="1725329845">
          <w:marLeft w:val="0"/>
          <w:marRight w:val="0"/>
          <w:marTop w:val="0"/>
          <w:marBottom w:val="0"/>
          <w:divBdr>
            <w:top w:val="none" w:sz="0" w:space="0" w:color="auto"/>
            <w:left w:val="none" w:sz="0" w:space="0" w:color="auto"/>
            <w:bottom w:val="none" w:sz="0" w:space="0" w:color="auto"/>
            <w:right w:val="none" w:sz="0" w:space="0" w:color="auto"/>
          </w:divBdr>
          <w:divsChild>
            <w:div w:id="1686782890">
              <w:marLeft w:val="0"/>
              <w:marRight w:val="0"/>
              <w:marTop w:val="0"/>
              <w:marBottom w:val="0"/>
              <w:divBdr>
                <w:top w:val="none" w:sz="0" w:space="0" w:color="auto"/>
                <w:left w:val="none" w:sz="0" w:space="0" w:color="auto"/>
                <w:bottom w:val="none" w:sz="0" w:space="0" w:color="auto"/>
                <w:right w:val="none" w:sz="0" w:space="0" w:color="auto"/>
              </w:divBdr>
              <w:divsChild>
                <w:div w:id="28578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6068353">
      <w:bodyDiv w:val="1"/>
      <w:marLeft w:val="0"/>
      <w:marRight w:val="0"/>
      <w:marTop w:val="0"/>
      <w:marBottom w:val="0"/>
      <w:divBdr>
        <w:top w:val="none" w:sz="0" w:space="0" w:color="auto"/>
        <w:left w:val="none" w:sz="0" w:space="0" w:color="auto"/>
        <w:bottom w:val="none" w:sz="0" w:space="0" w:color="auto"/>
        <w:right w:val="none" w:sz="0" w:space="0" w:color="auto"/>
      </w:divBdr>
    </w:div>
    <w:div w:id="1773744561">
      <w:bodyDiv w:val="1"/>
      <w:marLeft w:val="0"/>
      <w:marRight w:val="0"/>
      <w:marTop w:val="0"/>
      <w:marBottom w:val="0"/>
      <w:divBdr>
        <w:top w:val="none" w:sz="0" w:space="0" w:color="auto"/>
        <w:left w:val="none" w:sz="0" w:space="0" w:color="auto"/>
        <w:bottom w:val="none" w:sz="0" w:space="0" w:color="auto"/>
        <w:right w:val="none" w:sz="0" w:space="0" w:color="auto"/>
      </w:divBdr>
    </w:div>
    <w:div w:id="1774325165">
      <w:bodyDiv w:val="1"/>
      <w:marLeft w:val="0"/>
      <w:marRight w:val="0"/>
      <w:marTop w:val="0"/>
      <w:marBottom w:val="0"/>
      <w:divBdr>
        <w:top w:val="none" w:sz="0" w:space="0" w:color="auto"/>
        <w:left w:val="none" w:sz="0" w:space="0" w:color="auto"/>
        <w:bottom w:val="none" w:sz="0" w:space="0" w:color="auto"/>
        <w:right w:val="none" w:sz="0" w:space="0" w:color="auto"/>
      </w:divBdr>
      <w:divsChild>
        <w:div w:id="1441530824">
          <w:marLeft w:val="0"/>
          <w:marRight w:val="0"/>
          <w:marTop w:val="0"/>
          <w:marBottom w:val="0"/>
          <w:divBdr>
            <w:top w:val="none" w:sz="0" w:space="0" w:color="auto"/>
            <w:left w:val="none" w:sz="0" w:space="0" w:color="auto"/>
            <w:bottom w:val="none" w:sz="0" w:space="0" w:color="auto"/>
            <w:right w:val="none" w:sz="0" w:space="0" w:color="auto"/>
          </w:divBdr>
        </w:div>
        <w:div w:id="92214587">
          <w:marLeft w:val="0"/>
          <w:marRight w:val="0"/>
          <w:marTop w:val="0"/>
          <w:marBottom w:val="0"/>
          <w:divBdr>
            <w:top w:val="none" w:sz="0" w:space="0" w:color="auto"/>
            <w:left w:val="none" w:sz="0" w:space="0" w:color="auto"/>
            <w:bottom w:val="none" w:sz="0" w:space="0" w:color="auto"/>
            <w:right w:val="none" w:sz="0" w:space="0" w:color="auto"/>
          </w:divBdr>
        </w:div>
        <w:div w:id="2044860213">
          <w:marLeft w:val="0"/>
          <w:marRight w:val="0"/>
          <w:marTop w:val="0"/>
          <w:marBottom w:val="0"/>
          <w:divBdr>
            <w:top w:val="none" w:sz="0" w:space="0" w:color="auto"/>
            <w:left w:val="none" w:sz="0" w:space="0" w:color="auto"/>
            <w:bottom w:val="none" w:sz="0" w:space="0" w:color="auto"/>
            <w:right w:val="none" w:sz="0" w:space="0" w:color="auto"/>
          </w:divBdr>
        </w:div>
      </w:divsChild>
    </w:div>
    <w:div w:id="1785494841">
      <w:bodyDiv w:val="1"/>
      <w:marLeft w:val="0"/>
      <w:marRight w:val="0"/>
      <w:marTop w:val="0"/>
      <w:marBottom w:val="0"/>
      <w:divBdr>
        <w:top w:val="none" w:sz="0" w:space="0" w:color="auto"/>
        <w:left w:val="none" w:sz="0" w:space="0" w:color="auto"/>
        <w:bottom w:val="none" w:sz="0" w:space="0" w:color="auto"/>
        <w:right w:val="none" w:sz="0" w:space="0" w:color="auto"/>
      </w:divBdr>
    </w:div>
    <w:div w:id="1792432206">
      <w:bodyDiv w:val="1"/>
      <w:marLeft w:val="0"/>
      <w:marRight w:val="0"/>
      <w:marTop w:val="0"/>
      <w:marBottom w:val="0"/>
      <w:divBdr>
        <w:top w:val="none" w:sz="0" w:space="0" w:color="auto"/>
        <w:left w:val="none" w:sz="0" w:space="0" w:color="auto"/>
        <w:bottom w:val="none" w:sz="0" w:space="0" w:color="auto"/>
        <w:right w:val="none" w:sz="0" w:space="0" w:color="auto"/>
      </w:divBdr>
    </w:div>
    <w:div w:id="1797486158">
      <w:bodyDiv w:val="1"/>
      <w:marLeft w:val="0"/>
      <w:marRight w:val="0"/>
      <w:marTop w:val="0"/>
      <w:marBottom w:val="0"/>
      <w:divBdr>
        <w:top w:val="none" w:sz="0" w:space="0" w:color="auto"/>
        <w:left w:val="none" w:sz="0" w:space="0" w:color="auto"/>
        <w:bottom w:val="none" w:sz="0" w:space="0" w:color="auto"/>
        <w:right w:val="none" w:sz="0" w:space="0" w:color="auto"/>
      </w:divBdr>
    </w:div>
    <w:div w:id="1822188728">
      <w:bodyDiv w:val="1"/>
      <w:marLeft w:val="0"/>
      <w:marRight w:val="0"/>
      <w:marTop w:val="0"/>
      <w:marBottom w:val="0"/>
      <w:divBdr>
        <w:top w:val="none" w:sz="0" w:space="0" w:color="auto"/>
        <w:left w:val="none" w:sz="0" w:space="0" w:color="auto"/>
        <w:bottom w:val="none" w:sz="0" w:space="0" w:color="auto"/>
        <w:right w:val="none" w:sz="0" w:space="0" w:color="auto"/>
      </w:divBdr>
    </w:div>
    <w:div w:id="1825195118">
      <w:bodyDiv w:val="1"/>
      <w:marLeft w:val="0"/>
      <w:marRight w:val="0"/>
      <w:marTop w:val="0"/>
      <w:marBottom w:val="0"/>
      <w:divBdr>
        <w:top w:val="none" w:sz="0" w:space="0" w:color="auto"/>
        <w:left w:val="none" w:sz="0" w:space="0" w:color="auto"/>
        <w:bottom w:val="none" w:sz="0" w:space="0" w:color="auto"/>
        <w:right w:val="none" w:sz="0" w:space="0" w:color="auto"/>
      </w:divBdr>
    </w:div>
    <w:div w:id="1851406472">
      <w:bodyDiv w:val="1"/>
      <w:marLeft w:val="0"/>
      <w:marRight w:val="0"/>
      <w:marTop w:val="0"/>
      <w:marBottom w:val="0"/>
      <w:divBdr>
        <w:top w:val="none" w:sz="0" w:space="0" w:color="auto"/>
        <w:left w:val="none" w:sz="0" w:space="0" w:color="auto"/>
        <w:bottom w:val="none" w:sz="0" w:space="0" w:color="auto"/>
        <w:right w:val="none" w:sz="0" w:space="0" w:color="auto"/>
      </w:divBdr>
      <w:divsChild>
        <w:div w:id="1007292606">
          <w:marLeft w:val="0"/>
          <w:marRight w:val="0"/>
          <w:marTop w:val="0"/>
          <w:marBottom w:val="0"/>
          <w:divBdr>
            <w:top w:val="none" w:sz="0" w:space="0" w:color="auto"/>
            <w:left w:val="none" w:sz="0" w:space="0" w:color="auto"/>
            <w:bottom w:val="none" w:sz="0" w:space="0" w:color="auto"/>
            <w:right w:val="none" w:sz="0" w:space="0" w:color="auto"/>
          </w:divBdr>
        </w:div>
        <w:div w:id="1321468250">
          <w:marLeft w:val="0"/>
          <w:marRight w:val="0"/>
          <w:marTop w:val="0"/>
          <w:marBottom w:val="0"/>
          <w:divBdr>
            <w:top w:val="none" w:sz="0" w:space="0" w:color="auto"/>
            <w:left w:val="none" w:sz="0" w:space="0" w:color="auto"/>
            <w:bottom w:val="none" w:sz="0" w:space="0" w:color="auto"/>
            <w:right w:val="none" w:sz="0" w:space="0" w:color="auto"/>
          </w:divBdr>
        </w:div>
      </w:divsChild>
    </w:div>
    <w:div w:id="1885822033">
      <w:bodyDiv w:val="1"/>
      <w:marLeft w:val="0"/>
      <w:marRight w:val="0"/>
      <w:marTop w:val="0"/>
      <w:marBottom w:val="0"/>
      <w:divBdr>
        <w:top w:val="none" w:sz="0" w:space="0" w:color="auto"/>
        <w:left w:val="none" w:sz="0" w:space="0" w:color="auto"/>
        <w:bottom w:val="none" w:sz="0" w:space="0" w:color="auto"/>
        <w:right w:val="none" w:sz="0" w:space="0" w:color="auto"/>
      </w:divBdr>
    </w:div>
    <w:div w:id="1904826276">
      <w:bodyDiv w:val="1"/>
      <w:marLeft w:val="0"/>
      <w:marRight w:val="0"/>
      <w:marTop w:val="0"/>
      <w:marBottom w:val="0"/>
      <w:divBdr>
        <w:top w:val="none" w:sz="0" w:space="0" w:color="auto"/>
        <w:left w:val="none" w:sz="0" w:space="0" w:color="auto"/>
        <w:bottom w:val="none" w:sz="0" w:space="0" w:color="auto"/>
        <w:right w:val="none" w:sz="0" w:space="0" w:color="auto"/>
      </w:divBdr>
    </w:div>
    <w:div w:id="1915628685">
      <w:bodyDiv w:val="1"/>
      <w:marLeft w:val="0"/>
      <w:marRight w:val="0"/>
      <w:marTop w:val="0"/>
      <w:marBottom w:val="0"/>
      <w:divBdr>
        <w:top w:val="none" w:sz="0" w:space="0" w:color="auto"/>
        <w:left w:val="none" w:sz="0" w:space="0" w:color="auto"/>
        <w:bottom w:val="none" w:sz="0" w:space="0" w:color="auto"/>
        <w:right w:val="none" w:sz="0" w:space="0" w:color="auto"/>
      </w:divBdr>
    </w:div>
    <w:div w:id="1923251646">
      <w:bodyDiv w:val="1"/>
      <w:marLeft w:val="0"/>
      <w:marRight w:val="0"/>
      <w:marTop w:val="0"/>
      <w:marBottom w:val="0"/>
      <w:divBdr>
        <w:top w:val="none" w:sz="0" w:space="0" w:color="auto"/>
        <w:left w:val="none" w:sz="0" w:space="0" w:color="auto"/>
        <w:bottom w:val="none" w:sz="0" w:space="0" w:color="auto"/>
        <w:right w:val="none" w:sz="0" w:space="0" w:color="auto"/>
      </w:divBdr>
    </w:div>
    <w:div w:id="1928612220">
      <w:bodyDiv w:val="1"/>
      <w:marLeft w:val="0"/>
      <w:marRight w:val="0"/>
      <w:marTop w:val="0"/>
      <w:marBottom w:val="0"/>
      <w:divBdr>
        <w:top w:val="none" w:sz="0" w:space="0" w:color="auto"/>
        <w:left w:val="none" w:sz="0" w:space="0" w:color="auto"/>
        <w:bottom w:val="none" w:sz="0" w:space="0" w:color="auto"/>
        <w:right w:val="none" w:sz="0" w:space="0" w:color="auto"/>
      </w:divBdr>
      <w:divsChild>
        <w:div w:id="2101438324">
          <w:marLeft w:val="0"/>
          <w:marRight w:val="0"/>
          <w:marTop w:val="0"/>
          <w:marBottom w:val="0"/>
          <w:divBdr>
            <w:top w:val="none" w:sz="0" w:space="0" w:color="auto"/>
            <w:left w:val="none" w:sz="0" w:space="0" w:color="auto"/>
            <w:bottom w:val="none" w:sz="0" w:space="0" w:color="auto"/>
            <w:right w:val="none" w:sz="0" w:space="0" w:color="auto"/>
          </w:divBdr>
          <w:divsChild>
            <w:div w:id="1994791107">
              <w:marLeft w:val="0"/>
              <w:marRight w:val="0"/>
              <w:marTop w:val="0"/>
              <w:marBottom w:val="0"/>
              <w:divBdr>
                <w:top w:val="none" w:sz="0" w:space="0" w:color="auto"/>
                <w:left w:val="none" w:sz="0" w:space="0" w:color="auto"/>
                <w:bottom w:val="none" w:sz="0" w:space="0" w:color="auto"/>
                <w:right w:val="none" w:sz="0" w:space="0" w:color="auto"/>
              </w:divBdr>
            </w:div>
            <w:div w:id="1877306113">
              <w:marLeft w:val="0"/>
              <w:marRight w:val="0"/>
              <w:marTop w:val="0"/>
              <w:marBottom w:val="0"/>
              <w:divBdr>
                <w:top w:val="none" w:sz="0" w:space="0" w:color="auto"/>
                <w:left w:val="none" w:sz="0" w:space="0" w:color="auto"/>
                <w:bottom w:val="none" w:sz="0" w:space="0" w:color="auto"/>
                <w:right w:val="none" w:sz="0" w:space="0" w:color="auto"/>
              </w:divBdr>
            </w:div>
            <w:div w:id="448823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7709065">
      <w:bodyDiv w:val="1"/>
      <w:marLeft w:val="0"/>
      <w:marRight w:val="0"/>
      <w:marTop w:val="0"/>
      <w:marBottom w:val="0"/>
      <w:divBdr>
        <w:top w:val="none" w:sz="0" w:space="0" w:color="auto"/>
        <w:left w:val="none" w:sz="0" w:space="0" w:color="auto"/>
        <w:bottom w:val="none" w:sz="0" w:space="0" w:color="auto"/>
        <w:right w:val="none" w:sz="0" w:space="0" w:color="auto"/>
      </w:divBdr>
    </w:div>
    <w:div w:id="1974823864">
      <w:bodyDiv w:val="1"/>
      <w:marLeft w:val="0"/>
      <w:marRight w:val="0"/>
      <w:marTop w:val="0"/>
      <w:marBottom w:val="0"/>
      <w:divBdr>
        <w:top w:val="none" w:sz="0" w:space="0" w:color="auto"/>
        <w:left w:val="none" w:sz="0" w:space="0" w:color="auto"/>
        <w:bottom w:val="none" w:sz="0" w:space="0" w:color="auto"/>
        <w:right w:val="none" w:sz="0" w:space="0" w:color="auto"/>
      </w:divBdr>
      <w:divsChild>
        <w:div w:id="553587836">
          <w:marLeft w:val="0"/>
          <w:marRight w:val="0"/>
          <w:marTop w:val="0"/>
          <w:marBottom w:val="0"/>
          <w:divBdr>
            <w:top w:val="none" w:sz="0" w:space="0" w:color="auto"/>
            <w:left w:val="none" w:sz="0" w:space="0" w:color="auto"/>
            <w:bottom w:val="none" w:sz="0" w:space="0" w:color="auto"/>
            <w:right w:val="none" w:sz="0" w:space="0" w:color="auto"/>
          </w:divBdr>
          <w:divsChild>
            <w:div w:id="175003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1400283">
      <w:bodyDiv w:val="1"/>
      <w:marLeft w:val="0"/>
      <w:marRight w:val="0"/>
      <w:marTop w:val="0"/>
      <w:marBottom w:val="0"/>
      <w:divBdr>
        <w:top w:val="none" w:sz="0" w:space="0" w:color="auto"/>
        <w:left w:val="none" w:sz="0" w:space="0" w:color="auto"/>
        <w:bottom w:val="none" w:sz="0" w:space="0" w:color="auto"/>
        <w:right w:val="none" w:sz="0" w:space="0" w:color="auto"/>
      </w:divBdr>
    </w:div>
    <w:div w:id="1995378666">
      <w:bodyDiv w:val="1"/>
      <w:marLeft w:val="0"/>
      <w:marRight w:val="0"/>
      <w:marTop w:val="0"/>
      <w:marBottom w:val="0"/>
      <w:divBdr>
        <w:top w:val="none" w:sz="0" w:space="0" w:color="auto"/>
        <w:left w:val="none" w:sz="0" w:space="0" w:color="auto"/>
        <w:bottom w:val="none" w:sz="0" w:space="0" w:color="auto"/>
        <w:right w:val="none" w:sz="0" w:space="0" w:color="auto"/>
      </w:divBdr>
    </w:div>
    <w:div w:id="2045904913">
      <w:bodyDiv w:val="1"/>
      <w:marLeft w:val="0"/>
      <w:marRight w:val="0"/>
      <w:marTop w:val="0"/>
      <w:marBottom w:val="0"/>
      <w:divBdr>
        <w:top w:val="none" w:sz="0" w:space="0" w:color="auto"/>
        <w:left w:val="none" w:sz="0" w:space="0" w:color="auto"/>
        <w:bottom w:val="none" w:sz="0" w:space="0" w:color="auto"/>
        <w:right w:val="none" w:sz="0" w:space="0" w:color="auto"/>
      </w:divBdr>
    </w:div>
    <w:div w:id="20789352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5.xml"/><Relationship Id="rId18" Type="http://schemas.openxmlformats.org/officeDocument/2006/relationships/hyperlink" Target="https://www.cipd.org/uk/knowledge/factsheets/pestle-analysis-factsheet/" TargetMode="External"/><Relationship Id="rId26" Type="http://schemas.openxmlformats.org/officeDocument/2006/relationships/hyperlink" Target="https://www.tsw.co.uk/blog/leadership-and-management/six-thinking-hats/" TargetMode="External"/><Relationship Id="rId39" Type="http://schemas.openxmlformats.org/officeDocument/2006/relationships/hyperlink" Target="https://www.cipd.co.uk/podcasts/critical-thinking" TargetMode="External"/><Relationship Id="rId21" Type="http://schemas.openxmlformats.org/officeDocument/2006/relationships/hyperlink" Target="https://nyhealthfoundation.org/wp-content/uploads/2019/02/m_e_tool_series_indepth_interviews-1.pdf" TargetMode="External"/><Relationship Id="rId34" Type="http://schemas.openxmlformats.org/officeDocument/2006/relationships/hyperlink" Target="https://www.criticalthinking.org/pages/critical-thinking-development-a-stage-theory/483" TargetMode="External"/><Relationship Id="rId42" Type="http://schemas.openxmlformats.org/officeDocument/2006/relationships/hyperlink" Target="https://vitalflux.com/decision-making-models-concepts-examples-importance/" TargetMode="External"/><Relationship Id="rId47" Type="http://schemas.openxmlformats.org/officeDocument/2006/relationships/hyperlink" Target="https://www.cipd.org/uk/knowledge/factsheets/disability-discrimination-factsheet/" TargetMode="External"/><Relationship Id="rId50" Type="http://schemas.openxmlformats.org/officeDocument/2006/relationships/hyperlink" Target="https://www.proquest.com/openview/7c478dfdbc70c0d59c16a827e6b3865d/1?pq-origsite=gscholar&amp;cbl=2026366&amp;diss=y" TargetMode="External"/><Relationship Id="rId55" Type="http://schemas.openxmlformats.org/officeDocument/2006/relationships/hyperlink" Target="https://www.google.co.uk/search?tbo=p&amp;tbm=bks&amp;q=inauthor:%22Jeffrey+Pfeffer%22" TargetMode="External"/><Relationship Id="rId63" Type="http://schemas.openxmlformats.org/officeDocument/2006/relationships/hyperlink" Target="https://doi.org/10.1016/j.orgdyn.2023.101006" TargetMode="External"/><Relationship Id="rId68" Type="http://schemas.openxmlformats.org/officeDocument/2006/relationships/hyperlink" Target="https://www.cipd.org/globalassets/media/comms/get-involved/events/work-life-balance-supports_tcm18-57294.pdf" TargetMode="External"/><Relationship Id="rId7" Type="http://schemas.openxmlformats.org/officeDocument/2006/relationships/endnotes" Target="endnotes.xml"/><Relationship Id="rId71"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cipd.org/globalassets/media/comms/get-involved/events/2023-arc-fostering-intrinsic-motivation-high-work-intensity-8415.pdf" TargetMode="External"/><Relationship Id="rId29" Type="http://schemas.openxmlformats.org/officeDocument/2006/relationships/hyperlink" Target="https://www.cipd.org/uk/about/news-archive/news-analysis-remote-working/" TargetMode="External"/><Relationship Id="rId11" Type="http://schemas.openxmlformats.org/officeDocument/2006/relationships/chart" Target="charts/chart3.xml"/><Relationship Id="rId24" Type="http://schemas.openxmlformats.org/officeDocument/2006/relationships/hyperlink" Target="https://hbr.org/2015/04/reinventing-performance-management" TargetMode="External"/><Relationship Id="rId32" Type="http://schemas.openxmlformats.org/officeDocument/2006/relationships/hyperlink" Target="https://www.change-management-coach.com/force-field-analysis.html" TargetMode="External"/><Relationship Id="rId37" Type="http://schemas.openxmlformats.org/officeDocument/2006/relationships/hyperlink" Target="https://www.cipd.org/uk/knowledge/factsheets/swot-analysis-factsheet/" TargetMode="External"/><Relationship Id="rId40" Type="http://schemas.openxmlformats.org/officeDocument/2006/relationships/hyperlink" Target="https://www-igi-global-com.ezproxy.uwtsd.ac.uk/affiliate/informationresources-managementassociation/196958/" TargetMode="External"/><Relationship Id="rId45" Type="http://schemas.openxmlformats.org/officeDocument/2006/relationships/hyperlink" Target="https://www.linkedin.com/advice/0/what-advantages-disadvantages-ansoff-matrix" TargetMode="External"/><Relationship Id="rId53" Type="http://schemas.openxmlformats.org/officeDocument/2006/relationships/hyperlink" Target="https://corporatefinanceinstitute.com/resources/management/ansoff-matrix/" TargetMode="External"/><Relationship Id="rId58" Type="http://schemas.openxmlformats.org/officeDocument/2006/relationships/hyperlink" Target="https://www.peoplemanagement.co.uk/article/1845833/considering-application-relevance-evidence-based-hr" TargetMode="External"/><Relationship Id="rId66" Type="http://schemas.openxmlformats.org/officeDocument/2006/relationships/hyperlink" Target="https://doi.org/10.1007/s40926-023-00236-5" TargetMode="External"/><Relationship Id="rId5" Type="http://schemas.openxmlformats.org/officeDocument/2006/relationships/webSettings" Target="webSettings.xml"/><Relationship Id="rId15" Type="http://schemas.openxmlformats.org/officeDocument/2006/relationships/hyperlink" Target="https://www.cipd.org/globalassets/media/comms/get-involved/events/2023-arc-fostering-intrinsic-motivation-high-work-intensity-8415.pdf" TargetMode="External"/><Relationship Id="rId23" Type="http://schemas.openxmlformats.org/officeDocument/2006/relationships/hyperlink" Target="https://www.hrdconnect.com/2023/10/03/aligning-hr-with-the-business-through-the-evidence-based-hr-process/?fbclid=IwAR2Vap6WGIjgC4GfRObldULYTv_BlRlfj27QjkcpujxNQwArTxIKDYtrq8Y" TargetMode="External"/><Relationship Id="rId28" Type="http://schemas.openxmlformats.org/officeDocument/2006/relationships/hyperlink" Target="https://www.cipd.org/uk/about/news-archive/news-analysis-remote-working/" TargetMode="External"/><Relationship Id="rId36" Type="http://schemas.openxmlformats.org/officeDocument/2006/relationships/hyperlink" Target="https://online.hbs.edu/blog/post/decision-making-process" TargetMode="External"/><Relationship Id="rId49" Type="http://schemas.openxmlformats.org/officeDocument/2006/relationships/hyperlink" Target="https://www.toolshero.com/decision-making/six-thinking-hats-de-bono/" TargetMode="External"/><Relationship Id="rId57" Type="http://schemas.openxmlformats.org/officeDocument/2006/relationships/hyperlink" Target="https://doi.org/10.1111/caim.12543" TargetMode="External"/><Relationship Id="rId61" Type="http://schemas.openxmlformats.org/officeDocument/2006/relationships/hyperlink" Target="https://www.cipd.org/globalassets/media/comms/get-involved/events/investigating-the-benefits-and-challenges-of-agile-and-remote-working_tcm18-57296.pdf" TargetMode="External"/><Relationship Id="rId10" Type="http://schemas.openxmlformats.org/officeDocument/2006/relationships/chart" Target="charts/chart2.xml"/><Relationship Id="rId19" Type="http://schemas.openxmlformats.org/officeDocument/2006/relationships/hyperlink" Target="https://www.cipd.org/uk/knowledge/factsheets/pestle-analysis-factsheet/" TargetMode="External"/><Relationship Id="rId31" Type="http://schemas.openxmlformats.org/officeDocument/2006/relationships/hyperlink" Target="https://www.cipd.org/uk/knowledge/guides/analytics-practitioner-guide/" TargetMode="External"/><Relationship Id="rId44" Type="http://schemas.openxmlformats.org/officeDocument/2006/relationships/hyperlink" Target="https://www.linkedin.com/advice/3/what-some-strategies-critically-analyze-compare" TargetMode="External"/><Relationship Id="rId52" Type="http://schemas.openxmlformats.org/officeDocument/2006/relationships/hyperlink" Target="https://corporatefinanceinstitute.com/author/kyle-peterdy/" TargetMode="External"/><Relationship Id="rId60" Type="http://schemas.openxmlformats.org/officeDocument/2006/relationships/hyperlink" Target="https://link.springer.com/chapter/10.1007/978-981-10-0983-9_62" TargetMode="External"/><Relationship Id="rId65" Type="http://schemas.openxmlformats.org/officeDocument/2006/relationships/hyperlink" Target="https://doi.org/10.1007/978-3-319-31816-5_2474-1" TargetMode="External"/><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www.cipd.org/uk/knowledge/factsheets/diversity-factsheet/" TargetMode="External"/><Relationship Id="rId22" Type="http://schemas.openxmlformats.org/officeDocument/2006/relationships/hyperlink" Target="https://www.shrm.org/executive/resources/people-strategy-journal/winter2019/pages/ebp-briner.aspx" TargetMode="External"/><Relationship Id="rId27" Type="http://schemas.openxmlformats.org/officeDocument/2006/relationships/hyperlink" Target="https://www.cipd.org/globalassets/media/knowledge/knowledge-hub/reports/ethical-decision-making-2015-eight-perspectives-on-workplace-dilemmas_tcm18-9564.pdf" TargetMode="External"/><Relationship Id="rId30" Type="http://schemas.openxmlformats.org/officeDocument/2006/relationships/hyperlink" Target="https://www.cipd.org/globalassets/media/knowledge/knowledge-hub/reports/human-capital-analytics-and-reporting_tcm18-22281.pdf" TargetMode="External"/><Relationship Id="rId35" Type="http://schemas.openxmlformats.org/officeDocument/2006/relationships/hyperlink" Target="https://www.gov.uk/guidance/equality-act-2010-guidance" TargetMode="External"/><Relationship Id="rId43" Type="http://schemas.openxmlformats.org/officeDocument/2006/relationships/hyperlink" Target="https://www.linkedin.com/advice/1/what-advantages-disadvantages-using-7045065278488993792" TargetMode="External"/><Relationship Id="rId48" Type="http://schemas.openxmlformats.org/officeDocument/2006/relationships/hyperlink" Target="https://blog.mindmanager.com/six-thinking-hats-method/" TargetMode="External"/><Relationship Id="rId56" Type="http://schemas.openxmlformats.org/officeDocument/2006/relationships/hyperlink" Target="https://www.google.co.uk/search?tbo=p&amp;tbm=bks&amp;q=inauthor:%22Robert+I.+Sutton%22" TargetMode="External"/><Relationship Id="rId64" Type="http://schemas.openxmlformats.org/officeDocument/2006/relationships/hyperlink" Target="https://www.sciencedirect.com/science/article/abs/pii/S0090261623000505?via%3Dihub" TargetMode="External"/><Relationship Id="rId69" Type="http://schemas.openxmlformats.org/officeDocument/2006/relationships/hyperlink" Target="https://www.who.int/en/news-room/fact-sheets/detail/disability-and-health" TargetMode="External"/><Relationship Id="rId8" Type="http://schemas.openxmlformats.org/officeDocument/2006/relationships/image" Target="media/image1.png"/><Relationship Id="rId51" Type="http://schemas.openxmlformats.org/officeDocument/2006/relationships/hyperlink" Target="https://doi.org/10.1002/ntlf.30110" TargetMode="External"/><Relationship Id="rId7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chart" Target="charts/chart4.xml"/><Relationship Id="rId17" Type="http://schemas.openxmlformats.org/officeDocument/2006/relationships/hyperlink" Target="https://cebma.org/assets/Uploads/Evidence-Based-Practice-The-Basic-Principles.pdf" TargetMode="External"/><Relationship Id="rId25" Type="http://schemas.openxmlformats.org/officeDocument/2006/relationships/hyperlink" Target="https://oxfordre.com/psychology/display/10.1093/acrefore/9780190236557.001.0001/acrefore-9780190236557-e-9" TargetMode="External"/><Relationship Id="rId33" Type="http://schemas.openxmlformats.org/officeDocument/2006/relationships/hyperlink" Target="https://www.toolshero.com/toolsheroes/edward-de-bono/" TargetMode="External"/><Relationship Id="rId38" Type="http://schemas.openxmlformats.org/officeDocument/2006/relationships/hyperlink" Target="https://rebelsguidetopm.com/the-impact-of-framing-in-decision-making/" TargetMode="External"/><Relationship Id="rId46" Type="http://schemas.openxmlformats.org/officeDocument/2006/relationships/hyperlink" Target="https://www.cipd.org/uk/knowledge/factsheets/flexible-working-factsheet/" TargetMode="External"/><Relationship Id="rId59" Type="http://schemas.openxmlformats.org/officeDocument/2006/relationships/hyperlink" Target="https://www.cipd.org/uk/knowledge/guides/ethics-work-guide/" TargetMode="External"/><Relationship Id="rId67" Type="http://schemas.openxmlformats.org/officeDocument/2006/relationships/hyperlink" Target="https://wial.org/action-learning/" TargetMode="External"/><Relationship Id="rId20" Type="http://schemas.openxmlformats.org/officeDocument/2006/relationships/hyperlink" Target="https://www.cipd.org/uk/knowledge/factsheets/job-design-factsheet/" TargetMode="External"/><Relationship Id="rId41" Type="http://schemas.openxmlformats.org/officeDocument/2006/relationships/hyperlink" Target="https://doi-org.ezproxy.uwtsd.ac.uk/10.4018/978-1-7998-3022-1" TargetMode="External"/><Relationship Id="rId54" Type="http://schemas.openxmlformats.org/officeDocument/2006/relationships/hyperlink" Target="https://corporatefinanceinstitute.com/resources/management/swot-analysis/" TargetMode="External"/><Relationship Id="rId62" Type="http://schemas.openxmlformats.org/officeDocument/2006/relationships/hyperlink" Target="https://www.stonewall.org.uk/resources/lgbt-britain-work-report-2018" TargetMode="External"/><Relationship Id="rId70" Type="http://schemas.openxmlformats.org/officeDocument/2006/relationships/hyperlink" Target="https://www.cipd.co.uk/knowledge/strategy/analytics/evidence-based-practice-factsheet" TargetMode="External"/><Relationship Id="rId1" Type="http://schemas.openxmlformats.org/officeDocument/2006/relationships/customXml" Target="../customXml/item1.xml"/><Relationship Id="rId6" Type="http://schemas.openxmlformats.org/officeDocument/2006/relationships/footnotes" Target="footnote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1. Percentage of each gender by type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Percentage of each gender by type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433-472E-B11A-C5297114B2C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433-472E-B11A-C5297114B2C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433-472E-B11A-C5297114B2C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Non-Binary</c:v>
                </c:pt>
                <c:pt idx="1">
                  <c:v>Male</c:v>
                </c:pt>
                <c:pt idx="2">
                  <c:v>Female</c:v>
                </c:pt>
              </c:strCache>
            </c:strRef>
          </c:cat>
          <c:val>
            <c:numRef>
              <c:f>Sheet1!$B$2:$B$4</c:f>
              <c:numCache>
                <c:formatCode>General</c:formatCode>
                <c:ptCount val="3"/>
                <c:pt idx="0">
                  <c:v>0.7</c:v>
                </c:pt>
                <c:pt idx="1">
                  <c:v>53.8</c:v>
                </c:pt>
                <c:pt idx="2">
                  <c:v>45.3</c:v>
                </c:pt>
              </c:numCache>
            </c:numRef>
          </c:val>
          <c:extLst>
            <c:ext xmlns:c16="http://schemas.microsoft.com/office/drawing/2014/chart" uri="{C3380CC4-5D6E-409C-BE32-E72D297353CC}">
              <c16:uniqueId val="{00000006-2433-472E-B11A-C5297114B2C4}"/>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2. Ethnicity</a:t>
            </a:r>
            <a:r>
              <a:rPr lang="en-GB" baseline="0"/>
              <a:t> as a percentage per team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0807646302538741E-2"/>
          <c:y val="0.17171296296296296"/>
          <c:w val="0.91513061527341577"/>
          <c:h val="0.32921551472732574"/>
        </c:manualLayout>
      </c:layout>
      <c:barChart>
        <c:barDir val="col"/>
        <c:grouping val="clustered"/>
        <c:varyColors val="0"/>
        <c:ser>
          <c:idx val="0"/>
          <c:order val="0"/>
          <c:tx>
            <c:strRef>
              <c:f>Sheet1!$B$1</c:f>
              <c:strCache>
                <c:ptCount val="1"/>
                <c:pt idx="0">
                  <c:v>White Irish</c:v>
                </c:pt>
              </c:strCache>
            </c:strRef>
          </c:tx>
          <c:spPr>
            <a:solidFill>
              <a:schemeClr val="accent1"/>
            </a:solidFill>
            <a:ln>
              <a:noFill/>
            </a:ln>
            <a:effectLst/>
          </c:spPr>
          <c:invertIfNegative val="0"/>
          <c:cat>
            <c:strRef>
              <c:f>Sheet1!$A$2:$A$19</c:f>
              <c:strCache>
                <c:ptCount val="18"/>
                <c:pt idx="0">
                  <c:v>Business Service</c:v>
                </c:pt>
                <c:pt idx="1">
                  <c:v>Community E&amp;P</c:v>
                </c:pt>
                <c:pt idx="2">
                  <c:v>Customer Service</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Sheet1!$B$2:$B$19</c:f>
              <c:numCache>
                <c:formatCode>General</c:formatCode>
                <c:ptCount val="18"/>
                <c:pt idx="0" formatCode="0%">
                  <c:v>0.11</c:v>
                </c:pt>
                <c:pt idx="9" formatCode="0.00%">
                  <c:v>5.2999999999999999E-2</c:v>
                </c:pt>
              </c:numCache>
            </c:numRef>
          </c:val>
          <c:extLst>
            <c:ext xmlns:c16="http://schemas.microsoft.com/office/drawing/2014/chart" uri="{C3380CC4-5D6E-409C-BE32-E72D297353CC}">
              <c16:uniqueId val="{00000000-AD88-42C2-B91E-F65D80CC2750}"/>
            </c:ext>
          </c:extLst>
        </c:ser>
        <c:ser>
          <c:idx val="1"/>
          <c:order val="1"/>
          <c:tx>
            <c:strRef>
              <c:f>Sheet1!$C$1</c:f>
              <c:strCache>
                <c:ptCount val="1"/>
                <c:pt idx="0">
                  <c:v>White British</c:v>
                </c:pt>
              </c:strCache>
            </c:strRef>
          </c:tx>
          <c:spPr>
            <a:solidFill>
              <a:schemeClr val="accent2"/>
            </a:solidFill>
            <a:ln>
              <a:noFill/>
            </a:ln>
            <a:effectLst/>
          </c:spPr>
          <c:invertIfNegative val="0"/>
          <c:cat>
            <c:strRef>
              <c:f>Sheet1!$A$2:$A$19</c:f>
              <c:strCache>
                <c:ptCount val="18"/>
                <c:pt idx="0">
                  <c:v>Business Service</c:v>
                </c:pt>
                <c:pt idx="1">
                  <c:v>Community E&amp;P</c:v>
                </c:pt>
                <c:pt idx="2">
                  <c:v>Customer Service</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Sheet1!$C$2:$C$19</c:f>
              <c:numCache>
                <c:formatCode>0.00%</c:formatCode>
                <c:ptCount val="18"/>
                <c:pt idx="0" formatCode="0%">
                  <c:v>0.78</c:v>
                </c:pt>
                <c:pt idx="1">
                  <c:v>0.57099999999999995</c:v>
                </c:pt>
                <c:pt idx="2" formatCode="0%">
                  <c:v>0.8</c:v>
                </c:pt>
                <c:pt idx="3" formatCode="0%">
                  <c:v>0.8</c:v>
                </c:pt>
                <c:pt idx="4" formatCode="0%">
                  <c:v>1</c:v>
                </c:pt>
                <c:pt idx="5" formatCode="0%">
                  <c:v>0.8</c:v>
                </c:pt>
                <c:pt idx="6">
                  <c:v>0.66700000000000004</c:v>
                </c:pt>
                <c:pt idx="7">
                  <c:v>0.91700000000000004</c:v>
                </c:pt>
                <c:pt idx="8">
                  <c:v>0.88900000000000001</c:v>
                </c:pt>
                <c:pt idx="9">
                  <c:v>0.89400000000000002</c:v>
                </c:pt>
                <c:pt idx="10" formatCode="0%">
                  <c:v>0.89</c:v>
                </c:pt>
                <c:pt idx="11" formatCode="0%">
                  <c:v>1</c:v>
                </c:pt>
                <c:pt idx="12" formatCode="0%">
                  <c:v>1</c:v>
                </c:pt>
                <c:pt idx="13" formatCode="0%">
                  <c:v>0.91</c:v>
                </c:pt>
                <c:pt idx="14" formatCode="0%">
                  <c:v>0.99</c:v>
                </c:pt>
                <c:pt idx="15" formatCode="0%">
                  <c:v>0.83</c:v>
                </c:pt>
                <c:pt idx="16" formatCode="0%">
                  <c:v>0.91</c:v>
                </c:pt>
                <c:pt idx="17" formatCode="0%">
                  <c:v>0.82</c:v>
                </c:pt>
              </c:numCache>
            </c:numRef>
          </c:val>
          <c:extLst>
            <c:ext xmlns:c16="http://schemas.microsoft.com/office/drawing/2014/chart" uri="{C3380CC4-5D6E-409C-BE32-E72D297353CC}">
              <c16:uniqueId val="{00000001-AD88-42C2-B91E-F65D80CC2750}"/>
            </c:ext>
          </c:extLst>
        </c:ser>
        <c:ser>
          <c:idx val="2"/>
          <c:order val="2"/>
          <c:tx>
            <c:strRef>
              <c:f>Sheet1!$D$1</c:f>
              <c:strCache>
                <c:ptCount val="1"/>
                <c:pt idx="0">
                  <c:v>White Other</c:v>
                </c:pt>
              </c:strCache>
            </c:strRef>
          </c:tx>
          <c:spPr>
            <a:solidFill>
              <a:schemeClr val="accent3"/>
            </a:solidFill>
            <a:ln>
              <a:noFill/>
            </a:ln>
            <a:effectLst/>
          </c:spPr>
          <c:invertIfNegative val="0"/>
          <c:cat>
            <c:strRef>
              <c:f>Sheet1!$A$2:$A$19</c:f>
              <c:strCache>
                <c:ptCount val="18"/>
                <c:pt idx="0">
                  <c:v>Business Service</c:v>
                </c:pt>
                <c:pt idx="1">
                  <c:v>Community E&amp;P</c:v>
                </c:pt>
                <c:pt idx="2">
                  <c:v>Customer Service</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Sheet1!$D$2:$D$19</c:f>
              <c:numCache>
                <c:formatCode>General</c:formatCode>
                <c:ptCount val="18"/>
                <c:pt idx="0" formatCode="0%">
                  <c:v>0.11</c:v>
                </c:pt>
                <c:pt idx="7" formatCode="0.00%">
                  <c:v>8.3000000000000004E-2</c:v>
                </c:pt>
                <c:pt idx="9" formatCode="0.00%">
                  <c:v>5.2999999999999999E-2</c:v>
                </c:pt>
                <c:pt idx="17" formatCode="0%">
                  <c:v>0.18</c:v>
                </c:pt>
              </c:numCache>
            </c:numRef>
          </c:val>
          <c:extLst>
            <c:ext xmlns:c16="http://schemas.microsoft.com/office/drawing/2014/chart" uri="{C3380CC4-5D6E-409C-BE32-E72D297353CC}">
              <c16:uniqueId val="{00000002-AD88-42C2-B91E-F65D80CC2750}"/>
            </c:ext>
          </c:extLst>
        </c:ser>
        <c:ser>
          <c:idx val="3"/>
          <c:order val="3"/>
          <c:tx>
            <c:strRef>
              <c:f>Sheet1!$E$1</c:f>
              <c:strCache>
                <c:ptCount val="1"/>
                <c:pt idx="0">
                  <c:v>Indian</c:v>
                </c:pt>
              </c:strCache>
            </c:strRef>
          </c:tx>
          <c:spPr>
            <a:solidFill>
              <a:schemeClr val="accent4"/>
            </a:solidFill>
            <a:ln>
              <a:noFill/>
            </a:ln>
            <a:effectLst/>
          </c:spPr>
          <c:invertIfNegative val="0"/>
          <c:cat>
            <c:strRef>
              <c:f>Sheet1!$A$2:$A$19</c:f>
              <c:strCache>
                <c:ptCount val="18"/>
                <c:pt idx="0">
                  <c:v>Business Service</c:v>
                </c:pt>
                <c:pt idx="1">
                  <c:v>Community E&amp;P</c:v>
                </c:pt>
                <c:pt idx="2">
                  <c:v>Customer Service</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Sheet1!$E$2:$E$19</c:f>
              <c:numCache>
                <c:formatCode>0.00%</c:formatCode>
                <c:ptCount val="18"/>
                <c:pt idx="1">
                  <c:v>0.14299999999999999</c:v>
                </c:pt>
                <c:pt idx="3" formatCode="0%">
                  <c:v>0.2</c:v>
                </c:pt>
                <c:pt idx="5" formatCode="0%">
                  <c:v>0.1</c:v>
                </c:pt>
                <c:pt idx="6">
                  <c:v>0.33300000000000002</c:v>
                </c:pt>
              </c:numCache>
            </c:numRef>
          </c:val>
          <c:extLst>
            <c:ext xmlns:c16="http://schemas.microsoft.com/office/drawing/2014/chart" uri="{C3380CC4-5D6E-409C-BE32-E72D297353CC}">
              <c16:uniqueId val="{00000003-AD88-42C2-B91E-F65D80CC2750}"/>
            </c:ext>
          </c:extLst>
        </c:ser>
        <c:ser>
          <c:idx val="4"/>
          <c:order val="4"/>
          <c:tx>
            <c:strRef>
              <c:f>Sheet1!$F$1</c:f>
              <c:strCache>
                <c:ptCount val="1"/>
                <c:pt idx="0">
                  <c:v>Mixed Other</c:v>
                </c:pt>
              </c:strCache>
            </c:strRef>
          </c:tx>
          <c:spPr>
            <a:solidFill>
              <a:schemeClr val="accent5"/>
            </a:solidFill>
            <a:ln>
              <a:noFill/>
            </a:ln>
            <a:effectLst/>
          </c:spPr>
          <c:invertIfNegative val="0"/>
          <c:cat>
            <c:strRef>
              <c:f>Sheet1!$A$2:$A$19</c:f>
              <c:strCache>
                <c:ptCount val="18"/>
                <c:pt idx="0">
                  <c:v>Business Service</c:v>
                </c:pt>
                <c:pt idx="1">
                  <c:v>Community E&amp;P</c:v>
                </c:pt>
                <c:pt idx="2">
                  <c:v>Customer Service</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Sheet1!$F$2:$F$19</c:f>
              <c:numCache>
                <c:formatCode>0.00%</c:formatCode>
                <c:ptCount val="18"/>
                <c:pt idx="1">
                  <c:v>0.14299999999999999</c:v>
                </c:pt>
              </c:numCache>
            </c:numRef>
          </c:val>
          <c:extLst>
            <c:ext xmlns:c16="http://schemas.microsoft.com/office/drawing/2014/chart" uri="{C3380CC4-5D6E-409C-BE32-E72D297353CC}">
              <c16:uniqueId val="{00000004-AD88-42C2-B91E-F65D80CC2750}"/>
            </c:ext>
          </c:extLst>
        </c:ser>
        <c:ser>
          <c:idx val="5"/>
          <c:order val="5"/>
          <c:tx>
            <c:strRef>
              <c:f>Sheet1!$G$1</c:f>
              <c:strCache>
                <c:ptCount val="1"/>
                <c:pt idx="0">
                  <c:v>Pakistani</c:v>
                </c:pt>
              </c:strCache>
            </c:strRef>
          </c:tx>
          <c:spPr>
            <a:solidFill>
              <a:schemeClr val="accent6"/>
            </a:solidFill>
            <a:ln>
              <a:noFill/>
            </a:ln>
            <a:effectLst/>
          </c:spPr>
          <c:invertIfNegative val="0"/>
          <c:cat>
            <c:strRef>
              <c:f>Sheet1!$A$2:$A$19</c:f>
              <c:strCache>
                <c:ptCount val="18"/>
                <c:pt idx="0">
                  <c:v>Business Service</c:v>
                </c:pt>
                <c:pt idx="1">
                  <c:v>Community E&amp;P</c:v>
                </c:pt>
                <c:pt idx="2">
                  <c:v>Customer Service</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Sheet1!$G$2:$G$19</c:f>
              <c:numCache>
                <c:formatCode>General</c:formatCode>
                <c:ptCount val="18"/>
                <c:pt idx="2" formatCode="0.00%">
                  <c:v>0.1333</c:v>
                </c:pt>
                <c:pt idx="14" formatCode="0%">
                  <c:v>0.01</c:v>
                </c:pt>
                <c:pt idx="15" formatCode="0%">
                  <c:v>0.17</c:v>
                </c:pt>
              </c:numCache>
            </c:numRef>
          </c:val>
          <c:extLst>
            <c:ext xmlns:c16="http://schemas.microsoft.com/office/drawing/2014/chart" uri="{C3380CC4-5D6E-409C-BE32-E72D297353CC}">
              <c16:uniqueId val="{00000005-AD88-42C2-B91E-F65D80CC2750}"/>
            </c:ext>
          </c:extLst>
        </c:ser>
        <c:ser>
          <c:idx val="6"/>
          <c:order val="6"/>
          <c:tx>
            <c:strRef>
              <c:f>Sheet1!$H$1</c:f>
              <c:strCache>
                <c:ptCount val="1"/>
                <c:pt idx="0">
                  <c:v>Chinese</c:v>
                </c:pt>
              </c:strCache>
            </c:strRef>
          </c:tx>
          <c:spPr>
            <a:solidFill>
              <a:schemeClr val="accent1">
                <a:lumMod val="60000"/>
              </a:schemeClr>
            </a:solidFill>
            <a:ln>
              <a:noFill/>
            </a:ln>
            <a:effectLst/>
          </c:spPr>
          <c:invertIfNegative val="0"/>
          <c:cat>
            <c:strRef>
              <c:f>Sheet1!$A$2:$A$19</c:f>
              <c:strCache>
                <c:ptCount val="18"/>
                <c:pt idx="0">
                  <c:v>Business Service</c:v>
                </c:pt>
                <c:pt idx="1">
                  <c:v>Community E&amp;P</c:v>
                </c:pt>
                <c:pt idx="2">
                  <c:v>Customer Service</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Sheet1!$H$2:$H$19</c:f>
              <c:numCache>
                <c:formatCode>General</c:formatCode>
                <c:ptCount val="18"/>
                <c:pt idx="2" formatCode="0.00%">
                  <c:v>6.6699999999999995E-2</c:v>
                </c:pt>
                <c:pt idx="13" formatCode="0%">
                  <c:v>0.09</c:v>
                </c:pt>
              </c:numCache>
            </c:numRef>
          </c:val>
          <c:extLst>
            <c:ext xmlns:c16="http://schemas.microsoft.com/office/drawing/2014/chart" uri="{C3380CC4-5D6E-409C-BE32-E72D297353CC}">
              <c16:uniqueId val="{00000006-AD88-42C2-B91E-F65D80CC2750}"/>
            </c:ext>
          </c:extLst>
        </c:ser>
        <c:ser>
          <c:idx val="7"/>
          <c:order val="7"/>
          <c:tx>
            <c:strRef>
              <c:f>Sheet1!$I$1</c:f>
              <c:strCache>
                <c:ptCount val="1"/>
                <c:pt idx="0">
                  <c:v>Black Other</c:v>
                </c:pt>
              </c:strCache>
            </c:strRef>
          </c:tx>
          <c:spPr>
            <a:solidFill>
              <a:schemeClr val="accent2">
                <a:lumMod val="60000"/>
              </a:schemeClr>
            </a:solidFill>
            <a:ln>
              <a:noFill/>
            </a:ln>
            <a:effectLst/>
          </c:spPr>
          <c:invertIfNegative val="0"/>
          <c:cat>
            <c:strRef>
              <c:f>Sheet1!$A$2:$A$19</c:f>
              <c:strCache>
                <c:ptCount val="18"/>
                <c:pt idx="0">
                  <c:v>Business Service</c:v>
                </c:pt>
                <c:pt idx="1">
                  <c:v>Community E&amp;P</c:v>
                </c:pt>
                <c:pt idx="2">
                  <c:v>Customer Service</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Sheet1!$I$2:$I$19</c:f>
              <c:numCache>
                <c:formatCode>General</c:formatCode>
                <c:ptCount val="18"/>
                <c:pt idx="5" formatCode="0%">
                  <c:v>0.1</c:v>
                </c:pt>
                <c:pt idx="10" formatCode="0%">
                  <c:v>0.11</c:v>
                </c:pt>
              </c:numCache>
            </c:numRef>
          </c:val>
          <c:extLst>
            <c:ext xmlns:c16="http://schemas.microsoft.com/office/drawing/2014/chart" uri="{C3380CC4-5D6E-409C-BE32-E72D297353CC}">
              <c16:uniqueId val="{00000007-AD88-42C2-B91E-F65D80CC2750}"/>
            </c:ext>
          </c:extLst>
        </c:ser>
        <c:ser>
          <c:idx val="8"/>
          <c:order val="8"/>
          <c:tx>
            <c:strRef>
              <c:f>Sheet1!$J$1</c:f>
              <c:strCache>
                <c:ptCount val="1"/>
                <c:pt idx="0">
                  <c:v>Asian</c:v>
                </c:pt>
              </c:strCache>
            </c:strRef>
          </c:tx>
          <c:spPr>
            <a:solidFill>
              <a:schemeClr val="accent3">
                <a:lumMod val="60000"/>
              </a:schemeClr>
            </a:solidFill>
            <a:ln>
              <a:noFill/>
            </a:ln>
            <a:effectLst/>
          </c:spPr>
          <c:invertIfNegative val="0"/>
          <c:cat>
            <c:strRef>
              <c:f>Sheet1!$A$2:$A$19</c:f>
              <c:strCache>
                <c:ptCount val="18"/>
                <c:pt idx="0">
                  <c:v>Business Service</c:v>
                </c:pt>
                <c:pt idx="1">
                  <c:v>Community E&amp;P</c:v>
                </c:pt>
                <c:pt idx="2">
                  <c:v>Customer Service</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Sheet1!$J$2:$J$19</c:f>
              <c:numCache>
                <c:formatCode>General</c:formatCode>
                <c:ptCount val="18"/>
                <c:pt idx="8" formatCode="0.00%">
                  <c:v>5.5500000000000001E-2</c:v>
                </c:pt>
              </c:numCache>
            </c:numRef>
          </c:val>
          <c:extLst>
            <c:ext xmlns:c16="http://schemas.microsoft.com/office/drawing/2014/chart" uri="{C3380CC4-5D6E-409C-BE32-E72D297353CC}">
              <c16:uniqueId val="{00000008-AD88-42C2-B91E-F65D80CC2750}"/>
            </c:ext>
          </c:extLst>
        </c:ser>
        <c:ser>
          <c:idx val="9"/>
          <c:order val="9"/>
          <c:tx>
            <c:strRef>
              <c:f>Sheet1!$K$1</c:f>
              <c:strCache>
                <c:ptCount val="1"/>
                <c:pt idx="0">
                  <c:v>W&amp;B Caribbean</c:v>
                </c:pt>
              </c:strCache>
            </c:strRef>
          </c:tx>
          <c:spPr>
            <a:solidFill>
              <a:schemeClr val="accent4">
                <a:lumMod val="60000"/>
              </a:schemeClr>
            </a:solidFill>
            <a:ln>
              <a:noFill/>
            </a:ln>
            <a:effectLst/>
          </c:spPr>
          <c:invertIfNegative val="0"/>
          <c:cat>
            <c:strRef>
              <c:f>Sheet1!$A$2:$A$19</c:f>
              <c:strCache>
                <c:ptCount val="18"/>
                <c:pt idx="0">
                  <c:v>Business Service</c:v>
                </c:pt>
                <c:pt idx="1">
                  <c:v>Community E&amp;P</c:v>
                </c:pt>
                <c:pt idx="2">
                  <c:v>Customer Service</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Sheet1!$K$2:$K$19</c:f>
              <c:numCache>
                <c:formatCode>General</c:formatCode>
                <c:ptCount val="18"/>
                <c:pt idx="8" formatCode="0.00%">
                  <c:v>5.5500000000000001E-2</c:v>
                </c:pt>
                <c:pt idx="16" formatCode="0%">
                  <c:v>0.09</c:v>
                </c:pt>
              </c:numCache>
            </c:numRef>
          </c:val>
          <c:extLst>
            <c:ext xmlns:c16="http://schemas.microsoft.com/office/drawing/2014/chart" uri="{C3380CC4-5D6E-409C-BE32-E72D297353CC}">
              <c16:uniqueId val="{00000009-AD88-42C2-B91E-F65D80CC2750}"/>
            </c:ext>
          </c:extLst>
        </c:ser>
        <c:dLbls>
          <c:showLegendKey val="0"/>
          <c:showVal val="0"/>
          <c:showCatName val="0"/>
          <c:showSerName val="0"/>
          <c:showPercent val="0"/>
          <c:showBubbleSize val="0"/>
        </c:dLbls>
        <c:gapWidth val="219"/>
        <c:axId val="372052712"/>
        <c:axId val="385858704"/>
      </c:barChart>
      <c:catAx>
        <c:axId val="3720527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5858704"/>
        <c:crosses val="autoZero"/>
        <c:auto val="1"/>
        <c:lblAlgn val="ctr"/>
        <c:lblOffset val="100"/>
        <c:noMultiLvlLbl val="0"/>
      </c:catAx>
      <c:valAx>
        <c:axId val="38585870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20527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GB" sz="1400" b="0"/>
              <a:t>3. Disability as a Whole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DE28-45BD-AA5D-6B9EBF8413A1}"/>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DE28-45BD-AA5D-6B9EBF8413A1}"/>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Sheet3!$A$1:$A$3</c:f>
              <c:strCache>
                <c:ptCount val="2"/>
                <c:pt idx="0">
                  <c:v>Disabled</c:v>
                </c:pt>
                <c:pt idx="1">
                  <c:v>Not Disabled </c:v>
                </c:pt>
              </c:strCache>
              <c:extLst/>
            </c:strRef>
          </c:cat>
          <c:val>
            <c:numRef>
              <c:f>Sheet3!$B$1:$B$3</c:f>
              <c:numCache>
                <c:formatCode>General</c:formatCode>
                <c:ptCount val="2"/>
                <c:pt idx="0">
                  <c:v>21</c:v>
                </c:pt>
                <c:pt idx="1">
                  <c:v>239</c:v>
                </c:pt>
              </c:numCache>
              <c:extLst/>
            </c:numRef>
          </c:val>
          <c:extLst>
            <c:ext xmlns:c16="http://schemas.microsoft.com/office/drawing/2014/chart" uri="{C3380CC4-5D6E-409C-BE32-E72D297353CC}">
              <c16:uniqueId val="{00000004-DE28-45BD-AA5D-6B9EBF8413A1}"/>
            </c:ext>
          </c:extLst>
        </c:ser>
        <c:dLbls>
          <c:dLblPos val="inEnd"/>
          <c:showLegendKey val="0"/>
          <c:showVal val="0"/>
          <c:showCatName val="0"/>
          <c:showSerName val="0"/>
          <c:showPercent val="1"/>
          <c:showBubbleSize val="0"/>
          <c:showLeaderLines val="1"/>
        </c:dLbls>
        <c:firstSliceAng val="0"/>
        <c:extLst>
          <c:ext xmlns:c15="http://schemas.microsoft.com/office/drawing/2012/chart" uri="{02D57815-91ED-43cb-92C2-25804820EDAC}">
            <c15:filteredPieSeries>
              <c15:ser>
                <c:idx val="1"/>
                <c:order val="1"/>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6-DE28-45BD-AA5D-6B9EBF8413A1}"/>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8-DE28-45BD-AA5D-6B9EBF8413A1}"/>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uri="{CE6537A1-D6FC-4f65-9D91-7224C49458BB}"/>
                  </c:extLst>
                </c:dLbls>
                <c:cat>
                  <c:strRef>
                    <c:extLst>
                      <c:ext uri="{02D57815-91ED-43cb-92C2-25804820EDAC}">
                        <c15:formulaRef>
                          <c15:sqref>Sheet3!$A$1:$A$3</c15:sqref>
                        </c15:formulaRef>
                      </c:ext>
                    </c:extLst>
                    <c:strCache>
                      <c:ptCount val="2"/>
                      <c:pt idx="0">
                        <c:v>Disabled</c:v>
                      </c:pt>
                      <c:pt idx="1">
                        <c:v>Not Disabled </c:v>
                      </c:pt>
                    </c:strCache>
                  </c:strRef>
                </c:cat>
                <c:val>
                  <c:numRef>
                    <c:extLst>
                      <c:ext uri="{02D57815-91ED-43cb-92C2-25804820EDAC}">
                        <c15:formulaRef>
                          <c15:sqref>Sheet3!$C$1:$C$3</c15:sqref>
                        </c15:formulaRef>
                      </c:ext>
                    </c:extLst>
                    <c:numCache>
                      <c:formatCode>0%</c:formatCode>
                      <c:ptCount val="2"/>
                      <c:pt idx="0">
                        <c:v>0.08</c:v>
                      </c:pt>
                      <c:pt idx="1">
                        <c:v>0.92</c:v>
                      </c:pt>
                    </c:numCache>
                  </c:numRef>
                </c:val>
                <c:extLst>
                  <c:ext xmlns:c16="http://schemas.microsoft.com/office/drawing/2014/chart" uri="{C3380CC4-5D6E-409C-BE32-E72D297353CC}">
                    <c16:uniqueId val="{00000009-DE28-45BD-AA5D-6B9EBF8413A1}"/>
                  </c:ext>
                </c:extLst>
              </c15:ser>
            </c15:filteredPieSeries>
          </c:ext>
        </c:extLst>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0" normalizeH="0" baseline="0">
                <a:ln>
                  <a:noFill/>
                </a:ln>
                <a:solidFill>
                  <a:schemeClr val="dk1"/>
                </a:solidFill>
                <a:latin typeface="+mj-lt"/>
                <a:ea typeface="+mj-ea"/>
                <a:cs typeface="+mj-cs"/>
              </a:defRPr>
            </a:pPr>
            <a:r>
              <a:rPr lang="en-GB" sz="1400" b="1"/>
              <a:t>4. Disability Percentage By</a:t>
            </a:r>
            <a:r>
              <a:rPr lang="en-GB" sz="1400" b="1" baseline="0"/>
              <a:t> Teams</a:t>
            </a:r>
            <a:endParaRPr lang="en-GB" sz="1400" b="1"/>
          </a:p>
        </c:rich>
      </c:tx>
      <c:overlay val="0"/>
      <c:spPr>
        <a:noFill/>
        <a:ln>
          <a:noFill/>
        </a:ln>
        <a:effectLst/>
      </c:spPr>
      <c:txPr>
        <a:bodyPr rot="0" spcFirstLastPara="1" vertOverflow="ellipsis" vert="horz" wrap="square" anchor="ctr" anchorCtr="1"/>
        <a:lstStyle/>
        <a:p>
          <a:pPr>
            <a:defRPr sz="1600" b="1" i="0" u="none" strike="noStrike" kern="1200" spc="0" normalizeH="0" baseline="0">
              <a:ln>
                <a:noFill/>
              </a:ln>
              <a:solidFill>
                <a:schemeClr val="dk1"/>
              </a:solidFill>
              <a:latin typeface="+mj-lt"/>
              <a:ea typeface="+mj-ea"/>
              <a:cs typeface="+mj-cs"/>
            </a:defRPr>
          </a:pPr>
          <a:endParaRPr lang="en-US"/>
        </a:p>
      </c:txPr>
    </c:title>
    <c:autoTitleDeleted val="0"/>
    <c:plotArea>
      <c:layout/>
      <c:barChart>
        <c:barDir val="bar"/>
        <c:grouping val="clustered"/>
        <c:varyColors val="0"/>
        <c:ser>
          <c:idx val="0"/>
          <c:order val="0"/>
          <c:spPr>
            <a:gradFill>
              <a:gsLst>
                <a:gs pos="100000">
                  <a:schemeClr val="accent1">
                    <a:lumMod val="60000"/>
                    <a:lumOff val="40000"/>
                  </a:schemeClr>
                </a:gs>
                <a:gs pos="0">
                  <a:schemeClr val="accent1"/>
                </a:gs>
              </a:gsLst>
              <a:lin ang="5400000" scaled="0"/>
            </a:gradFill>
            <a:ln w="19050">
              <a:solidFill>
                <a:schemeClr val="lt1"/>
              </a:solid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ln>
                      <a:noFill/>
                    </a:ln>
                    <a:solidFill>
                      <a:schemeClr val="dk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Sheet2!$A$2:$A$12</c:f>
              <c:strCache>
                <c:ptCount val="11"/>
                <c:pt idx="0">
                  <c:v>Community E&amp;P</c:v>
                </c:pt>
                <c:pt idx="1">
                  <c:v>Customer Service</c:v>
                </c:pt>
                <c:pt idx="2">
                  <c:v>Finance</c:v>
                </c:pt>
                <c:pt idx="3">
                  <c:v>Green Spaces</c:v>
                </c:pt>
                <c:pt idx="4">
                  <c:v>Housing</c:v>
                </c:pt>
                <c:pt idx="5">
                  <c:v>Income team</c:v>
                </c:pt>
                <c:pt idx="6">
                  <c:v>IT</c:v>
                </c:pt>
                <c:pt idx="7">
                  <c:v>Lettings</c:v>
                </c:pt>
                <c:pt idx="8">
                  <c:v>People Services</c:v>
                </c:pt>
                <c:pt idx="9">
                  <c:v>Property Team</c:v>
                </c:pt>
                <c:pt idx="10">
                  <c:v>Tenancy Team</c:v>
                </c:pt>
              </c:strCache>
            </c:strRef>
          </c:cat>
          <c:val>
            <c:numRef>
              <c:f>Sheet2!$B$2:$B$12</c:f>
              <c:numCache>
                <c:formatCode>0%</c:formatCode>
                <c:ptCount val="11"/>
                <c:pt idx="0">
                  <c:v>0.14000000000000001</c:v>
                </c:pt>
                <c:pt idx="1">
                  <c:v>0.2</c:v>
                </c:pt>
                <c:pt idx="2">
                  <c:v>0.2</c:v>
                </c:pt>
                <c:pt idx="3" formatCode="0.00%">
                  <c:v>8.3000000000000004E-2</c:v>
                </c:pt>
                <c:pt idx="4">
                  <c:v>0.11</c:v>
                </c:pt>
                <c:pt idx="5" formatCode="0.00%">
                  <c:v>5.2999999999999999E-2</c:v>
                </c:pt>
                <c:pt idx="6">
                  <c:v>0.22</c:v>
                </c:pt>
                <c:pt idx="7">
                  <c:v>0.1</c:v>
                </c:pt>
                <c:pt idx="8">
                  <c:v>0.18</c:v>
                </c:pt>
                <c:pt idx="9">
                  <c:v>0.05</c:v>
                </c:pt>
                <c:pt idx="10">
                  <c:v>0.09</c:v>
                </c:pt>
              </c:numCache>
            </c:numRef>
          </c:val>
          <c:extLst>
            <c:ext xmlns:c16="http://schemas.microsoft.com/office/drawing/2014/chart" uri="{C3380CC4-5D6E-409C-BE32-E72D297353CC}">
              <c16:uniqueId val="{00000000-7235-493C-891C-B35C9AA57CB5}"/>
            </c:ext>
          </c:extLst>
        </c:ser>
        <c:dLbls>
          <c:showLegendKey val="0"/>
          <c:showVal val="0"/>
          <c:showCatName val="0"/>
          <c:showSerName val="0"/>
          <c:showPercent val="0"/>
          <c:showBubbleSize val="0"/>
        </c:dLbls>
        <c:gapWidth val="150"/>
        <c:axId val="385787440"/>
        <c:axId val="385788496"/>
      </c:barChart>
      <c:valAx>
        <c:axId val="385788496"/>
        <c:scaling>
          <c:orientation val="minMax"/>
        </c:scaling>
        <c:delete val="0"/>
        <c:axPos val="b"/>
        <c:majorGridlines>
          <c:spPr>
            <a:ln w="9525" cap="flat" cmpd="sng" algn="ctr">
              <a:solidFill>
                <a:schemeClr val="dk1">
                  <a:lumMod val="15000"/>
                  <a:lumOff val="85000"/>
                </a:schemeClr>
              </a:solidFill>
              <a:round/>
            </a:ln>
            <a:effectLst/>
          </c:spPr>
        </c:majorGridlines>
        <c:numFmt formatCode="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ln>
                  <a:noFill/>
                </a:ln>
                <a:solidFill>
                  <a:schemeClr val="dk1"/>
                </a:solidFill>
                <a:latin typeface="+mn-lt"/>
                <a:ea typeface="+mn-ea"/>
                <a:cs typeface="+mn-cs"/>
              </a:defRPr>
            </a:pPr>
            <a:endParaRPr lang="en-US"/>
          </a:p>
        </c:txPr>
        <c:crossAx val="385787440"/>
        <c:crosses val="autoZero"/>
        <c:crossBetween val="between"/>
      </c:valAx>
      <c:catAx>
        <c:axId val="385787440"/>
        <c:scaling>
          <c:orientation val="minMax"/>
        </c:scaling>
        <c:delete val="0"/>
        <c:axPos val="l"/>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cap="none" spc="0" normalizeH="0" baseline="0">
                <a:ln>
                  <a:noFill/>
                </a:ln>
                <a:solidFill>
                  <a:schemeClr val="dk1"/>
                </a:solidFill>
                <a:latin typeface="+mn-lt"/>
                <a:ea typeface="+mn-ea"/>
                <a:cs typeface="+mn-cs"/>
              </a:defRPr>
            </a:pPr>
            <a:endParaRPr lang="en-US"/>
          </a:p>
        </c:txPr>
        <c:crossAx val="385788496"/>
        <c:crosses val="autoZero"/>
        <c:auto val="1"/>
        <c:lblAlgn val="ctr"/>
        <c:lblOffset val="100"/>
        <c:noMultiLvlLbl val="0"/>
      </c:cat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ln>
            <a:noFill/>
          </a:ln>
          <a:solidFill>
            <a:schemeClr val="dk1"/>
          </a:solidFill>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r>
              <a:rPr lang="en-US" sz="1400"/>
              <a:t>5. Salary difference across genders</a:t>
            </a:r>
          </a:p>
        </c:rich>
      </c:tx>
      <c:overlay val="0"/>
      <c:spPr>
        <a:noFill/>
        <a:ln>
          <a:noFill/>
        </a:ln>
        <a:effectLst/>
      </c:spPr>
      <c:txPr>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endParaRPr lang="en-US"/>
        </a:p>
      </c:txPr>
    </c:title>
    <c:autoTitleDeleted val="0"/>
    <c:plotArea>
      <c:layout/>
      <c:barChart>
        <c:barDir val="col"/>
        <c:grouping val="clustered"/>
        <c:varyColors val="0"/>
        <c:ser>
          <c:idx val="0"/>
          <c:order val="0"/>
          <c:tx>
            <c:strRef>
              <c:f>Sheet4!$B$1</c:f>
              <c:strCache>
                <c:ptCount val="1"/>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Sheet4!$A$2:$A$4</c:f>
              <c:strCache>
                <c:ptCount val="3"/>
                <c:pt idx="0">
                  <c:v>Non-Binary</c:v>
                </c:pt>
                <c:pt idx="1">
                  <c:v>Female </c:v>
                </c:pt>
                <c:pt idx="2">
                  <c:v>Male</c:v>
                </c:pt>
              </c:strCache>
            </c:strRef>
          </c:cat>
          <c:val>
            <c:numRef>
              <c:f>Sheet4!$B$2:$B$4</c:f>
              <c:numCache>
                <c:formatCode>"£"#,##0.00_);[Red]\("£"#,##0.00\)</c:formatCode>
                <c:ptCount val="3"/>
                <c:pt idx="0" formatCode="&quot;£&quot;#,##0_);[Red]\(&quot;£&quot;#,##0\)">
                  <c:v>19500</c:v>
                </c:pt>
                <c:pt idx="1">
                  <c:v>31900.29</c:v>
                </c:pt>
                <c:pt idx="2">
                  <c:v>31812.17</c:v>
                </c:pt>
              </c:numCache>
            </c:numRef>
          </c:val>
          <c:extLst>
            <c:ext xmlns:c16="http://schemas.microsoft.com/office/drawing/2014/chart" uri="{C3380CC4-5D6E-409C-BE32-E72D297353CC}">
              <c16:uniqueId val="{00000000-E04C-49F4-8D53-65CED8ECF8EB}"/>
            </c:ext>
          </c:extLst>
        </c:ser>
        <c:dLbls>
          <c:dLblPos val="inEnd"/>
          <c:showLegendKey val="0"/>
          <c:showVal val="1"/>
          <c:showCatName val="0"/>
          <c:showSerName val="0"/>
          <c:showPercent val="0"/>
          <c:showBubbleSize val="0"/>
        </c:dLbls>
        <c:gapWidth val="41"/>
        <c:axId val="385858000"/>
        <c:axId val="385858352"/>
      </c:barChart>
      <c:catAx>
        <c:axId val="38585800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US"/>
          </a:p>
        </c:txPr>
        <c:crossAx val="385858352"/>
        <c:crosses val="autoZero"/>
        <c:auto val="1"/>
        <c:lblAlgn val="ctr"/>
        <c:lblOffset val="100"/>
        <c:noMultiLvlLbl val="0"/>
      </c:catAx>
      <c:valAx>
        <c:axId val="385858352"/>
        <c:scaling>
          <c:orientation val="minMax"/>
        </c:scaling>
        <c:delete val="1"/>
        <c:axPos val="l"/>
        <c:numFmt formatCode="&quot;£&quot;#,##0_);[Red]\(&quot;£&quot;#,##0\)" sourceLinked="1"/>
        <c:majorTickMark val="none"/>
        <c:minorTickMark val="none"/>
        <c:tickLblPos val="nextTo"/>
        <c:crossAx val="385858000"/>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45596A-0860-4C29-93A7-AAFD7C71A6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1406</TotalTime>
  <Pages>23</Pages>
  <Words>9404</Words>
  <Characters>53604</Characters>
  <Application>Microsoft Office Word</Application>
  <DocSecurity>0</DocSecurity>
  <Lines>446</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Luminita Somicu</dc:creator>
  <cp:keywords/>
  <dc:description/>
  <cp:lastModifiedBy>Luminita Somicu</cp:lastModifiedBy>
  <cp:revision>23</cp:revision>
  <dcterms:created xsi:type="dcterms:W3CDTF">2024-02-08T00:20:00Z</dcterms:created>
  <dcterms:modified xsi:type="dcterms:W3CDTF">2024-02-12T21:19:00Z</dcterms:modified>
</cp:coreProperties>
</file>