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2405" w:rsidRPr="000E2405" w:rsidRDefault="000E2405" w:rsidP="000E2405">
      <w:pPr>
        <w:jc w:val="both"/>
        <w:rPr>
          <w:sz w:val="24"/>
          <w:szCs w:val="24"/>
        </w:rPr>
      </w:pPr>
      <w:bookmarkStart w:id="0" w:name="_GoBack"/>
      <w:bookmarkEnd w:id="0"/>
      <w:r w:rsidRPr="000E2405">
        <w:rPr>
          <w:sz w:val="24"/>
          <w:szCs w:val="24"/>
        </w:rPr>
        <w:t>Reflective Practice in Curriculum Design</w:t>
      </w:r>
    </w:p>
    <w:p w:rsidR="000E2405" w:rsidRPr="000E2405" w:rsidRDefault="000E2405" w:rsidP="000E2405">
      <w:pPr>
        <w:shd w:val="clear" w:color="auto" w:fill="041E42"/>
        <w:spacing w:after="0" w:line="240" w:lineRule="auto"/>
        <w:jc w:val="both"/>
        <w:rPr>
          <w:rFonts w:eastAsia="Times New Roman" w:cs="Arial"/>
          <w:b/>
          <w:bCs/>
          <w:caps/>
          <w:color w:val="FFFFFF"/>
          <w:spacing w:val="15"/>
          <w:sz w:val="24"/>
          <w:szCs w:val="24"/>
          <w:lang w:eastAsia="en-GB"/>
        </w:rPr>
      </w:pPr>
      <w:hyperlink r:id="rId5" w:history="1">
        <w:r w:rsidRPr="000E2405">
          <w:rPr>
            <w:rFonts w:eastAsia="Times New Roman" w:cs="Arial"/>
            <w:b/>
            <w:bCs/>
            <w:caps/>
            <w:color w:val="FFFFFF"/>
            <w:spacing w:val="15"/>
            <w:sz w:val="24"/>
            <w:szCs w:val="24"/>
            <w:u w:val="single"/>
            <w:lang w:eastAsia="en-GB"/>
          </w:rPr>
          <w:t>26TH FEBRUARY 2019</w:t>
        </w:r>
      </w:hyperlink>
    </w:p>
    <w:p w:rsidR="000E2405" w:rsidRPr="000E2405" w:rsidRDefault="000E2405" w:rsidP="000E2405">
      <w:pPr>
        <w:shd w:val="clear" w:color="auto" w:fill="FFFFFF"/>
        <w:spacing w:after="66" w:line="240" w:lineRule="auto"/>
        <w:jc w:val="both"/>
        <w:outlineLvl w:val="0"/>
        <w:rPr>
          <w:rFonts w:eastAsia="Times New Roman" w:cs="Arial"/>
          <w:color w:val="666666"/>
          <w:kern w:val="36"/>
          <w:sz w:val="24"/>
          <w:szCs w:val="24"/>
          <w:lang w:eastAsia="en-GB"/>
        </w:rPr>
      </w:pPr>
      <w:r w:rsidRPr="000E2405">
        <w:rPr>
          <w:rFonts w:eastAsia="Times New Roman" w:cs="Arial"/>
          <w:color w:val="666666"/>
          <w:kern w:val="36"/>
          <w:sz w:val="24"/>
          <w:szCs w:val="24"/>
          <w:lang w:eastAsia="en-GB"/>
        </w:rPr>
        <w:t>Reflection in learning design: Part of the process and potentially an outcome</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i/>
          <w:iCs/>
          <w:color w:val="404040"/>
          <w:sz w:val="24"/>
          <w:szCs w:val="24"/>
          <w:lang w:eastAsia="en-GB"/>
        </w:rPr>
        <w:t xml:space="preserve">In this post, Tobias </w:t>
      </w:r>
      <w:proofErr w:type="spellStart"/>
      <w:r w:rsidRPr="000E2405">
        <w:rPr>
          <w:rFonts w:eastAsia="Times New Roman" w:cs="Arial"/>
          <w:i/>
          <w:iCs/>
          <w:color w:val="404040"/>
          <w:sz w:val="24"/>
          <w:szCs w:val="24"/>
          <w:lang w:eastAsia="en-GB"/>
        </w:rPr>
        <w:t>Thejll</w:t>
      </w:r>
      <w:proofErr w:type="spellEnd"/>
      <w:r w:rsidRPr="000E2405">
        <w:rPr>
          <w:rFonts w:eastAsia="Times New Roman" w:cs="Arial"/>
          <w:i/>
          <w:iCs/>
          <w:color w:val="404040"/>
          <w:sz w:val="24"/>
          <w:szCs w:val="24"/>
          <w:lang w:eastAsia="en-GB"/>
        </w:rPr>
        <w:t>-Madsen, from the University’s Employability Consultancy and co-author of the Reflection Toolkit, proposes a place for reflection within effective course and programme design – both in the design phase and in courses themselves…</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b/>
          <w:bCs/>
          <w:color w:val="404040"/>
          <w:sz w:val="24"/>
          <w:szCs w:val="24"/>
          <w:lang w:eastAsia="en-GB"/>
        </w:rPr>
        <w:t>What is the best course you were ever a part of? Why was that? What was it about the teaching activities or the way the content was presented that engaged the learners? Why did this work better than alternatives?</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I think most people, perhaps yourself included, have experienced a potentially exciting topic presented in a way that it almost lulled you to sleep, yet have also had a topic that you expected to find dull brought to life in a new and interesting way. The learner’s experience is influenced (not exclusively) by the teacher and the course design. This design can be informed by a range of theories, colleagues, and even past experiences.</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The opening questions in this post ask you to examine your own experiences of being a learner on a course, and to consider the reasons behind your answers. This critical examination of past experiences with the intent of learning from them is a part of what is meant by </w:t>
      </w:r>
      <w:r w:rsidRPr="000E2405">
        <w:rPr>
          <w:rFonts w:eastAsia="Times New Roman" w:cs="Arial"/>
          <w:i/>
          <w:iCs/>
          <w:color w:val="404040"/>
          <w:sz w:val="24"/>
          <w:szCs w:val="24"/>
          <w:lang w:eastAsia="en-GB"/>
        </w:rPr>
        <w:t>reflection</w:t>
      </w:r>
      <w:r w:rsidRPr="000E2405">
        <w:rPr>
          <w:rFonts w:eastAsia="Times New Roman" w:cs="Arial"/>
          <w:color w:val="404040"/>
          <w:sz w:val="24"/>
          <w:szCs w:val="24"/>
          <w:lang w:eastAsia="en-GB"/>
        </w:rPr>
        <w:t>. Maybe, in response to these questions, you thought back to a course that asked challenging questions and encouraged learners to research and find the answers independently. Maybe there were group discussions with a chance to refine ideas with peers. Or maybe the course included reflection; critically examining the content, the learning, and how it could be applied and contextualised in real life or alternative scenarios. Your own answers might serve as inspiration for future course or programme design. In this way, reflection can give you specific and valuable takeaways.</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Reflection can therefore have an important role in the process of building successful courses and programmes, and moreover, it can be a useful explicit element within the curriculum.</w:t>
      </w:r>
    </w:p>
    <w:p w:rsidR="000E2405" w:rsidRPr="000E2405" w:rsidRDefault="000E2405" w:rsidP="000E2405">
      <w:pPr>
        <w:shd w:val="clear" w:color="auto" w:fill="FFFFFF"/>
        <w:spacing w:before="148" w:after="66" w:line="240" w:lineRule="auto"/>
        <w:jc w:val="both"/>
        <w:outlineLvl w:val="3"/>
        <w:rPr>
          <w:rFonts w:eastAsia="Times New Roman" w:cs="Arial"/>
          <w:b/>
          <w:bCs/>
          <w:caps/>
          <w:color w:val="808080"/>
          <w:spacing w:val="15"/>
          <w:sz w:val="24"/>
          <w:szCs w:val="24"/>
          <w:lang w:eastAsia="en-GB"/>
        </w:rPr>
      </w:pPr>
      <w:r w:rsidRPr="000E2405">
        <w:rPr>
          <w:rFonts w:eastAsia="Times New Roman" w:cs="Arial"/>
          <w:b/>
          <w:bCs/>
          <w:caps/>
          <w:color w:val="808080"/>
          <w:spacing w:val="15"/>
          <w:sz w:val="24"/>
          <w:szCs w:val="24"/>
          <w:lang w:eastAsia="en-GB"/>
        </w:rPr>
        <w:t>REFLECTION WITHIN THE CURRICULUM</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Reflection can be effectively facilitated in most contexts and is an important skill. For example, employers want graduates who examine their practice, find strengths and weaknesses, and improve accordingly. Incorporating reflection in our curriculum can also help build students’ reflective ability; a skill they can apply to their curricular learning just now.</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 xml:space="preserve">Reflection fits into a diverse curriculum in many ways. For instance, reflection is inherently tied to experiential learning (see Simon </w:t>
      </w:r>
      <w:proofErr w:type="spellStart"/>
      <w:r w:rsidRPr="000E2405">
        <w:rPr>
          <w:rFonts w:eastAsia="Times New Roman" w:cs="Arial"/>
          <w:color w:val="404040"/>
          <w:sz w:val="24"/>
          <w:szCs w:val="24"/>
          <w:lang w:eastAsia="en-GB"/>
        </w:rPr>
        <w:t>Beames</w:t>
      </w:r>
      <w:proofErr w:type="spellEnd"/>
      <w:r w:rsidRPr="000E2405">
        <w:rPr>
          <w:rFonts w:eastAsia="Times New Roman" w:cs="Arial"/>
          <w:color w:val="404040"/>
          <w:sz w:val="24"/>
          <w:szCs w:val="24"/>
          <w:lang w:eastAsia="en-GB"/>
        </w:rPr>
        <w:t>’ excellent post on </w:t>
      </w:r>
      <w:hyperlink r:id="rId6" w:history="1">
        <w:r w:rsidRPr="000E2405">
          <w:rPr>
            <w:rFonts w:eastAsia="Times New Roman" w:cs="Arial"/>
            <w:color w:val="117BB8"/>
            <w:sz w:val="24"/>
            <w:szCs w:val="24"/>
            <w:u w:val="single"/>
            <w:lang w:eastAsia="en-GB"/>
          </w:rPr>
          <w:t>defining features of experiential education), </w:t>
        </w:r>
      </w:hyperlink>
      <w:r w:rsidRPr="000E2405">
        <w:rPr>
          <w:rFonts w:eastAsia="Times New Roman" w:cs="Arial"/>
          <w:color w:val="404040"/>
          <w:sz w:val="24"/>
          <w:szCs w:val="24"/>
          <w:lang w:eastAsia="en-GB"/>
        </w:rPr>
        <w:t>and therefore supports making the most of placements, work experiences, outreach activity, and years abroad.</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lastRenderedPageBreak/>
        <w:t>Reflection can also be adapted into other types of courses in the shape of teaching strategies or assessments, and improving as a reflector can even be a learning outcome. While there is the classic example of a reflective blog or reflective essay as an assessment, many other approaches exist.</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 xml:space="preserve">Small, simple exercises can be introduced as teaching strategies. For instance, one might spend the last five minutes of a lecture having students identify three things from that lecture to reflect on: the idea/concept that excited </w:t>
      </w:r>
      <w:proofErr w:type="gramStart"/>
      <w:r w:rsidRPr="000E2405">
        <w:rPr>
          <w:rFonts w:eastAsia="Times New Roman" w:cs="Arial"/>
          <w:color w:val="404040"/>
          <w:sz w:val="24"/>
          <w:szCs w:val="24"/>
          <w:lang w:eastAsia="en-GB"/>
        </w:rPr>
        <w:t>them</w:t>
      </w:r>
      <w:proofErr w:type="gramEnd"/>
      <w:r w:rsidRPr="000E2405">
        <w:rPr>
          <w:rFonts w:eastAsia="Times New Roman" w:cs="Arial"/>
          <w:color w:val="404040"/>
          <w:sz w:val="24"/>
          <w:szCs w:val="24"/>
          <w:lang w:eastAsia="en-GB"/>
        </w:rPr>
        <w:t xml:space="preserve"> most; the most challenging concept to understand; and one question about the material or subject that they didn’t have before. The lecturer can then encourage students to use these reflections to guide their actions, e.g., study the challenging topic in depth, explore materials around the exciting idea, or find a way to answer their question.</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Another easy approach is simply asking students to think about one thing they have learned and how they can use it in their lives. This forces students to contextualise their learning more broadly.</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Of course, there are disciplinary differences regarding reflection, and there is no one-size-fits-all solution. I therefore encourage you to explore your own programmes and courses and see if reflection can be a helpful element.</w:t>
      </w:r>
    </w:p>
    <w:p w:rsidR="000E2405" w:rsidRPr="000E2405" w:rsidRDefault="000E2405" w:rsidP="000E2405">
      <w:pPr>
        <w:shd w:val="clear" w:color="auto" w:fill="FFFFFF"/>
        <w:spacing w:before="148" w:after="66" w:line="240" w:lineRule="auto"/>
        <w:jc w:val="both"/>
        <w:outlineLvl w:val="3"/>
        <w:rPr>
          <w:rFonts w:eastAsia="Times New Roman" w:cs="Arial"/>
          <w:b/>
          <w:bCs/>
          <w:caps/>
          <w:color w:val="808080"/>
          <w:spacing w:val="15"/>
          <w:sz w:val="24"/>
          <w:szCs w:val="24"/>
          <w:lang w:eastAsia="en-GB"/>
        </w:rPr>
      </w:pPr>
      <w:r w:rsidRPr="000E2405">
        <w:rPr>
          <w:rFonts w:eastAsia="Times New Roman" w:cs="Arial"/>
          <w:b/>
          <w:bCs/>
          <w:caps/>
          <w:color w:val="808080"/>
          <w:spacing w:val="15"/>
          <w:sz w:val="24"/>
          <w:szCs w:val="24"/>
          <w:lang w:eastAsia="en-GB"/>
        </w:rPr>
        <w:t>SUPPORT AVAILABLE</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To support reflection in the curriculum, we have created the </w:t>
      </w:r>
      <w:hyperlink r:id="rId7" w:history="1">
        <w:r w:rsidRPr="000E2405">
          <w:rPr>
            <w:rFonts w:eastAsia="Times New Roman" w:cs="Arial"/>
            <w:color w:val="117BB8"/>
            <w:sz w:val="24"/>
            <w:szCs w:val="24"/>
            <w:u w:val="single"/>
            <w:lang w:eastAsia="en-GB"/>
          </w:rPr>
          <w:t>Reflection Toolkit</w:t>
        </w:r>
      </w:hyperlink>
      <w:r w:rsidRPr="000E2405">
        <w:rPr>
          <w:rFonts w:eastAsia="Times New Roman" w:cs="Arial"/>
          <w:color w:val="404040"/>
          <w:sz w:val="24"/>
          <w:szCs w:val="24"/>
          <w:lang w:eastAsia="en-GB"/>
        </w:rPr>
        <w:t>. It has practical advice and frameworks of reflection for reflectors, and guidance for individuals who are interested in facilitating effective reflection in others. There is support on what reflection can look like in courses, how to introduce it to students, and how and whether to assess it. Moreover, there are examples of practice from around the institution that can serve as inspiration.</w:t>
      </w:r>
    </w:p>
    <w:p w:rsidR="000E2405" w:rsidRPr="000E2405" w:rsidRDefault="000E2405" w:rsidP="000E2405">
      <w:pPr>
        <w:shd w:val="clear" w:color="auto" w:fill="FFFFFF"/>
        <w:spacing w:before="148" w:after="66" w:line="240" w:lineRule="auto"/>
        <w:jc w:val="both"/>
        <w:outlineLvl w:val="3"/>
        <w:rPr>
          <w:rFonts w:eastAsia="Times New Roman" w:cs="Arial"/>
          <w:b/>
          <w:bCs/>
          <w:caps/>
          <w:color w:val="808080"/>
          <w:spacing w:val="15"/>
          <w:sz w:val="24"/>
          <w:szCs w:val="24"/>
          <w:lang w:eastAsia="en-GB"/>
        </w:rPr>
      </w:pPr>
      <w:r w:rsidRPr="000E2405">
        <w:rPr>
          <w:rFonts w:eastAsia="Times New Roman" w:cs="Arial"/>
          <w:b/>
          <w:bCs/>
          <w:caps/>
          <w:color w:val="808080"/>
          <w:spacing w:val="15"/>
          <w:sz w:val="24"/>
          <w:szCs w:val="24"/>
          <w:lang w:eastAsia="en-GB"/>
        </w:rPr>
        <w:t>REFLECTING ON ONE’S OWN PRACTICE</w:t>
      </w:r>
    </w:p>
    <w:p w:rsidR="000E2405" w:rsidRPr="000E2405" w:rsidRDefault="000E2405" w:rsidP="000E2405">
      <w:pPr>
        <w:shd w:val="clear" w:color="auto" w:fill="FFFFFF"/>
        <w:spacing w:before="100" w:beforeAutospacing="1" w:after="36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 xml:space="preserve">Lastly, as suggested earlier, teachers have a fundamental influence on students’ experience of a course or programme. To further expand and deepen expertise as a teacher and </w:t>
      </w:r>
      <w:proofErr w:type="gramStart"/>
      <w:r w:rsidRPr="000E2405">
        <w:rPr>
          <w:rFonts w:eastAsia="Times New Roman" w:cs="Arial"/>
          <w:color w:val="404040"/>
          <w:sz w:val="24"/>
          <w:szCs w:val="24"/>
          <w:lang w:eastAsia="en-GB"/>
        </w:rPr>
        <w:t>learning</w:t>
      </w:r>
      <w:proofErr w:type="gramEnd"/>
      <w:r w:rsidRPr="000E2405">
        <w:rPr>
          <w:rFonts w:eastAsia="Times New Roman" w:cs="Arial"/>
          <w:color w:val="404040"/>
          <w:sz w:val="24"/>
          <w:szCs w:val="24"/>
          <w:lang w:eastAsia="en-GB"/>
        </w:rPr>
        <w:t xml:space="preserve"> designer, one might engage with the </w:t>
      </w:r>
      <w:hyperlink r:id="rId8" w:history="1">
        <w:r w:rsidRPr="000E2405">
          <w:rPr>
            <w:rFonts w:eastAsia="Times New Roman" w:cs="Arial"/>
            <w:color w:val="117BB8"/>
            <w:sz w:val="24"/>
            <w:szCs w:val="24"/>
            <w:u w:val="single"/>
            <w:lang w:eastAsia="en-GB"/>
          </w:rPr>
          <w:t>Edinburgh Teaching Award</w:t>
        </w:r>
      </w:hyperlink>
      <w:r w:rsidRPr="000E2405">
        <w:rPr>
          <w:rFonts w:eastAsia="Times New Roman" w:cs="Arial"/>
          <w:color w:val="404040"/>
          <w:sz w:val="24"/>
          <w:szCs w:val="24"/>
          <w:lang w:eastAsia="en-GB"/>
        </w:rPr>
        <w:t>, which relies heavily on reflection as a tool for improvement – reflection can be found many places!</w:t>
      </w:r>
    </w:p>
    <w:p w:rsidR="000E2405" w:rsidRPr="000E2405" w:rsidRDefault="000E2405" w:rsidP="000E2405">
      <w:pPr>
        <w:shd w:val="clear" w:color="auto" w:fill="DEDEDE"/>
        <w:spacing w:after="240" w:line="240" w:lineRule="auto"/>
        <w:jc w:val="both"/>
        <w:rPr>
          <w:rFonts w:eastAsia="Times New Roman" w:cs="Arial"/>
          <w:color w:val="404040"/>
          <w:sz w:val="24"/>
          <w:szCs w:val="24"/>
          <w:lang w:eastAsia="en-GB"/>
        </w:rPr>
      </w:pPr>
      <w:r w:rsidRPr="000E2405">
        <w:rPr>
          <w:rFonts w:eastAsia="Times New Roman" w:cs="Arial"/>
          <w:color w:val="404040"/>
          <w:sz w:val="24"/>
          <w:szCs w:val="24"/>
          <w:lang w:eastAsia="en-GB"/>
        </w:rPr>
        <w:t xml:space="preserve">Tobias </w:t>
      </w:r>
      <w:proofErr w:type="spellStart"/>
      <w:r w:rsidRPr="000E2405">
        <w:rPr>
          <w:rFonts w:eastAsia="Times New Roman" w:cs="Arial"/>
          <w:color w:val="404040"/>
          <w:sz w:val="24"/>
          <w:szCs w:val="24"/>
          <w:lang w:eastAsia="en-GB"/>
        </w:rPr>
        <w:t>Thejll</w:t>
      </w:r>
      <w:proofErr w:type="spellEnd"/>
      <w:r w:rsidRPr="000E2405">
        <w:rPr>
          <w:rFonts w:eastAsia="Times New Roman" w:cs="Arial"/>
          <w:color w:val="404040"/>
          <w:sz w:val="24"/>
          <w:szCs w:val="24"/>
          <w:lang w:eastAsia="en-GB"/>
        </w:rPr>
        <w:t>-Madsen</w:t>
      </w:r>
    </w:p>
    <w:p w:rsidR="000E2405" w:rsidRPr="000E2405" w:rsidRDefault="000E2405" w:rsidP="000E2405">
      <w:pPr>
        <w:shd w:val="clear" w:color="auto" w:fill="DEDEDE"/>
        <w:spacing w:line="240" w:lineRule="auto"/>
        <w:ind w:left="1950"/>
        <w:jc w:val="both"/>
        <w:rPr>
          <w:rFonts w:eastAsia="Times New Roman" w:cs="Arial"/>
          <w:color w:val="404040"/>
          <w:sz w:val="24"/>
          <w:szCs w:val="24"/>
          <w:lang w:eastAsia="en-GB"/>
        </w:rPr>
      </w:pPr>
      <w:r w:rsidRPr="000E2405">
        <w:rPr>
          <w:rFonts w:eastAsia="Times New Roman" w:cs="Arial"/>
          <w:color w:val="404040"/>
          <w:sz w:val="24"/>
          <w:szCs w:val="24"/>
          <w:lang w:eastAsia="en-GB"/>
        </w:rPr>
        <w:t xml:space="preserve">Tobias </w:t>
      </w:r>
      <w:proofErr w:type="spellStart"/>
      <w:r w:rsidRPr="000E2405">
        <w:rPr>
          <w:rFonts w:eastAsia="Times New Roman" w:cs="Arial"/>
          <w:color w:val="404040"/>
          <w:sz w:val="24"/>
          <w:szCs w:val="24"/>
          <w:lang w:eastAsia="en-GB"/>
        </w:rPr>
        <w:t>Thejll</w:t>
      </w:r>
      <w:proofErr w:type="spellEnd"/>
      <w:r w:rsidRPr="000E2405">
        <w:rPr>
          <w:rFonts w:eastAsia="Times New Roman" w:cs="Arial"/>
          <w:color w:val="404040"/>
          <w:sz w:val="24"/>
          <w:szCs w:val="24"/>
          <w:lang w:eastAsia="en-GB"/>
        </w:rPr>
        <w:t>-Madsen has been working with the University’s Employability Consultancy since graduating in the summer of 2018. Amongst other projects, he has been a part of the creation of the Reflection Toolkit to support people with their reflective practice. Whilst a student, Tobias was involved with </w:t>
      </w:r>
      <w:hyperlink r:id="rId9" w:history="1">
        <w:r w:rsidRPr="000E2405">
          <w:rPr>
            <w:rFonts w:eastAsia="Times New Roman" w:cs="Arial"/>
            <w:color w:val="117BB8"/>
            <w:sz w:val="24"/>
            <w:szCs w:val="24"/>
            <w:u w:val="single"/>
            <w:lang w:eastAsia="en-GB"/>
          </w:rPr>
          <w:t>Student-Led, Individually-Created Courses</w:t>
        </w:r>
      </w:hyperlink>
      <w:r w:rsidRPr="000E2405">
        <w:rPr>
          <w:rFonts w:eastAsia="Times New Roman" w:cs="Arial"/>
          <w:color w:val="404040"/>
          <w:sz w:val="24"/>
          <w:szCs w:val="24"/>
          <w:lang w:eastAsia="en-GB"/>
        </w:rPr>
        <w:t>, voicing a student’s perspective.</w:t>
      </w:r>
    </w:p>
    <w:p w:rsidR="000E2405" w:rsidRDefault="000E2405">
      <w:pPr>
        <w:rPr>
          <w:sz w:val="24"/>
          <w:szCs w:val="24"/>
        </w:rPr>
      </w:pPr>
    </w:p>
    <w:p w:rsidR="00F57158" w:rsidRDefault="00F57158">
      <w:pPr>
        <w:rPr>
          <w:sz w:val="24"/>
          <w:szCs w:val="24"/>
        </w:rPr>
      </w:pPr>
    </w:p>
    <w:p w:rsidR="00F57158" w:rsidRPr="00F57158" w:rsidRDefault="00F57158" w:rsidP="00F57158">
      <w:pPr>
        <w:shd w:val="clear" w:color="auto" w:fill="FFFFFF"/>
        <w:spacing w:after="0" w:line="240" w:lineRule="auto"/>
        <w:outlineLvl w:val="0"/>
        <w:rPr>
          <w:rFonts w:eastAsia="Times New Roman" w:cs="Arial"/>
          <w:color w:val="666666"/>
          <w:kern w:val="36"/>
          <w:sz w:val="28"/>
          <w:szCs w:val="28"/>
          <w:lang w:eastAsia="en-GB"/>
        </w:rPr>
      </w:pPr>
      <w:r w:rsidRPr="00F57158">
        <w:rPr>
          <w:rFonts w:eastAsia="Times New Roman" w:cs="Arial"/>
          <w:color w:val="666666"/>
          <w:kern w:val="36"/>
          <w:sz w:val="28"/>
          <w:szCs w:val="28"/>
          <w:lang w:eastAsia="en-GB"/>
        </w:rPr>
        <w:t>Experiential education: Defining features for curriculum and pedagogy</w:t>
      </w:r>
    </w:p>
    <w:p w:rsidR="00F57158" w:rsidRPr="00F57158" w:rsidRDefault="00004C8F" w:rsidP="00004C8F">
      <w:pPr>
        <w:shd w:val="clear" w:color="auto" w:fill="FFFFFF"/>
        <w:spacing w:before="100" w:beforeAutospacing="1" w:after="360" w:line="240" w:lineRule="auto"/>
        <w:jc w:val="both"/>
        <w:rPr>
          <w:rFonts w:eastAsia="Times New Roman" w:cs="Arial"/>
          <w:sz w:val="24"/>
          <w:szCs w:val="24"/>
          <w:lang w:eastAsia="en-GB"/>
        </w:rPr>
      </w:pPr>
      <w:r>
        <w:rPr>
          <w:rFonts w:eastAsia="Times New Roman" w:cs="Arial"/>
          <w:i/>
          <w:iCs/>
          <w:sz w:val="24"/>
          <w:szCs w:val="24"/>
          <w:lang w:eastAsia="en-GB"/>
        </w:rPr>
        <w:t xml:space="preserve">By </w:t>
      </w:r>
      <w:r w:rsidR="00F57158" w:rsidRPr="00F57158">
        <w:rPr>
          <w:rFonts w:eastAsia="Times New Roman" w:cs="Arial"/>
          <w:i/>
          <w:iCs/>
          <w:sz w:val="24"/>
          <w:szCs w:val="24"/>
          <w:lang w:eastAsia="en-GB"/>
        </w:rPr>
        <w:t xml:space="preserve">Dr Simon </w:t>
      </w:r>
      <w:proofErr w:type="spellStart"/>
      <w:r w:rsidR="00F57158" w:rsidRPr="00F57158">
        <w:rPr>
          <w:rFonts w:eastAsia="Times New Roman" w:cs="Arial"/>
          <w:i/>
          <w:iCs/>
          <w:sz w:val="24"/>
          <w:szCs w:val="24"/>
          <w:lang w:eastAsia="en-GB"/>
        </w:rPr>
        <w:t>Beames</w:t>
      </w:r>
      <w:proofErr w:type="spellEnd"/>
      <w:r w:rsidR="00F57158" w:rsidRPr="00F57158">
        <w:rPr>
          <w:rFonts w:eastAsia="Times New Roman" w:cs="Arial"/>
          <w:i/>
          <w:iCs/>
          <w:sz w:val="24"/>
          <w:szCs w:val="24"/>
          <w:lang w:eastAsia="en-GB"/>
        </w:rPr>
        <w:t>, senior lecturer in Outdoor Learning at Moray House School of Education, provides a research-based overview of what comprises ‘experiential learning’…</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In the field of outdoor learning it is not uncommon to hear people wax lyrical about how ‘experiential’ the content of a given course is or was.  The trouble is that most folk have their own ideas of what a course that has experiential elements comprises.  If we strive to make our programmes more experiential, we need to have a precise and shared definition of what experiential education is.  Here are three popular definitions, in varied lengths!</w:t>
      </w:r>
    </w:p>
    <w:p w:rsidR="00F57158" w:rsidRPr="00F57158" w:rsidRDefault="00F57158" w:rsidP="00004C8F">
      <w:pPr>
        <w:numPr>
          <w:ilvl w:val="0"/>
          <w:numId w:val="1"/>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Short:</w:t>
      </w:r>
      <w:r w:rsidRPr="00F57158">
        <w:rPr>
          <w:rFonts w:eastAsia="Times New Roman" w:cs="Arial"/>
          <w:sz w:val="24"/>
          <w:szCs w:val="24"/>
          <w:lang w:eastAsia="en-GB"/>
        </w:rPr>
        <w:t xml:space="preserve"> Learning by doing combined with reflection (Priest &amp; </w:t>
      </w:r>
      <w:proofErr w:type="spellStart"/>
      <w:r w:rsidRPr="00F57158">
        <w:rPr>
          <w:rFonts w:eastAsia="Times New Roman" w:cs="Arial"/>
          <w:sz w:val="24"/>
          <w:szCs w:val="24"/>
          <w:lang w:eastAsia="en-GB"/>
        </w:rPr>
        <w:t>Gass</w:t>
      </w:r>
      <w:proofErr w:type="spellEnd"/>
      <w:r w:rsidRPr="00F57158">
        <w:rPr>
          <w:rFonts w:eastAsia="Times New Roman" w:cs="Arial"/>
          <w:sz w:val="24"/>
          <w:szCs w:val="24"/>
          <w:lang w:eastAsia="en-GB"/>
        </w:rPr>
        <w:t>, 2017, p. 45).</w:t>
      </w:r>
    </w:p>
    <w:p w:rsidR="00F57158" w:rsidRPr="00F57158" w:rsidRDefault="00F57158" w:rsidP="00004C8F">
      <w:pPr>
        <w:numPr>
          <w:ilvl w:val="0"/>
          <w:numId w:val="1"/>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Medium</w:t>
      </w:r>
      <w:r w:rsidRPr="00F57158">
        <w:rPr>
          <w:rFonts w:eastAsia="Times New Roman" w:cs="Arial"/>
          <w:sz w:val="24"/>
          <w:szCs w:val="24"/>
          <w:lang w:eastAsia="en-GB"/>
        </w:rPr>
        <w:t xml:space="preserve">: Challenge and experience followed by reflection leading to learning and growth (Association for Experiential Education, </w:t>
      </w:r>
      <w:proofErr w:type="spellStart"/>
      <w:r w:rsidRPr="00F57158">
        <w:rPr>
          <w:rFonts w:eastAsia="Times New Roman" w:cs="Arial"/>
          <w:sz w:val="24"/>
          <w:szCs w:val="24"/>
          <w:lang w:eastAsia="en-GB"/>
        </w:rPr>
        <w:t>n.d.</w:t>
      </w:r>
      <w:proofErr w:type="spellEnd"/>
      <w:r w:rsidRPr="00F57158">
        <w:rPr>
          <w:rFonts w:eastAsia="Times New Roman" w:cs="Arial"/>
          <w:sz w:val="24"/>
          <w:szCs w:val="24"/>
          <w:lang w:eastAsia="en-GB"/>
        </w:rPr>
        <w:t>).</w:t>
      </w:r>
    </w:p>
    <w:p w:rsidR="00F57158" w:rsidRPr="00F57158" w:rsidRDefault="00F57158" w:rsidP="00004C8F">
      <w:pPr>
        <w:numPr>
          <w:ilvl w:val="0"/>
          <w:numId w:val="1"/>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Long:</w:t>
      </w:r>
      <w:r w:rsidRPr="00F57158">
        <w:rPr>
          <w:rFonts w:eastAsia="Times New Roman" w:cs="Arial"/>
          <w:sz w:val="24"/>
          <w:szCs w:val="24"/>
          <w:lang w:eastAsia="en-GB"/>
        </w:rPr>
        <w:t xml:space="preserve"> …a philosophy that informs many methodologies in which educators purposefully engage with learners in direct experience and focused reflection in order to increase knowledge, develop skills, clarify values, and develop people’s capacity to contribute to their communities (Association for Experiential Education, </w:t>
      </w:r>
      <w:proofErr w:type="spellStart"/>
      <w:r w:rsidRPr="00F57158">
        <w:rPr>
          <w:rFonts w:eastAsia="Times New Roman" w:cs="Arial"/>
          <w:sz w:val="24"/>
          <w:szCs w:val="24"/>
          <w:lang w:eastAsia="en-GB"/>
        </w:rPr>
        <w:t>n.d.</w:t>
      </w:r>
      <w:proofErr w:type="spellEnd"/>
      <w:r w:rsidRPr="00F57158">
        <w:rPr>
          <w:rFonts w:eastAsia="Times New Roman" w:cs="Arial"/>
          <w:sz w:val="24"/>
          <w:szCs w:val="24"/>
          <w:lang w:eastAsia="en-GB"/>
        </w:rPr>
        <w:t>).</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 xml:space="preserve">Even armed with these definitions, it still difficult to know if our current teaching approaches are experiential or how we might make them more experiential.  To that end, four colleagues and </w:t>
      </w:r>
      <w:proofErr w:type="gramStart"/>
      <w:r w:rsidRPr="00F57158">
        <w:rPr>
          <w:rFonts w:eastAsia="Times New Roman" w:cs="Arial"/>
          <w:sz w:val="24"/>
          <w:szCs w:val="24"/>
          <w:lang w:eastAsia="en-GB"/>
        </w:rPr>
        <w:t>myself</w:t>
      </w:r>
      <w:bookmarkStart w:id="1" w:name="_ednref1"/>
      <w:r w:rsidRPr="00F57158">
        <w:rPr>
          <w:rFonts w:eastAsia="Times New Roman" w:cs="Arial"/>
          <w:sz w:val="24"/>
          <w:szCs w:val="24"/>
          <w:lang w:eastAsia="en-GB"/>
        </w:rPr>
        <w:fldChar w:fldCharType="begin"/>
      </w:r>
      <w:r w:rsidRPr="00F57158">
        <w:rPr>
          <w:rFonts w:eastAsia="Times New Roman" w:cs="Arial"/>
          <w:sz w:val="24"/>
          <w:szCs w:val="24"/>
          <w:lang w:eastAsia="en-GB"/>
        </w:rPr>
        <w:instrText xml:space="preserve"> HYPERLINK "applewebdata://BE143611-7206-48A2-BD3D-6466497E6FAD/" \l "_edn1" </w:instrText>
      </w:r>
      <w:r w:rsidRPr="00F57158">
        <w:rPr>
          <w:rFonts w:eastAsia="Times New Roman" w:cs="Arial"/>
          <w:sz w:val="24"/>
          <w:szCs w:val="24"/>
          <w:lang w:eastAsia="en-GB"/>
        </w:rPr>
        <w:fldChar w:fldCharType="separate"/>
      </w:r>
      <w:r w:rsidRPr="00F57158">
        <w:rPr>
          <w:rFonts w:eastAsia="Times New Roman" w:cs="Arial"/>
          <w:color w:val="117BB8"/>
          <w:sz w:val="24"/>
          <w:szCs w:val="24"/>
          <w:u w:val="single"/>
          <w:lang w:eastAsia="en-GB"/>
        </w:rPr>
        <w:t>[</w:t>
      </w:r>
      <w:proofErr w:type="spellStart"/>
      <w:r w:rsidRPr="00F57158">
        <w:rPr>
          <w:rFonts w:eastAsia="Times New Roman" w:cs="Arial"/>
          <w:color w:val="117BB8"/>
          <w:sz w:val="24"/>
          <w:szCs w:val="24"/>
          <w:u w:val="single"/>
          <w:lang w:eastAsia="en-GB"/>
        </w:rPr>
        <w:t>i</w:t>
      </w:r>
      <w:proofErr w:type="spellEnd"/>
      <w:proofErr w:type="gramEnd"/>
      <w:r w:rsidRPr="00F57158">
        <w:rPr>
          <w:rFonts w:eastAsia="Times New Roman" w:cs="Arial"/>
          <w:color w:val="117BB8"/>
          <w:sz w:val="24"/>
          <w:szCs w:val="24"/>
          <w:u w:val="single"/>
          <w:lang w:eastAsia="en-GB"/>
        </w:rPr>
        <w:t>]</w:t>
      </w:r>
      <w:r w:rsidRPr="00F57158">
        <w:rPr>
          <w:rFonts w:eastAsia="Times New Roman" w:cs="Arial"/>
          <w:sz w:val="24"/>
          <w:szCs w:val="24"/>
          <w:lang w:eastAsia="en-GB"/>
        </w:rPr>
        <w:fldChar w:fldCharType="end"/>
      </w:r>
      <w:bookmarkEnd w:id="1"/>
      <w:r w:rsidRPr="00F57158">
        <w:rPr>
          <w:rFonts w:eastAsia="Times New Roman" w:cs="Arial"/>
          <w:sz w:val="24"/>
          <w:szCs w:val="24"/>
          <w:lang w:eastAsia="en-GB"/>
        </w:rPr>
        <w:t>constructed a theoretical framework of experiential education that is centred around six defining features.</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 xml:space="preserve">Continuity: </w:t>
      </w:r>
      <w:r w:rsidRPr="00F57158">
        <w:rPr>
          <w:rFonts w:eastAsia="Times New Roman" w:cs="Arial"/>
          <w:sz w:val="24"/>
          <w:szCs w:val="24"/>
          <w:lang w:eastAsia="en-GB"/>
        </w:rPr>
        <w:t xml:space="preserve">The context needs to be connected to previous experiences, knowledge and skills and lead to further growth and learning (Dewey, 1938). </w:t>
      </w:r>
      <w:r w:rsidRPr="00F57158">
        <w:rPr>
          <w:rFonts w:eastAsia="Times New Roman" w:cs="Arial"/>
          <w:i/>
          <w:iCs/>
          <w:sz w:val="24"/>
          <w:szCs w:val="24"/>
          <w:lang w:eastAsia="en-GB"/>
        </w:rPr>
        <w:t xml:space="preserve">How does the content in the last session relate to </w:t>
      </w:r>
      <w:proofErr w:type="gramStart"/>
      <w:r w:rsidRPr="00F57158">
        <w:rPr>
          <w:rFonts w:eastAsia="Times New Roman" w:cs="Arial"/>
          <w:i/>
          <w:iCs/>
          <w:sz w:val="24"/>
          <w:szCs w:val="24"/>
          <w:lang w:eastAsia="en-GB"/>
        </w:rPr>
        <w:t>today’s</w:t>
      </w:r>
      <w:proofErr w:type="gramEnd"/>
      <w:r w:rsidRPr="00F57158">
        <w:rPr>
          <w:rFonts w:eastAsia="Times New Roman" w:cs="Arial"/>
          <w:i/>
          <w:iCs/>
          <w:sz w:val="24"/>
          <w:szCs w:val="24"/>
          <w:lang w:eastAsia="en-GB"/>
        </w:rPr>
        <w:t xml:space="preserve"> (and next week’s?)</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Authenticity: T</w:t>
      </w:r>
      <w:r w:rsidRPr="00F57158">
        <w:rPr>
          <w:rFonts w:eastAsia="Times New Roman" w:cs="Arial"/>
          <w:sz w:val="24"/>
          <w:szCs w:val="24"/>
          <w:lang w:eastAsia="en-GB"/>
        </w:rPr>
        <w:t>he tasks need to serve a real-world need and be a ‘process of living’ rather than a ‘preparation for future living’ (</w:t>
      </w:r>
      <w:proofErr w:type="spellStart"/>
      <w:r w:rsidRPr="00F57158">
        <w:rPr>
          <w:rFonts w:eastAsia="Times New Roman" w:cs="Arial"/>
          <w:sz w:val="24"/>
          <w:szCs w:val="24"/>
          <w:lang w:eastAsia="en-GB"/>
        </w:rPr>
        <w:t>Beames</w:t>
      </w:r>
      <w:proofErr w:type="spellEnd"/>
      <w:r w:rsidRPr="00F57158">
        <w:rPr>
          <w:rFonts w:eastAsia="Times New Roman" w:cs="Arial"/>
          <w:sz w:val="24"/>
          <w:szCs w:val="24"/>
          <w:lang w:eastAsia="en-GB"/>
        </w:rPr>
        <w:t xml:space="preserve"> &amp; Brown, 2016; Dewey, 1938). Students should consider the ethical implications of their practice for the people with whom they are engaged. </w:t>
      </w:r>
      <w:r w:rsidRPr="00F57158">
        <w:rPr>
          <w:rFonts w:eastAsia="Times New Roman" w:cs="Arial"/>
          <w:i/>
          <w:iCs/>
          <w:sz w:val="24"/>
          <w:szCs w:val="24"/>
          <w:lang w:eastAsia="en-GB"/>
        </w:rPr>
        <w:t>To what degree are the course activities focused on concrete, local phenomena or tackling pressing community issues?</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Agency:</w:t>
      </w:r>
      <w:r w:rsidRPr="00F57158">
        <w:rPr>
          <w:rFonts w:eastAsia="Times New Roman" w:cs="Arial"/>
          <w:sz w:val="24"/>
          <w:szCs w:val="24"/>
          <w:lang w:eastAsia="en-GB"/>
        </w:rPr>
        <w:t> Participants need to have the power to follow their curiosity and drive, and negotiate what is being learned and how it is being learned (</w:t>
      </w:r>
      <w:proofErr w:type="spellStart"/>
      <w:r w:rsidRPr="00F57158">
        <w:rPr>
          <w:rFonts w:eastAsia="Times New Roman" w:cs="Arial"/>
          <w:sz w:val="24"/>
          <w:szCs w:val="24"/>
          <w:lang w:eastAsia="en-GB"/>
        </w:rPr>
        <w:t>Beames</w:t>
      </w:r>
      <w:proofErr w:type="spellEnd"/>
      <w:r w:rsidRPr="00F57158">
        <w:rPr>
          <w:rFonts w:eastAsia="Times New Roman" w:cs="Arial"/>
          <w:sz w:val="24"/>
          <w:szCs w:val="24"/>
          <w:lang w:eastAsia="en-GB"/>
        </w:rPr>
        <w:t xml:space="preserve"> &amp; Brown, 2016; Deci &amp; Ryan, 1987; Mercer, 2011).  </w:t>
      </w:r>
      <w:r w:rsidRPr="00F57158">
        <w:rPr>
          <w:rFonts w:eastAsia="Times New Roman" w:cs="Arial"/>
          <w:i/>
          <w:iCs/>
          <w:sz w:val="24"/>
          <w:szCs w:val="24"/>
          <w:lang w:eastAsia="en-GB"/>
        </w:rPr>
        <w:t>How much choice do students have to shape their own learning and assessment?</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Emotional engagement:</w:t>
      </w:r>
      <w:r w:rsidRPr="00F57158">
        <w:rPr>
          <w:rFonts w:eastAsia="Times New Roman" w:cs="Arial"/>
          <w:sz w:val="24"/>
          <w:szCs w:val="24"/>
          <w:lang w:eastAsia="en-GB"/>
        </w:rPr>
        <w:t xml:space="preserve"> Students are emotionally invested in the project and will experience the joys and frustrations associated with developing higher levels of knowledge and skills (Moon, 2004; </w:t>
      </w:r>
      <w:proofErr w:type="spellStart"/>
      <w:r w:rsidRPr="00F57158">
        <w:rPr>
          <w:rFonts w:eastAsia="Times New Roman" w:cs="Arial"/>
          <w:sz w:val="24"/>
          <w:szCs w:val="24"/>
          <w:lang w:eastAsia="en-GB"/>
        </w:rPr>
        <w:t>Boud</w:t>
      </w:r>
      <w:proofErr w:type="spellEnd"/>
      <w:r w:rsidRPr="00F57158">
        <w:rPr>
          <w:rFonts w:eastAsia="Times New Roman" w:cs="Arial"/>
          <w:sz w:val="24"/>
          <w:szCs w:val="24"/>
          <w:lang w:eastAsia="en-GB"/>
        </w:rPr>
        <w:t xml:space="preserve"> &amp; Miller, 1996).  </w:t>
      </w:r>
      <w:r w:rsidRPr="00F57158">
        <w:rPr>
          <w:rFonts w:eastAsia="Times New Roman" w:cs="Arial"/>
          <w:i/>
          <w:iCs/>
          <w:sz w:val="24"/>
          <w:szCs w:val="24"/>
          <w:lang w:eastAsia="en-GB"/>
        </w:rPr>
        <w:t>What activities have you incorporated into your teaching that will elicit rich emotional engagement with the learning material?</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lastRenderedPageBreak/>
        <w:t xml:space="preserve">Support: </w:t>
      </w:r>
      <w:r w:rsidRPr="00F57158">
        <w:rPr>
          <w:rFonts w:eastAsia="Times New Roman" w:cs="Arial"/>
          <w:sz w:val="24"/>
          <w:szCs w:val="24"/>
          <w:lang w:eastAsia="en-GB"/>
        </w:rPr>
        <w:t xml:space="preserve">The learning environment needs to be a safe one, in which participants can experiment and fail without excessive social and/or physical consequences (Chapman, McPhee &amp; </w:t>
      </w:r>
      <w:proofErr w:type="spellStart"/>
      <w:r w:rsidRPr="00F57158">
        <w:rPr>
          <w:rFonts w:eastAsia="Times New Roman" w:cs="Arial"/>
          <w:sz w:val="24"/>
          <w:szCs w:val="24"/>
          <w:lang w:eastAsia="en-GB"/>
        </w:rPr>
        <w:t>Proudman</w:t>
      </w:r>
      <w:proofErr w:type="spellEnd"/>
      <w:r w:rsidRPr="00F57158">
        <w:rPr>
          <w:rFonts w:eastAsia="Times New Roman" w:cs="Arial"/>
          <w:sz w:val="24"/>
          <w:szCs w:val="24"/>
          <w:lang w:eastAsia="en-GB"/>
        </w:rPr>
        <w:t>, 1995). ‘Autonomy support’ will also come from educators who are able to give just enough guidance for students to experience success as they work relatively independently (</w:t>
      </w:r>
      <w:proofErr w:type="spellStart"/>
      <w:r w:rsidRPr="00F57158">
        <w:rPr>
          <w:rFonts w:eastAsia="Times New Roman" w:cs="Arial"/>
          <w:sz w:val="24"/>
          <w:szCs w:val="24"/>
          <w:lang w:eastAsia="en-GB"/>
        </w:rPr>
        <w:t>Stefanou</w:t>
      </w:r>
      <w:proofErr w:type="spellEnd"/>
      <w:r w:rsidRPr="00F57158">
        <w:rPr>
          <w:rFonts w:eastAsia="Times New Roman" w:cs="Arial"/>
          <w:sz w:val="24"/>
          <w:szCs w:val="24"/>
          <w:lang w:eastAsia="en-GB"/>
        </w:rPr>
        <w:t xml:space="preserve"> et al., 2004).  </w:t>
      </w:r>
      <w:r w:rsidRPr="00F57158">
        <w:rPr>
          <w:rFonts w:eastAsia="Times New Roman" w:cs="Arial"/>
          <w:i/>
          <w:iCs/>
          <w:sz w:val="24"/>
          <w:szCs w:val="24"/>
          <w:lang w:eastAsia="en-GB"/>
        </w:rPr>
        <w:t>How does your teaching space lend itself to students working creatively and collaboratively, but as autonomously as possible from you (the educator)?</w:t>
      </w:r>
    </w:p>
    <w:p w:rsidR="00F57158" w:rsidRPr="00F57158" w:rsidRDefault="00F57158" w:rsidP="00004C8F">
      <w:pPr>
        <w:numPr>
          <w:ilvl w:val="0"/>
          <w:numId w:val="2"/>
        </w:numPr>
        <w:shd w:val="clear" w:color="auto" w:fill="FFFFFF"/>
        <w:spacing w:before="120" w:after="120" w:line="240" w:lineRule="auto"/>
        <w:ind w:left="0"/>
        <w:jc w:val="both"/>
        <w:rPr>
          <w:rFonts w:eastAsia="Times New Roman" w:cs="Arial"/>
          <w:sz w:val="24"/>
          <w:szCs w:val="24"/>
          <w:lang w:eastAsia="en-GB"/>
        </w:rPr>
      </w:pPr>
      <w:r w:rsidRPr="00F57158">
        <w:rPr>
          <w:rFonts w:eastAsia="Times New Roman" w:cs="Arial"/>
          <w:b/>
          <w:bCs/>
          <w:sz w:val="24"/>
          <w:szCs w:val="24"/>
          <w:lang w:eastAsia="en-GB"/>
        </w:rPr>
        <w:t>Reflection:</w:t>
      </w:r>
      <w:r w:rsidRPr="00F57158">
        <w:rPr>
          <w:rFonts w:eastAsia="Times New Roman" w:cs="Arial"/>
          <w:sz w:val="24"/>
          <w:szCs w:val="24"/>
          <w:lang w:eastAsia="en-GB"/>
        </w:rPr>
        <w:t> Participants need to critically reflect on what is going/went well and what is / did not (and their role in this), and deeply consider how this will inform what they do next (</w:t>
      </w:r>
      <w:proofErr w:type="spellStart"/>
      <w:r w:rsidRPr="00F57158">
        <w:rPr>
          <w:rFonts w:eastAsia="Times New Roman" w:cs="Arial"/>
          <w:sz w:val="24"/>
          <w:szCs w:val="24"/>
          <w:lang w:eastAsia="en-GB"/>
        </w:rPr>
        <w:t>Boud</w:t>
      </w:r>
      <w:proofErr w:type="spellEnd"/>
      <w:r w:rsidRPr="00F57158">
        <w:rPr>
          <w:rFonts w:eastAsia="Times New Roman" w:cs="Arial"/>
          <w:sz w:val="24"/>
          <w:szCs w:val="24"/>
          <w:lang w:eastAsia="en-GB"/>
        </w:rPr>
        <w:t xml:space="preserve"> et al., 1993; Schon, 1983).  Crucially, reflection is not something that happens at the end of a course, but should be sprinkled-in throughout.  </w:t>
      </w:r>
      <w:r w:rsidRPr="00F57158">
        <w:rPr>
          <w:rFonts w:eastAsia="Times New Roman" w:cs="Arial"/>
          <w:i/>
          <w:iCs/>
          <w:sz w:val="24"/>
          <w:szCs w:val="24"/>
          <w:lang w:eastAsia="en-GB"/>
        </w:rPr>
        <w:t>What activities have you put in place for students to reflect on what they have learned and how this can be applied after your course finishes?</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As you’ll have noticed, each of the defining features has a question that educators can ask of themselves.  Of course, one doesn’t have to ‘score’ highly in each of these areas to be an effective teacher, but I would challenge teaching staff to think about how they might try to tweak their course delivery in one or two of the above domains, thus making their teaching more experiential!</w:t>
      </w:r>
    </w:p>
    <w:bookmarkStart w:id="2" w:name="_edn1"/>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fldChar w:fldCharType="begin"/>
      </w:r>
      <w:r w:rsidRPr="00F57158">
        <w:rPr>
          <w:rFonts w:eastAsia="Times New Roman" w:cs="Arial"/>
          <w:sz w:val="24"/>
          <w:szCs w:val="24"/>
          <w:lang w:eastAsia="en-GB"/>
        </w:rPr>
        <w:instrText xml:space="preserve"> HYPERLINK "applewebdata://BE143611-7206-48A2-BD3D-6466497E6FAD/" \l "_ednref1" </w:instrText>
      </w:r>
      <w:r w:rsidRPr="00F57158">
        <w:rPr>
          <w:rFonts w:eastAsia="Times New Roman" w:cs="Arial"/>
          <w:sz w:val="24"/>
          <w:szCs w:val="24"/>
          <w:lang w:eastAsia="en-GB"/>
        </w:rPr>
        <w:fldChar w:fldCharType="separate"/>
      </w:r>
      <w:r w:rsidRPr="00F57158">
        <w:rPr>
          <w:rFonts w:eastAsia="Times New Roman" w:cs="Arial"/>
          <w:color w:val="117BB8"/>
          <w:sz w:val="24"/>
          <w:szCs w:val="24"/>
          <w:u w:val="single"/>
          <w:lang w:eastAsia="en-GB"/>
        </w:rPr>
        <w:t>[</w:t>
      </w:r>
      <w:proofErr w:type="spellStart"/>
      <w:proofErr w:type="gramStart"/>
      <w:r w:rsidRPr="00F57158">
        <w:rPr>
          <w:rFonts w:eastAsia="Times New Roman" w:cs="Arial"/>
          <w:color w:val="117BB8"/>
          <w:sz w:val="24"/>
          <w:szCs w:val="24"/>
          <w:u w:val="single"/>
          <w:lang w:eastAsia="en-GB"/>
        </w:rPr>
        <w:t>i</w:t>
      </w:r>
      <w:proofErr w:type="spellEnd"/>
      <w:proofErr w:type="gramEnd"/>
      <w:r w:rsidRPr="00F57158">
        <w:rPr>
          <w:rFonts w:eastAsia="Times New Roman" w:cs="Arial"/>
          <w:color w:val="117BB8"/>
          <w:sz w:val="24"/>
          <w:szCs w:val="24"/>
          <w:u w:val="single"/>
          <w:lang w:eastAsia="en-GB"/>
        </w:rPr>
        <w:t>]</w:t>
      </w:r>
      <w:r w:rsidRPr="00F57158">
        <w:rPr>
          <w:rFonts w:eastAsia="Times New Roman" w:cs="Arial"/>
          <w:sz w:val="24"/>
          <w:szCs w:val="24"/>
          <w:lang w:eastAsia="en-GB"/>
        </w:rPr>
        <w:fldChar w:fldCharType="end"/>
      </w:r>
      <w:r w:rsidRPr="00F57158">
        <w:rPr>
          <w:rFonts w:eastAsia="Times New Roman" w:cs="Arial"/>
          <w:sz w:val="24"/>
          <w:szCs w:val="24"/>
          <w:lang w:eastAsia="en-GB"/>
        </w:rPr>
        <w:t>Dr. Andy Cross is leading a PTAS project assessing the nature of experiential education in the internships and placements on four different degree programmes.  A report on the project is forthcoming!</w:t>
      </w:r>
    </w:p>
    <w:bookmarkEnd w:id="2"/>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u w:val="single"/>
          <w:lang w:eastAsia="en-GB"/>
        </w:rPr>
        <w:t xml:space="preserve">References </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Association for Experiential Education. (</w:t>
      </w:r>
      <w:proofErr w:type="spellStart"/>
      <w:r w:rsidRPr="00F57158">
        <w:rPr>
          <w:rFonts w:eastAsia="Times New Roman" w:cs="Arial"/>
          <w:sz w:val="24"/>
          <w:szCs w:val="24"/>
          <w:lang w:eastAsia="en-GB"/>
        </w:rPr>
        <w:t>n.d</w:t>
      </w:r>
      <w:proofErr w:type="spellEnd"/>
      <w:r w:rsidRPr="00F57158">
        <w:rPr>
          <w:rFonts w:eastAsia="Times New Roman" w:cs="Arial"/>
          <w:sz w:val="24"/>
          <w:szCs w:val="24"/>
          <w:lang w:eastAsia="en-GB"/>
        </w:rPr>
        <w:t xml:space="preserve">). </w:t>
      </w:r>
      <w:proofErr w:type="gramStart"/>
      <w:r w:rsidRPr="00F57158">
        <w:rPr>
          <w:rFonts w:eastAsia="Times New Roman" w:cs="Arial"/>
          <w:i/>
          <w:iCs/>
          <w:sz w:val="24"/>
          <w:szCs w:val="24"/>
          <w:lang w:eastAsia="en-GB"/>
        </w:rPr>
        <w:t>What</w:t>
      </w:r>
      <w:proofErr w:type="gramEnd"/>
      <w:r w:rsidRPr="00F57158">
        <w:rPr>
          <w:rFonts w:eastAsia="Times New Roman" w:cs="Arial"/>
          <w:i/>
          <w:iCs/>
          <w:sz w:val="24"/>
          <w:szCs w:val="24"/>
          <w:lang w:eastAsia="en-GB"/>
        </w:rPr>
        <w:t xml:space="preserve"> is experiential education?</w:t>
      </w:r>
      <w:r w:rsidRPr="00F57158">
        <w:rPr>
          <w:rFonts w:eastAsia="Times New Roman" w:cs="Arial"/>
          <w:sz w:val="24"/>
          <w:szCs w:val="24"/>
          <w:lang w:eastAsia="en-GB"/>
        </w:rPr>
        <w:t xml:space="preserve"> Retrieved from </w:t>
      </w:r>
      <w:hyperlink r:id="rId10" w:history="1">
        <w:r w:rsidRPr="00F57158">
          <w:rPr>
            <w:rFonts w:eastAsia="Times New Roman" w:cs="Arial"/>
            <w:color w:val="117BB8"/>
            <w:sz w:val="24"/>
            <w:szCs w:val="24"/>
            <w:u w:val="single"/>
            <w:lang w:eastAsia="en-GB"/>
          </w:rPr>
          <w:t>https://www.aee.org/what-is-ee</w:t>
        </w:r>
      </w:hyperlink>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proofErr w:type="spellStart"/>
      <w:r w:rsidRPr="00F57158">
        <w:rPr>
          <w:rFonts w:eastAsia="Times New Roman" w:cs="Arial"/>
          <w:sz w:val="24"/>
          <w:szCs w:val="24"/>
          <w:lang w:eastAsia="en-GB"/>
        </w:rPr>
        <w:t>Beames</w:t>
      </w:r>
      <w:proofErr w:type="spellEnd"/>
      <w:r w:rsidRPr="00F57158">
        <w:rPr>
          <w:rFonts w:eastAsia="Times New Roman" w:cs="Arial"/>
          <w:sz w:val="24"/>
          <w:szCs w:val="24"/>
          <w:lang w:eastAsia="en-GB"/>
        </w:rPr>
        <w:t xml:space="preserve">, S. &amp; Brown, M. (2016). </w:t>
      </w:r>
      <w:r w:rsidRPr="00F57158">
        <w:rPr>
          <w:rFonts w:eastAsia="Times New Roman" w:cs="Arial"/>
          <w:i/>
          <w:iCs/>
          <w:sz w:val="24"/>
          <w:szCs w:val="24"/>
          <w:lang w:eastAsia="en-GB"/>
        </w:rPr>
        <w:t>Adventurous learning</w:t>
      </w:r>
      <w:r w:rsidRPr="00F57158">
        <w:rPr>
          <w:rFonts w:eastAsia="Times New Roman" w:cs="Arial"/>
          <w:sz w:val="24"/>
          <w:szCs w:val="24"/>
          <w:lang w:eastAsia="en-GB"/>
        </w:rPr>
        <w:t>. New York: Routledge.</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proofErr w:type="spellStart"/>
      <w:r w:rsidRPr="00F57158">
        <w:rPr>
          <w:rFonts w:eastAsia="Times New Roman" w:cs="Arial"/>
          <w:sz w:val="24"/>
          <w:szCs w:val="24"/>
          <w:lang w:eastAsia="en-GB"/>
        </w:rPr>
        <w:t>Boud</w:t>
      </w:r>
      <w:proofErr w:type="spellEnd"/>
      <w:r w:rsidRPr="00F57158">
        <w:rPr>
          <w:rFonts w:eastAsia="Times New Roman" w:cs="Arial"/>
          <w:sz w:val="24"/>
          <w:szCs w:val="24"/>
          <w:lang w:eastAsia="en-GB"/>
        </w:rPr>
        <w:t xml:space="preserve">, D., &amp; Miller, N. (1996). </w:t>
      </w:r>
      <w:r w:rsidRPr="00F57158">
        <w:rPr>
          <w:rFonts w:eastAsia="Times New Roman" w:cs="Arial"/>
          <w:i/>
          <w:iCs/>
          <w:sz w:val="24"/>
          <w:szCs w:val="24"/>
          <w:lang w:eastAsia="en-GB"/>
        </w:rPr>
        <w:t>Working with experience: Animating learning</w:t>
      </w:r>
      <w:r w:rsidRPr="00F57158">
        <w:rPr>
          <w:rFonts w:eastAsia="Times New Roman" w:cs="Arial"/>
          <w:sz w:val="24"/>
          <w:szCs w:val="24"/>
          <w:lang w:eastAsia="en-GB"/>
        </w:rPr>
        <w:t>. London: Routledge.</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proofErr w:type="spellStart"/>
      <w:r w:rsidRPr="00F57158">
        <w:rPr>
          <w:rFonts w:eastAsia="Times New Roman" w:cs="Arial"/>
          <w:sz w:val="24"/>
          <w:szCs w:val="24"/>
          <w:lang w:eastAsia="en-GB"/>
        </w:rPr>
        <w:t>Boud</w:t>
      </w:r>
      <w:proofErr w:type="spellEnd"/>
      <w:r w:rsidRPr="00F57158">
        <w:rPr>
          <w:rFonts w:eastAsia="Times New Roman" w:cs="Arial"/>
          <w:sz w:val="24"/>
          <w:szCs w:val="24"/>
          <w:lang w:eastAsia="en-GB"/>
        </w:rPr>
        <w:t xml:space="preserve">, D., Cohen, R. &amp; Walker, D. (1993). </w:t>
      </w:r>
      <w:r w:rsidRPr="00F57158">
        <w:rPr>
          <w:rFonts w:eastAsia="Times New Roman" w:cs="Arial"/>
          <w:i/>
          <w:iCs/>
          <w:sz w:val="24"/>
          <w:szCs w:val="24"/>
          <w:lang w:eastAsia="en-GB"/>
        </w:rPr>
        <w:t>Using experience for learning</w:t>
      </w:r>
      <w:r w:rsidRPr="00F57158">
        <w:rPr>
          <w:rFonts w:eastAsia="Times New Roman" w:cs="Arial"/>
          <w:sz w:val="24"/>
          <w:szCs w:val="24"/>
          <w:lang w:eastAsia="en-GB"/>
        </w:rPr>
        <w:t>. Buckingham: Open University Press.</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 xml:space="preserve">Chapman, S., McPhee, P., &amp; </w:t>
      </w:r>
      <w:proofErr w:type="spellStart"/>
      <w:r w:rsidRPr="00F57158">
        <w:rPr>
          <w:rFonts w:eastAsia="Times New Roman" w:cs="Arial"/>
          <w:sz w:val="24"/>
          <w:szCs w:val="24"/>
          <w:lang w:eastAsia="en-GB"/>
        </w:rPr>
        <w:t>Proudman</w:t>
      </w:r>
      <w:proofErr w:type="spellEnd"/>
      <w:r w:rsidRPr="00F57158">
        <w:rPr>
          <w:rFonts w:eastAsia="Times New Roman" w:cs="Arial"/>
          <w:sz w:val="24"/>
          <w:szCs w:val="24"/>
          <w:lang w:eastAsia="en-GB"/>
        </w:rPr>
        <w:t xml:space="preserve">, B. (1995). What is experiential education? In </w:t>
      </w:r>
      <w:proofErr w:type="spellStart"/>
      <w:r w:rsidRPr="00F57158">
        <w:rPr>
          <w:rFonts w:eastAsia="Times New Roman" w:cs="Arial"/>
          <w:sz w:val="24"/>
          <w:szCs w:val="24"/>
          <w:lang w:eastAsia="en-GB"/>
        </w:rPr>
        <w:t>Warren</w:t>
      </w:r>
      <w:proofErr w:type="gramStart"/>
      <w:r w:rsidRPr="00F57158">
        <w:rPr>
          <w:rFonts w:eastAsia="Times New Roman" w:cs="Arial"/>
          <w:sz w:val="24"/>
          <w:szCs w:val="24"/>
          <w:lang w:eastAsia="en-GB"/>
        </w:rPr>
        <w:t>,K</w:t>
      </w:r>
      <w:proofErr w:type="spellEnd"/>
      <w:proofErr w:type="gramEnd"/>
      <w:r w:rsidRPr="00F57158">
        <w:rPr>
          <w:rFonts w:eastAsia="Times New Roman" w:cs="Arial"/>
          <w:sz w:val="24"/>
          <w:szCs w:val="24"/>
          <w:lang w:eastAsia="en-GB"/>
        </w:rPr>
        <w:t xml:space="preserve">. (Ed.), </w:t>
      </w:r>
      <w:r w:rsidRPr="00F57158">
        <w:rPr>
          <w:rFonts w:eastAsia="Times New Roman" w:cs="Arial"/>
          <w:i/>
          <w:iCs/>
          <w:sz w:val="24"/>
          <w:szCs w:val="24"/>
          <w:lang w:eastAsia="en-GB"/>
        </w:rPr>
        <w:t>The theory of experiential education</w:t>
      </w:r>
      <w:r w:rsidRPr="00F57158">
        <w:rPr>
          <w:rFonts w:eastAsia="Times New Roman" w:cs="Arial"/>
          <w:sz w:val="24"/>
          <w:szCs w:val="24"/>
          <w:lang w:eastAsia="en-GB"/>
        </w:rPr>
        <w:t xml:space="preserve"> (pp. 235-248). Dubuque: Kendall/Hunt.</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Deci, E. &amp; Ryan, R. (1987). The support of autonomy and the control of behavior.</w:t>
      </w:r>
      <w:r w:rsidRPr="00F57158">
        <w:rPr>
          <w:rFonts w:eastAsia="Times New Roman" w:cs="Arial"/>
          <w:i/>
          <w:iCs/>
          <w:sz w:val="24"/>
          <w:szCs w:val="24"/>
          <w:lang w:eastAsia="en-GB"/>
        </w:rPr>
        <w:t xml:space="preserve"> Journal of Personality and Social</w:t>
      </w:r>
      <w:r w:rsidRPr="00F57158">
        <w:rPr>
          <w:rFonts w:eastAsia="Times New Roman" w:cs="Arial"/>
          <w:sz w:val="24"/>
          <w:szCs w:val="24"/>
          <w:lang w:eastAsia="en-GB"/>
        </w:rPr>
        <w:t xml:space="preserve"> Psychology, 53(6), 1024-1037.</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 xml:space="preserve">Dewey, J. (1938). </w:t>
      </w:r>
      <w:r w:rsidRPr="00F57158">
        <w:rPr>
          <w:rFonts w:eastAsia="Times New Roman" w:cs="Arial"/>
          <w:i/>
          <w:iCs/>
          <w:sz w:val="24"/>
          <w:szCs w:val="24"/>
          <w:lang w:eastAsia="en-GB"/>
        </w:rPr>
        <w:t>Experience and education</w:t>
      </w:r>
      <w:r w:rsidRPr="00F57158">
        <w:rPr>
          <w:rFonts w:eastAsia="Times New Roman" w:cs="Arial"/>
          <w:sz w:val="24"/>
          <w:szCs w:val="24"/>
          <w:lang w:eastAsia="en-GB"/>
        </w:rPr>
        <w:t>. New York: Collier Books.</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lastRenderedPageBreak/>
        <w:t xml:space="preserve">Mercer, S. (2011) </w:t>
      </w:r>
      <w:r w:rsidRPr="00F57158">
        <w:rPr>
          <w:rFonts w:eastAsia="Times New Roman" w:cs="Arial"/>
          <w:i/>
          <w:iCs/>
          <w:sz w:val="24"/>
          <w:szCs w:val="24"/>
          <w:lang w:eastAsia="en-GB"/>
        </w:rPr>
        <w:t>Understanding learner agency as a complex dynamic system</w:t>
      </w:r>
      <w:r w:rsidRPr="00F57158">
        <w:rPr>
          <w:rFonts w:eastAsia="Times New Roman" w:cs="Arial"/>
          <w:sz w:val="24"/>
          <w:szCs w:val="24"/>
          <w:lang w:eastAsia="en-GB"/>
        </w:rPr>
        <w:t>. System, 39, 427-436.</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Moon, J. (2004).</w:t>
      </w:r>
      <w:r w:rsidRPr="00F57158">
        <w:rPr>
          <w:rFonts w:eastAsia="Times New Roman" w:cs="Arial"/>
          <w:i/>
          <w:iCs/>
          <w:sz w:val="24"/>
          <w:szCs w:val="24"/>
          <w:lang w:eastAsia="en-GB"/>
        </w:rPr>
        <w:t xml:space="preserve"> A handbook of reflective and experiential learning: Theory and practice</w:t>
      </w:r>
      <w:r w:rsidRPr="00F57158">
        <w:rPr>
          <w:rFonts w:eastAsia="Times New Roman" w:cs="Arial"/>
          <w:sz w:val="24"/>
          <w:szCs w:val="24"/>
          <w:lang w:eastAsia="en-GB"/>
        </w:rPr>
        <w:t xml:space="preserve">. New York: </w:t>
      </w:r>
      <w:proofErr w:type="spellStart"/>
      <w:r w:rsidRPr="00F57158">
        <w:rPr>
          <w:rFonts w:eastAsia="Times New Roman" w:cs="Arial"/>
          <w:sz w:val="24"/>
          <w:szCs w:val="24"/>
          <w:lang w:eastAsia="en-GB"/>
        </w:rPr>
        <w:t>RoutledgeFalmer</w:t>
      </w:r>
      <w:proofErr w:type="spellEnd"/>
      <w:r w:rsidRPr="00F57158">
        <w:rPr>
          <w:rFonts w:eastAsia="Times New Roman" w:cs="Arial"/>
          <w:sz w:val="24"/>
          <w:szCs w:val="24"/>
          <w:lang w:eastAsia="en-GB"/>
        </w:rPr>
        <w:t>.</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r w:rsidRPr="00F57158">
        <w:rPr>
          <w:rFonts w:eastAsia="Times New Roman" w:cs="Arial"/>
          <w:sz w:val="24"/>
          <w:szCs w:val="24"/>
          <w:lang w:eastAsia="en-GB"/>
        </w:rPr>
        <w:t xml:space="preserve">Priest, S., &amp; </w:t>
      </w:r>
      <w:proofErr w:type="spellStart"/>
      <w:r w:rsidRPr="00F57158">
        <w:rPr>
          <w:rFonts w:eastAsia="Times New Roman" w:cs="Arial"/>
          <w:sz w:val="24"/>
          <w:szCs w:val="24"/>
          <w:lang w:eastAsia="en-GB"/>
        </w:rPr>
        <w:t>Gass</w:t>
      </w:r>
      <w:proofErr w:type="spellEnd"/>
      <w:r w:rsidRPr="00F57158">
        <w:rPr>
          <w:rFonts w:eastAsia="Times New Roman" w:cs="Arial"/>
          <w:sz w:val="24"/>
          <w:szCs w:val="24"/>
          <w:lang w:eastAsia="en-GB"/>
        </w:rPr>
        <w:t xml:space="preserve">, M. (2017). </w:t>
      </w:r>
      <w:r w:rsidRPr="00F57158">
        <w:rPr>
          <w:rFonts w:eastAsia="Times New Roman" w:cs="Arial"/>
          <w:i/>
          <w:iCs/>
          <w:sz w:val="24"/>
          <w:szCs w:val="24"/>
          <w:lang w:eastAsia="en-GB"/>
        </w:rPr>
        <w:t>Effective leadership in adventure programming</w:t>
      </w:r>
      <w:r w:rsidRPr="00F57158">
        <w:rPr>
          <w:rFonts w:eastAsia="Times New Roman" w:cs="Arial"/>
          <w:sz w:val="24"/>
          <w:szCs w:val="24"/>
          <w:lang w:eastAsia="en-GB"/>
        </w:rPr>
        <w:t>. Champaign, IL: Human Kinetics.</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proofErr w:type="spellStart"/>
      <w:r w:rsidRPr="00F57158">
        <w:rPr>
          <w:rFonts w:eastAsia="Times New Roman" w:cs="Arial"/>
          <w:sz w:val="24"/>
          <w:szCs w:val="24"/>
          <w:lang w:eastAsia="en-GB"/>
        </w:rPr>
        <w:t>Schön</w:t>
      </w:r>
      <w:proofErr w:type="spellEnd"/>
      <w:r w:rsidRPr="00F57158">
        <w:rPr>
          <w:rFonts w:eastAsia="Times New Roman" w:cs="Arial"/>
          <w:sz w:val="24"/>
          <w:szCs w:val="24"/>
          <w:lang w:eastAsia="en-GB"/>
        </w:rPr>
        <w:t xml:space="preserve">, D. (1983). </w:t>
      </w:r>
      <w:r w:rsidRPr="00F57158">
        <w:rPr>
          <w:rFonts w:eastAsia="Times New Roman" w:cs="Arial"/>
          <w:i/>
          <w:iCs/>
          <w:sz w:val="24"/>
          <w:szCs w:val="24"/>
          <w:lang w:eastAsia="en-GB"/>
        </w:rPr>
        <w:t>The reflective practitioner. How professionals think in action</w:t>
      </w:r>
      <w:r w:rsidRPr="00F57158">
        <w:rPr>
          <w:rFonts w:eastAsia="Times New Roman" w:cs="Arial"/>
          <w:sz w:val="24"/>
          <w:szCs w:val="24"/>
          <w:lang w:eastAsia="en-GB"/>
        </w:rPr>
        <w:t>. London: Temple Smith.</w:t>
      </w:r>
    </w:p>
    <w:p w:rsidR="00F57158" w:rsidRPr="00F57158" w:rsidRDefault="00F57158" w:rsidP="00004C8F">
      <w:pPr>
        <w:shd w:val="clear" w:color="auto" w:fill="FFFFFF"/>
        <w:spacing w:before="100" w:beforeAutospacing="1" w:after="360" w:line="240" w:lineRule="auto"/>
        <w:jc w:val="both"/>
        <w:rPr>
          <w:rFonts w:eastAsia="Times New Roman" w:cs="Arial"/>
          <w:sz w:val="24"/>
          <w:szCs w:val="24"/>
          <w:lang w:eastAsia="en-GB"/>
        </w:rPr>
      </w:pPr>
      <w:proofErr w:type="spellStart"/>
      <w:r w:rsidRPr="00F57158">
        <w:rPr>
          <w:rFonts w:eastAsia="Times New Roman" w:cs="Arial"/>
          <w:sz w:val="24"/>
          <w:szCs w:val="24"/>
          <w:lang w:eastAsia="en-GB"/>
        </w:rPr>
        <w:t>Stefanou</w:t>
      </w:r>
      <w:proofErr w:type="spellEnd"/>
      <w:r w:rsidRPr="00F57158">
        <w:rPr>
          <w:rFonts w:eastAsia="Times New Roman" w:cs="Arial"/>
          <w:sz w:val="24"/>
          <w:szCs w:val="24"/>
          <w:lang w:eastAsia="en-GB"/>
        </w:rPr>
        <w:t xml:space="preserve">, C., </w:t>
      </w:r>
      <w:proofErr w:type="spellStart"/>
      <w:r w:rsidRPr="00F57158">
        <w:rPr>
          <w:rFonts w:eastAsia="Times New Roman" w:cs="Arial"/>
          <w:sz w:val="24"/>
          <w:szCs w:val="24"/>
          <w:lang w:eastAsia="en-GB"/>
        </w:rPr>
        <w:t>Perencevich</w:t>
      </w:r>
      <w:proofErr w:type="spellEnd"/>
      <w:r w:rsidRPr="00F57158">
        <w:rPr>
          <w:rFonts w:eastAsia="Times New Roman" w:cs="Arial"/>
          <w:sz w:val="24"/>
          <w:szCs w:val="24"/>
          <w:lang w:eastAsia="en-GB"/>
        </w:rPr>
        <w:t xml:space="preserve">, K., </w:t>
      </w:r>
      <w:proofErr w:type="spellStart"/>
      <w:r w:rsidRPr="00F57158">
        <w:rPr>
          <w:rFonts w:eastAsia="Times New Roman" w:cs="Arial"/>
          <w:sz w:val="24"/>
          <w:szCs w:val="24"/>
          <w:lang w:eastAsia="en-GB"/>
        </w:rPr>
        <w:t>DiCintio</w:t>
      </w:r>
      <w:proofErr w:type="spellEnd"/>
      <w:r w:rsidRPr="00F57158">
        <w:rPr>
          <w:rFonts w:eastAsia="Times New Roman" w:cs="Arial"/>
          <w:sz w:val="24"/>
          <w:szCs w:val="24"/>
          <w:lang w:eastAsia="en-GB"/>
        </w:rPr>
        <w:t>, M., &amp; Turner, J. (2004). Supporting autonomy in the classroom: Ways teachers encourage student decision making and ownership.</w:t>
      </w:r>
      <w:r w:rsidRPr="00F57158">
        <w:rPr>
          <w:rFonts w:eastAsia="Times New Roman" w:cs="Arial"/>
          <w:i/>
          <w:iCs/>
          <w:sz w:val="24"/>
          <w:szCs w:val="24"/>
          <w:lang w:eastAsia="en-GB"/>
        </w:rPr>
        <w:t xml:space="preserve"> Educational Psychologist,</w:t>
      </w:r>
      <w:r w:rsidRPr="00F57158">
        <w:rPr>
          <w:rFonts w:eastAsia="Times New Roman" w:cs="Arial"/>
          <w:sz w:val="24"/>
          <w:szCs w:val="24"/>
          <w:lang w:eastAsia="en-GB"/>
        </w:rPr>
        <w:t xml:space="preserve"> 39(2), 97-110.</w:t>
      </w:r>
    </w:p>
    <w:p w:rsidR="00F57158" w:rsidRPr="00F57158" w:rsidRDefault="00F57158" w:rsidP="00004C8F">
      <w:pPr>
        <w:jc w:val="both"/>
        <w:rPr>
          <w:sz w:val="24"/>
          <w:szCs w:val="24"/>
        </w:rPr>
      </w:pPr>
    </w:p>
    <w:sectPr w:rsidR="00F57158" w:rsidRPr="00F571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865964"/>
    <w:multiLevelType w:val="multilevel"/>
    <w:tmpl w:val="48902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194838"/>
    <w:multiLevelType w:val="multilevel"/>
    <w:tmpl w:val="8DEAC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2405"/>
    <w:rsid w:val="000039E9"/>
    <w:rsid w:val="00004C8F"/>
    <w:rsid w:val="00013913"/>
    <w:rsid w:val="00016042"/>
    <w:rsid w:val="0002141B"/>
    <w:rsid w:val="00027C7C"/>
    <w:rsid w:val="00033B84"/>
    <w:rsid w:val="000346DE"/>
    <w:rsid w:val="00037BEA"/>
    <w:rsid w:val="000420A7"/>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D6B88"/>
    <w:rsid w:val="000E2405"/>
    <w:rsid w:val="000E3C18"/>
    <w:rsid w:val="000E5ABE"/>
    <w:rsid w:val="000F2902"/>
    <w:rsid w:val="000F33E4"/>
    <w:rsid w:val="000F3B59"/>
    <w:rsid w:val="000F7585"/>
    <w:rsid w:val="00100D4F"/>
    <w:rsid w:val="00102CB6"/>
    <w:rsid w:val="0011313E"/>
    <w:rsid w:val="001137B7"/>
    <w:rsid w:val="00121D5D"/>
    <w:rsid w:val="0012672D"/>
    <w:rsid w:val="00126E66"/>
    <w:rsid w:val="00127E49"/>
    <w:rsid w:val="00136B22"/>
    <w:rsid w:val="0014237A"/>
    <w:rsid w:val="00154C34"/>
    <w:rsid w:val="001568B5"/>
    <w:rsid w:val="00162259"/>
    <w:rsid w:val="00164003"/>
    <w:rsid w:val="00164EF6"/>
    <w:rsid w:val="00165D50"/>
    <w:rsid w:val="00182314"/>
    <w:rsid w:val="00183D0F"/>
    <w:rsid w:val="001902C5"/>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5AD6"/>
    <w:rsid w:val="002038FB"/>
    <w:rsid w:val="00207D11"/>
    <w:rsid w:val="00211AEE"/>
    <w:rsid w:val="00216A61"/>
    <w:rsid w:val="002236CF"/>
    <w:rsid w:val="0023407F"/>
    <w:rsid w:val="00235FF2"/>
    <w:rsid w:val="00241691"/>
    <w:rsid w:val="002451B6"/>
    <w:rsid w:val="00254828"/>
    <w:rsid w:val="00255757"/>
    <w:rsid w:val="00256566"/>
    <w:rsid w:val="002576D7"/>
    <w:rsid w:val="002576D8"/>
    <w:rsid w:val="00261EE8"/>
    <w:rsid w:val="00264A3B"/>
    <w:rsid w:val="00270F2A"/>
    <w:rsid w:val="002773CD"/>
    <w:rsid w:val="002775E3"/>
    <w:rsid w:val="002814F2"/>
    <w:rsid w:val="0028233B"/>
    <w:rsid w:val="00284DED"/>
    <w:rsid w:val="00285492"/>
    <w:rsid w:val="00285D8A"/>
    <w:rsid w:val="0029512F"/>
    <w:rsid w:val="002962C4"/>
    <w:rsid w:val="002971C2"/>
    <w:rsid w:val="002A5FE6"/>
    <w:rsid w:val="002B6A7D"/>
    <w:rsid w:val="002C1153"/>
    <w:rsid w:val="002C2A50"/>
    <w:rsid w:val="002D6755"/>
    <w:rsid w:val="00303450"/>
    <w:rsid w:val="00303D19"/>
    <w:rsid w:val="00314AFF"/>
    <w:rsid w:val="0031587C"/>
    <w:rsid w:val="00315F12"/>
    <w:rsid w:val="003163E7"/>
    <w:rsid w:val="003176BD"/>
    <w:rsid w:val="003240C2"/>
    <w:rsid w:val="00325177"/>
    <w:rsid w:val="00330D2B"/>
    <w:rsid w:val="00335138"/>
    <w:rsid w:val="00337552"/>
    <w:rsid w:val="00345A59"/>
    <w:rsid w:val="00346266"/>
    <w:rsid w:val="00350842"/>
    <w:rsid w:val="00352647"/>
    <w:rsid w:val="00355499"/>
    <w:rsid w:val="00367745"/>
    <w:rsid w:val="00373E0A"/>
    <w:rsid w:val="003765B3"/>
    <w:rsid w:val="0038103D"/>
    <w:rsid w:val="00384A96"/>
    <w:rsid w:val="003908CD"/>
    <w:rsid w:val="0039165B"/>
    <w:rsid w:val="003916CF"/>
    <w:rsid w:val="00393CCB"/>
    <w:rsid w:val="00395B47"/>
    <w:rsid w:val="00396D6E"/>
    <w:rsid w:val="003A185F"/>
    <w:rsid w:val="003A2ABF"/>
    <w:rsid w:val="003A3E9C"/>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6F8C"/>
    <w:rsid w:val="004350D0"/>
    <w:rsid w:val="0043717B"/>
    <w:rsid w:val="00441DE7"/>
    <w:rsid w:val="0044277A"/>
    <w:rsid w:val="00455E90"/>
    <w:rsid w:val="0046673C"/>
    <w:rsid w:val="00467170"/>
    <w:rsid w:val="004740AC"/>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04E4"/>
    <w:rsid w:val="004E5472"/>
    <w:rsid w:val="004F0004"/>
    <w:rsid w:val="004F6BEC"/>
    <w:rsid w:val="00500821"/>
    <w:rsid w:val="00501422"/>
    <w:rsid w:val="00503A0C"/>
    <w:rsid w:val="005162EB"/>
    <w:rsid w:val="00520501"/>
    <w:rsid w:val="00520A04"/>
    <w:rsid w:val="005227FF"/>
    <w:rsid w:val="005253AA"/>
    <w:rsid w:val="00533C87"/>
    <w:rsid w:val="00542127"/>
    <w:rsid w:val="00550C8F"/>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B4DA6"/>
    <w:rsid w:val="005C2B9D"/>
    <w:rsid w:val="005C4390"/>
    <w:rsid w:val="005C6E13"/>
    <w:rsid w:val="005D00A9"/>
    <w:rsid w:val="005D0436"/>
    <w:rsid w:val="005D1B84"/>
    <w:rsid w:val="005E1138"/>
    <w:rsid w:val="005E15AB"/>
    <w:rsid w:val="005E5740"/>
    <w:rsid w:val="005E6442"/>
    <w:rsid w:val="005F233E"/>
    <w:rsid w:val="005F41F2"/>
    <w:rsid w:val="005F5D7D"/>
    <w:rsid w:val="005F686B"/>
    <w:rsid w:val="005F76F2"/>
    <w:rsid w:val="00605A43"/>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5A9E"/>
    <w:rsid w:val="006C778C"/>
    <w:rsid w:val="006D11DA"/>
    <w:rsid w:val="006D3B51"/>
    <w:rsid w:val="006D7327"/>
    <w:rsid w:val="006D7EE4"/>
    <w:rsid w:val="006F1D56"/>
    <w:rsid w:val="006F453A"/>
    <w:rsid w:val="006F75E1"/>
    <w:rsid w:val="006F7F7A"/>
    <w:rsid w:val="00703B03"/>
    <w:rsid w:val="007058A8"/>
    <w:rsid w:val="0071211E"/>
    <w:rsid w:val="00712EB1"/>
    <w:rsid w:val="007173BC"/>
    <w:rsid w:val="00717EB7"/>
    <w:rsid w:val="007249E6"/>
    <w:rsid w:val="0072732E"/>
    <w:rsid w:val="00735009"/>
    <w:rsid w:val="00742A7F"/>
    <w:rsid w:val="00743A9B"/>
    <w:rsid w:val="00745513"/>
    <w:rsid w:val="00751025"/>
    <w:rsid w:val="00755482"/>
    <w:rsid w:val="007652B5"/>
    <w:rsid w:val="00765669"/>
    <w:rsid w:val="00771F2A"/>
    <w:rsid w:val="00772E73"/>
    <w:rsid w:val="007770E9"/>
    <w:rsid w:val="0077769E"/>
    <w:rsid w:val="00784988"/>
    <w:rsid w:val="00784996"/>
    <w:rsid w:val="00785759"/>
    <w:rsid w:val="00786B1A"/>
    <w:rsid w:val="007A475B"/>
    <w:rsid w:val="007A4CAE"/>
    <w:rsid w:val="007A5143"/>
    <w:rsid w:val="007A56BE"/>
    <w:rsid w:val="007A7FA4"/>
    <w:rsid w:val="007B0F50"/>
    <w:rsid w:val="007B29C9"/>
    <w:rsid w:val="007B6B59"/>
    <w:rsid w:val="007C6994"/>
    <w:rsid w:val="007D0E42"/>
    <w:rsid w:val="007D24A4"/>
    <w:rsid w:val="007E2E42"/>
    <w:rsid w:val="007E4B3F"/>
    <w:rsid w:val="007E7B0E"/>
    <w:rsid w:val="007F0C18"/>
    <w:rsid w:val="007F7920"/>
    <w:rsid w:val="0080648A"/>
    <w:rsid w:val="008065A3"/>
    <w:rsid w:val="00807196"/>
    <w:rsid w:val="008075C8"/>
    <w:rsid w:val="00810D40"/>
    <w:rsid w:val="00812474"/>
    <w:rsid w:val="00813852"/>
    <w:rsid w:val="008162F6"/>
    <w:rsid w:val="00816BB0"/>
    <w:rsid w:val="00826A9C"/>
    <w:rsid w:val="0082700D"/>
    <w:rsid w:val="008272A0"/>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706A"/>
    <w:rsid w:val="008C7139"/>
    <w:rsid w:val="008C73AE"/>
    <w:rsid w:val="008C7874"/>
    <w:rsid w:val="008C7D93"/>
    <w:rsid w:val="008D04F9"/>
    <w:rsid w:val="008D0616"/>
    <w:rsid w:val="008D15F7"/>
    <w:rsid w:val="008D5495"/>
    <w:rsid w:val="008E1DD5"/>
    <w:rsid w:val="008E2E4B"/>
    <w:rsid w:val="008F2D5B"/>
    <w:rsid w:val="008F5F33"/>
    <w:rsid w:val="00903D03"/>
    <w:rsid w:val="00911B01"/>
    <w:rsid w:val="00911CBC"/>
    <w:rsid w:val="00913785"/>
    <w:rsid w:val="00913981"/>
    <w:rsid w:val="0092521D"/>
    <w:rsid w:val="0092631D"/>
    <w:rsid w:val="00941BD0"/>
    <w:rsid w:val="00943EEC"/>
    <w:rsid w:val="00950A4A"/>
    <w:rsid w:val="0095273C"/>
    <w:rsid w:val="00953104"/>
    <w:rsid w:val="00953B83"/>
    <w:rsid w:val="0095739F"/>
    <w:rsid w:val="0096002F"/>
    <w:rsid w:val="00962B55"/>
    <w:rsid w:val="009634DF"/>
    <w:rsid w:val="0096457B"/>
    <w:rsid w:val="009666B2"/>
    <w:rsid w:val="0097077E"/>
    <w:rsid w:val="00973116"/>
    <w:rsid w:val="00981B56"/>
    <w:rsid w:val="009876B9"/>
    <w:rsid w:val="009A3C14"/>
    <w:rsid w:val="009B2AB0"/>
    <w:rsid w:val="009B3187"/>
    <w:rsid w:val="009B786E"/>
    <w:rsid w:val="009C1C32"/>
    <w:rsid w:val="009C5816"/>
    <w:rsid w:val="009E2A95"/>
    <w:rsid w:val="009F5550"/>
    <w:rsid w:val="00A0087F"/>
    <w:rsid w:val="00A0155D"/>
    <w:rsid w:val="00A13423"/>
    <w:rsid w:val="00A1547C"/>
    <w:rsid w:val="00A25C0F"/>
    <w:rsid w:val="00A355F9"/>
    <w:rsid w:val="00A44295"/>
    <w:rsid w:val="00A53411"/>
    <w:rsid w:val="00A75094"/>
    <w:rsid w:val="00A77F41"/>
    <w:rsid w:val="00A81081"/>
    <w:rsid w:val="00A827E0"/>
    <w:rsid w:val="00A85726"/>
    <w:rsid w:val="00A85C2D"/>
    <w:rsid w:val="00A90CBB"/>
    <w:rsid w:val="00A93B51"/>
    <w:rsid w:val="00AA2DAD"/>
    <w:rsid w:val="00AB49A3"/>
    <w:rsid w:val="00AB683A"/>
    <w:rsid w:val="00AB7BA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6708F"/>
    <w:rsid w:val="00B74650"/>
    <w:rsid w:val="00B83C2A"/>
    <w:rsid w:val="00B84DBC"/>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2FAC"/>
    <w:rsid w:val="00C1336F"/>
    <w:rsid w:val="00C20981"/>
    <w:rsid w:val="00C2219D"/>
    <w:rsid w:val="00C33066"/>
    <w:rsid w:val="00C378B8"/>
    <w:rsid w:val="00C40DA8"/>
    <w:rsid w:val="00C45024"/>
    <w:rsid w:val="00C63E38"/>
    <w:rsid w:val="00C64A6B"/>
    <w:rsid w:val="00C652E7"/>
    <w:rsid w:val="00C6681D"/>
    <w:rsid w:val="00C7767A"/>
    <w:rsid w:val="00C842C0"/>
    <w:rsid w:val="00C86E16"/>
    <w:rsid w:val="00C902C5"/>
    <w:rsid w:val="00C937D1"/>
    <w:rsid w:val="00C96BAF"/>
    <w:rsid w:val="00CB01A1"/>
    <w:rsid w:val="00CB3427"/>
    <w:rsid w:val="00CC1022"/>
    <w:rsid w:val="00CC2171"/>
    <w:rsid w:val="00CC35F1"/>
    <w:rsid w:val="00CD253A"/>
    <w:rsid w:val="00CD7D12"/>
    <w:rsid w:val="00CE5875"/>
    <w:rsid w:val="00CE5B22"/>
    <w:rsid w:val="00CF097B"/>
    <w:rsid w:val="00CF30C2"/>
    <w:rsid w:val="00CF43E6"/>
    <w:rsid w:val="00D01358"/>
    <w:rsid w:val="00D01541"/>
    <w:rsid w:val="00D07DAA"/>
    <w:rsid w:val="00D1021D"/>
    <w:rsid w:val="00D12510"/>
    <w:rsid w:val="00D17EE0"/>
    <w:rsid w:val="00D2502E"/>
    <w:rsid w:val="00D321EA"/>
    <w:rsid w:val="00D37DAB"/>
    <w:rsid w:val="00D448F7"/>
    <w:rsid w:val="00D467D5"/>
    <w:rsid w:val="00D479CF"/>
    <w:rsid w:val="00D52AE5"/>
    <w:rsid w:val="00D52D34"/>
    <w:rsid w:val="00D5450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E2040"/>
    <w:rsid w:val="00DF1BBA"/>
    <w:rsid w:val="00DF377D"/>
    <w:rsid w:val="00DF48E8"/>
    <w:rsid w:val="00DF4D6D"/>
    <w:rsid w:val="00DF72C0"/>
    <w:rsid w:val="00DF76CB"/>
    <w:rsid w:val="00E005F5"/>
    <w:rsid w:val="00E03697"/>
    <w:rsid w:val="00E060C6"/>
    <w:rsid w:val="00E111F1"/>
    <w:rsid w:val="00E224FF"/>
    <w:rsid w:val="00E22547"/>
    <w:rsid w:val="00E22E53"/>
    <w:rsid w:val="00E234C2"/>
    <w:rsid w:val="00E3208C"/>
    <w:rsid w:val="00E36800"/>
    <w:rsid w:val="00E45A6A"/>
    <w:rsid w:val="00E5283F"/>
    <w:rsid w:val="00E577F6"/>
    <w:rsid w:val="00E611AC"/>
    <w:rsid w:val="00E64679"/>
    <w:rsid w:val="00E74312"/>
    <w:rsid w:val="00E75C79"/>
    <w:rsid w:val="00E77CE4"/>
    <w:rsid w:val="00E80162"/>
    <w:rsid w:val="00E812D5"/>
    <w:rsid w:val="00E81DF3"/>
    <w:rsid w:val="00E829FF"/>
    <w:rsid w:val="00E85F94"/>
    <w:rsid w:val="00E94E27"/>
    <w:rsid w:val="00EB15F0"/>
    <w:rsid w:val="00EB16AA"/>
    <w:rsid w:val="00EB2B8D"/>
    <w:rsid w:val="00EB5193"/>
    <w:rsid w:val="00EB6702"/>
    <w:rsid w:val="00EC1583"/>
    <w:rsid w:val="00EC2C44"/>
    <w:rsid w:val="00EC4535"/>
    <w:rsid w:val="00ED03BC"/>
    <w:rsid w:val="00ED18AC"/>
    <w:rsid w:val="00ED75F0"/>
    <w:rsid w:val="00EE050C"/>
    <w:rsid w:val="00EE2763"/>
    <w:rsid w:val="00EE3194"/>
    <w:rsid w:val="00EF4687"/>
    <w:rsid w:val="00EF4A73"/>
    <w:rsid w:val="00F01C43"/>
    <w:rsid w:val="00F03637"/>
    <w:rsid w:val="00F05E9A"/>
    <w:rsid w:val="00F06CDD"/>
    <w:rsid w:val="00F0718B"/>
    <w:rsid w:val="00F108B5"/>
    <w:rsid w:val="00F169DE"/>
    <w:rsid w:val="00F17ACC"/>
    <w:rsid w:val="00F2160A"/>
    <w:rsid w:val="00F21AD7"/>
    <w:rsid w:val="00F25988"/>
    <w:rsid w:val="00F311C4"/>
    <w:rsid w:val="00F32414"/>
    <w:rsid w:val="00F36587"/>
    <w:rsid w:val="00F37777"/>
    <w:rsid w:val="00F40533"/>
    <w:rsid w:val="00F43934"/>
    <w:rsid w:val="00F4739C"/>
    <w:rsid w:val="00F56CAC"/>
    <w:rsid w:val="00F57158"/>
    <w:rsid w:val="00F57802"/>
    <w:rsid w:val="00F57804"/>
    <w:rsid w:val="00F61EB2"/>
    <w:rsid w:val="00F64041"/>
    <w:rsid w:val="00F655CC"/>
    <w:rsid w:val="00F71032"/>
    <w:rsid w:val="00F74EDC"/>
    <w:rsid w:val="00F76110"/>
    <w:rsid w:val="00F81B40"/>
    <w:rsid w:val="00F82740"/>
    <w:rsid w:val="00F839B1"/>
    <w:rsid w:val="00F84D48"/>
    <w:rsid w:val="00F858F4"/>
    <w:rsid w:val="00F9261D"/>
    <w:rsid w:val="00F96363"/>
    <w:rsid w:val="00FA4004"/>
    <w:rsid w:val="00FA449F"/>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896003-5EA1-4A04-B85F-679A279AC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55936629">
      <w:bodyDiv w:val="1"/>
      <w:marLeft w:val="0"/>
      <w:marRight w:val="0"/>
      <w:marTop w:val="0"/>
      <w:marBottom w:val="0"/>
      <w:divBdr>
        <w:top w:val="none" w:sz="0" w:space="0" w:color="auto"/>
        <w:left w:val="none" w:sz="0" w:space="0" w:color="auto"/>
        <w:bottom w:val="none" w:sz="0" w:space="0" w:color="auto"/>
        <w:right w:val="none" w:sz="0" w:space="0" w:color="auto"/>
      </w:divBdr>
      <w:divsChild>
        <w:div w:id="1890720519">
          <w:marLeft w:val="0"/>
          <w:marRight w:val="0"/>
          <w:marTop w:val="0"/>
          <w:marBottom w:val="0"/>
          <w:divBdr>
            <w:top w:val="none" w:sz="0" w:space="0" w:color="auto"/>
            <w:left w:val="none" w:sz="0" w:space="0" w:color="auto"/>
            <w:bottom w:val="none" w:sz="0" w:space="0" w:color="auto"/>
            <w:right w:val="none" w:sz="0" w:space="0" w:color="auto"/>
          </w:divBdr>
        </w:div>
        <w:div w:id="2010281193">
          <w:marLeft w:val="0"/>
          <w:marRight w:val="0"/>
          <w:marTop w:val="360"/>
          <w:marBottom w:val="0"/>
          <w:divBdr>
            <w:top w:val="none" w:sz="0" w:space="0" w:color="auto"/>
            <w:left w:val="none" w:sz="0" w:space="0" w:color="auto"/>
            <w:bottom w:val="none" w:sz="0" w:space="0" w:color="auto"/>
            <w:right w:val="none" w:sz="0" w:space="0" w:color="auto"/>
          </w:divBdr>
          <w:divsChild>
            <w:div w:id="186517033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42092457">
      <w:bodyDiv w:val="1"/>
      <w:marLeft w:val="0"/>
      <w:marRight w:val="0"/>
      <w:marTop w:val="0"/>
      <w:marBottom w:val="0"/>
      <w:divBdr>
        <w:top w:val="none" w:sz="0" w:space="0" w:color="auto"/>
        <w:left w:val="none" w:sz="0" w:space="0" w:color="auto"/>
        <w:bottom w:val="none" w:sz="0" w:space="0" w:color="auto"/>
        <w:right w:val="none" w:sz="0" w:space="0" w:color="auto"/>
      </w:divBdr>
      <w:divsChild>
        <w:div w:id="1219055587">
          <w:marLeft w:val="0"/>
          <w:marRight w:val="0"/>
          <w:marTop w:val="0"/>
          <w:marBottom w:val="0"/>
          <w:divBdr>
            <w:top w:val="none" w:sz="0" w:space="0" w:color="auto"/>
            <w:left w:val="none" w:sz="0" w:space="0" w:color="auto"/>
            <w:bottom w:val="none" w:sz="0" w:space="0" w:color="auto"/>
            <w:right w:val="none" w:sz="0" w:space="0" w:color="auto"/>
          </w:divBdr>
          <w:divsChild>
            <w:div w:id="61218430">
              <w:marLeft w:val="0"/>
              <w:marRight w:val="0"/>
              <w:marTop w:val="0"/>
              <w:marBottom w:val="0"/>
              <w:divBdr>
                <w:top w:val="none" w:sz="0" w:space="0" w:color="auto"/>
                <w:left w:val="none" w:sz="0" w:space="0" w:color="auto"/>
                <w:bottom w:val="none" w:sz="0" w:space="0" w:color="auto"/>
                <w:right w:val="none" w:sz="0" w:space="0" w:color="auto"/>
              </w:divBdr>
              <w:divsChild>
                <w:div w:id="194171598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institute-academic-development/learning-teaching/cpd/teaching-award" TargetMode="External"/><Relationship Id="rId3" Type="http://schemas.openxmlformats.org/officeDocument/2006/relationships/settings" Target="settings.xml"/><Relationship Id="rId7" Type="http://schemas.openxmlformats.org/officeDocument/2006/relationships/hyperlink" Target="http://www.ed.ac.uk/reflec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aching-matters-blog.ed.ac.uk/experiential-education-defining-features-for-curriculum-and-pedagogy/" TargetMode="External"/><Relationship Id="rId11" Type="http://schemas.openxmlformats.org/officeDocument/2006/relationships/fontTable" Target="fontTable.xml"/><Relationship Id="rId5" Type="http://schemas.openxmlformats.org/officeDocument/2006/relationships/hyperlink" Target="https://www.teaching-matters-blog.ed.ac.uk/reflection-in-learning-design-part-of-the-process-and-potentially-an-outcome/" TargetMode="External"/><Relationship Id="rId10" Type="http://schemas.openxmlformats.org/officeDocument/2006/relationships/hyperlink" Target="https://www.aee.org/what-is-ee" TargetMode="External"/><Relationship Id="rId4" Type="http://schemas.openxmlformats.org/officeDocument/2006/relationships/webSettings" Target="webSettings.xml"/><Relationship Id="rId9" Type="http://schemas.openxmlformats.org/officeDocument/2006/relationships/hyperlink" Target="http://www.teaching-matters-blog.ed.ac.uk/student-led-individually-created-courses-sliccs-learning-and-teaching-beyond-disciplinary-sil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1790</Words>
  <Characters>10206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cp:revision>
  <dcterms:created xsi:type="dcterms:W3CDTF">2019-06-14T10:52:00Z</dcterms:created>
  <dcterms:modified xsi:type="dcterms:W3CDTF">2019-06-14T11:06:00Z</dcterms:modified>
</cp:coreProperties>
</file>